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0F95" w14:textId="77777777" w:rsidR="00B127F1" w:rsidRPr="00B127F1" w:rsidRDefault="00B127F1" w:rsidP="00B127F1">
      <w:pPr>
        <w:spacing w:after="0" w:line="480" w:lineRule="auto"/>
        <w:rPr>
          <w:rFonts w:ascii="Times New Roman" w:eastAsia="Calibri" w:hAnsi="Times New Roman" w:cs="Times New Roman"/>
          <w:b/>
          <w:sz w:val="28"/>
          <w:szCs w:val="28"/>
          <w:lang w:val="en-US"/>
        </w:rPr>
      </w:pPr>
      <w:r w:rsidRPr="00B127F1">
        <w:rPr>
          <w:rFonts w:ascii="Times New Roman" w:eastAsia="Calibri" w:hAnsi="Times New Roman" w:cs="Times New Roman"/>
          <w:b/>
          <w:sz w:val="28"/>
          <w:szCs w:val="28"/>
          <w:lang w:val="en-US"/>
        </w:rPr>
        <w:t>Comparing continuing to dissolving couples</w:t>
      </w:r>
    </w:p>
    <w:p w14:paraId="1F38B234" w14:textId="77777777" w:rsidR="00B127F1" w:rsidRPr="00B127F1" w:rsidRDefault="00B127F1" w:rsidP="00B127F1">
      <w:pPr>
        <w:spacing w:after="0" w:line="480" w:lineRule="auto"/>
        <w:ind w:firstLine="709"/>
        <w:rPr>
          <w:rFonts w:ascii="Times New Roman" w:eastAsia="Calibri" w:hAnsi="Times New Roman" w:cs="Times New Roman"/>
          <w:sz w:val="24"/>
          <w:lang w:val="en-US"/>
        </w:rPr>
      </w:pPr>
      <w:r w:rsidRPr="00B127F1">
        <w:rPr>
          <w:rFonts w:ascii="Times New Roman" w:eastAsia="Calibri" w:hAnsi="Times New Roman" w:cs="Times New Roman"/>
          <w:sz w:val="24"/>
          <w:lang w:val="en-US"/>
        </w:rPr>
        <w:t xml:space="preserve">Of course, our sample was biased in the way that only </w:t>
      </w:r>
      <w:r w:rsidR="00C23EE8">
        <w:rPr>
          <w:rFonts w:ascii="Times New Roman" w:eastAsia="Calibri" w:hAnsi="Times New Roman" w:cs="Times New Roman"/>
          <w:sz w:val="24"/>
          <w:lang w:val="en-US"/>
        </w:rPr>
        <w:t>continuing couples</w:t>
      </w:r>
      <w:r w:rsidRPr="00B127F1">
        <w:rPr>
          <w:rFonts w:ascii="Times New Roman" w:eastAsia="Calibri" w:hAnsi="Times New Roman" w:cs="Times New Roman"/>
          <w:sz w:val="24"/>
          <w:lang w:val="en-US"/>
        </w:rPr>
        <w:t xml:space="preserve">’ interactions were followed. </w:t>
      </w:r>
      <w:r w:rsidRPr="00B127F1">
        <w:rPr>
          <w:rFonts w:ascii="Times New Roman" w:eastAsia="Arial Unicode MS" w:hAnsi="Times New Roman" w:cs="Times New Roman"/>
          <w:sz w:val="24"/>
          <w:szCs w:val="24"/>
          <w:lang w:val="en-US"/>
        </w:rPr>
        <w:t>While the exclusion of couples who separated after T1 (</w:t>
      </w:r>
      <w:r w:rsidRPr="00B127F1">
        <w:rPr>
          <w:rFonts w:ascii="Times New Roman" w:eastAsia="Arial Unicode MS" w:hAnsi="Times New Roman" w:cs="Times New Roman"/>
          <w:i/>
          <w:sz w:val="24"/>
          <w:szCs w:val="24"/>
          <w:lang w:val="en-US"/>
        </w:rPr>
        <w:t>dissolving couples</w:t>
      </w:r>
      <w:r w:rsidRPr="00B127F1">
        <w:rPr>
          <w:rFonts w:ascii="Times New Roman" w:eastAsia="Arial Unicode MS" w:hAnsi="Times New Roman" w:cs="Times New Roman"/>
          <w:sz w:val="24"/>
          <w:szCs w:val="24"/>
          <w:lang w:val="en-US"/>
        </w:rPr>
        <w:t xml:space="preserve">) was important to appropriately address our research question, it bore the risk of selecting a substantially biased sample. To find out if couples who separated and </w:t>
      </w:r>
      <w:r w:rsidR="00C23EE8">
        <w:rPr>
          <w:rFonts w:ascii="Times New Roman" w:eastAsia="Arial Unicode MS" w:hAnsi="Times New Roman" w:cs="Times New Roman"/>
          <w:sz w:val="24"/>
          <w:szCs w:val="24"/>
          <w:lang w:val="en-US"/>
        </w:rPr>
        <w:t>continuing couples</w:t>
      </w:r>
      <w:r w:rsidRPr="00B127F1">
        <w:rPr>
          <w:rFonts w:ascii="Times New Roman" w:eastAsia="Arial Unicode MS" w:hAnsi="Times New Roman" w:cs="Times New Roman"/>
          <w:sz w:val="24"/>
          <w:szCs w:val="24"/>
          <w:lang w:val="en-US"/>
        </w:rPr>
        <w:t xml:space="preserve"> differed at T1, we report demographics and descriptive statistics of the study variables for the dissolving couples at T1 here, too, and compare them to the </w:t>
      </w:r>
      <w:r w:rsidR="00C23EE8">
        <w:rPr>
          <w:rFonts w:ascii="Times New Roman" w:eastAsia="Arial Unicode MS" w:hAnsi="Times New Roman" w:cs="Times New Roman"/>
          <w:sz w:val="24"/>
          <w:szCs w:val="24"/>
          <w:lang w:val="en-US"/>
        </w:rPr>
        <w:t>continuing couples</w:t>
      </w:r>
      <w:r w:rsidRPr="00B127F1">
        <w:rPr>
          <w:rFonts w:ascii="Times New Roman" w:eastAsia="Arial Unicode MS" w:hAnsi="Times New Roman" w:cs="Times New Roman"/>
          <w:sz w:val="24"/>
          <w:szCs w:val="24"/>
          <w:lang w:val="en-US"/>
        </w:rPr>
        <w:t xml:space="preserve">’ characteristics. As for the </w:t>
      </w:r>
      <w:r w:rsidR="00C23EE8">
        <w:rPr>
          <w:rFonts w:ascii="Times New Roman" w:eastAsia="Arial Unicode MS" w:hAnsi="Times New Roman" w:cs="Times New Roman"/>
          <w:sz w:val="24"/>
          <w:szCs w:val="24"/>
          <w:lang w:val="en-US"/>
        </w:rPr>
        <w:t>continuing couples</w:t>
      </w:r>
      <w:r w:rsidRPr="00B127F1">
        <w:rPr>
          <w:rFonts w:ascii="Times New Roman" w:eastAsia="Arial Unicode MS" w:hAnsi="Times New Roman" w:cs="Times New Roman"/>
          <w:sz w:val="24"/>
          <w:szCs w:val="24"/>
          <w:lang w:val="en-US"/>
        </w:rPr>
        <w:t>, we excluded</w:t>
      </w:r>
      <w:r w:rsidRPr="00B127F1">
        <w:rPr>
          <w:rFonts w:ascii="Times New Roman" w:eastAsia="Calibri" w:hAnsi="Times New Roman" w:cs="Times New Roman"/>
          <w:sz w:val="24"/>
          <w:lang w:val="en-US"/>
        </w:rPr>
        <w:t xml:space="preserve"> same-sex partnerships, persons who did not reliably indicate their gender, anchors of the youngest cohort (birth years 1991–1993), as well as relationships with a duration of less than 12 months at T1.</w:t>
      </w:r>
    </w:p>
    <w:p w14:paraId="5D193E18" w14:textId="4A810C25" w:rsidR="00B127F1" w:rsidRPr="00B127F1" w:rsidRDefault="00B127F1" w:rsidP="00B127F1">
      <w:pPr>
        <w:spacing w:after="0" w:line="480" w:lineRule="auto"/>
        <w:ind w:firstLine="709"/>
        <w:rPr>
          <w:rFonts w:ascii="Times New Roman" w:eastAsia="Arial Unicode MS" w:hAnsi="Times New Roman" w:cs="Times New Roman"/>
          <w:sz w:val="24"/>
          <w:szCs w:val="24"/>
          <w:lang w:val="en-US"/>
        </w:rPr>
      </w:pPr>
      <w:r w:rsidRPr="00B127F1">
        <w:rPr>
          <w:rFonts w:ascii="Times New Roman" w:eastAsia="Calibri" w:hAnsi="Times New Roman" w:cs="Times New Roman"/>
          <w:sz w:val="24"/>
          <w:lang w:val="en-US"/>
        </w:rPr>
        <w:t xml:space="preserve">For </w:t>
      </w:r>
      <w:r w:rsidR="00486DDD">
        <w:rPr>
          <w:rFonts w:ascii="Times New Roman" w:eastAsia="Calibri" w:hAnsi="Times New Roman" w:cs="Times New Roman"/>
          <w:i/>
          <w:sz w:val="24"/>
          <w:lang w:val="en-US"/>
        </w:rPr>
        <w:t>n</w:t>
      </w:r>
      <w:r w:rsidRPr="00B127F1">
        <w:rPr>
          <w:rFonts w:ascii="Times New Roman" w:eastAsia="Calibri" w:hAnsi="Times New Roman" w:cs="Times New Roman"/>
          <w:sz w:val="24"/>
          <w:lang w:val="en-US"/>
        </w:rPr>
        <w:t xml:space="preserve"> = 811 of the remaining couples, one or both partners indicated that they had separated between at least one of the occasions T1–T2, T2–T3, T3–T4, and T4–T5. Regarding age, this sample did not differ much from the </w:t>
      </w:r>
      <w:r w:rsidR="007C007D">
        <w:rPr>
          <w:rFonts w:ascii="Times New Roman" w:eastAsia="Times New Roman" w:hAnsi="Times New Roman" w:cs="Times New Roman"/>
          <w:sz w:val="24"/>
          <w:szCs w:val="24"/>
          <w:lang w:val="en-US" w:eastAsia="de-DE"/>
        </w:rPr>
        <w:t>continuing</w:t>
      </w:r>
      <w:r w:rsidR="007C007D" w:rsidRPr="00B127F1">
        <w:rPr>
          <w:rFonts w:ascii="Times New Roman" w:eastAsia="Calibri" w:hAnsi="Times New Roman" w:cs="Times New Roman"/>
          <w:sz w:val="24"/>
          <w:lang w:val="en-US"/>
        </w:rPr>
        <w:t xml:space="preserve"> </w:t>
      </w:r>
      <w:r w:rsidRPr="00B127F1">
        <w:rPr>
          <w:rFonts w:ascii="Times New Roman" w:eastAsia="Calibri" w:hAnsi="Times New Roman" w:cs="Times New Roman"/>
          <w:sz w:val="24"/>
          <w:lang w:val="en-US"/>
        </w:rPr>
        <w:t>couples. On average, females were 31.98 years (</w:t>
      </w:r>
      <w:r w:rsidRPr="00B127F1">
        <w:rPr>
          <w:rFonts w:ascii="Times New Roman" w:eastAsia="Calibri" w:hAnsi="Times New Roman" w:cs="Times New Roman"/>
          <w:i/>
          <w:sz w:val="24"/>
          <w:lang w:val="en-US"/>
        </w:rPr>
        <w:t>SD</w:t>
      </w:r>
      <w:r w:rsidRPr="00B127F1">
        <w:rPr>
          <w:rFonts w:ascii="Times New Roman" w:eastAsia="Calibri" w:hAnsi="Times New Roman" w:cs="Times New Roman"/>
          <w:sz w:val="24"/>
          <w:lang w:val="en-US"/>
        </w:rPr>
        <w:t xml:space="preserve"> = 5.71, age range: 18–57 years) and males 34.71 years (</w:t>
      </w:r>
      <w:r w:rsidRPr="00B127F1">
        <w:rPr>
          <w:rFonts w:ascii="Times New Roman" w:eastAsia="Calibri" w:hAnsi="Times New Roman" w:cs="Times New Roman"/>
          <w:i/>
          <w:sz w:val="24"/>
          <w:lang w:val="en-US"/>
        </w:rPr>
        <w:t>SD</w:t>
      </w:r>
      <w:r w:rsidRPr="00B127F1">
        <w:rPr>
          <w:rFonts w:ascii="Times New Roman" w:eastAsia="Calibri" w:hAnsi="Times New Roman" w:cs="Times New Roman"/>
          <w:sz w:val="24"/>
          <w:lang w:val="en-US"/>
        </w:rPr>
        <w:t xml:space="preserve"> = 5.99, age range: 24–63 years) old at T1. Mean relationship duration of dissolving couples was 9.99 years (i.e., ten years, </w:t>
      </w:r>
      <w:r w:rsidRPr="00B127F1">
        <w:rPr>
          <w:rFonts w:ascii="Times New Roman" w:eastAsia="Calibri" w:hAnsi="Times New Roman" w:cs="Times New Roman"/>
          <w:i/>
          <w:sz w:val="24"/>
          <w:lang w:val="en-US"/>
        </w:rPr>
        <w:t>SD</w:t>
      </w:r>
      <w:r w:rsidRPr="00B127F1">
        <w:rPr>
          <w:rFonts w:ascii="Times New Roman" w:eastAsia="Calibri" w:hAnsi="Times New Roman" w:cs="Times New Roman"/>
          <w:sz w:val="24"/>
          <w:lang w:val="en-US"/>
        </w:rPr>
        <w:t xml:space="preserve"> = 5.78 years, duration range: 1.00–29.75 years) at T1. Again, they did not systematically differ from the </w:t>
      </w:r>
      <w:r w:rsidR="00C23EE8">
        <w:rPr>
          <w:rFonts w:ascii="Times New Roman" w:eastAsia="Calibri" w:hAnsi="Times New Roman" w:cs="Times New Roman"/>
          <w:sz w:val="24"/>
          <w:lang w:val="en-US"/>
        </w:rPr>
        <w:t>continuing couples</w:t>
      </w:r>
      <w:r w:rsidRPr="00B127F1">
        <w:rPr>
          <w:rFonts w:ascii="Times New Roman" w:eastAsia="Calibri" w:hAnsi="Times New Roman" w:cs="Times New Roman"/>
          <w:sz w:val="24"/>
          <w:lang w:val="en-US"/>
        </w:rPr>
        <w:t xml:space="preserve">. Similar to the sample of </w:t>
      </w:r>
      <w:r w:rsidR="00C23EE8">
        <w:rPr>
          <w:rFonts w:ascii="Times New Roman" w:eastAsia="Calibri" w:hAnsi="Times New Roman" w:cs="Times New Roman"/>
          <w:sz w:val="24"/>
          <w:lang w:val="en-US"/>
        </w:rPr>
        <w:t>continuing couples</w:t>
      </w:r>
      <w:r w:rsidRPr="00B127F1">
        <w:rPr>
          <w:rFonts w:ascii="Times New Roman" w:eastAsia="Calibri" w:hAnsi="Times New Roman" w:cs="Times New Roman"/>
          <w:sz w:val="24"/>
          <w:lang w:val="en-US"/>
        </w:rPr>
        <w:t xml:space="preserve"> (72.8%), the majority (</w:t>
      </w:r>
      <w:r w:rsidRPr="00B127F1">
        <w:rPr>
          <w:rFonts w:ascii="Times New Roman" w:eastAsia="Calibri" w:hAnsi="Times New Roman" w:cs="Times New Roman"/>
          <w:i/>
          <w:sz w:val="24"/>
          <w:lang w:val="en-US"/>
        </w:rPr>
        <w:t>n</w:t>
      </w:r>
      <w:r w:rsidRPr="00B127F1">
        <w:rPr>
          <w:rFonts w:ascii="Times New Roman" w:eastAsia="Calibri" w:hAnsi="Times New Roman" w:cs="Times New Roman"/>
          <w:sz w:val="24"/>
          <w:lang w:val="en-US"/>
        </w:rPr>
        <w:t xml:space="preserve"> = 540, 66.6%) of anchors indicated to be married/in a civil union. </w:t>
      </w:r>
      <w:r w:rsidRPr="00B127F1">
        <w:rPr>
          <w:rFonts w:ascii="Times New Roman" w:eastAsia="Arial Unicode MS" w:hAnsi="Times New Roman" w:cs="Times New Roman"/>
          <w:sz w:val="24"/>
          <w:szCs w:val="24"/>
          <w:lang w:val="en-US"/>
        </w:rPr>
        <w:t xml:space="preserve">The mean number of children was also similar to that of the </w:t>
      </w:r>
      <w:r w:rsidR="00C23EE8">
        <w:rPr>
          <w:rFonts w:ascii="Times New Roman" w:eastAsia="Arial Unicode MS" w:hAnsi="Times New Roman" w:cs="Times New Roman"/>
          <w:sz w:val="24"/>
          <w:szCs w:val="24"/>
          <w:lang w:val="en-US"/>
        </w:rPr>
        <w:t>continuing couples</w:t>
      </w:r>
      <w:r w:rsidRPr="00B127F1">
        <w:rPr>
          <w:rFonts w:ascii="Times New Roman" w:eastAsia="Arial Unicode MS" w:hAnsi="Times New Roman" w:cs="Times New Roman"/>
          <w:sz w:val="24"/>
          <w:szCs w:val="24"/>
          <w:lang w:val="en-US"/>
        </w:rPr>
        <w:t xml:space="preserve"> (</w:t>
      </w:r>
      <w:r w:rsidRPr="00B127F1">
        <w:rPr>
          <w:rFonts w:ascii="Times New Roman" w:eastAsia="Arial Unicode MS" w:hAnsi="Times New Roman" w:cs="Times New Roman"/>
          <w:i/>
          <w:sz w:val="24"/>
          <w:szCs w:val="24"/>
          <w:lang w:val="en-US"/>
        </w:rPr>
        <w:t>M</w:t>
      </w:r>
      <w:r w:rsidRPr="00B127F1">
        <w:rPr>
          <w:rFonts w:ascii="Times New Roman" w:eastAsia="Arial Unicode MS" w:hAnsi="Times New Roman" w:cs="Times New Roman"/>
          <w:sz w:val="24"/>
          <w:szCs w:val="24"/>
          <w:lang w:val="en-US"/>
        </w:rPr>
        <w:t xml:space="preserve"> = 1.29, </w:t>
      </w:r>
      <w:r w:rsidRPr="00B127F1">
        <w:rPr>
          <w:rFonts w:ascii="Times New Roman" w:eastAsia="Arial Unicode MS" w:hAnsi="Times New Roman" w:cs="Times New Roman"/>
          <w:i/>
          <w:sz w:val="24"/>
          <w:szCs w:val="24"/>
          <w:lang w:val="en-US"/>
        </w:rPr>
        <w:t>SD</w:t>
      </w:r>
      <w:r w:rsidRPr="00B127F1">
        <w:rPr>
          <w:rFonts w:ascii="Times New Roman" w:eastAsia="Arial Unicode MS" w:hAnsi="Times New Roman" w:cs="Times New Roman"/>
          <w:sz w:val="24"/>
          <w:szCs w:val="24"/>
          <w:lang w:val="en-US"/>
        </w:rPr>
        <w:t xml:space="preserve"> = 1.19), also ranging from 0</w:t>
      </w:r>
      <w:r w:rsidRPr="00B127F1">
        <w:rPr>
          <w:rFonts w:ascii="Times New Roman" w:eastAsia="Calibri" w:hAnsi="Times New Roman" w:cs="Times New Roman"/>
          <w:sz w:val="24"/>
          <w:lang w:val="en-US"/>
        </w:rPr>
        <w:t>–</w:t>
      </w:r>
      <w:r w:rsidRPr="00B127F1">
        <w:rPr>
          <w:rFonts w:ascii="Times New Roman" w:eastAsia="Arial Unicode MS" w:hAnsi="Times New Roman" w:cs="Times New Roman"/>
          <w:sz w:val="24"/>
          <w:szCs w:val="24"/>
          <w:lang w:val="en-US"/>
        </w:rPr>
        <w:t>7. And with 31.9% (</w:t>
      </w:r>
      <w:r w:rsidRPr="00B127F1">
        <w:rPr>
          <w:rFonts w:ascii="Times New Roman" w:eastAsia="Arial Unicode MS" w:hAnsi="Times New Roman" w:cs="Times New Roman"/>
          <w:i/>
          <w:sz w:val="24"/>
          <w:szCs w:val="24"/>
          <w:lang w:val="en-US"/>
        </w:rPr>
        <w:t>n</w:t>
      </w:r>
      <w:r w:rsidRPr="00B127F1">
        <w:rPr>
          <w:rFonts w:ascii="Times New Roman" w:eastAsia="Arial Unicode MS" w:hAnsi="Times New Roman" w:cs="Times New Roman"/>
          <w:sz w:val="24"/>
          <w:szCs w:val="24"/>
          <w:lang w:val="en-US"/>
        </w:rPr>
        <w:t xml:space="preserve"> = 518 of 1,622 participants), later dissolving couples had </w:t>
      </w:r>
      <w:r w:rsidR="00717E2D">
        <w:rPr>
          <w:rFonts w:ascii="Times New Roman" w:eastAsia="Arial Unicode MS" w:hAnsi="Times New Roman" w:cs="Times New Roman"/>
          <w:sz w:val="24"/>
          <w:szCs w:val="24"/>
          <w:lang w:val="en-US"/>
        </w:rPr>
        <w:t>completed</w:t>
      </w:r>
      <w:r w:rsidRPr="00B127F1">
        <w:rPr>
          <w:rFonts w:ascii="Times New Roman" w:eastAsia="Arial Unicode MS" w:hAnsi="Times New Roman" w:cs="Times New Roman"/>
          <w:sz w:val="24"/>
          <w:szCs w:val="24"/>
          <w:lang w:val="en-US"/>
        </w:rPr>
        <w:t xml:space="preserve"> the </w:t>
      </w:r>
      <w:r w:rsidRPr="00B127F1">
        <w:rPr>
          <w:rFonts w:ascii="Times New Roman" w:eastAsia="Calibri" w:hAnsi="Times New Roman" w:cs="Times New Roman"/>
          <w:sz w:val="24"/>
          <w:lang w:val="en-US"/>
        </w:rPr>
        <w:t>general higher education qualification (“</w:t>
      </w:r>
      <w:r w:rsidRPr="00B127F1">
        <w:rPr>
          <w:rFonts w:ascii="Times New Roman" w:eastAsia="Calibri" w:hAnsi="Times New Roman" w:cs="Times New Roman"/>
          <w:i/>
          <w:iCs/>
          <w:sz w:val="24"/>
          <w:lang w:val="en-US"/>
        </w:rPr>
        <w:t>Allgemeine Hochschulreife</w:t>
      </w:r>
      <w:r w:rsidRPr="00B127F1">
        <w:rPr>
          <w:rFonts w:ascii="Times New Roman" w:eastAsia="Calibri" w:hAnsi="Times New Roman" w:cs="Times New Roman"/>
          <w:sz w:val="24"/>
          <w:lang w:val="en-US"/>
        </w:rPr>
        <w:t>”)</w:t>
      </w:r>
      <w:r w:rsidRPr="00B127F1">
        <w:rPr>
          <w:rFonts w:ascii="Times New Roman" w:eastAsia="Arial Unicode MS" w:hAnsi="Times New Roman" w:cs="Times New Roman"/>
          <w:sz w:val="24"/>
          <w:szCs w:val="24"/>
          <w:lang w:val="en-US"/>
        </w:rPr>
        <w:t xml:space="preserve"> comparably often as </w:t>
      </w:r>
      <w:r w:rsidR="00C23EE8">
        <w:rPr>
          <w:rFonts w:ascii="Times New Roman" w:eastAsia="Arial Unicode MS" w:hAnsi="Times New Roman" w:cs="Times New Roman"/>
          <w:sz w:val="24"/>
          <w:szCs w:val="24"/>
          <w:lang w:val="en-US"/>
        </w:rPr>
        <w:t>continuing couples</w:t>
      </w:r>
      <w:r w:rsidRPr="00B127F1">
        <w:rPr>
          <w:rFonts w:ascii="Times New Roman" w:eastAsia="Arial Unicode MS" w:hAnsi="Times New Roman" w:cs="Times New Roman"/>
          <w:sz w:val="24"/>
          <w:szCs w:val="24"/>
          <w:lang w:val="en-US"/>
        </w:rPr>
        <w:t xml:space="preserve"> (</w:t>
      </w:r>
      <w:r w:rsidRPr="00B127F1">
        <w:rPr>
          <w:rFonts w:ascii="Times New Roman" w:eastAsia="Calibri" w:hAnsi="Times New Roman" w:cs="Times New Roman"/>
          <w:sz w:val="24"/>
          <w:lang w:val="en-US"/>
        </w:rPr>
        <w:t>36.6%)</w:t>
      </w:r>
      <w:r w:rsidRPr="00B127F1">
        <w:rPr>
          <w:rFonts w:ascii="Times New Roman" w:eastAsia="Arial Unicode MS" w:hAnsi="Times New Roman" w:cs="Times New Roman"/>
          <w:sz w:val="24"/>
          <w:szCs w:val="24"/>
          <w:lang w:val="en-US"/>
        </w:rPr>
        <w:t>.</w:t>
      </w:r>
    </w:p>
    <w:p w14:paraId="2C700A51" w14:textId="723F479F" w:rsidR="00B127F1" w:rsidRPr="00B127F1" w:rsidRDefault="00B127F1" w:rsidP="00B127F1">
      <w:pPr>
        <w:spacing w:after="0" w:line="480" w:lineRule="auto"/>
        <w:ind w:firstLine="709"/>
        <w:rPr>
          <w:rFonts w:ascii="Times New Roman" w:eastAsia="Calibri" w:hAnsi="Times New Roman" w:cs="Times New Roman"/>
          <w:sz w:val="24"/>
          <w:lang w:val="en-US"/>
        </w:rPr>
      </w:pPr>
      <w:r w:rsidRPr="00B127F1">
        <w:rPr>
          <w:rFonts w:ascii="Times New Roman" w:eastAsia="Arial Unicode MS" w:hAnsi="Times New Roman" w:cs="Times New Roman"/>
          <w:sz w:val="24"/>
          <w:szCs w:val="24"/>
          <w:lang w:val="en-US"/>
        </w:rPr>
        <w:t xml:space="preserve">Regarding the study variables, we found an interesting pattern. While self-esteem at T1 did not differ between the samples, conflict frequency of later dissolving couples was higher than conflict frequency of </w:t>
      </w:r>
      <w:r w:rsidR="00C23EE8">
        <w:rPr>
          <w:rFonts w:ascii="Times New Roman" w:eastAsia="Arial Unicode MS" w:hAnsi="Times New Roman" w:cs="Times New Roman"/>
          <w:sz w:val="24"/>
          <w:szCs w:val="24"/>
          <w:lang w:val="en-US"/>
        </w:rPr>
        <w:t>continuing couples</w:t>
      </w:r>
      <w:r w:rsidRPr="00B127F1">
        <w:rPr>
          <w:rFonts w:ascii="Times New Roman" w:eastAsia="Arial Unicode MS" w:hAnsi="Times New Roman" w:cs="Times New Roman"/>
          <w:sz w:val="24"/>
          <w:szCs w:val="24"/>
          <w:lang w:val="en-US"/>
        </w:rPr>
        <w:t xml:space="preserve"> (</w:t>
      </w:r>
      <w:r w:rsidR="00361F11" w:rsidRPr="00361F11">
        <w:rPr>
          <w:rFonts w:ascii="Times New Roman" w:eastAsia="Arial Unicode MS" w:hAnsi="Times New Roman" w:cs="Times New Roman"/>
          <w:color w:val="0070C0"/>
          <w:sz w:val="24"/>
          <w:szCs w:val="24"/>
          <w:lang w:val="en-US"/>
        </w:rPr>
        <w:t>S1 T</w:t>
      </w:r>
      <w:r w:rsidR="00361F11">
        <w:rPr>
          <w:rFonts w:ascii="Times New Roman" w:eastAsia="Arial Unicode MS" w:hAnsi="Times New Roman" w:cs="Times New Roman"/>
          <w:color w:val="0070C0"/>
          <w:sz w:val="24"/>
          <w:szCs w:val="24"/>
          <w:lang w:val="en-US"/>
        </w:rPr>
        <w:t>able</w:t>
      </w:r>
      <w:r w:rsidRPr="00B127F1">
        <w:rPr>
          <w:rFonts w:ascii="Times New Roman" w:eastAsia="Arial Unicode MS" w:hAnsi="Times New Roman" w:cs="Times New Roman"/>
          <w:sz w:val="24"/>
          <w:szCs w:val="24"/>
          <w:lang w:val="en-US"/>
        </w:rPr>
        <w:t xml:space="preserve">). </w:t>
      </w:r>
      <w:r w:rsidR="00E34DBF">
        <w:rPr>
          <w:rFonts w:ascii="Times New Roman" w:eastAsia="Arial Unicode MS" w:hAnsi="Times New Roman" w:cs="Times New Roman"/>
          <w:sz w:val="24"/>
          <w:szCs w:val="24"/>
          <w:lang w:val="en-US"/>
        </w:rPr>
        <w:t>Uncon</w:t>
      </w:r>
      <w:r w:rsidRPr="00B127F1">
        <w:rPr>
          <w:rFonts w:ascii="Times New Roman" w:eastAsia="Arial Unicode MS" w:hAnsi="Times New Roman" w:cs="Times New Roman"/>
          <w:sz w:val="24"/>
          <w:szCs w:val="24"/>
          <w:lang w:val="en-US"/>
        </w:rPr>
        <w:t xml:space="preserve">structive behavior did not significantly differ for these manifest variables, although confidence intervals suggested a </w:t>
      </w:r>
      <w:r w:rsidRPr="00B127F1">
        <w:rPr>
          <w:rFonts w:ascii="Times New Roman" w:eastAsia="Arial Unicode MS" w:hAnsi="Times New Roman" w:cs="Times New Roman"/>
          <w:sz w:val="24"/>
          <w:szCs w:val="24"/>
          <w:lang w:val="en-US"/>
        </w:rPr>
        <w:lastRenderedPageBreak/>
        <w:t xml:space="preserve">trend towards more </w:t>
      </w:r>
      <w:r w:rsidR="003B0E86">
        <w:rPr>
          <w:rFonts w:ascii="Times New Roman" w:eastAsia="Calibri" w:hAnsi="Times New Roman" w:cs="Times New Roman"/>
          <w:sz w:val="24"/>
          <w:szCs w:val="24"/>
          <w:lang w:val="en-US" w:bidi="en-US"/>
        </w:rPr>
        <w:t>uncon</w:t>
      </w:r>
      <w:r w:rsidR="003B0E86" w:rsidRPr="00B127F1">
        <w:rPr>
          <w:rFonts w:ascii="Times New Roman" w:eastAsia="Calibri" w:hAnsi="Times New Roman" w:cs="Times New Roman"/>
          <w:sz w:val="24"/>
          <w:szCs w:val="24"/>
          <w:lang w:val="en-US" w:bidi="en-US"/>
        </w:rPr>
        <w:t>structive</w:t>
      </w:r>
      <w:r w:rsidR="003B0E86" w:rsidRPr="00B127F1" w:rsidDel="003B0E86">
        <w:rPr>
          <w:rFonts w:ascii="Times New Roman" w:eastAsia="Arial Unicode MS" w:hAnsi="Times New Roman" w:cs="Times New Roman"/>
          <w:sz w:val="24"/>
          <w:szCs w:val="24"/>
          <w:lang w:val="en-US"/>
        </w:rPr>
        <w:t xml:space="preserve"> </w:t>
      </w:r>
      <w:r w:rsidRPr="00B127F1">
        <w:rPr>
          <w:rFonts w:ascii="Times New Roman" w:eastAsia="Arial Unicode MS" w:hAnsi="Times New Roman" w:cs="Times New Roman"/>
          <w:sz w:val="24"/>
          <w:szCs w:val="24"/>
          <w:lang w:val="en-US"/>
        </w:rPr>
        <w:t xml:space="preserve">behavior in dissolving couples, especially for females’ </w:t>
      </w:r>
      <w:r w:rsidR="003B0E86">
        <w:rPr>
          <w:rFonts w:ascii="Times New Roman" w:eastAsia="Calibri" w:hAnsi="Times New Roman" w:cs="Times New Roman"/>
          <w:sz w:val="24"/>
          <w:szCs w:val="24"/>
          <w:lang w:val="en-US" w:bidi="en-US"/>
        </w:rPr>
        <w:t>uncon</w:t>
      </w:r>
      <w:r w:rsidR="003B0E86" w:rsidRPr="00B127F1">
        <w:rPr>
          <w:rFonts w:ascii="Times New Roman" w:eastAsia="Calibri" w:hAnsi="Times New Roman" w:cs="Times New Roman"/>
          <w:sz w:val="24"/>
          <w:szCs w:val="24"/>
          <w:lang w:val="en-US" w:bidi="en-US"/>
        </w:rPr>
        <w:t>structive</w:t>
      </w:r>
      <w:r w:rsidR="003B0E86" w:rsidRPr="00B127F1" w:rsidDel="003B0E86">
        <w:rPr>
          <w:rFonts w:ascii="Times New Roman" w:eastAsia="Arial Unicode MS" w:hAnsi="Times New Roman" w:cs="Times New Roman"/>
          <w:sz w:val="24"/>
          <w:szCs w:val="24"/>
          <w:lang w:val="en-US"/>
        </w:rPr>
        <w:t xml:space="preserve"> </w:t>
      </w:r>
      <w:r w:rsidRPr="00B127F1">
        <w:rPr>
          <w:rFonts w:ascii="Times New Roman" w:eastAsia="Arial Unicode MS" w:hAnsi="Times New Roman" w:cs="Times New Roman"/>
          <w:sz w:val="24"/>
          <w:szCs w:val="24"/>
          <w:lang w:val="en-US"/>
        </w:rPr>
        <w:t>behavior reported by males. Withdrawal showed the same trend, which was significant for males, but not for females. To conclude, trends implied differences in both self-esteem and relationship characteristics between the samples, although broad confidence intervals made it difficult to detect statistically significant effects [</w:t>
      </w:r>
      <w:r w:rsidR="00B87F56">
        <w:rPr>
          <w:rFonts w:ascii="Times New Roman" w:eastAsia="Arial Unicode MS" w:hAnsi="Times New Roman" w:cs="Times New Roman"/>
          <w:color w:val="0070C0"/>
          <w:sz w:val="24"/>
          <w:szCs w:val="24"/>
          <w:lang w:val="en-US"/>
        </w:rPr>
        <w:t>7</w:t>
      </w:r>
      <w:r w:rsidR="007701D0">
        <w:rPr>
          <w:rFonts w:ascii="Times New Roman" w:eastAsia="Arial Unicode MS" w:hAnsi="Times New Roman" w:cs="Times New Roman"/>
          <w:color w:val="0070C0"/>
          <w:sz w:val="24"/>
          <w:szCs w:val="24"/>
          <w:lang w:val="en-US"/>
        </w:rPr>
        <w:t>1</w:t>
      </w:r>
      <w:r w:rsidRPr="00B127F1">
        <w:rPr>
          <w:rFonts w:ascii="Times New Roman" w:eastAsia="Arial Unicode MS" w:hAnsi="Times New Roman" w:cs="Times New Roman"/>
          <w:sz w:val="24"/>
          <w:szCs w:val="24"/>
          <w:lang w:val="en-US"/>
        </w:rPr>
        <w:t>].</w:t>
      </w:r>
    </w:p>
    <w:p w14:paraId="614898F8" w14:textId="77777777" w:rsidR="00B127F1" w:rsidRPr="00B127F1" w:rsidRDefault="00B127F1" w:rsidP="00B127F1">
      <w:pPr>
        <w:spacing w:after="0" w:line="480" w:lineRule="auto"/>
        <w:ind w:firstLine="709"/>
        <w:rPr>
          <w:rFonts w:ascii="Times New Roman" w:eastAsia="Calibri" w:hAnsi="Times New Roman" w:cs="Times New Roman"/>
          <w:sz w:val="24"/>
          <w:lang w:val="en-US"/>
        </w:rPr>
        <w:sectPr w:rsidR="00B127F1" w:rsidRPr="00B127F1" w:rsidSect="0017261F">
          <w:headerReference w:type="default" r:id="rId6"/>
          <w:pgSz w:w="11907" w:h="16839" w:code="9"/>
          <w:pgMar w:top="1417" w:right="1417" w:bottom="1134" w:left="1417" w:header="708" w:footer="708" w:gutter="0"/>
          <w:lnNumType w:countBy="1" w:restart="continuous"/>
          <w:cols w:space="708"/>
          <w:docGrid w:linePitch="360"/>
        </w:sectPr>
      </w:pPr>
    </w:p>
    <w:p w14:paraId="3921503D" w14:textId="77777777" w:rsidR="00B127F1" w:rsidRPr="00B127F1" w:rsidRDefault="00361F11" w:rsidP="00B127F1">
      <w:pPr>
        <w:suppressAutoHyphens/>
        <w:spacing w:after="0" w:line="480" w:lineRule="auto"/>
        <w:rPr>
          <w:rFonts w:ascii="Times New Roman" w:eastAsia="Calibri" w:hAnsi="Times New Roman" w:cs="Times New Roman"/>
          <w:b/>
          <w:i/>
          <w:color w:val="000000"/>
          <w:sz w:val="24"/>
          <w:szCs w:val="24"/>
          <w:lang w:val="en-US" w:bidi="en-US"/>
        </w:rPr>
      </w:pPr>
      <w:r>
        <w:rPr>
          <w:rFonts w:ascii="Times New Roman" w:eastAsia="Calibri" w:hAnsi="Times New Roman" w:cs="Times New Roman"/>
          <w:b/>
          <w:color w:val="000000"/>
          <w:sz w:val="24"/>
          <w:szCs w:val="24"/>
          <w:lang w:val="en-US" w:bidi="en-US"/>
        </w:rPr>
        <w:lastRenderedPageBreak/>
        <w:t xml:space="preserve">S1 </w:t>
      </w:r>
      <w:r w:rsidR="00B127F1" w:rsidRPr="00B127F1">
        <w:rPr>
          <w:rFonts w:ascii="Times New Roman" w:eastAsia="Calibri" w:hAnsi="Times New Roman" w:cs="Times New Roman"/>
          <w:b/>
          <w:color w:val="000000"/>
          <w:sz w:val="24"/>
          <w:szCs w:val="24"/>
          <w:lang w:val="en-US" w:bidi="en-US"/>
        </w:rPr>
        <w:t>Ta</w:t>
      </w:r>
      <w:r w:rsidR="00B127F1" w:rsidRPr="00B127F1">
        <w:rPr>
          <w:rFonts w:ascii="Times New Roman" w:eastAsia="Calibri" w:hAnsi="Times New Roman" w:cs="Times New Roman"/>
          <w:b/>
          <w:sz w:val="24"/>
          <w:szCs w:val="24"/>
          <w:lang w:val="en-US" w:bidi="en-US"/>
        </w:rPr>
        <w:t>ble. Co</w:t>
      </w:r>
      <w:r w:rsidR="00B127F1" w:rsidRPr="00B127F1">
        <w:rPr>
          <w:rFonts w:ascii="Times New Roman" w:eastAsia="Calibri" w:hAnsi="Times New Roman" w:cs="Times New Roman"/>
          <w:b/>
          <w:color w:val="000000"/>
          <w:sz w:val="24"/>
          <w:szCs w:val="24"/>
          <w:lang w:val="en-US" w:bidi="en-US"/>
        </w:rPr>
        <w:t xml:space="preserve">mparing continuing </w:t>
      </w:r>
      <w:r w:rsidR="00823B38">
        <w:rPr>
          <w:rFonts w:ascii="Times New Roman" w:eastAsia="Calibri" w:hAnsi="Times New Roman" w:cs="Times New Roman"/>
          <w:b/>
          <w:color w:val="000000"/>
          <w:sz w:val="24"/>
          <w:szCs w:val="24"/>
          <w:lang w:val="en-US" w:bidi="en-US"/>
        </w:rPr>
        <w:t xml:space="preserve">to dissolving </w:t>
      </w:r>
      <w:r w:rsidR="00B127F1" w:rsidRPr="00B127F1">
        <w:rPr>
          <w:rFonts w:ascii="Times New Roman" w:eastAsia="Calibri" w:hAnsi="Times New Roman" w:cs="Times New Roman"/>
          <w:b/>
          <w:color w:val="000000"/>
          <w:sz w:val="24"/>
          <w:szCs w:val="24"/>
          <w:lang w:val="en-US" w:bidi="en-US"/>
        </w:rPr>
        <w:t>couples at T1.</w:t>
      </w:r>
    </w:p>
    <w:tbl>
      <w:tblPr>
        <w:tblW w:w="7600" w:type="dxa"/>
        <w:tblBorders>
          <w:top w:val="single" w:sz="4" w:space="0" w:color="7A8C8E"/>
          <w:left w:val="single" w:sz="4" w:space="0" w:color="7A8C8E"/>
          <w:bottom w:val="single" w:sz="4" w:space="0" w:color="7A8C8E"/>
          <w:right w:val="single" w:sz="4" w:space="0" w:color="7A8C8E"/>
          <w:insideH w:val="single" w:sz="4" w:space="0" w:color="7A8C8E"/>
          <w:insideV w:val="single" w:sz="4" w:space="0" w:color="7A8C8E"/>
        </w:tblBorders>
        <w:tblLayout w:type="fixed"/>
        <w:tblLook w:val="04A0" w:firstRow="1" w:lastRow="0" w:firstColumn="1" w:lastColumn="0" w:noHBand="0" w:noVBand="1"/>
      </w:tblPr>
      <w:tblGrid>
        <w:gridCol w:w="1352"/>
        <w:gridCol w:w="1531"/>
        <w:gridCol w:w="1531"/>
        <w:gridCol w:w="236"/>
        <w:gridCol w:w="2950"/>
      </w:tblGrid>
      <w:tr w:rsidR="00B127F1" w:rsidRPr="00361F11" w14:paraId="38D6C8EA" w14:textId="77777777" w:rsidTr="00B127F1">
        <w:trPr>
          <w:trHeight w:val="278"/>
        </w:trPr>
        <w:tc>
          <w:tcPr>
            <w:tcW w:w="1352" w:type="dxa"/>
            <w:tcBorders>
              <w:top w:val="single" w:sz="4" w:space="0" w:color="7A8C8E"/>
              <w:left w:val="single" w:sz="4" w:space="0" w:color="7A8C8E"/>
              <w:bottom w:val="single" w:sz="4" w:space="0" w:color="7A8C8E"/>
              <w:right w:val="single" w:sz="4" w:space="0" w:color="7A8C8E"/>
            </w:tcBorders>
            <w:vAlign w:val="center"/>
          </w:tcPr>
          <w:p w14:paraId="4E100E73" w14:textId="77777777" w:rsidR="00B127F1" w:rsidRPr="00B127F1" w:rsidRDefault="00B127F1" w:rsidP="00B127F1">
            <w:pPr>
              <w:suppressAutoHyphens/>
              <w:spacing w:after="0" w:line="480" w:lineRule="auto"/>
              <w:rPr>
                <w:rFonts w:ascii="Times New Roman" w:eastAsia="Calibri" w:hAnsi="Times New Roman" w:cs="Times New Roman"/>
                <w:color w:val="000000"/>
                <w:sz w:val="24"/>
                <w:szCs w:val="24"/>
                <w:lang w:val="en-US" w:bidi="en-US"/>
              </w:rPr>
            </w:pPr>
          </w:p>
        </w:tc>
        <w:tc>
          <w:tcPr>
            <w:tcW w:w="3062" w:type="dxa"/>
            <w:gridSpan w:val="2"/>
            <w:tcBorders>
              <w:left w:val="single" w:sz="4" w:space="0" w:color="7A8C8E"/>
            </w:tcBorders>
            <w:vAlign w:val="center"/>
          </w:tcPr>
          <w:p w14:paraId="590726E5" w14:textId="77777777" w:rsidR="00B127F1" w:rsidRPr="00B127F1" w:rsidRDefault="00B127F1" w:rsidP="00B127F1">
            <w:pPr>
              <w:suppressAutoHyphens/>
              <w:spacing w:after="0" w:line="480" w:lineRule="auto"/>
              <w:jc w:val="center"/>
              <w:rPr>
                <w:rFonts w:ascii="Times New Roman" w:eastAsia="Calibri" w:hAnsi="Times New Roman" w:cs="Times New Roman"/>
                <w:b/>
                <w:i/>
                <w:color w:val="000000"/>
                <w:sz w:val="24"/>
                <w:szCs w:val="24"/>
                <w:lang w:val="en-US" w:bidi="en-US"/>
              </w:rPr>
            </w:pPr>
            <w:r w:rsidRPr="00B127F1">
              <w:rPr>
                <w:rFonts w:ascii="Times New Roman" w:eastAsia="Calibri" w:hAnsi="Times New Roman" w:cs="Times New Roman"/>
                <w:b/>
                <w:i/>
                <w:color w:val="000000"/>
                <w:sz w:val="24"/>
                <w:szCs w:val="24"/>
                <w:lang w:val="en-US" w:bidi="en-US"/>
              </w:rPr>
              <w:t>M</w:t>
            </w:r>
            <w:r w:rsidRPr="00B127F1">
              <w:rPr>
                <w:rFonts w:ascii="Times New Roman" w:eastAsia="Calibri" w:hAnsi="Times New Roman" w:cs="Times New Roman"/>
                <w:b/>
                <w:color w:val="000000"/>
                <w:sz w:val="24"/>
                <w:szCs w:val="24"/>
                <w:lang w:val="en-US" w:bidi="en-US"/>
              </w:rPr>
              <w:t xml:space="preserve"> (</w:t>
            </w:r>
            <w:r w:rsidRPr="00B127F1">
              <w:rPr>
                <w:rFonts w:ascii="Times New Roman" w:eastAsia="Calibri" w:hAnsi="Times New Roman" w:cs="Times New Roman"/>
                <w:b/>
                <w:i/>
                <w:color w:val="000000"/>
                <w:sz w:val="24"/>
                <w:szCs w:val="24"/>
                <w:lang w:val="en-US" w:bidi="en-US"/>
              </w:rPr>
              <w:t>SD</w:t>
            </w:r>
            <w:r w:rsidRPr="00B127F1">
              <w:rPr>
                <w:rFonts w:ascii="Times New Roman" w:eastAsia="Calibri" w:hAnsi="Times New Roman" w:cs="Times New Roman"/>
                <w:b/>
                <w:color w:val="000000"/>
                <w:sz w:val="24"/>
                <w:szCs w:val="24"/>
                <w:lang w:val="en-US" w:bidi="en-US"/>
              </w:rPr>
              <w:t>)</w:t>
            </w:r>
          </w:p>
        </w:tc>
        <w:tc>
          <w:tcPr>
            <w:tcW w:w="236" w:type="dxa"/>
            <w:vAlign w:val="center"/>
          </w:tcPr>
          <w:p w14:paraId="026C0639" w14:textId="77777777" w:rsidR="00B127F1" w:rsidRPr="00B127F1" w:rsidRDefault="00B127F1" w:rsidP="00B127F1">
            <w:pPr>
              <w:suppressAutoHyphens/>
              <w:spacing w:after="0" w:line="480" w:lineRule="auto"/>
              <w:jc w:val="center"/>
              <w:rPr>
                <w:rFonts w:ascii="Times New Roman" w:eastAsia="Calibri" w:hAnsi="Times New Roman" w:cs="Times New Roman"/>
                <w:b/>
                <w:sz w:val="24"/>
                <w:szCs w:val="24"/>
                <w:lang w:val="en-US" w:bidi="en-US"/>
              </w:rPr>
            </w:pPr>
          </w:p>
        </w:tc>
        <w:tc>
          <w:tcPr>
            <w:tcW w:w="2950" w:type="dxa"/>
            <w:vAlign w:val="center"/>
          </w:tcPr>
          <w:p w14:paraId="053762D2" w14:textId="77777777" w:rsidR="00B127F1" w:rsidRPr="00B127F1" w:rsidRDefault="00B127F1" w:rsidP="00B127F1">
            <w:pPr>
              <w:suppressAutoHyphens/>
              <w:spacing w:after="0" w:line="480" w:lineRule="auto"/>
              <w:jc w:val="center"/>
              <w:rPr>
                <w:rFonts w:ascii="Times New Roman" w:eastAsia="Calibri" w:hAnsi="Times New Roman" w:cs="Times New Roman"/>
                <w:b/>
                <w:color w:val="000000"/>
                <w:sz w:val="24"/>
                <w:szCs w:val="24"/>
                <w:lang w:val="en-US" w:bidi="en-US"/>
              </w:rPr>
            </w:pPr>
          </w:p>
        </w:tc>
      </w:tr>
      <w:tr w:rsidR="00B127F1" w:rsidRPr="00361F11" w14:paraId="6442BA78" w14:textId="77777777" w:rsidTr="00B127F1">
        <w:trPr>
          <w:trHeight w:val="194"/>
        </w:trPr>
        <w:tc>
          <w:tcPr>
            <w:tcW w:w="1352" w:type="dxa"/>
            <w:tcBorders>
              <w:top w:val="single" w:sz="4" w:space="0" w:color="7A8C8E"/>
              <w:left w:val="single" w:sz="4" w:space="0" w:color="7A8C8E"/>
              <w:bottom w:val="single" w:sz="4" w:space="0" w:color="7A8C8E"/>
              <w:right w:val="single" w:sz="4" w:space="0" w:color="7A8C8E"/>
            </w:tcBorders>
            <w:vAlign w:val="center"/>
          </w:tcPr>
          <w:p w14:paraId="22E69370" w14:textId="77777777" w:rsidR="00B127F1" w:rsidRPr="00B127F1" w:rsidRDefault="00B127F1" w:rsidP="00B127F1">
            <w:pPr>
              <w:suppressAutoHyphens/>
              <w:spacing w:after="0" w:line="480" w:lineRule="auto"/>
              <w:rPr>
                <w:rFonts w:ascii="Times New Roman" w:eastAsia="Calibri" w:hAnsi="Times New Roman" w:cs="Times New Roman"/>
                <w:i/>
                <w:color w:val="000000"/>
                <w:sz w:val="24"/>
                <w:szCs w:val="24"/>
                <w:lang w:val="en-US" w:bidi="en-US"/>
              </w:rPr>
            </w:pPr>
            <w:r w:rsidRPr="00B127F1">
              <w:rPr>
                <w:rFonts w:ascii="Times New Roman" w:eastAsia="Calibri" w:hAnsi="Times New Roman" w:cs="Times New Roman"/>
                <w:b/>
                <w:color w:val="000000"/>
                <w:sz w:val="24"/>
                <w:szCs w:val="24"/>
                <w:lang w:val="en-US" w:bidi="en-US"/>
              </w:rPr>
              <w:t>Couples</w:t>
            </w:r>
          </w:p>
        </w:tc>
        <w:tc>
          <w:tcPr>
            <w:tcW w:w="1531" w:type="dxa"/>
            <w:tcBorders>
              <w:left w:val="single" w:sz="4" w:space="0" w:color="7A8C8E"/>
            </w:tcBorders>
            <w:vAlign w:val="center"/>
          </w:tcPr>
          <w:p w14:paraId="02B30376" w14:textId="77777777" w:rsidR="00B127F1" w:rsidRPr="00B127F1" w:rsidRDefault="00B77966" w:rsidP="00B77966">
            <w:pPr>
              <w:suppressAutoHyphens/>
              <w:spacing w:after="0" w:line="480" w:lineRule="auto"/>
              <w:jc w:val="center"/>
              <w:rPr>
                <w:rFonts w:ascii="Times New Roman" w:eastAsia="Calibri" w:hAnsi="Times New Roman" w:cs="Times New Roman"/>
                <w:b/>
                <w:color w:val="000000"/>
                <w:sz w:val="24"/>
                <w:szCs w:val="24"/>
                <w:lang w:val="en-US" w:bidi="en-US"/>
              </w:rPr>
            </w:pPr>
            <w:r>
              <w:rPr>
                <w:rFonts w:ascii="Times New Roman" w:eastAsia="Calibri" w:hAnsi="Times New Roman" w:cs="Times New Roman"/>
                <w:b/>
                <w:color w:val="000000"/>
                <w:sz w:val="24"/>
                <w:szCs w:val="24"/>
                <w:lang w:val="en-US" w:bidi="en-US"/>
              </w:rPr>
              <w:t>Continuing</w:t>
            </w:r>
            <w:r w:rsidR="00B127F1" w:rsidRPr="00B127F1">
              <w:rPr>
                <w:rFonts w:ascii="Times New Roman" w:eastAsia="Calibri" w:hAnsi="Times New Roman" w:cs="Times New Roman"/>
                <w:b/>
                <w:color w:val="000000"/>
                <w:sz w:val="24"/>
                <w:szCs w:val="24"/>
                <w:lang w:val="en-US" w:bidi="en-US"/>
              </w:rPr>
              <w:t xml:space="preserve"> </w:t>
            </w:r>
            <w:r w:rsidR="00B127F1" w:rsidRPr="00B127F1">
              <w:rPr>
                <w:rFonts w:ascii="Times New Roman" w:eastAsia="Calibri" w:hAnsi="Times New Roman" w:cs="Times New Roman"/>
                <w:color w:val="000000"/>
                <w:sz w:val="24"/>
                <w:szCs w:val="24"/>
                <w:vertAlign w:val="superscript"/>
                <w:lang w:val="en-US" w:bidi="en-US"/>
              </w:rPr>
              <w:t>a</w:t>
            </w:r>
          </w:p>
        </w:tc>
        <w:tc>
          <w:tcPr>
            <w:tcW w:w="1531" w:type="dxa"/>
            <w:vAlign w:val="center"/>
          </w:tcPr>
          <w:p w14:paraId="28987C31" w14:textId="77777777" w:rsidR="00B127F1" w:rsidRPr="00B127F1" w:rsidRDefault="00B127F1" w:rsidP="00B127F1">
            <w:pPr>
              <w:suppressAutoHyphens/>
              <w:spacing w:after="0" w:line="480" w:lineRule="auto"/>
              <w:jc w:val="center"/>
              <w:rPr>
                <w:rFonts w:ascii="Times New Roman" w:eastAsia="Calibri" w:hAnsi="Times New Roman" w:cs="Times New Roman"/>
                <w:b/>
                <w:color w:val="000000"/>
                <w:sz w:val="24"/>
                <w:szCs w:val="24"/>
                <w:lang w:val="en-US" w:bidi="en-US"/>
              </w:rPr>
            </w:pPr>
            <w:r w:rsidRPr="00B127F1">
              <w:rPr>
                <w:rFonts w:ascii="Times New Roman" w:eastAsia="Calibri" w:hAnsi="Times New Roman" w:cs="Times New Roman"/>
                <w:b/>
                <w:color w:val="000000"/>
                <w:sz w:val="24"/>
                <w:szCs w:val="24"/>
                <w:lang w:val="en-US" w:bidi="en-US"/>
              </w:rPr>
              <w:t xml:space="preserve">Dissolving </w:t>
            </w:r>
            <w:r w:rsidRPr="00B127F1">
              <w:rPr>
                <w:rFonts w:ascii="Times New Roman" w:eastAsia="Calibri" w:hAnsi="Times New Roman" w:cs="Times New Roman"/>
                <w:color w:val="000000"/>
                <w:sz w:val="24"/>
                <w:szCs w:val="24"/>
                <w:vertAlign w:val="superscript"/>
                <w:lang w:val="en-US" w:bidi="en-US"/>
              </w:rPr>
              <w:t>b</w:t>
            </w:r>
          </w:p>
        </w:tc>
        <w:tc>
          <w:tcPr>
            <w:tcW w:w="236" w:type="dxa"/>
            <w:vAlign w:val="center"/>
          </w:tcPr>
          <w:p w14:paraId="7CE131BA" w14:textId="77777777" w:rsidR="00B127F1" w:rsidRPr="00B127F1" w:rsidRDefault="00B127F1" w:rsidP="00B127F1">
            <w:pPr>
              <w:suppressAutoHyphens/>
              <w:spacing w:after="0" w:line="480" w:lineRule="auto"/>
              <w:jc w:val="center"/>
              <w:rPr>
                <w:rFonts w:ascii="Times New Roman" w:eastAsia="Calibri" w:hAnsi="Times New Roman" w:cs="Times New Roman"/>
                <w:b/>
                <w:sz w:val="24"/>
                <w:szCs w:val="24"/>
                <w:lang w:val="en-US" w:bidi="en-US"/>
              </w:rPr>
            </w:pPr>
          </w:p>
        </w:tc>
        <w:tc>
          <w:tcPr>
            <w:tcW w:w="2950" w:type="dxa"/>
            <w:vAlign w:val="center"/>
          </w:tcPr>
          <w:p w14:paraId="663D99D0" w14:textId="77777777" w:rsidR="00B127F1" w:rsidRPr="00B127F1" w:rsidRDefault="00B127F1" w:rsidP="00B127F1">
            <w:pPr>
              <w:suppressAutoHyphens/>
              <w:spacing w:after="0" w:line="480" w:lineRule="auto"/>
              <w:jc w:val="center"/>
              <w:rPr>
                <w:rFonts w:ascii="Times New Roman" w:eastAsia="Calibri" w:hAnsi="Times New Roman" w:cs="Times New Roman"/>
                <w:b/>
                <w:color w:val="000000"/>
                <w:sz w:val="24"/>
                <w:szCs w:val="24"/>
                <w:lang w:val="en-US" w:bidi="en-US"/>
              </w:rPr>
            </w:pPr>
            <w:r w:rsidRPr="00B127F1">
              <w:rPr>
                <w:rFonts w:ascii="Times New Roman" w:eastAsia="Calibri" w:hAnsi="Times New Roman" w:cs="Times New Roman"/>
                <w:b/>
                <w:color w:val="000000"/>
                <w:sz w:val="24"/>
                <w:szCs w:val="24"/>
                <w:lang w:val="en-US" w:bidi="en-US"/>
              </w:rPr>
              <w:t xml:space="preserve">Cohen’s </w:t>
            </w:r>
            <w:r w:rsidRPr="00B127F1">
              <w:rPr>
                <w:rFonts w:ascii="Times New Roman" w:eastAsia="Calibri" w:hAnsi="Times New Roman" w:cs="Times New Roman"/>
                <w:b/>
                <w:i/>
                <w:color w:val="000000"/>
                <w:sz w:val="24"/>
                <w:szCs w:val="24"/>
                <w:lang w:val="en-US" w:bidi="en-US"/>
              </w:rPr>
              <w:t>d</w:t>
            </w:r>
            <w:r w:rsidRPr="00B127F1">
              <w:rPr>
                <w:rFonts w:ascii="Times New Roman" w:eastAsia="Calibri" w:hAnsi="Times New Roman" w:cs="Times New Roman"/>
                <w:b/>
                <w:color w:val="000000"/>
                <w:sz w:val="24"/>
                <w:szCs w:val="24"/>
                <w:lang w:val="en-US" w:bidi="en-US"/>
              </w:rPr>
              <w:t xml:space="preserve"> </w:t>
            </w:r>
            <w:r w:rsidRPr="00B127F1">
              <w:rPr>
                <w:rFonts w:ascii="Times New Roman" w:eastAsia="Calibri" w:hAnsi="Times New Roman" w:cs="Times New Roman"/>
                <w:color w:val="000000"/>
                <w:sz w:val="24"/>
                <w:szCs w:val="24"/>
                <w:vertAlign w:val="superscript"/>
                <w:lang w:val="en-US" w:bidi="en-US"/>
              </w:rPr>
              <w:t xml:space="preserve">c </w:t>
            </w:r>
            <w:r w:rsidRPr="00B127F1">
              <w:rPr>
                <w:rFonts w:ascii="Times New Roman" w:eastAsia="Calibri" w:hAnsi="Times New Roman" w:cs="Times New Roman"/>
                <w:b/>
                <w:color w:val="000000"/>
                <w:sz w:val="24"/>
                <w:szCs w:val="24"/>
                <w:lang w:val="en-US" w:bidi="en-US"/>
              </w:rPr>
              <w:t>[95% CI]</w:t>
            </w:r>
          </w:p>
        </w:tc>
      </w:tr>
      <w:tr w:rsidR="00B127F1" w:rsidRPr="00361F11" w14:paraId="6E95CE78" w14:textId="77777777" w:rsidTr="00B127F1">
        <w:trPr>
          <w:trHeight w:val="268"/>
        </w:trPr>
        <w:tc>
          <w:tcPr>
            <w:tcW w:w="1352" w:type="dxa"/>
            <w:tcBorders>
              <w:top w:val="single" w:sz="4" w:space="0" w:color="7A8C8E"/>
            </w:tcBorders>
            <w:vAlign w:val="center"/>
          </w:tcPr>
          <w:p w14:paraId="6EF87BBC" w14:textId="77777777" w:rsidR="00B127F1" w:rsidRPr="00B127F1" w:rsidRDefault="00B127F1" w:rsidP="00B127F1">
            <w:pPr>
              <w:suppressAutoHyphens/>
              <w:spacing w:after="0" w:line="480" w:lineRule="auto"/>
              <w:rPr>
                <w:rFonts w:ascii="Times New Roman" w:eastAsia="Calibri" w:hAnsi="Times New Roman" w:cs="Times New Roman"/>
                <w:i/>
                <w:color w:val="000000"/>
                <w:sz w:val="24"/>
                <w:szCs w:val="24"/>
                <w:lang w:val="en-US" w:bidi="en-US"/>
              </w:rPr>
            </w:pPr>
          </w:p>
        </w:tc>
        <w:tc>
          <w:tcPr>
            <w:tcW w:w="6248" w:type="dxa"/>
            <w:gridSpan w:val="4"/>
          </w:tcPr>
          <w:p w14:paraId="4DAFDBF3" w14:textId="77777777" w:rsidR="00B127F1" w:rsidRPr="00B127F1" w:rsidRDefault="00B127F1" w:rsidP="00B127F1">
            <w:pPr>
              <w:suppressAutoHyphens/>
              <w:spacing w:after="0" w:line="480" w:lineRule="auto"/>
              <w:jc w:val="center"/>
              <w:rPr>
                <w:rFonts w:ascii="Times New Roman" w:eastAsia="Calibri" w:hAnsi="Times New Roman" w:cs="Times New Roman"/>
                <w:i/>
                <w:sz w:val="24"/>
                <w:szCs w:val="24"/>
                <w:lang w:val="en-US" w:bidi="en-US"/>
              </w:rPr>
            </w:pPr>
            <w:r w:rsidRPr="00B127F1">
              <w:rPr>
                <w:rFonts w:ascii="Times New Roman" w:eastAsia="Calibri" w:hAnsi="Times New Roman" w:cs="Times New Roman"/>
                <w:i/>
                <w:sz w:val="24"/>
                <w:szCs w:val="24"/>
                <w:lang w:val="en-US" w:bidi="en-US"/>
              </w:rPr>
              <w:t>Reported by females</w:t>
            </w:r>
          </w:p>
        </w:tc>
      </w:tr>
      <w:tr w:rsidR="00B127F1" w:rsidRPr="00B127F1" w14:paraId="7B8C7C98" w14:textId="77777777" w:rsidTr="00B127F1">
        <w:trPr>
          <w:trHeight w:val="546"/>
        </w:trPr>
        <w:tc>
          <w:tcPr>
            <w:tcW w:w="1352" w:type="dxa"/>
            <w:vAlign w:val="center"/>
          </w:tcPr>
          <w:p w14:paraId="041EBF98" w14:textId="77777777" w:rsidR="00B127F1" w:rsidRPr="00B127F1" w:rsidRDefault="00B127F1" w:rsidP="00B127F1">
            <w:pPr>
              <w:suppressAutoHyphens/>
              <w:spacing w:after="0" w:line="480" w:lineRule="auto"/>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Self-esteem</w:t>
            </w:r>
          </w:p>
        </w:tc>
        <w:tc>
          <w:tcPr>
            <w:tcW w:w="1531" w:type="dxa"/>
            <w:vAlign w:val="center"/>
          </w:tcPr>
          <w:p w14:paraId="2AA8D036"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Times New Roman" w:hAnsi="Times New Roman" w:cs="Times New Roman"/>
                <w:sz w:val="24"/>
                <w:szCs w:val="24"/>
                <w:bdr w:val="none" w:sz="0" w:space="0" w:color="auto" w:frame="1"/>
                <w:lang w:val="en-US" w:bidi="en-US"/>
              </w:rPr>
              <w:t>3.81 (0.86)</w:t>
            </w:r>
          </w:p>
        </w:tc>
        <w:tc>
          <w:tcPr>
            <w:tcW w:w="1531" w:type="dxa"/>
            <w:vAlign w:val="center"/>
          </w:tcPr>
          <w:p w14:paraId="29485E9E"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3.75 (0.94)</w:t>
            </w:r>
          </w:p>
        </w:tc>
        <w:tc>
          <w:tcPr>
            <w:tcW w:w="236" w:type="dxa"/>
          </w:tcPr>
          <w:p w14:paraId="58629350"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58BA3B94"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–.07 [–.16, .02]</w:t>
            </w:r>
          </w:p>
        </w:tc>
      </w:tr>
      <w:tr w:rsidR="00B127F1" w:rsidRPr="00B127F1" w14:paraId="032D487B" w14:textId="77777777" w:rsidTr="00B127F1">
        <w:trPr>
          <w:trHeight w:val="546"/>
        </w:trPr>
        <w:tc>
          <w:tcPr>
            <w:tcW w:w="1352" w:type="dxa"/>
            <w:vAlign w:val="center"/>
          </w:tcPr>
          <w:p w14:paraId="5794DFA2" w14:textId="77777777" w:rsidR="00B127F1" w:rsidRPr="00B127F1" w:rsidRDefault="00B127F1" w:rsidP="00B127F1">
            <w:pPr>
              <w:suppressAutoHyphens/>
              <w:spacing w:after="0" w:line="480" w:lineRule="auto"/>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Conflict frequency</w:t>
            </w:r>
          </w:p>
        </w:tc>
        <w:tc>
          <w:tcPr>
            <w:tcW w:w="1531" w:type="dxa"/>
            <w:vAlign w:val="center"/>
          </w:tcPr>
          <w:p w14:paraId="055432FB"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2.56 (0.61)</w:t>
            </w:r>
          </w:p>
        </w:tc>
        <w:tc>
          <w:tcPr>
            <w:tcW w:w="1531" w:type="dxa"/>
            <w:vAlign w:val="center"/>
          </w:tcPr>
          <w:p w14:paraId="0A347498"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2.67 (0.67)</w:t>
            </w:r>
          </w:p>
        </w:tc>
        <w:tc>
          <w:tcPr>
            <w:tcW w:w="236" w:type="dxa"/>
          </w:tcPr>
          <w:p w14:paraId="1969A18B"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04671F6D"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 xml:space="preserve">  .17 [  .08, .26]</w:t>
            </w:r>
          </w:p>
        </w:tc>
      </w:tr>
      <w:tr w:rsidR="00B127F1" w:rsidRPr="00B127F1" w14:paraId="538E0CEF" w14:textId="77777777" w:rsidTr="00B127F1">
        <w:trPr>
          <w:trHeight w:val="546"/>
        </w:trPr>
        <w:tc>
          <w:tcPr>
            <w:tcW w:w="1352" w:type="dxa"/>
            <w:vAlign w:val="center"/>
          </w:tcPr>
          <w:p w14:paraId="7B424CC7" w14:textId="2649EE6D" w:rsidR="00B127F1" w:rsidRPr="00B127F1" w:rsidRDefault="00E34DBF" w:rsidP="00B127F1">
            <w:pPr>
              <w:suppressAutoHyphens/>
              <w:spacing w:after="0" w:line="480" w:lineRule="auto"/>
              <w:rPr>
                <w:rFonts w:ascii="Times New Roman" w:eastAsia="Calibri" w:hAnsi="Times New Roman" w:cs="Times New Roman"/>
                <w:color w:val="000000"/>
                <w:sz w:val="24"/>
                <w:szCs w:val="24"/>
                <w:lang w:val="en-US" w:bidi="en-US"/>
              </w:rPr>
            </w:pPr>
            <w:r>
              <w:rPr>
                <w:rFonts w:ascii="Times New Roman" w:eastAsia="Arial Unicode MS" w:hAnsi="Times New Roman" w:cs="Times New Roman"/>
                <w:sz w:val="24"/>
                <w:szCs w:val="24"/>
                <w:lang w:val="en-US"/>
              </w:rPr>
              <w:t>Uncon-</w:t>
            </w:r>
            <w:r w:rsidRPr="00B127F1">
              <w:rPr>
                <w:rFonts w:ascii="Times New Roman" w:eastAsia="Arial Unicode MS" w:hAnsi="Times New Roman" w:cs="Times New Roman"/>
                <w:sz w:val="24"/>
                <w:szCs w:val="24"/>
                <w:lang w:val="en-US"/>
              </w:rPr>
              <w:t xml:space="preserve">structive </w:t>
            </w:r>
            <w:r w:rsidR="00B127F1" w:rsidRPr="00B127F1">
              <w:rPr>
                <w:rFonts w:ascii="Times New Roman" w:eastAsia="Calibri" w:hAnsi="Times New Roman" w:cs="Times New Roman"/>
                <w:color w:val="000000"/>
                <w:sz w:val="24"/>
                <w:szCs w:val="24"/>
                <w:lang w:val="en-US" w:bidi="en-US"/>
              </w:rPr>
              <w:t>behavior</w:t>
            </w:r>
          </w:p>
        </w:tc>
        <w:tc>
          <w:tcPr>
            <w:tcW w:w="1531" w:type="dxa"/>
            <w:vAlign w:val="center"/>
          </w:tcPr>
          <w:p w14:paraId="3988740B"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bdr w:val="none" w:sz="0" w:space="0" w:color="auto" w:frame="1"/>
                <w:lang w:val="en-US" w:bidi="en-US"/>
              </w:rPr>
              <w:t>2.49 (0.97)</w:t>
            </w:r>
          </w:p>
        </w:tc>
        <w:tc>
          <w:tcPr>
            <w:tcW w:w="1531" w:type="dxa"/>
            <w:vAlign w:val="center"/>
          </w:tcPr>
          <w:p w14:paraId="42D89D3E"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2.54 (1.01)</w:t>
            </w:r>
          </w:p>
        </w:tc>
        <w:tc>
          <w:tcPr>
            <w:tcW w:w="236" w:type="dxa"/>
          </w:tcPr>
          <w:p w14:paraId="0B1525CC"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4557C785"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 xml:space="preserve">  .05 [–.04, .14]</w:t>
            </w:r>
          </w:p>
        </w:tc>
      </w:tr>
      <w:tr w:rsidR="00B127F1" w:rsidRPr="00B127F1" w14:paraId="30511A55" w14:textId="77777777" w:rsidTr="00B127F1">
        <w:trPr>
          <w:trHeight w:val="546"/>
        </w:trPr>
        <w:tc>
          <w:tcPr>
            <w:tcW w:w="1352" w:type="dxa"/>
            <w:vAlign w:val="center"/>
          </w:tcPr>
          <w:p w14:paraId="0B9321F1" w14:textId="77777777" w:rsidR="00B127F1" w:rsidRPr="00B127F1" w:rsidRDefault="00B127F1" w:rsidP="00B127F1">
            <w:pPr>
              <w:suppressAutoHyphens/>
              <w:spacing w:after="0" w:line="480" w:lineRule="auto"/>
              <w:rPr>
                <w:rFonts w:ascii="Times New Roman" w:eastAsia="Calibri" w:hAnsi="Times New Roman" w:cs="Times New Roman"/>
                <w:color w:val="000000"/>
                <w:sz w:val="24"/>
                <w:szCs w:val="24"/>
                <w:lang w:val="en-US" w:bidi="en-US"/>
              </w:rPr>
            </w:pPr>
            <w:r w:rsidRPr="00B127F1">
              <w:rPr>
                <w:rFonts w:ascii="Times New Roman" w:eastAsia="Calibri" w:hAnsi="Times New Roman" w:cs="Times New Roman"/>
                <w:color w:val="000000"/>
                <w:sz w:val="24"/>
                <w:szCs w:val="24"/>
                <w:lang w:val="en-US" w:bidi="en-US"/>
              </w:rPr>
              <w:t>Withdrawal</w:t>
            </w:r>
          </w:p>
        </w:tc>
        <w:tc>
          <w:tcPr>
            <w:tcW w:w="1531" w:type="dxa"/>
            <w:vAlign w:val="center"/>
          </w:tcPr>
          <w:p w14:paraId="2689CA5B"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bdr w:val="none" w:sz="0" w:space="0" w:color="auto" w:frame="1"/>
                <w:lang w:val="en-US" w:bidi="en-US"/>
              </w:rPr>
              <w:t>2.33 (1.02)</w:t>
            </w:r>
          </w:p>
        </w:tc>
        <w:tc>
          <w:tcPr>
            <w:tcW w:w="1531" w:type="dxa"/>
            <w:vAlign w:val="center"/>
          </w:tcPr>
          <w:p w14:paraId="0F24DA8E"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2.42 (1.11)</w:t>
            </w:r>
          </w:p>
        </w:tc>
        <w:tc>
          <w:tcPr>
            <w:tcW w:w="236" w:type="dxa"/>
          </w:tcPr>
          <w:p w14:paraId="13E136BB"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41FD5FCD"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 xml:space="preserve">  .09 [–.01, .18]</w:t>
            </w:r>
          </w:p>
        </w:tc>
      </w:tr>
      <w:tr w:rsidR="00B127F1" w:rsidRPr="00B127F1" w14:paraId="4E5223BF" w14:textId="77777777" w:rsidTr="00B127F1">
        <w:trPr>
          <w:trHeight w:val="278"/>
        </w:trPr>
        <w:tc>
          <w:tcPr>
            <w:tcW w:w="1352" w:type="dxa"/>
            <w:vAlign w:val="center"/>
          </w:tcPr>
          <w:p w14:paraId="326C0712" w14:textId="77777777" w:rsidR="00B127F1" w:rsidRPr="00B127F1" w:rsidRDefault="00B127F1" w:rsidP="00B127F1">
            <w:pPr>
              <w:tabs>
                <w:tab w:val="left" w:pos="924"/>
              </w:tabs>
              <w:suppressAutoHyphens/>
              <w:spacing w:after="0" w:line="480" w:lineRule="auto"/>
              <w:rPr>
                <w:rFonts w:ascii="Times New Roman" w:eastAsia="Calibri" w:hAnsi="Times New Roman" w:cs="Times New Roman"/>
                <w:color w:val="000000"/>
                <w:sz w:val="24"/>
                <w:szCs w:val="24"/>
                <w:lang w:val="en-US" w:bidi="en-US"/>
              </w:rPr>
            </w:pPr>
          </w:p>
        </w:tc>
        <w:tc>
          <w:tcPr>
            <w:tcW w:w="6248" w:type="dxa"/>
            <w:gridSpan w:val="4"/>
            <w:vAlign w:val="center"/>
          </w:tcPr>
          <w:p w14:paraId="75580F5C" w14:textId="77777777" w:rsidR="00B127F1" w:rsidRPr="00B127F1" w:rsidRDefault="00B127F1" w:rsidP="00B127F1">
            <w:pPr>
              <w:suppressAutoHyphens/>
              <w:spacing w:after="0" w:line="480" w:lineRule="auto"/>
              <w:jc w:val="center"/>
              <w:rPr>
                <w:rFonts w:ascii="Times New Roman" w:eastAsia="Calibri" w:hAnsi="Times New Roman" w:cs="Times New Roman"/>
                <w:i/>
                <w:sz w:val="24"/>
                <w:szCs w:val="24"/>
                <w:lang w:val="en-US" w:bidi="en-US"/>
              </w:rPr>
            </w:pPr>
            <w:r w:rsidRPr="00B127F1">
              <w:rPr>
                <w:rFonts w:ascii="Times New Roman" w:eastAsia="Calibri" w:hAnsi="Times New Roman" w:cs="Times New Roman"/>
                <w:i/>
                <w:sz w:val="24"/>
                <w:szCs w:val="24"/>
                <w:lang w:val="en-US" w:bidi="en-US"/>
              </w:rPr>
              <w:t>Reported by males</w:t>
            </w:r>
          </w:p>
        </w:tc>
      </w:tr>
      <w:tr w:rsidR="00B127F1" w:rsidRPr="00B127F1" w14:paraId="4BBA0392" w14:textId="77777777" w:rsidTr="00B127F1">
        <w:trPr>
          <w:trHeight w:val="546"/>
        </w:trPr>
        <w:tc>
          <w:tcPr>
            <w:tcW w:w="1352" w:type="dxa"/>
            <w:vAlign w:val="center"/>
          </w:tcPr>
          <w:p w14:paraId="403242CF" w14:textId="77777777" w:rsidR="00B127F1" w:rsidRPr="00B127F1" w:rsidRDefault="00B127F1" w:rsidP="00B127F1">
            <w:pPr>
              <w:suppressAutoHyphens/>
              <w:spacing w:after="0" w:line="480" w:lineRule="auto"/>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Self-esteem</w:t>
            </w:r>
          </w:p>
        </w:tc>
        <w:tc>
          <w:tcPr>
            <w:tcW w:w="1531" w:type="dxa"/>
            <w:vAlign w:val="center"/>
          </w:tcPr>
          <w:p w14:paraId="6339D2AB"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4.03 (0.75)</w:t>
            </w:r>
          </w:p>
        </w:tc>
        <w:tc>
          <w:tcPr>
            <w:tcW w:w="1531" w:type="dxa"/>
            <w:vAlign w:val="center"/>
          </w:tcPr>
          <w:p w14:paraId="3C53D14C"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3.99 (0.81)</w:t>
            </w:r>
          </w:p>
        </w:tc>
        <w:tc>
          <w:tcPr>
            <w:tcW w:w="236" w:type="dxa"/>
          </w:tcPr>
          <w:p w14:paraId="76912F04"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3AC5A790"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–.05 [–.14, .04]</w:t>
            </w:r>
          </w:p>
        </w:tc>
      </w:tr>
      <w:tr w:rsidR="00B127F1" w:rsidRPr="00B127F1" w14:paraId="735A0091" w14:textId="77777777" w:rsidTr="00B127F1">
        <w:trPr>
          <w:trHeight w:val="546"/>
        </w:trPr>
        <w:tc>
          <w:tcPr>
            <w:tcW w:w="1352" w:type="dxa"/>
            <w:vAlign w:val="center"/>
          </w:tcPr>
          <w:p w14:paraId="3A27E416" w14:textId="77777777" w:rsidR="00B127F1" w:rsidRPr="00B127F1" w:rsidRDefault="00B127F1" w:rsidP="00B127F1">
            <w:pPr>
              <w:suppressAutoHyphens/>
              <w:spacing w:after="0" w:line="480" w:lineRule="auto"/>
              <w:rPr>
                <w:rFonts w:ascii="Times New Roman" w:eastAsia="Calibri" w:hAnsi="Times New Roman" w:cs="Times New Roman"/>
                <w:color w:val="000000"/>
                <w:sz w:val="24"/>
                <w:szCs w:val="24"/>
                <w:lang w:val="en-US" w:bidi="en-US"/>
              </w:rPr>
            </w:pPr>
            <w:r w:rsidRPr="00B127F1">
              <w:rPr>
                <w:rFonts w:ascii="Times New Roman" w:eastAsia="Calibri" w:hAnsi="Times New Roman" w:cs="Times New Roman"/>
                <w:color w:val="000000"/>
                <w:sz w:val="24"/>
                <w:szCs w:val="24"/>
                <w:lang w:val="en-US" w:bidi="en-US"/>
              </w:rPr>
              <w:t>Conflict frequency</w:t>
            </w:r>
          </w:p>
        </w:tc>
        <w:tc>
          <w:tcPr>
            <w:tcW w:w="1531" w:type="dxa"/>
            <w:vAlign w:val="center"/>
          </w:tcPr>
          <w:p w14:paraId="2765F6FC"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2.50 (0.62)</w:t>
            </w:r>
          </w:p>
        </w:tc>
        <w:tc>
          <w:tcPr>
            <w:tcW w:w="1531" w:type="dxa"/>
            <w:vAlign w:val="center"/>
          </w:tcPr>
          <w:p w14:paraId="0DC0F6F8"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2.58 (0.66)</w:t>
            </w:r>
          </w:p>
        </w:tc>
        <w:tc>
          <w:tcPr>
            <w:tcW w:w="236" w:type="dxa"/>
          </w:tcPr>
          <w:p w14:paraId="3ECF3E44"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2F949D0E"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 xml:space="preserve">  .13 [  .04, .22]</w:t>
            </w:r>
          </w:p>
        </w:tc>
      </w:tr>
      <w:tr w:rsidR="00B127F1" w:rsidRPr="00B127F1" w14:paraId="19779BD7" w14:textId="77777777" w:rsidTr="00B127F1">
        <w:trPr>
          <w:trHeight w:val="546"/>
        </w:trPr>
        <w:tc>
          <w:tcPr>
            <w:tcW w:w="1352" w:type="dxa"/>
            <w:vAlign w:val="center"/>
          </w:tcPr>
          <w:p w14:paraId="5ED4BCC0" w14:textId="7D4C9D7E" w:rsidR="00B127F1" w:rsidRPr="00B127F1" w:rsidRDefault="00E34DBF" w:rsidP="00B127F1">
            <w:pPr>
              <w:suppressAutoHyphens/>
              <w:spacing w:after="0" w:line="480" w:lineRule="auto"/>
              <w:rPr>
                <w:rFonts w:ascii="Times New Roman" w:eastAsia="Calibri" w:hAnsi="Times New Roman" w:cs="Times New Roman"/>
                <w:color w:val="000000"/>
                <w:sz w:val="24"/>
                <w:szCs w:val="24"/>
                <w:lang w:val="en-US" w:bidi="en-US"/>
              </w:rPr>
            </w:pPr>
            <w:r>
              <w:rPr>
                <w:rFonts w:ascii="Times New Roman" w:eastAsia="Arial Unicode MS" w:hAnsi="Times New Roman" w:cs="Times New Roman"/>
                <w:sz w:val="24"/>
                <w:szCs w:val="24"/>
                <w:lang w:val="en-US"/>
              </w:rPr>
              <w:t>Uncon-</w:t>
            </w:r>
            <w:r w:rsidRPr="00B127F1">
              <w:rPr>
                <w:rFonts w:ascii="Times New Roman" w:eastAsia="Arial Unicode MS" w:hAnsi="Times New Roman" w:cs="Times New Roman"/>
                <w:sz w:val="24"/>
                <w:szCs w:val="24"/>
                <w:lang w:val="en-US"/>
              </w:rPr>
              <w:t>structive</w:t>
            </w:r>
            <w:r w:rsidR="00B127F1" w:rsidRPr="00B127F1">
              <w:rPr>
                <w:rFonts w:ascii="Times New Roman" w:eastAsia="Calibri" w:hAnsi="Times New Roman" w:cs="Times New Roman"/>
                <w:color w:val="000000"/>
                <w:sz w:val="24"/>
                <w:szCs w:val="24"/>
                <w:lang w:val="en-US" w:bidi="en-US"/>
              </w:rPr>
              <w:t xml:space="preserve"> behavior</w:t>
            </w:r>
          </w:p>
        </w:tc>
        <w:tc>
          <w:tcPr>
            <w:tcW w:w="1531" w:type="dxa"/>
            <w:vAlign w:val="center"/>
          </w:tcPr>
          <w:p w14:paraId="2259F82E"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bdr w:val="none" w:sz="0" w:space="0" w:color="auto" w:frame="1"/>
                <w:lang w:val="en-US" w:bidi="en-US"/>
              </w:rPr>
              <w:t>2.35 (0.84)</w:t>
            </w:r>
          </w:p>
        </w:tc>
        <w:tc>
          <w:tcPr>
            <w:tcW w:w="1531" w:type="dxa"/>
            <w:vAlign w:val="center"/>
          </w:tcPr>
          <w:p w14:paraId="7092BBCC"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2.43 (0.90)</w:t>
            </w:r>
          </w:p>
        </w:tc>
        <w:tc>
          <w:tcPr>
            <w:tcW w:w="236" w:type="dxa"/>
          </w:tcPr>
          <w:p w14:paraId="483B7F10"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2D866FB1"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 xml:space="preserve">  .09 [  .00, .18]</w:t>
            </w:r>
          </w:p>
        </w:tc>
      </w:tr>
      <w:tr w:rsidR="00B127F1" w:rsidRPr="00B127F1" w14:paraId="258F56BA" w14:textId="77777777" w:rsidTr="00B127F1">
        <w:trPr>
          <w:trHeight w:val="546"/>
        </w:trPr>
        <w:tc>
          <w:tcPr>
            <w:tcW w:w="1352" w:type="dxa"/>
            <w:vAlign w:val="center"/>
          </w:tcPr>
          <w:p w14:paraId="1CA245F9" w14:textId="77777777" w:rsidR="00B127F1" w:rsidRPr="00B127F1" w:rsidRDefault="00B127F1" w:rsidP="00B127F1">
            <w:pPr>
              <w:suppressAutoHyphens/>
              <w:spacing w:after="0" w:line="480" w:lineRule="auto"/>
              <w:rPr>
                <w:rFonts w:ascii="Times New Roman" w:eastAsia="Calibri" w:hAnsi="Times New Roman" w:cs="Times New Roman"/>
                <w:color w:val="000000"/>
                <w:sz w:val="24"/>
                <w:szCs w:val="24"/>
                <w:lang w:val="en-US" w:bidi="en-US"/>
              </w:rPr>
            </w:pPr>
            <w:r w:rsidRPr="00B127F1">
              <w:rPr>
                <w:rFonts w:ascii="Times New Roman" w:eastAsia="Calibri" w:hAnsi="Times New Roman" w:cs="Times New Roman"/>
                <w:color w:val="000000"/>
                <w:sz w:val="24"/>
                <w:szCs w:val="24"/>
                <w:lang w:val="en-US" w:bidi="en-US"/>
              </w:rPr>
              <w:t>Withdrawal</w:t>
            </w:r>
          </w:p>
        </w:tc>
        <w:tc>
          <w:tcPr>
            <w:tcW w:w="1531" w:type="dxa"/>
            <w:vAlign w:val="center"/>
          </w:tcPr>
          <w:p w14:paraId="18632425"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bdr w:val="none" w:sz="0" w:space="0" w:color="auto" w:frame="1"/>
                <w:lang w:val="en-US" w:bidi="en-US"/>
              </w:rPr>
              <w:t>2.08 (0.91)</w:t>
            </w:r>
          </w:p>
        </w:tc>
        <w:tc>
          <w:tcPr>
            <w:tcW w:w="1531" w:type="dxa"/>
            <w:vAlign w:val="center"/>
          </w:tcPr>
          <w:p w14:paraId="2E6E6C3F"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2.19 (0.97)</w:t>
            </w:r>
          </w:p>
        </w:tc>
        <w:tc>
          <w:tcPr>
            <w:tcW w:w="236" w:type="dxa"/>
          </w:tcPr>
          <w:p w14:paraId="5D3B6754" w14:textId="77777777" w:rsidR="00B127F1" w:rsidRPr="00B127F1" w:rsidRDefault="00B127F1" w:rsidP="00B127F1">
            <w:pPr>
              <w:suppressAutoHyphens/>
              <w:spacing w:after="0" w:line="480" w:lineRule="auto"/>
              <w:jc w:val="right"/>
              <w:rPr>
                <w:rFonts w:ascii="Times New Roman" w:eastAsia="Calibri" w:hAnsi="Times New Roman" w:cs="Times New Roman"/>
                <w:sz w:val="24"/>
                <w:szCs w:val="24"/>
                <w:lang w:val="en-US" w:bidi="en-US"/>
              </w:rPr>
            </w:pPr>
          </w:p>
        </w:tc>
        <w:tc>
          <w:tcPr>
            <w:tcW w:w="2950" w:type="dxa"/>
            <w:vAlign w:val="center"/>
          </w:tcPr>
          <w:p w14:paraId="4AF7F56E" w14:textId="77777777" w:rsidR="00B127F1" w:rsidRPr="00B127F1" w:rsidRDefault="00B127F1" w:rsidP="00B127F1">
            <w:pPr>
              <w:suppressAutoHyphens/>
              <w:spacing w:after="0" w:line="480" w:lineRule="auto"/>
              <w:jc w:val="center"/>
              <w:rPr>
                <w:rFonts w:ascii="Times New Roman" w:eastAsia="Calibri" w:hAnsi="Times New Roman" w:cs="Times New Roman"/>
                <w:sz w:val="24"/>
                <w:szCs w:val="24"/>
                <w:lang w:val="en-US" w:bidi="en-US"/>
              </w:rPr>
            </w:pPr>
            <w:r w:rsidRPr="00B127F1">
              <w:rPr>
                <w:rFonts w:ascii="Times New Roman" w:eastAsia="Calibri" w:hAnsi="Times New Roman" w:cs="Times New Roman"/>
                <w:sz w:val="24"/>
                <w:szCs w:val="24"/>
                <w:lang w:val="en-US" w:bidi="en-US"/>
              </w:rPr>
              <w:t xml:space="preserve">  .12 [  .03, .21]</w:t>
            </w:r>
          </w:p>
        </w:tc>
      </w:tr>
    </w:tbl>
    <w:p w14:paraId="06FEE847" w14:textId="428E4967" w:rsidR="00B127F1" w:rsidRPr="00B127F1" w:rsidRDefault="00B127F1" w:rsidP="00B127F1">
      <w:pPr>
        <w:suppressAutoHyphens/>
        <w:spacing w:after="0" w:line="360" w:lineRule="auto"/>
        <w:rPr>
          <w:rFonts w:ascii="Times New Roman" w:eastAsia="Calibri" w:hAnsi="Times New Roman" w:cs="Times New Roman"/>
          <w:sz w:val="24"/>
          <w:szCs w:val="24"/>
          <w:lang w:val="en-US" w:bidi="en-US"/>
        </w:rPr>
      </w:pPr>
      <w:r w:rsidRPr="00B127F1">
        <w:rPr>
          <w:rFonts w:ascii="Times New Roman" w:eastAsia="Calibri" w:hAnsi="Times New Roman" w:cs="Times New Roman"/>
          <w:i/>
          <w:color w:val="000000"/>
          <w:sz w:val="24"/>
          <w:szCs w:val="24"/>
          <w:lang w:val="en-US" w:bidi="en-US"/>
        </w:rPr>
        <w:t xml:space="preserve">Note. </w:t>
      </w:r>
      <w:r w:rsidRPr="00B127F1">
        <w:rPr>
          <w:rFonts w:ascii="Times New Roman" w:eastAsia="Calibri" w:hAnsi="Times New Roman" w:cs="Times New Roman"/>
          <w:sz w:val="24"/>
          <w:szCs w:val="24"/>
          <w:lang w:val="en-US" w:bidi="en-US"/>
        </w:rPr>
        <w:t xml:space="preserve">Conflict frequency = perceived conflict frequency; </w:t>
      </w:r>
      <w:r w:rsidR="00E34DBF">
        <w:rPr>
          <w:rFonts w:ascii="Times New Roman" w:eastAsia="Calibri" w:hAnsi="Times New Roman" w:cs="Times New Roman"/>
          <w:sz w:val="24"/>
          <w:szCs w:val="24"/>
          <w:lang w:val="en-US" w:bidi="en-US"/>
        </w:rPr>
        <w:t>uncon</w:t>
      </w:r>
      <w:r w:rsidRPr="00B127F1">
        <w:rPr>
          <w:rFonts w:ascii="Times New Roman" w:eastAsia="Calibri" w:hAnsi="Times New Roman" w:cs="Times New Roman"/>
          <w:sz w:val="24"/>
          <w:szCs w:val="24"/>
          <w:lang w:val="en-US" w:bidi="en-US"/>
        </w:rPr>
        <w:t xml:space="preserve">structive behavior = perceived </w:t>
      </w:r>
      <w:r w:rsidR="00E34DBF">
        <w:rPr>
          <w:rFonts w:ascii="Times New Roman" w:eastAsia="Calibri" w:hAnsi="Times New Roman" w:cs="Times New Roman"/>
          <w:sz w:val="24"/>
          <w:szCs w:val="24"/>
          <w:lang w:val="en-US" w:bidi="en-US"/>
        </w:rPr>
        <w:t>uncon</w:t>
      </w:r>
      <w:r w:rsidR="00E34DBF" w:rsidRPr="00B127F1">
        <w:rPr>
          <w:rFonts w:ascii="Times New Roman" w:eastAsia="Calibri" w:hAnsi="Times New Roman" w:cs="Times New Roman"/>
          <w:sz w:val="24"/>
          <w:szCs w:val="24"/>
          <w:lang w:val="en-US" w:bidi="en-US"/>
        </w:rPr>
        <w:t>structive</w:t>
      </w:r>
      <w:r w:rsidR="00E34DBF" w:rsidRPr="00B127F1" w:rsidDel="00E34DBF">
        <w:rPr>
          <w:rFonts w:ascii="Times New Roman" w:eastAsia="Calibri" w:hAnsi="Times New Roman" w:cs="Times New Roman"/>
          <w:sz w:val="24"/>
          <w:szCs w:val="24"/>
          <w:lang w:val="en-US" w:bidi="en-US"/>
        </w:rPr>
        <w:t xml:space="preserve"> </w:t>
      </w:r>
      <w:r w:rsidRPr="00B127F1">
        <w:rPr>
          <w:rFonts w:ascii="Times New Roman" w:eastAsia="Calibri" w:hAnsi="Times New Roman" w:cs="Times New Roman"/>
          <w:sz w:val="24"/>
          <w:szCs w:val="24"/>
          <w:lang w:val="en-US" w:bidi="en-US"/>
        </w:rPr>
        <w:t xml:space="preserve">behavior tendencies in partner; withdrawal = perceived withdrawal tendencies in partner. </w:t>
      </w:r>
      <w:r w:rsidRPr="00B127F1">
        <w:rPr>
          <w:rFonts w:ascii="Times New Roman" w:eastAsia="Calibri" w:hAnsi="Times New Roman" w:cs="Times New Roman"/>
          <w:color w:val="000000"/>
          <w:sz w:val="24"/>
          <w:szCs w:val="24"/>
          <w:lang w:val="en-US" w:bidi="en-US"/>
        </w:rPr>
        <w:t xml:space="preserve">Adapted </w:t>
      </w:r>
      <w:r w:rsidRPr="00B127F1">
        <w:rPr>
          <w:rFonts w:ascii="Times New Roman" w:eastAsia="Calibri" w:hAnsi="Times New Roman" w:cs="Times New Roman"/>
          <w:sz w:val="24"/>
          <w:szCs w:val="24"/>
          <w:lang w:val="en-US" w:bidi="en-US"/>
        </w:rPr>
        <w:t>from [</w:t>
      </w:r>
      <w:r w:rsidR="009B2DC3">
        <w:rPr>
          <w:rFonts w:ascii="Times New Roman" w:eastAsia="Calibri" w:hAnsi="Times New Roman" w:cs="Times New Roman"/>
          <w:color w:val="2683C6"/>
          <w:sz w:val="24"/>
          <w:szCs w:val="24"/>
          <w:lang w:val="en-US" w:bidi="en-US"/>
        </w:rPr>
        <w:t>6</w:t>
      </w:r>
      <w:r w:rsidRPr="00B127F1">
        <w:rPr>
          <w:rFonts w:ascii="Times New Roman" w:eastAsia="Calibri" w:hAnsi="Times New Roman" w:cs="Times New Roman"/>
          <w:sz w:val="24"/>
          <w:szCs w:val="24"/>
          <w:lang w:val="en-US" w:bidi="en-US"/>
        </w:rPr>
        <w:t>].</w:t>
      </w:r>
    </w:p>
    <w:p w14:paraId="7C21A2F0" w14:textId="77777777" w:rsidR="00B127F1" w:rsidRPr="00B127F1" w:rsidRDefault="00B127F1" w:rsidP="00B127F1">
      <w:pPr>
        <w:suppressAutoHyphens/>
        <w:spacing w:after="0" w:line="360" w:lineRule="auto"/>
        <w:rPr>
          <w:rFonts w:ascii="Times New Roman" w:eastAsia="Calibri" w:hAnsi="Times New Roman" w:cs="Times New Roman"/>
          <w:color w:val="000000"/>
          <w:sz w:val="24"/>
          <w:szCs w:val="24"/>
          <w:lang w:val="en-US" w:bidi="en-US"/>
        </w:rPr>
      </w:pPr>
      <w:r w:rsidRPr="00B127F1">
        <w:rPr>
          <w:rFonts w:ascii="Times New Roman" w:eastAsia="Calibri" w:hAnsi="Times New Roman" w:cs="Times New Roman"/>
          <w:color w:val="000000"/>
          <w:sz w:val="24"/>
          <w:szCs w:val="24"/>
          <w:vertAlign w:val="superscript"/>
          <w:lang w:val="en-US" w:bidi="en-US"/>
        </w:rPr>
        <w:t xml:space="preserve">a </w:t>
      </w:r>
      <w:r w:rsidRPr="00B127F1">
        <w:rPr>
          <w:rFonts w:ascii="Times New Roman" w:eastAsia="Calibri" w:hAnsi="Times New Roman" w:cs="Times New Roman"/>
          <w:i/>
          <w:color w:val="000000"/>
          <w:sz w:val="24"/>
          <w:szCs w:val="24"/>
          <w:lang w:val="en-US" w:bidi="en-US"/>
        </w:rPr>
        <w:t>n</w:t>
      </w:r>
      <w:r w:rsidRPr="00B127F1">
        <w:rPr>
          <w:rFonts w:ascii="Times New Roman" w:eastAsia="Calibri" w:hAnsi="Times New Roman" w:cs="Times New Roman"/>
          <w:color w:val="000000"/>
          <w:sz w:val="24"/>
          <w:szCs w:val="24"/>
          <w:lang w:val="en-US" w:bidi="en-US"/>
        </w:rPr>
        <w:t xml:space="preserve"> = 1,093.</w:t>
      </w:r>
    </w:p>
    <w:p w14:paraId="3174C567" w14:textId="77777777" w:rsidR="00B127F1" w:rsidRPr="00B127F1" w:rsidRDefault="00B127F1" w:rsidP="00B127F1">
      <w:pPr>
        <w:suppressAutoHyphens/>
        <w:spacing w:after="0" w:line="360" w:lineRule="auto"/>
        <w:rPr>
          <w:rFonts w:ascii="Times New Roman" w:eastAsia="Calibri" w:hAnsi="Times New Roman" w:cs="Times New Roman"/>
          <w:color w:val="000000"/>
          <w:sz w:val="24"/>
          <w:szCs w:val="24"/>
          <w:lang w:val="en-US" w:bidi="en-US"/>
        </w:rPr>
      </w:pPr>
      <w:r w:rsidRPr="00B127F1">
        <w:rPr>
          <w:rFonts w:ascii="Times New Roman" w:eastAsia="Calibri" w:hAnsi="Times New Roman" w:cs="Times New Roman"/>
          <w:color w:val="000000"/>
          <w:sz w:val="24"/>
          <w:szCs w:val="24"/>
          <w:vertAlign w:val="superscript"/>
          <w:lang w:val="en-US" w:bidi="en-US"/>
        </w:rPr>
        <w:t xml:space="preserve">b </w:t>
      </w:r>
      <w:r w:rsidRPr="00B127F1">
        <w:rPr>
          <w:rFonts w:ascii="Times New Roman" w:eastAsia="Calibri" w:hAnsi="Times New Roman" w:cs="Times New Roman"/>
          <w:i/>
          <w:color w:val="000000"/>
          <w:sz w:val="24"/>
          <w:szCs w:val="24"/>
          <w:lang w:val="en-US" w:bidi="en-US"/>
        </w:rPr>
        <w:t>n</w:t>
      </w:r>
      <w:r w:rsidRPr="00B127F1">
        <w:rPr>
          <w:rFonts w:ascii="Times New Roman" w:eastAsia="Calibri" w:hAnsi="Times New Roman" w:cs="Times New Roman"/>
          <w:color w:val="000000"/>
          <w:sz w:val="24"/>
          <w:szCs w:val="24"/>
          <w:lang w:val="en-US" w:bidi="en-US"/>
        </w:rPr>
        <w:t xml:space="preserve"> = 811. </w:t>
      </w:r>
    </w:p>
    <w:p w14:paraId="2AC079C1" w14:textId="6B2A2198" w:rsidR="00B127F1" w:rsidRPr="00B127F1" w:rsidRDefault="00B127F1" w:rsidP="00D247A5">
      <w:pPr>
        <w:suppressAutoHyphens/>
        <w:spacing w:after="0" w:line="360" w:lineRule="auto"/>
        <w:rPr>
          <w:rFonts w:ascii="Times New Roman" w:eastAsia="Calibri" w:hAnsi="Times New Roman" w:cs="Times New Roman"/>
          <w:sz w:val="24"/>
          <w:lang w:val="en-US"/>
        </w:rPr>
      </w:pPr>
      <w:r w:rsidRPr="00B127F1">
        <w:rPr>
          <w:rFonts w:ascii="Times New Roman" w:eastAsia="Calibri" w:hAnsi="Times New Roman" w:cs="Times New Roman"/>
          <w:color w:val="000000"/>
          <w:sz w:val="24"/>
          <w:szCs w:val="24"/>
          <w:vertAlign w:val="superscript"/>
          <w:lang w:val="en-US" w:bidi="en-US"/>
        </w:rPr>
        <w:t xml:space="preserve">c </w:t>
      </w:r>
      <w:r w:rsidRPr="00B127F1">
        <w:rPr>
          <w:rFonts w:ascii="Times New Roman" w:eastAsia="Calibri" w:hAnsi="Times New Roman" w:cs="Times New Roman"/>
          <w:color w:val="000000"/>
          <w:sz w:val="24"/>
          <w:szCs w:val="24"/>
          <w:lang w:val="en-US" w:bidi="en-US"/>
        </w:rPr>
        <w:t xml:space="preserve">Mean-level differences between two independent groups of different sizes. </w:t>
      </w:r>
      <w:r w:rsidR="00C23EE8">
        <w:rPr>
          <w:rFonts w:ascii="Times New Roman" w:eastAsia="Calibri" w:hAnsi="Times New Roman" w:cs="Times New Roman"/>
          <w:color w:val="000000"/>
          <w:sz w:val="24"/>
          <w:szCs w:val="24"/>
          <w:lang w:val="en-US" w:bidi="en-US"/>
        </w:rPr>
        <w:t>Continuing couples</w:t>
      </w:r>
      <w:r w:rsidRPr="00B127F1">
        <w:rPr>
          <w:rFonts w:ascii="Times New Roman" w:eastAsia="Calibri" w:hAnsi="Times New Roman" w:cs="Times New Roman"/>
          <w:color w:val="000000"/>
          <w:sz w:val="24"/>
          <w:szCs w:val="24"/>
          <w:lang w:val="en-US" w:bidi="en-US"/>
        </w:rPr>
        <w:t xml:space="preserve"> = reference group.</w:t>
      </w:r>
    </w:p>
    <w:p w14:paraId="350BBC01" w14:textId="77777777" w:rsidR="00F74F21" w:rsidRDefault="00F74F21"/>
    <w:sectPr w:rsidR="00F74F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EB59" w14:textId="77777777" w:rsidR="001F48B2" w:rsidRDefault="001F48B2">
      <w:pPr>
        <w:spacing w:after="0" w:line="240" w:lineRule="auto"/>
      </w:pPr>
      <w:r>
        <w:separator/>
      </w:r>
    </w:p>
  </w:endnote>
  <w:endnote w:type="continuationSeparator" w:id="0">
    <w:p w14:paraId="17D19189" w14:textId="77777777" w:rsidR="001F48B2" w:rsidRDefault="001F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C340" w14:textId="77777777" w:rsidR="001F48B2" w:rsidRDefault="001F48B2">
      <w:pPr>
        <w:spacing w:after="0" w:line="240" w:lineRule="auto"/>
      </w:pPr>
      <w:r>
        <w:separator/>
      </w:r>
    </w:p>
  </w:footnote>
  <w:footnote w:type="continuationSeparator" w:id="0">
    <w:p w14:paraId="483E5F80" w14:textId="77777777" w:rsidR="001F48B2" w:rsidRDefault="001F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324A" w14:textId="77777777" w:rsidR="00B127F1" w:rsidRDefault="00B127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1"/>
    <w:rsid w:val="001F48B2"/>
    <w:rsid w:val="00361F11"/>
    <w:rsid w:val="003B0E86"/>
    <w:rsid w:val="00467D56"/>
    <w:rsid w:val="00486DDD"/>
    <w:rsid w:val="005912D6"/>
    <w:rsid w:val="006E7258"/>
    <w:rsid w:val="00717E2D"/>
    <w:rsid w:val="00730DEB"/>
    <w:rsid w:val="00763199"/>
    <w:rsid w:val="007701D0"/>
    <w:rsid w:val="007C007D"/>
    <w:rsid w:val="00823B38"/>
    <w:rsid w:val="00880B55"/>
    <w:rsid w:val="009B2DC3"/>
    <w:rsid w:val="00AB11EC"/>
    <w:rsid w:val="00B127F1"/>
    <w:rsid w:val="00B46852"/>
    <w:rsid w:val="00B77966"/>
    <w:rsid w:val="00B87F56"/>
    <w:rsid w:val="00C23EE8"/>
    <w:rsid w:val="00D247A5"/>
    <w:rsid w:val="00E34DBF"/>
    <w:rsid w:val="00F74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ACCE"/>
  <w15:chartTrackingRefBased/>
  <w15:docId w15:val="{7E42113B-E153-4632-BD1C-F7F774AC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1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Julia</dc:creator>
  <cp:keywords/>
  <dc:description/>
  <cp:lastModifiedBy>Julia Richter</cp:lastModifiedBy>
  <cp:revision>16</cp:revision>
  <dcterms:created xsi:type="dcterms:W3CDTF">2020-08-28T09:53:00Z</dcterms:created>
  <dcterms:modified xsi:type="dcterms:W3CDTF">2021-02-12T09:48:00Z</dcterms:modified>
</cp:coreProperties>
</file>