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eastAsia="宋体" w:cs="Times New Roman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Supplementary Table S1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Comparison kinetic paramaters on Grxs from different sources.</w:t>
      </w:r>
    </w:p>
    <w:tbl>
      <w:tblPr>
        <w:tblStyle w:val="2"/>
        <w:tblW w:w="9548" w:type="dxa"/>
        <w:jc w:val="center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328"/>
        <w:gridCol w:w="1237"/>
        <w:gridCol w:w="1360"/>
        <w:gridCol w:w="1380"/>
        <w:gridCol w:w="1340"/>
        <w:gridCol w:w="1385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328" w:type="dxa"/>
            <w:tcBorders>
              <w:top w:val="single" w:color="000000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eastAsia="宋体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sychrobacter </w:t>
            </w:r>
            <w:r>
              <w:rPr>
                <w:rFonts w:hint="eastAsia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sp. ANT206 Grx</w:t>
            </w:r>
          </w:p>
        </w:tc>
        <w:tc>
          <w:tcPr>
            <w:tcW w:w="1237" w:type="dxa"/>
            <w:tcBorders>
              <w:top w:val="single" w:color="000000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E.coli 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K-12</w:t>
            </w:r>
            <w:r>
              <w:rPr>
                <w:rFonts w:hint="eastAsia" w:eastAsia="宋体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Grx</w:t>
            </w:r>
          </w:p>
        </w:tc>
        <w:tc>
          <w:tcPr>
            <w:tcW w:w="1360" w:type="dxa"/>
            <w:tcBorders>
              <w:top w:val="single" w:color="000000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Chlorella sorokiniana</w:t>
            </w:r>
          </w:p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Grx</w:t>
            </w:r>
          </w:p>
        </w:tc>
        <w:tc>
          <w:tcPr>
            <w:tcW w:w="1380" w:type="dxa"/>
            <w:tcBorders>
              <w:top w:val="single" w:color="000000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Pseudoalter</w:t>
            </w:r>
          </w:p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omonas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sp.</w:t>
            </w:r>
            <w:r>
              <w:rPr>
                <w:rFonts w:hint="eastAsia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ANT178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Grx</w:t>
            </w:r>
          </w:p>
        </w:tc>
        <w:tc>
          <w:tcPr>
            <w:tcW w:w="1340" w:type="dxa"/>
            <w:tcBorders>
              <w:top w:val="single" w:color="000000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Taiwanofungus camphorata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Grx</w:t>
            </w:r>
          </w:p>
        </w:tc>
        <w:tc>
          <w:tcPr>
            <w:tcW w:w="1385" w:type="dxa"/>
            <w:tcBorders>
              <w:top w:val="single" w:color="000000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Taenia solium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Gr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 (μmol/min/mg)</w:t>
            </w:r>
          </w:p>
        </w:tc>
        <w:tc>
          <w:tcPr>
            <w:tcW w:w="1328" w:type="dxa"/>
            <w:tcBorders>
              <w:top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6.0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60" w:type="dxa"/>
            <w:tcBorders>
              <w:top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80" w:type="dxa"/>
            <w:tcBorders>
              <w:top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0.0143</w:t>
            </w:r>
          </w:p>
        </w:tc>
        <w:tc>
          <w:tcPr>
            <w:tcW w:w="1340" w:type="dxa"/>
            <w:tcBorders>
              <w:top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188.68</w:t>
            </w:r>
          </w:p>
        </w:tc>
        <w:tc>
          <w:tcPr>
            <w:tcW w:w="1385" w:type="dxa"/>
            <w:tcBorders>
              <w:top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(mM)</w:t>
            </w:r>
          </w:p>
        </w:tc>
        <w:tc>
          <w:tcPr>
            <w:tcW w:w="1328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0.6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37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360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0.17</w:t>
            </w:r>
          </w:p>
        </w:tc>
        <w:tc>
          <w:tcPr>
            <w:tcW w:w="1380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1340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0.57</w:t>
            </w:r>
          </w:p>
        </w:tc>
        <w:tc>
          <w:tcPr>
            <w:tcW w:w="1385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0.72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 xml:space="preserve">cat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(1/s)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44.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37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59.44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27.2</w:t>
            </w:r>
          </w:p>
        </w:tc>
        <w:tc>
          <w:tcPr>
            <w:tcW w:w="1385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5.6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tcBorders>
              <w:top w:val="nil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cat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1/s/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mM)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64.59</w:t>
            </w:r>
          </w:p>
        </w:tc>
        <w:tc>
          <w:tcPr>
            <w:tcW w:w="1237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60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349.7</w:t>
            </w:r>
          </w:p>
        </w:tc>
        <w:tc>
          <w:tcPr>
            <w:tcW w:w="1380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47.7</w:t>
            </w:r>
          </w:p>
        </w:tc>
        <w:tc>
          <w:tcPr>
            <w:tcW w:w="1385" w:type="dxa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tcBorders>
              <w:top w:val="nil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Reference</w:t>
            </w:r>
          </w:p>
        </w:tc>
        <w:tc>
          <w:tcPr>
            <w:tcW w:w="1328" w:type="dxa"/>
            <w:tcBorders>
              <w:bottom w:val="single" w:color="000000" w:sz="12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This study</w:t>
            </w:r>
          </w:p>
        </w:tc>
        <w:tc>
          <w:tcPr>
            <w:tcW w:w="1237" w:type="dxa"/>
            <w:tcBorders>
              <w:bottom w:val="single" w:color="000000" w:sz="12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Aslund F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et al.,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60" w:type="dxa"/>
            <w:tcBorders>
              <w:bottom w:val="single" w:color="000000" w:sz="12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Chuang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et al.,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80" w:type="dxa"/>
            <w:tcBorders>
              <w:bottom w:val="single" w:color="000000" w:sz="12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Wang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et al.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40" w:type="dxa"/>
            <w:tcBorders>
              <w:bottom w:val="single" w:color="000000" w:sz="12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Ken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et al.,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85" w:type="dxa"/>
            <w:tcBorders>
              <w:bottom w:val="single" w:color="000000" w:sz="12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0" w:after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(Nava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et al.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jc w:val="both"/>
        <w:textAlignment w:val="auto"/>
      </w:pPr>
      <w:r>
        <w:rPr>
          <w:rFonts w:hint="eastAsia"/>
        </w:rPr>
        <w:t>Ken, C. F., Lin, C. Y., Jiang, Y. C., Wen, L., and Lin, C. T. (2009). Cloning,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expression, and characterization of an enzyme possessing both glutaredoxin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 xml:space="preserve">and dehydroascorbate reductase activity from </w:t>
      </w:r>
      <w:bookmarkStart w:id="0" w:name="_GoBack"/>
      <w:r>
        <w:rPr>
          <w:rFonts w:hint="eastAsia"/>
          <w:i/>
          <w:iCs/>
        </w:rPr>
        <w:t>Taiwanofungus camphorata</w:t>
      </w:r>
      <w:bookmarkEnd w:id="0"/>
      <w:r>
        <w:rPr>
          <w:rFonts w:hint="eastAsia"/>
        </w:rPr>
        <w:t>.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J. Agric. Food Chem. 57, 10357–10362. doi: 10.1021/jf9021256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B56D7"/>
    <w:rsid w:val="2E877DD6"/>
    <w:rsid w:val="3D010D75"/>
    <w:rsid w:val="48EB56D7"/>
    <w:rsid w:val="6C134822"/>
    <w:rsid w:val="6E885911"/>
    <w:rsid w:val="79B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2021-01-29T10:42:00Z</dcterms:created>
  <dc:creator>hahah</dc:creator>
  <cp:lastModifiedBy>hahah</cp:lastModifiedBy>
  <dcterms:modified xsi:type="dcterms:W3CDTF">2021-03-26T06:42:07Z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C522625D21F54A0F88B0FE14F55C9F34</vt:lpwstr>
  </property>
</Properties>
</file>