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94FB" w14:textId="64B131D0" w:rsidR="00A84485" w:rsidRPr="009E5737" w:rsidRDefault="00591E9D" w:rsidP="0041254F">
      <w:pPr>
        <w:jc w:val="both"/>
        <w:rPr>
          <w:b/>
          <w:sz w:val="36"/>
          <w:szCs w:val="36"/>
          <w:lang w:val="en-US"/>
        </w:rPr>
      </w:pPr>
      <w:r w:rsidRPr="009E5737">
        <w:rPr>
          <w:b/>
          <w:sz w:val="36"/>
          <w:szCs w:val="36"/>
          <w:lang w:val="en-US"/>
        </w:rPr>
        <w:t xml:space="preserve">Costs related to frontotemporal dementia in Latin America: a </w:t>
      </w:r>
      <w:r w:rsidR="000302B8">
        <w:rPr>
          <w:b/>
          <w:sz w:val="36"/>
          <w:szCs w:val="36"/>
          <w:lang w:val="en-US"/>
        </w:rPr>
        <w:t>scoping</w:t>
      </w:r>
      <w:r w:rsidR="00AE741E">
        <w:rPr>
          <w:b/>
          <w:sz w:val="36"/>
          <w:szCs w:val="36"/>
          <w:lang w:val="en-US"/>
        </w:rPr>
        <w:t xml:space="preserve"> review</w:t>
      </w:r>
      <w:r w:rsidRPr="009E5737">
        <w:rPr>
          <w:b/>
          <w:sz w:val="36"/>
          <w:szCs w:val="36"/>
          <w:lang w:val="en-US"/>
        </w:rPr>
        <w:t xml:space="preserve"> of economic health studies</w:t>
      </w:r>
    </w:p>
    <w:p w14:paraId="542A1B77" w14:textId="77777777" w:rsidR="004E0F2B" w:rsidRPr="009E5737" w:rsidRDefault="004E0F2B" w:rsidP="002738A1">
      <w:pPr>
        <w:jc w:val="both"/>
        <w:rPr>
          <w:lang w:val="en-US"/>
        </w:rPr>
      </w:pPr>
    </w:p>
    <w:p w14:paraId="4C01C31C" w14:textId="20F9DB1F" w:rsidR="004E0F2B" w:rsidRPr="00D46243" w:rsidRDefault="004E0F2B" w:rsidP="007B77FF">
      <w:pPr>
        <w:spacing w:line="360" w:lineRule="auto"/>
        <w:jc w:val="both"/>
        <w:rPr>
          <w:b/>
          <w:bCs/>
        </w:rPr>
      </w:pPr>
      <w:r w:rsidRPr="00D46243">
        <w:rPr>
          <w:b/>
          <w:bCs/>
        </w:rPr>
        <w:t>Authors</w:t>
      </w:r>
    </w:p>
    <w:p w14:paraId="2C580171" w14:textId="77777777" w:rsidR="004E0F2B" w:rsidRPr="00D46243" w:rsidRDefault="004E0F2B" w:rsidP="007B77FF">
      <w:pPr>
        <w:spacing w:line="360" w:lineRule="auto"/>
        <w:jc w:val="both"/>
        <w:rPr>
          <w:b/>
          <w:bCs/>
        </w:rPr>
      </w:pPr>
    </w:p>
    <w:p w14:paraId="634665EB" w14:textId="1A8AAF6C" w:rsidR="002738A1" w:rsidRPr="00D46243" w:rsidRDefault="00FE4994" w:rsidP="007B77FF">
      <w:pPr>
        <w:spacing w:line="360" w:lineRule="auto"/>
        <w:jc w:val="both"/>
      </w:pPr>
      <w:r w:rsidRPr="00D46243">
        <w:t>Carlos Alva Dìaz</w:t>
      </w:r>
      <w:r w:rsidRPr="00D46243">
        <w:rPr>
          <w:vertAlign w:val="superscript"/>
        </w:rPr>
        <w:t>1</w:t>
      </w:r>
      <w:r w:rsidRPr="00D46243">
        <w:t xml:space="preserve">, Marco Málaga </w:t>
      </w:r>
      <w:r w:rsidRPr="00D46243">
        <w:rPr>
          <w:vertAlign w:val="superscript"/>
        </w:rPr>
        <w:t>2,3,4</w:t>
      </w:r>
      <w:r w:rsidRPr="00D46243">
        <w:t>, Aaron Rodriguez-Calienes</w:t>
      </w:r>
      <w:r w:rsidR="00191711" w:rsidRPr="00D46243">
        <w:t xml:space="preserve"> </w:t>
      </w:r>
      <w:r w:rsidRPr="00D46243">
        <w:rPr>
          <w:vertAlign w:val="superscript"/>
        </w:rPr>
        <w:t>2,3,4</w:t>
      </w:r>
      <w:r w:rsidRPr="00D46243">
        <w:t xml:space="preserve">, Cristian Morán-Mariños, Victor Velasquez-Rimachi, Nilton Custodio </w:t>
      </w:r>
      <w:r w:rsidRPr="00D46243">
        <w:rPr>
          <w:vertAlign w:val="superscript"/>
        </w:rPr>
        <w:t>6</w:t>
      </w:r>
    </w:p>
    <w:p w14:paraId="3795A829" w14:textId="77777777" w:rsidR="00FE4994" w:rsidRPr="00D46243" w:rsidRDefault="00FE4994" w:rsidP="007B77FF">
      <w:pPr>
        <w:spacing w:line="360" w:lineRule="auto"/>
        <w:jc w:val="both"/>
        <w:rPr>
          <w:vertAlign w:val="superscript"/>
        </w:rPr>
      </w:pPr>
    </w:p>
    <w:p w14:paraId="349A21C6" w14:textId="473C115C" w:rsidR="004E0F2B" w:rsidRPr="00D46243" w:rsidRDefault="004E0F2B" w:rsidP="007B77FF">
      <w:pPr>
        <w:spacing w:line="360" w:lineRule="auto"/>
        <w:jc w:val="both"/>
        <w:rPr>
          <w:b/>
          <w:bCs/>
        </w:rPr>
      </w:pPr>
      <w:r w:rsidRPr="00D46243">
        <w:rPr>
          <w:b/>
          <w:bCs/>
        </w:rPr>
        <w:t>Affiliations</w:t>
      </w:r>
    </w:p>
    <w:p w14:paraId="6672D0EF" w14:textId="77777777" w:rsidR="004E0F2B" w:rsidRPr="00D46243" w:rsidRDefault="004E0F2B" w:rsidP="007B77FF">
      <w:pPr>
        <w:spacing w:line="360" w:lineRule="auto"/>
        <w:jc w:val="both"/>
        <w:rPr>
          <w:b/>
          <w:bCs/>
        </w:rPr>
      </w:pPr>
    </w:p>
    <w:p w14:paraId="070C80B1" w14:textId="77777777" w:rsidR="00716C73" w:rsidRPr="00D46243" w:rsidRDefault="00716C73" w:rsidP="007B77FF">
      <w:pPr>
        <w:spacing w:line="360" w:lineRule="auto"/>
        <w:jc w:val="both"/>
      </w:pPr>
      <w:r w:rsidRPr="00D46243">
        <w:t xml:space="preserve">1 Grupo de Investigación Neurociencia, Efectividad Clínica y Salud Pública, Universidad Científica del Sur, Lima, Perú. </w:t>
      </w:r>
    </w:p>
    <w:p w14:paraId="05B1CB3D" w14:textId="77777777" w:rsidR="00716C73" w:rsidRPr="00D46243" w:rsidRDefault="00716C73" w:rsidP="007B77FF">
      <w:pPr>
        <w:spacing w:line="360" w:lineRule="auto"/>
        <w:jc w:val="both"/>
      </w:pPr>
      <w:r w:rsidRPr="00D46243">
        <w:t xml:space="preserve">2 Grupo Estudiantil de Investigación en Neurociencias, SOCIEM-USMP, Lima, Peru. </w:t>
      </w:r>
    </w:p>
    <w:p w14:paraId="10CE9AD6" w14:textId="77777777" w:rsidR="00716C73" w:rsidRPr="00D46243" w:rsidRDefault="00716C73" w:rsidP="007B77FF">
      <w:pPr>
        <w:spacing w:line="360" w:lineRule="auto"/>
        <w:jc w:val="both"/>
      </w:pPr>
      <w:r w:rsidRPr="00D46243">
        <w:t xml:space="preserve">3 Facultad de Medicina Humana, Universidad de San Martín de Porres, Lima, Peru. </w:t>
      </w:r>
    </w:p>
    <w:p w14:paraId="6116B5A5" w14:textId="77777777" w:rsidR="00716C73" w:rsidRPr="00D46243" w:rsidRDefault="00716C73" w:rsidP="007B77FF">
      <w:pPr>
        <w:spacing w:line="360" w:lineRule="auto"/>
        <w:jc w:val="both"/>
      </w:pPr>
      <w:r w:rsidRPr="00D46243">
        <w:t>4 Red de Eficacia Clínica y Sanitaria (REDECS), Lima, Peru</w:t>
      </w:r>
    </w:p>
    <w:p w14:paraId="3F4353BB" w14:textId="77777777" w:rsidR="00716C73" w:rsidRPr="00D46243" w:rsidRDefault="00716C73" w:rsidP="007B77FF">
      <w:pPr>
        <w:spacing w:line="360" w:lineRule="auto"/>
        <w:jc w:val="both"/>
      </w:pPr>
      <w:r w:rsidRPr="00D46243">
        <w:t>5 Universidad Científica del Sur, Facultad de Ciencias de la Salud, Lima, Peru.</w:t>
      </w:r>
    </w:p>
    <w:p w14:paraId="12C93F95" w14:textId="14F01024" w:rsidR="00A84485" w:rsidRPr="00D46243" w:rsidRDefault="00716C73" w:rsidP="007B77FF">
      <w:pPr>
        <w:spacing w:line="360" w:lineRule="auto"/>
        <w:jc w:val="both"/>
      </w:pPr>
      <w:r w:rsidRPr="00D46243">
        <w:t>6 Cognitive Impairment Diagnosis and Dementia Prevention Unit, Instituto Peruano de Neurociencias, Lima, Peru.</w:t>
      </w:r>
    </w:p>
    <w:p w14:paraId="4D98EA14" w14:textId="77777777" w:rsidR="00A84485" w:rsidRPr="00D46243" w:rsidRDefault="00A84485"/>
    <w:p w14:paraId="40F7E874" w14:textId="07F02AF8" w:rsidR="004E0F2B" w:rsidRPr="00D46243" w:rsidRDefault="004E0F2B" w:rsidP="004E0F2B">
      <w:pPr>
        <w:rPr>
          <w:b/>
          <w:bCs/>
        </w:rPr>
      </w:pPr>
      <w:r w:rsidRPr="00D46243">
        <w:rPr>
          <w:b/>
          <w:bCs/>
        </w:rPr>
        <w:t>Correspondence</w:t>
      </w:r>
    </w:p>
    <w:p w14:paraId="23AD112F" w14:textId="77777777" w:rsidR="004E0F2B" w:rsidRPr="00D46243" w:rsidRDefault="004E0F2B" w:rsidP="004E0F2B">
      <w:pPr>
        <w:rPr>
          <w:b/>
          <w:bCs/>
        </w:rPr>
      </w:pPr>
    </w:p>
    <w:p w14:paraId="467D2D19" w14:textId="4B35E63E" w:rsidR="004E0F2B" w:rsidRPr="00D46243" w:rsidRDefault="00611B58" w:rsidP="004E0F2B">
      <w:pPr>
        <w:rPr>
          <w:rFonts w:cs="Times New Roman"/>
          <w:bCs/>
          <w:szCs w:val="24"/>
        </w:rPr>
      </w:pPr>
      <w:r w:rsidRPr="00D46243">
        <w:rPr>
          <w:rFonts w:cs="Times New Roman"/>
          <w:szCs w:val="24"/>
        </w:rPr>
        <w:t>Carlos Alva Dìaz</w:t>
      </w:r>
      <w:r w:rsidRPr="00D46243">
        <w:rPr>
          <w:rFonts w:cs="Times New Roman"/>
          <w:szCs w:val="24"/>
        </w:rPr>
        <w:br/>
      </w:r>
      <w:hyperlink r:id="rId6" w:history="1">
        <w:r w:rsidRPr="00D46243">
          <w:rPr>
            <w:rStyle w:val="Hipervnculo"/>
            <w:rFonts w:cs="Times New Roman"/>
            <w:bCs/>
            <w:szCs w:val="24"/>
          </w:rPr>
          <w:t>carlos.alexander.alva@gmail.com</w:t>
        </w:r>
      </w:hyperlink>
    </w:p>
    <w:p w14:paraId="4572175B" w14:textId="77777777" w:rsidR="00611B58" w:rsidRPr="00D46243" w:rsidRDefault="00611B58" w:rsidP="004E0F2B"/>
    <w:p w14:paraId="5C1DB75B" w14:textId="77777777" w:rsidR="00A84485" w:rsidRPr="009E5737" w:rsidRDefault="00CE65FD">
      <w:pPr>
        <w:rPr>
          <w:b/>
          <w:sz w:val="30"/>
          <w:szCs w:val="30"/>
          <w:lang w:val="en-US"/>
        </w:rPr>
      </w:pPr>
      <w:r w:rsidRPr="009E5737">
        <w:rPr>
          <w:b/>
          <w:sz w:val="30"/>
          <w:szCs w:val="30"/>
          <w:lang w:val="en-US"/>
        </w:rPr>
        <w:t>Abstract</w:t>
      </w:r>
    </w:p>
    <w:p w14:paraId="7B101065" w14:textId="77777777" w:rsidR="00A84485" w:rsidRPr="009E5737" w:rsidRDefault="00A84485">
      <w:pPr>
        <w:rPr>
          <w:lang w:val="en-US"/>
        </w:rPr>
      </w:pPr>
    </w:p>
    <w:p w14:paraId="3251F9F0" w14:textId="32FFF3C1" w:rsidR="00A84485" w:rsidRPr="009E5737" w:rsidRDefault="00CE65FD" w:rsidP="00046ED5">
      <w:pPr>
        <w:spacing w:line="360" w:lineRule="auto"/>
        <w:jc w:val="both"/>
        <w:rPr>
          <w:lang w:val="en-US"/>
        </w:rPr>
      </w:pPr>
      <w:r w:rsidRPr="009E5737">
        <w:rPr>
          <w:b/>
          <w:bCs/>
          <w:lang w:val="en-US"/>
        </w:rPr>
        <w:t>Objective</w:t>
      </w:r>
      <w:r w:rsidRPr="009E5737">
        <w:rPr>
          <w:lang w:val="en-US"/>
        </w:rPr>
        <w:t>:</w:t>
      </w:r>
      <w:r w:rsidR="00FA11DA" w:rsidRPr="009E5737">
        <w:rPr>
          <w:lang w:val="en-US"/>
        </w:rPr>
        <w:t xml:space="preserve"> Describe the costs related to Fronto-Temporal Dementia (FTD) in Latin-American (LA) countries.</w:t>
      </w:r>
    </w:p>
    <w:p w14:paraId="0DEE40C9" w14:textId="7612E66D" w:rsidR="00A84485" w:rsidRPr="009E5737" w:rsidRDefault="00CE65FD" w:rsidP="00046ED5">
      <w:pPr>
        <w:spacing w:line="360" w:lineRule="auto"/>
        <w:jc w:val="both"/>
        <w:rPr>
          <w:lang w:val="en-US"/>
        </w:rPr>
      </w:pPr>
      <w:r w:rsidRPr="009E5737">
        <w:rPr>
          <w:b/>
          <w:bCs/>
          <w:lang w:val="en-US"/>
        </w:rPr>
        <w:t>Introduction</w:t>
      </w:r>
      <w:r w:rsidRPr="009E5737">
        <w:rPr>
          <w:lang w:val="en-US"/>
        </w:rPr>
        <w:t>:</w:t>
      </w:r>
      <w:r w:rsidR="00796DE3" w:rsidRPr="009E5737">
        <w:rPr>
          <w:lang w:val="en-US"/>
        </w:rPr>
        <w:t xml:space="preserve"> </w:t>
      </w:r>
      <w:r w:rsidR="00FA11DA" w:rsidRPr="009E5737">
        <w:rPr>
          <w:lang w:val="en-US"/>
        </w:rPr>
        <w:t>FTD</w:t>
      </w:r>
      <w:r w:rsidR="00796DE3" w:rsidRPr="009E5737">
        <w:rPr>
          <w:lang w:val="en-US"/>
        </w:rPr>
        <w:t xml:space="preserve"> is a complex syndrome characterized by changes in behavior, language, executive control, and motor symptoms. Its annual economic burden per patient in developed countries has been classified as considerable, amounting to US$119,654 per patient, almost double the patient's costs reported for AD. However, there is little information regarding Cost-of-illness (COI) for FTD in LA. We expect this to be higher as its budget represents only 0.001% of the total budget of the health sector in most LA. Therefore, our objective in this systematic review was to describe the costs related to FTD in LA countries. </w:t>
      </w:r>
    </w:p>
    <w:p w14:paraId="08381545" w14:textId="2319BC5A" w:rsidR="00A84485" w:rsidRPr="009E5737" w:rsidRDefault="00CE65FD" w:rsidP="00046ED5">
      <w:pPr>
        <w:spacing w:line="360" w:lineRule="auto"/>
        <w:jc w:val="both"/>
        <w:rPr>
          <w:lang w:val="en-US"/>
        </w:rPr>
      </w:pPr>
      <w:r w:rsidRPr="009E5737">
        <w:rPr>
          <w:b/>
          <w:bCs/>
          <w:lang w:val="en-US"/>
        </w:rPr>
        <w:lastRenderedPageBreak/>
        <w:t>Inclusion criteria</w:t>
      </w:r>
      <w:r w:rsidRPr="009E5737">
        <w:rPr>
          <w:lang w:val="en-US"/>
        </w:rPr>
        <w:t>:</w:t>
      </w:r>
      <w:r w:rsidR="004739B5" w:rsidRPr="009E5737">
        <w:rPr>
          <w:lang w:val="en-US"/>
        </w:rPr>
        <w:t xml:space="preserve"> We will include COI observational studies on FTD conducted in Latin American countries and published in English, Spanish, or Portuguese from inception to September 2020.</w:t>
      </w:r>
    </w:p>
    <w:p w14:paraId="6A94BF05" w14:textId="41C7A5A1" w:rsidR="00A84485" w:rsidRPr="009E5737" w:rsidRDefault="00CE65FD" w:rsidP="00046ED5">
      <w:pPr>
        <w:spacing w:line="360" w:lineRule="auto"/>
        <w:jc w:val="both"/>
        <w:rPr>
          <w:lang w:val="en-US"/>
        </w:rPr>
      </w:pPr>
      <w:r w:rsidRPr="009E5737">
        <w:rPr>
          <w:b/>
          <w:bCs/>
          <w:lang w:val="en-US"/>
        </w:rPr>
        <w:t>Methods</w:t>
      </w:r>
      <w:r w:rsidRPr="009E5737">
        <w:rPr>
          <w:lang w:val="en-US"/>
        </w:rPr>
        <w:t>:</w:t>
      </w:r>
      <w:r w:rsidR="004739B5" w:rsidRPr="009E5737">
        <w:rPr>
          <w:lang w:val="en-US"/>
        </w:rPr>
        <w:t xml:space="preserve"> We will perform a systematic search in Pubmed / Medline, Scopus, Web of Science, Scielo, Cochrane and gray literature. Studies </w:t>
      </w:r>
      <w:r w:rsidR="002870DB" w:rsidRPr="009E5737">
        <w:rPr>
          <w:lang w:val="en-US"/>
        </w:rPr>
        <w:t>will be</w:t>
      </w:r>
      <w:r w:rsidR="004739B5" w:rsidRPr="009E5737">
        <w:rPr>
          <w:lang w:val="en-US"/>
        </w:rPr>
        <w:t xml:space="preserve"> selected by two independent authors, with a third author participating in discrepancies. Data </w:t>
      </w:r>
      <w:r w:rsidR="00DE31D1" w:rsidRPr="009E5737">
        <w:rPr>
          <w:lang w:val="en-US"/>
        </w:rPr>
        <w:t>will be</w:t>
      </w:r>
      <w:r w:rsidR="004739B5" w:rsidRPr="009E5737">
        <w:rPr>
          <w:lang w:val="en-US"/>
        </w:rPr>
        <w:t xml:space="preserve"> then extracted. For quality assessment, we </w:t>
      </w:r>
      <w:r w:rsidR="00F45B72" w:rsidRPr="009E5737">
        <w:rPr>
          <w:lang w:val="en-US"/>
        </w:rPr>
        <w:t>will use</w:t>
      </w:r>
      <w:r w:rsidR="004739B5" w:rsidRPr="009E5737">
        <w:rPr>
          <w:lang w:val="en-US"/>
        </w:rPr>
        <w:t xml:space="preserve"> a COI assessment tool available in the literature. All costs </w:t>
      </w:r>
      <w:r w:rsidR="00E86EC7" w:rsidRPr="009E5737">
        <w:rPr>
          <w:lang w:val="en-US"/>
        </w:rPr>
        <w:t>will be</w:t>
      </w:r>
      <w:r w:rsidR="004739B5" w:rsidRPr="009E5737">
        <w:rPr>
          <w:lang w:val="en-US"/>
        </w:rPr>
        <w:t xml:space="preserve"> reported in USD for one month and adjusted for inflation. </w:t>
      </w:r>
    </w:p>
    <w:p w14:paraId="6771238B" w14:textId="77777777" w:rsidR="00A84485" w:rsidRPr="009E5737" w:rsidRDefault="00A84485">
      <w:pPr>
        <w:rPr>
          <w:lang w:val="en-US"/>
        </w:rPr>
      </w:pPr>
    </w:p>
    <w:p w14:paraId="7A6D6794" w14:textId="42F7D277" w:rsidR="00A84485" w:rsidRPr="009E5737" w:rsidRDefault="00CE65FD">
      <w:pPr>
        <w:rPr>
          <w:lang w:val="en-US"/>
        </w:rPr>
      </w:pPr>
      <w:r w:rsidRPr="009E5737">
        <w:rPr>
          <w:b/>
          <w:bCs/>
          <w:lang w:val="en-US"/>
        </w:rPr>
        <w:t>Keywords</w:t>
      </w:r>
      <w:r w:rsidRPr="009E5737">
        <w:rPr>
          <w:lang w:val="en-US"/>
        </w:rPr>
        <w:t xml:space="preserve">: </w:t>
      </w:r>
      <w:r w:rsidR="002F095C" w:rsidRPr="009E5737">
        <w:rPr>
          <w:bCs/>
          <w:lang w:val="en-US"/>
        </w:rPr>
        <w:t>Dementia, Frontotemporal Dementia, Costs, and Cost Analysis, Systematic review, Latin America</w:t>
      </w:r>
    </w:p>
    <w:p w14:paraId="522BA209" w14:textId="77777777" w:rsidR="00A84485" w:rsidRPr="009E5737" w:rsidRDefault="00A84485">
      <w:pPr>
        <w:rPr>
          <w:lang w:val="en-US"/>
        </w:rPr>
      </w:pPr>
    </w:p>
    <w:p w14:paraId="6EF4041D" w14:textId="77777777" w:rsidR="00A84485" w:rsidRPr="009E5737" w:rsidRDefault="00A84485">
      <w:pPr>
        <w:rPr>
          <w:lang w:val="en-US"/>
        </w:rPr>
      </w:pPr>
    </w:p>
    <w:p w14:paraId="224ECC5D" w14:textId="77777777" w:rsidR="00A84485" w:rsidRPr="009E5737" w:rsidRDefault="00A84485">
      <w:pPr>
        <w:rPr>
          <w:lang w:val="en-US"/>
        </w:rPr>
      </w:pPr>
    </w:p>
    <w:p w14:paraId="4402E121" w14:textId="77777777" w:rsidR="00A84485" w:rsidRPr="009E5737" w:rsidRDefault="00A84485">
      <w:pPr>
        <w:rPr>
          <w:lang w:val="en-US"/>
        </w:rPr>
      </w:pPr>
    </w:p>
    <w:p w14:paraId="5C2FB57F" w14:textId="77777777" w:rsidR="004E0F2B" w:rsidRPr="009E5737" w:rsidRDefault="004E0F2B" w:rsidP="0041254F">
      <w:pPr>
        <w:jc w:val="both"/>
        <w:rPr>
          <w:lang w:val="en-US"/>
        </w:rPr>
      </w:pPr>
    </w:p>
    <w:p w14:paraId="06AA420B" w14:textId="77777777" w:rsidR="009674D6" w:rsidRPr="009E5737" w:rsidRDefault="009674D6">
      <w:pPr>
        <w:rPr>
          <w:b/>
          <w:color w:val="002060"/>
          <w:sz w:val="30"/>
          <w:szCs w:val="30"/>
          <w:lang w:val="en-US"/>
        </w:rPr>
      </w:pPr>
      <w:r w:rsidRPr="009E5737">
        <w:rPr>
          <w:b/>
          <w:color w:val="002060"/>
          <w:sz w:val="30"/>
          <w:szCs w:val="30"/>
          <w:lang w:val="en-US"/>
        </w:rPr>
        <w:br w:type="page"/>
      </w:r>
    </w:p>
    <w:p w14:paraId="1BE4FFC2" w14:textId="7A14AFD4" w:rsidR="00A84485" w:rsidRPr="009E5737" w:rsidRDefault="00CE65FD" w:rsidP="0041254F">
      <w:pPr>
        <w:jc w:val="both"/>
        <w:rPr>
          <w:b/>
          <w:color w:val="002060"/>
          <w:sz w:val="30"/>
          <w:szCs w:val="30"/>
          <w:lang w:val="en-US"/>
        </w:rPr>
      </w:pPr>
      <w:r w:rsidRPr="009E5737">
        <w:rPr>
          <w:b/>
          <w:color w:val="002060"/>
          <w:sz w:val="30"/>
          <w:szCs w:val="30"/>
          <w:lang w:val="en-US"/>
        </w:rPr>
        <w:lastRenderedPageBreak/>
        <w:t>Introduction</w:t>
      </w:r>
    </w:p>
    <w:p w14:paraId="6551E2CF" w14:textId="7084B5B4" w:rsidR="00A84485" w:rsidRPr="009E5737" w:rsidRDefault="00A84485" w:rsidP="0041254F">
      <w:pPr>
        <w:jc w:val="both"/>
        <w:rPr>
          <w:lang w:val="en-US"/>
        </w:rPr>
      </w:pPr>
    </w:p>
    <w:p w14:paraId="1275A6CD" w14:textId="124FBD9D" w:rsidR="00CC098F" w:rsidRPr="009E5737" w:rsidRDefault="00CC098F" w:rsidP="00CC098F">
      <w:pPr>
        <w:spacing w:line="360" w:lineRule="auto"/>
        <w:jc w:val="both"/>
        <w:rPr>
          <w:lang w:val="en-US"/>
        </w:rPr>
      </w:pPr>
      <w:r w:rsidRPr="009E5737">
        <w:rPr>
          <w:lang w:val="en-US"/>
        </w:rPr>
        <w:t xml:space="preserve">Fronto-Temporal Dementia (FTD) is a complex syndrome characterized by clinical disorders that include progressive changes in the functions of behavior, language, executive control, and motor symptoms; associated with anterior and frontal temporal lobe degeneration </w:t>
      </w:r>
      <w:r w:rsidRPr="009E5737">
        <w:rPr>
          <w:lang w:val="en-US"/>
        </w:rPr>
        <w:fldChar w:fldCharType="begin" w:fldLock="1"/>
      </w:r>
      <w:r w:rsidR="004B0448" w:rsidRPr="009E5737">
        <w:rPr>
          <w:lang w:val="en-US"/>
        </w:rPr>
        <w:instrText>ADDIN CSL_CITATION {"citationItems":[{"id":"ITEM-1","itemData":{"DOI":"10.20453/rnp.v81i4.3438","ISSN":"0034-8597","abstract":"A mediados del siglo XIX se empezó a enfocar el concepto de Demencia, como una entidad irreversible asociada a la edad, Esquirol fue uno de los primeros en plantear una aproximación descriptiva del cuadro clínico, y Bayle el primero en proponer Demencia como una enfermedad atribuible a lesiones en el sistema nervioso central. Fue alrededor del año 1900, que Alois Alzheimer precisó las lesiones patológicas de dos entidades clínicas distintas, la primera descrita por él mismo, y la segunda por Arnold Pick (conocidas hoy como enfermedad de Alzheimer y demencia frontotemporal respectivamente). Conforme progresaron las técnicas de imágenes cerebrales y estudios de líquido cefalo-raquídeo fueron mejorando los criterios de diagnóstico para los diversos tipos de demencia, con un enfoque clínico-biológico. Las recomendaciones más recientes, sin embargo proponen un enfoque exclusivamente biológico de la enfermedad de Alzheimer.","author":[{"dropping-particle":"","family":"Custodio","given":"Nilton","non-dropping-particle":"","parse-names":false,"suffix":""},{"dropping-particle":"","family":"Montesinos","given":"Rosa","non-dropping-particle":"","parse-names":false,"suffix":""},{"dropping-particle":"","family":"Alarcón","given":"Jorge O.","non-dropping-particle":"","parse-names":false,"suffix":""}],"container-title":"Revista de Neuro-Psiquiatria","id":"ITEM-1","issued":{"date-parts":[["2019"]]},"title":"Evolución histórica del concepto y criterios actuales para el diagnóstico de demencia.","type":"article-journal"},"uris":["http://www.mendeley.com/documents/?uuid=f41144a6-8e35-4c62-bceb-291cf1de0cc2","http://www.mendeley.com/documents/?uuid=6a02614e-a28f-45d9-9cb1-dfe19bc77c6f"]},{"id":"ITEM-2","itemData":{"DOI":"10.2165/11533100-000000000-00000","ISSN":"11727047","PMID":"20369906","abstract":"Frontotemporal lobar degeneration (FTLD) is a clinically and pathologically heterogeneous syndrome, characterized by progressive decline in behaviour or language associated with degeneration of the frontal and anterior temporal lobes. While the seminal cases were described at the turn of the 20th century, FTLD has only recently been appreciated as a leading cause of dementia, particularly in patients presenting before the age of 65 years. Three distinct clinical variants of FTLD have been described: (i) behavioural-variant frontotemporal dementia, characterized by changes in behaviour and personality in association with frontal-predominant cortical degeneration; (ii) semantic dementia, a syndrome of progressive loss of knowledge about words and objects associated with anterior temporal neuronal loss; and (iii) progressive nonfluent aphasia, characterized by effortful language output, loss of grammar and motor speech deficits in the setting of left perisylvian cortical atrophy.The majority of pathologies associated with FTLD clinical syndromes include either tau-positive (FTLD-TAU) or TAR DNA-binding protein 43 (TDP-43)-positive (FTLD-TDP) inclusion bodies. FTLD overlaps clinically and pathologically with the atypical parkinsonian disorders corticobasal degeneration and progressive supranuclear palsy, and with amyotrophic lateral sclerosis. The majority of familial FTLD cases are caused by mutations in the genes encoding microtubule-associated protein tau (leading to FTLD-TAU) or progranulin (leading to FTLD-TDP).The clinical and pathological heterogeneity of FTLD poses a significant diagnostic challenge, and in vivo prediction of underlying histopathology can be significantly improved by supplementing the clinical evaluation with genetic tests and emerging biological markers.Current pharmacotherapy for FTLD focuses on manipulating serotonergic or dopaminergic neurotransmitter systems to ameliorate behavioural or motor symptoms. However, recent advances in FTLD genetics and molecular pathology make the prospect of biologically driven, disease-specific therapies for FTLD seem closer than ever. © 2010 Adis Data Information BV. All rights reserved.","author":[{"dropping-particle":"","family":"Rabinovici","given":"Gil D.","non-dropping-particle":"","parse-names":false,"suffix":""},{"dropping-particle":"","family":"Miller","given":"Bruce L.","non-dropping-particle":"","parse-names":false,"suffix":""}],"container-title":"CNS Drugs","id":"ITEM-2","issued":{"date-parts":[["2010"]]},"title":"Frontotemporal lobar degeneration: Epidemiology, pathophysiology, diagnosis and management","type":"article"},"uris":["http://www.mendeley.com/documents/?uuid=7d039ca5-f8f6-4c86-af44-68e51fb5dbc4","http://www.mendeley.com/documents/?uuid=cf6fb234-b745-4082-880f-32a7b2ef6a63"]}],"mendeley":{"formattedCitation":"(1,2)","plainTextFormattedCitation":"(1,2)","previouslyFormattedCitation":"(1,2)"},"properties":{"noteIndex":0},"schema":"https://github.com/citation-style-language/schema/raw/master/csl-citation.json"}</w:instrText>
      </w:r>
      <w:r w:rsidRPr="009E5737">
        <w:rPr>
          <w:lang w:val="en-US"/>
        </w:rPr>
        <w:fldChar w:fldCharType="separate"/>
      </w:r>
      <w:r w:rsidR="00496E7C" w:rsidRPr="009E5737">
        <w:rPr>
          <w:noProof/>
          <w:lang w:val="en-US"/>
        </w:rPr>
        <w:t>(1,2)</w:t>
      </w:r>
      <w:r w:rsidRPr="009E5737">
        <w:rPr>
          <w:lang w:val="en-US"/>
        </w:rPr>
        <w:fldChar w:fldCharType="end"/>
      </w:r>
      <w:r w:rsidRPr="009E5737">
        <w:rPr>
          <w:lang w:val="en-US"/>
        </w:rPr>
        <w:t>.</w:t>
      </w:r>
      <w:r w:rsidRPr="009E5737">
        <w:rPr>
          <w:rFonts w:eastAsia="Times New Roman" w:cs="Times New Roman"/>
          <w:szCs w:val="24"/>
          <w:lang w:val="en-US"/>
        </w:rPr>
        <w:t xml:space="preserve"> </w:t>
      </w:r>
      <w:r w:rsidRPr="009E5737">
        <w:rPr>
          <w:lang w:val="en-US"/>
        </w:rPr>
        <w:t>This dementia includes three different clinical phenotypes: behavioral variant of a primary progressive aphasia (bvPPA), semantic variant (svPPA), and non-fluent / agrammatic variant of PPA; the most common being the behavioral variant of FTD (bvFTD)</w:t>
      </w:r>
      <w:r w:rsidRPr="009E5737">
        <w:rPr>
          <w:lang w:val="en-US"/>
        </w:rPr>
        <w:fldChar w:fldCharType="begin" w:fldLock="1"/>
      </w:r>
      <w:r w:rsidR="004B0448" w:rsidRPr="009E5737">
        <w:rPr>
          <w:lang w:val="en-US"/>
        </w:rPr>
        <w:instrText>ADDIN CSL_CITATION {"citationItems":[{"id":"ITEM-1","itemData":{"DOI":"10.1016/j.ncl.2017.01.008","ISSN":"15579875","PMID":"28410663","abstract":"Frontotemporal dementia (FTD) is a heterogeneous disorder with distinct clinical phenotypes associated with multiple neuropathologic entities. Presently, the term FTD encompasses clinical disorders that include changes in behavior, language, executive control, and often motor symptoms. The core FTD spectrum disorders include behavioral variant FTD, nonfluent/agrammatic variant primary progressive aphasia, and semantic variant PPA. Related FTD disorders include frontotemporal dementia with motor neuron disease, progressive supranuclear palsy syndrome, and corticobasal syndrome. In this article, the authors discuss the clinical presentation, diagnostic criteria, neuropathology, genetics, and treatments of these disorders.","author":[{"dropping-particle":"","family":"Olney","given":"Nicholas T.","non-dropping-particle":"","parse-names":false,"suffix":""},{"dropping-particle":"","family":"Spina","given":"Salvatore","non-dropping-particle":"","parse-names":false,"suffix":""},{"dropping-particle":"","family":"Miller","given":"Bruce L.","non-dropping-particle":"","parse-names":false,"suffix":""}],"container-title":"Neurologic Clinics","id":"ITEM-1","issue":"2","issued":{"date-parts":[["2017","5","1"]]},"page":"339-374","publisher":"W.B. Saunders","title":"Frontotemporal Dementia","type":"article","volume":"35"},"uris":["http://www.mendeley.com/documents/?uuid=f4e771dd-a8dd-37ec-9f62-6504abd729ef"]}],"mendeley":{"formattedCitation":"(3)","plainTextFormattedCitation":"(3)","previouslyFormattedCitation":"(3)"},"properties":{"noteIndex":0},"schema":"https://github.com/citation-style-language/schema/raw/master/csl-citation.json"}</w:instrText>
      </w:r>
      <w:r w:rsidRPr="009E5737">
        <w:rPr>
          <w:lang w:val="en-US"/>
        </w:rPr>
        <w:fldChar w:fldCharType="separate"/>
      </w:r>
      <w:r w:rsidR="00496E7C" w:rsidRPr="009E5737">
        <w:rPr>
          <w:noProof/>
          <w:lang w:val="en-US"/>
        </w:rPr>
        <w:t>(3)</w:t>
      </w:r>
      <w:r w:rsidRPr="009E5737">
        <w:rPr>
          <w:lang w:val="en-US"/>
        </w:rPr>
        <w:fldChar w:fldCharType="end"/>
      </w:r>
      <w:r w:rsidRPr="009E5737">
        <w:rPr>
          <w:lang w:val="en-US"/>
        </w:rPr>
        <w:t xml:space="preserve">. </w:t>
      </w:r>
    </w:p>
    <w:p w14:paraId="4295C716" w14:textId="77777777" w:rsidR="00CC098F" w:rsidRPr="009E5737" w:rsidRDefault="00CC098F" w:rsidP="00CC098F">
      <w:pPr>
        <w:spacing w:line="360" w:lineRule="auto"/>
        <w:jc w:val="both"/>
        <w:rPr>
          <w:lang w:val="en-US"/>
        </w:rPr>
      </w:pPr>
    </w:p>
    <w:p w14:paraId="468CBBBF" w14:textId="4D14B0E7" w:rsidR="00CC098F" w:rsidRPr="009E5737" w:rsidRDefault="00CC098F" w:rsidP="00CC098F">
      <w:pPr>
        <w:spacing w:line="360" w:lineRule="auto"/>
        <w:jc w:val="both"/>
        <w:rPr>
          <w:lang w:val="en-US"/>
        </w:rPr>
      </w:pPr>
      <w:r w:rsidRPr="009E5737">
        <w:rPr>
          <w:lang w:val="en-US"/>
        </w:rPr>
        <w:t xml:space="preserve">Worldwide, FTD represents up to 5-6% of all dementias. Although less frequent than Alzheimer's disease (AD) </w:t>
      </w:r>
      <w:r w:rsidRPr="009E5737">
        <w:rPr>
          <w:lang w:val="en-US"/>
        </w:rPr>
        <w:fldChar w:fldCharType="begin" w:fldLock="1"/>
      </w:r>
      <w:r w:rsidR="004B0448" w:rsidRPr="009E5737">
        <w:rPr>
          <w:lang w:val="en-US"/>
        </w:rPr>
        <w:instrText>ADDIN CSL_CITATION {"citationItems":[{"id":"ITEM-1","itemData":{"DOI":"10.2165/11533100-000000000-00000","ISSN":"11727047","PMID":"20369906","abstract":"Frontotemporal lobar degeneration (FTLD) is a clinically and pathologically heterogeneous syndrome, characterized by progressive decline in behaviour or language associated with degeneration of the frontal and anterior temporal lobes. While the seminal cases were described at the turn of the 20th century, FTLD has only recently been appreciated as a leading cause of dementia, particularly in patients presenting before the age of 65 years. Three distinct clinical variants of FTLD have been described: (i) behavioural-variant frontotemporal dementia, characterized by changes in behaviour and personality in association with frontal-predominant cortical degeneration; (ii) semantic dementia, a syndrome of progressive loss of knowledge about words and objects associated with anterior temporal neuronal loss; and (iii) progressive nonfluent aphasia, characterized by effortful language output, loss of grammar and motor speech deficits in the setting of left perisylvian cortical atrophy.The majority of pathologies associated with FTLD clinical syndromes include either tau-positive (FTLD-TAU) or TAR DNA-binding protein 43 (TDP-43)-positive (FTLD-TDP) inclusion bodies. FTLD overlaps clinically and pathologically with the atypical parkinsonian disorders corticobasal degeneration and progressive supranuclear palsy, and with amyotrophic lateral sclerosis. The majority of familial FTLD cases are caused by mutations in the genes encoding microtubule-associated protein tau (leading to FTLD-TAU) or progranulin (leading to FTLD-TDP).The clinical and pathological heterogeneity of FTLD poses a significant diagnostic challenge, and in vivo prediction of underlying histopathology can be significantly improved by supplementing the clinical evaluation with genetic tests and emerging biological markers.Current pharmacotherapy for FTLD focuses on manipulating serotonergic or dopaminergic neurotransmitter systems to ameliorate behavioural or motor symptoms. However, recent advances in FTLD genetics and molecular pathology make the prospect of biologically driven, disease-specific therapies for FTLD seem closer than ever. © 2010 Adis Data Information BV. All rights reserved.","author":[{"dropping-particle":"","family":"Rabinovici","given":"Gil D.","non-dropping-particle":"","parse-names":false,"suffix":""},{"dropping-particle":"","family":"Miller","given":"Bruce L.","non-dropping-particle":"","parse-names":false,"suffix":""}],"container-title":"CNS Drugs","id":"ITEM-1","issued":{"date-parts":[["2010"]]},"title":"Frontotemporal lobar degeneration: Epidemiology, pathophysiology, diagnosis and management","type":"article"},"uris":["http://www.mendeley.com/documents/?uuid=cf6fb234-b745-4082-880f-32a7b2ef6a63"]},{"id":"ITEM-2","itemData":{"DOI":"10.1212/WNL.58.11.1615","ISSN":"00283878","PMID":"12058088","abstract":"Objective: To estimate the prevalence of frontotemporal dementia (FTD) and other degenerative early-onset dementias in a geographically defined population. Background: Early-onset dementia (at age &lt;65 years) results in high psychiatric morbidity and caregiver burden. Prevalence figures are available for early-onset AD but not for FTD, a dementia that is almost invariably of early onset. Methods: Case ascertainment was by review of case records of three specialist clinic databases and inpatient admissions at a university hospital in Cambridge, United Kingdom, for patients with dementia who were &lt;65 years of age, living in Cambridge City or East or South Cambridgeshire (population 326,019) on May 30, 2000. All the relevant health services in the area were also contacted for potential cases. Diagnosis of various dementias was based on published criteria. All patients with potential FTD were examined by the study investigators and underwent structural neuroimaging. The 1998 population estimates for the area were used to calculate age and sex prevalence with confidence intervals for AD, FTD, and other causes of dementia. Results: A total of 108 patients (66 men and 42 women) with dementia with onset before they were 65 years of age were identified, of whom 60 were &lt;65 years on the census date, giving an overall prevalence of 81 (95% CI, 62.8 to 104.5) per 100,000 in the 45- to 64-year age group. The prevalences of early-onset FTD and AD were the same: 15 per 100,000 (8.4 to 27.0) in the 45- to 64-year-old population. The mean age at onset of FTD was 52.8 years and there was a striking male preponderance (14:3). It is possible case ascertainment methods resulted in a relative underrepresentation of some forms of dementia. Conclusions: Frontotemporal dementia is a more common cause of early-onset dementia than previously recognized and appears to be more common in men.","author":[{"dropping-particle":"","family":"Ratnavalli","given":"E.","non-dropping-particle":"","parse-names":false,"suffix":""},{"dropping-particle":"","family":"Brayne","given":"C.","non-dropping-particle":"","parse-names":false,"suffix":""},{"dropping-particle":"","family":"Dawson","given":"K.","non-dropping-particle":"","parse-names":false,"suffix":""},{"dropping-particle":"","family":"Hodges","given":"J. R.","non-dropping-particle":"","parse-names":false,"suffix":""}],"container-title":"Neurology","id":"ITEM-2","issue":"11","issued":{"date-parts":[["2002","6","11"]]},"page":"1615-1621","publisher":"Lippincott Williams and Wilkins","title":"The prevalence of frontotemporal dementia","type":"article-journal","volume":"58"},"uris":["http://www.mendeley.com/documents/?uuid=b7f06bcd-3f99-3db2-ae2c-fec1084320d9"]},{"id":"ITEM-3","itemData":{"DOI":"10.1016/S0072-9752(07)01232-8","ISBN":"9780444518989","ISSN":"00729752","PMID":"18631758","author":[{"dropping-particle":"","family":"Swieten","given":"John C.","non-dropping-particle":"van","parse-names":false,"suffix":""},{"dropping-particle":"","family":"Rosso","given":"Sonia M.","non-dropping-particle":"","parse-names":false,"suffix":""}],"container-title":"Handbook of Clinical Neurology","id":"ITEM-3","issued":{"date-parts":[["2008"]]},"page":"331-341","publisher":"Handb Clin Neurol","title":"Epidemiological aspects of frontotemporal dementia","type":"article","volume":"89"},"uris":["http://www.mendeley.com/documents/?uuid=d0ac4911-7e5a-38be-b3d6-655315cad937"]}],"mendeley":{"formattedCitation":"(2,4,5)","plainTextFormattedCitation":"(2,4,5)","previouslyFormattedCitation":"(2,4,5)"},"properties":{"noteIndex":0},"schema":"https://github.com/citation-style-language/schema/raw/master/csl-citation.json"}</w:instrText>
      </w:r>
      <w:r w:rsidRPr="009E5737">
        <w:rPr>
          <w:lang w:val="en-US"/>
        </w:rPr>
        <w:fldChar w:fldCharType="separate"/>
      </w:r>
      <w:r w:rsidR="00496E7C" w:rsidRPr="009E5737">
        <w:rPr>
          <w:noProof/>
          <w:lang w:val="en-US"/>
        </w:rPr>
        <w:t>(2,4,5)</w:t>
      </w:r>
      <w:r w:rsidRPr="009E5737">
        <w:rPr>
          <w:lang w:val="en-US"/>
        </w:rPr>
        <w:fldChar w:fldCharType="end"/>
      </w:r>
      <w:r w:rsidRPr="009E5737">
        <w:rPr>
          <w:lang w:val="en-US"/>
        </w:rPr>
        <w:t xml:space="preserve">, it is the second most common dementia in people under 65. FTD has an incidence of 1.61/100,000 and mortality of 1.56/100,000 person-years </w:t>
      </w:r>
      <w:r w:rsidRPr="009E5737">
        <w:rPr>
          <w:lang w:val="en-US"/>
        </w:rPr>
        <w:fldChar w:fldCharType="begin" w:fldLock="1"/>
      </w:r>
      <w:r w:rsidR="004B0448" w:rsidRPr="009E5737">
        <w:rPr>
          <w:lang w:val="en-US"/>
        </w:rPr>
        <w:instrText>ADDIN CSL_CITATION {"citationItems":[{"id":"ITEM-1","itemData":{"DOI":"10.1212/WNL.0000000000002638","ISSN":"1526632X","PMID":"27037234","abstract":"Objectives: To estimate the lifetime risk, prevalence, incidence, and mortality of the principal clinical syndromes associated with frontotemporal lobar degeneration (FTLD) using revised diagnostic criteria and including intermediate clinical phenotypes. Methods: Multisource referral over 2 years to identify all diagnosed or suspected cases of frontotemporal dementia (FTD), progressive supranuclear palsy (PSP), or corticobasal syndrome (CBS) in 2 UK counties (population 1.69 million). Diagnostic confirmation used current consensus diagnostic criteria after interview and reexamination. Results were adjusted to the 2013 European standard population. Results: The prevalence of FTD, PSP, and CBS was 10.8/100,000. The incidence and mortality were very similar, at 1.61/100,000 and 1.56/100,000 person-years, respectively. The estimated lifetime risk is 1 in 742. Survival following diagnosis varied widely: from PSP 2.9 years to semantic variant FTD 9.1 years. Age-adjusted prevalence peaked between 65 and 69 years at 42.6/100,000: the age-adjusted prevalence for persons older than 65 years is double the prevalence for those between 40 and 64 years. Fifteen percent of those screened had a relevant genetic mutation. Conclusions: Key features of this study include the revised diagnostic criteria with improved specificity and sensitivity, an unrestricted age range, and simultaneous assessment of multiple FTLD syndromes. The prevalence of FTD, PSP, and CBS increases beyond 65 years, with frequent genetic causes. The time from onset to diagnosis and from diagnosis to death varies widely among syndromes, emphasizing the challenge and importance of accurate and timely diagnosis. A high index of suspicion for FTLD syndromes is required by clinicians, even for older patients.","author":[{"dropping-particle":"","family":"Coyle-Gilchrist","given":"Ian T.S.","non-dropping-particle":"","parse-names":false,"suffix":""},{"dropping-particle":"","family":"Dick","given":"Katrina M.","non-dropping-particle":"","parse-names":false,"suffix":""},{"dropping-particle":"","family":"Patterson","given":"Karalyn","non-dropping-particle":"","parse-names":false,"suffix":""},{"dropping-particle":"","family":"Rodríquez","given":"Patricia Vázquez","non-dropping-particle":"","parse-names":false,"suffix":""},{"dropping-particle":"","family":"Wehmann","given":"Eileen","non-dropping-particle":"","parse-names":false,"suffix":""},{"dropping-particle":"","family":"Wilcox","given":"Alicia","non-dropping-particle":"","parse-names":false,"suffix":""},{"dropping-particle":"","family":"Lansdall","given":"Claire J.","non-dropping-particle":"","parse-names":false,"suffix":""},{"dropping-particle":"","family":"Dawson","given":"Kate E.","non-dropping-particle":"","parse-names":false,"suffix":""},{"dropping-particle":"","family":"Wiggins","given":"Julie","non-dropping-particle":"","parse-names":false,"suffix":""},{"dropping-particle":"","family":"Mead","given":"Simon","non-dropping-particle":"","parse-names":false,"suffix":""},{"dropping-particle":"","family":"Brayne","given":"Carol","non-dropping-particle":"","parse-names":false,"suffix":""},{"dropping-particle":"","family":"Rowe","given":"James B.","non-dropping-particle":"","parse-names":false,"suffix":""}],"container-title":"Neurology","id":"ITEM-1","issue":"18","issued":{"date-parts":[["2016","5","3"]]},"page":"1736-1743","publisher":"Lippincott Williams and Wilkins","title":"Prevalence, characteristics, and survival of frontotemporal lobar degeneration syndromes","type":"article-journal","volume":"86"},"uris":["http://www.mendeley.com/documents/?uuid=1407982d-6c96-3309-a15e-f61e2578d451"]}],"mendeley":{"formattedCitation":"(6)","plainTextFormattedCitation":"(6)","previouslyFormattedCitation":"(6)"},"properties":{"noteIndex":0},"schema":"https://github.com/citation-style-language/schema/raw/master/csl-citation.json"}</w:instrText>
      </w:r>
      <w:r w:rsidRPr="009E5737">
        <w:rPr>
          <w:lang w:val="en-US"/>
        </w:rPr>
        <w:fldChar w:fldCharType="separate"/>
      </w:r>
      <w:r w:rsidR="00496E7C" w:rsidRPr="009E5737">
        <w:rPr>
          <w:noProof/>
          <w:lang w:val="en-US"/>
        </w:rPr>
        <w:t>(6)</w:t>
      </w:r>
      <w:r w:rsidRPr="009E5737">
        <w:rPr>
          <w:lang w:val="en-US"/>
        </w:rPr>
        <w:fldChar w:fldCharType="end"/>
      </w:r>
      <w:r w:rsidRPr="009E5737">
        <w:rPr>
          <w:lang w:val="en-US"/>
        </w:rPr>
        <w:t xml:space="preserve">. It is considered early-onset dementia since it can present with an incidence of up to 10.8/100,000 people with a peak between 65 and 69 years of age </w:t>
      </w:r>
      <w:r w:rsidRPr="009E5737">
        <w:rPr>
          <w:lang w:val="en-US"/>
        </w:rPr>
        <w:fldChar w:fldCharType="begin" w:fldLock="1"/>
      </w:r>
      <w:r w:rsidR="004B0448" w:rsidRPr="009E5737">
        <w:rPr>
          <w:lang w:val="en-US"/>
        </w:rPr>
        <w:instrText>ADDIN CSL_CITATION {"citationItems":[{"id":"ITEM-1","itemData":{"DOI":"10.2165/11533100-000000000-00000","ISSN":"11727047","PMID":"20369906","abstract":"Frontotemporal lobar degeneration (FTLD) is a clinically and pathologically heterogeneous syndrome, characterized by progressive decline in behaviour or language associated with degeneration of the frontal and anterior temporal lobes. While the seminal cases were described at the turn of the 20th century, FTLD has only recently been appreciated as a leading cause of dementia, particularly in patients presenting before the age of 65 years. Three distinct clinical variants of FTLD have been described: (i) behavioural-variant frontotemporal dementia, characterized by changes in behaviour and personality in association with frontal-predominant cortical degeneration; (ii) semantic dementia, a syndrome of progressive loss of knowledge about words and objects associated with anterior temporal neuronal loss; and (iii) progressive nonfluent aphasia, characterized by effortful language output, loss of grammar and motor speech deficits in the setting of left perisylvian cortical atrophy.The majority of pathologies associated with FTLD clinical syndromes include either tau-positive (FTLD-TAU) or TAR DNA-binding protein 43 (TDP-43)-positive (FTLD-TDP) inclusion bodies. FTLD overlaps clinically and pathologically with the atypical parkinsonian disorders corticobasal degeneration and progressive supranuclear palsy, and with amyotrophic lateral sclerosis. The majority of familial FTLD cases are caused by mutations in the genes encoding microtubule-associated protein tau (leading to FTLD-TAU) or progranulin (leading to FTLD-TDP).The clinical and pathological heterogeneity of FTLD poses a significant diagnostic challenge, and in vivo prediction of underlying histopathology can be significantly improved by supplementing the clinical evaluation with genetic tests and emerging biological markers.Current pharmacotherapy for FTLD focuses on manipulating serotonergic or dopaminergic neurotransmitter systems to ameliorate behavioural or motor symptoms. However, recent advances in FTLD genetics and molecular pathology make the prospect of biologically driven, disease-specific therapies for FTLD seem closer than ever. © 2010 Adis Data Information BV. All rights reserved.","author":[{"dropping-particle":"","family":"Rabinovici","given":"Gil D.","non-dropping-particle":"","parse-names":false,"suffix":""},{"dropping-particle":"","family":"Miller","given":"Bruce L.","non-dropping-particle":"","parse-names":false,"suffix":""}],"container-title":"CNS Drugs","id":"ITEM-1","issued":{"date-parts":[["2010"]]},"title":"Frontotemporal lobar degeneration: Epidemiology, pathophysiology, diagnosis and management","type":"article"},"uris":["http://www.mendeley.com/documents/?uuid=cf6fb234-b745-4082-880f-32a7b2ef6a63"]},{"id":"ITEM-2","itemData":{"DOI":"10.2174/1745017901309010088","ISSN":"17450179","PMID":"23878613","abstract":"Presenile Dementia or Early Onset Dementia (EOD) is a public health problem, it differs from Senile Dementia, and encloses a significant number of cases; nevertheless, it is still poorly understood and underdiagnosed. This study aims to review the prevalence and etiology of EOD, comparing EOD with Senile Dementia, as well as to show the main causes of EOD and their prevalence in population and non-population based studies. The computer-supported search used the following databases: Pubmed/Medline, ISI Web of Knowledge and Scielo. The search terms were alcohol-associated dementia, Alzheimer's disease, dementia, Creutzfeldt-jakob disease, dementia with lewy bodies, early onset dementia, frontotemporal lobar degeneration, Huntington's disease, mixed dementia, neurodegenerative disorders, Parkinson's disease dementia, presenile dementia, traumatic brain injury, vascular dementia. Only papers published in English and conducted from 1985 up to 2012 were preferentially reviewed. Neurodegenerative diseases are the most common etiologies seen in EOD. Among the general population, the prevalence of EOD was found to range between 0 to 700 per 100.000 habitants in groups of 25-64 years old, with an increasing incidence with age. The progression of EOD was found to range between 8.3 to 22.8 new cases per 100.000 in those aged under 65 years. Alzheimer's disease (AD) is the major etiology, followed by Vascular Dementia (VaD) and Frontotemporal Lobar Degeneration (FTLD). A larger number of epidemiological studies to elucidate how environmental issues contribute to EOD are necessary, thus, we can collaborate in the planning and prevention of services toward dementia patients.","author":[{"dropping-particle":"","family":"Vieira","given":"Renata Teles","non-dropping-particle":"","parse-names":false,"suffix":""}],"container-title":"Clinical Practice &amp; Epidemiology in Mental Health","id":"ITEM-2","issue":"1","issued":{"date-parts":[["2013","7","19"]]},"page":"88-95","publisher":"Bentham Science Publishers Ltd.","title":"Epidemiology of early-onset dementia: a review of the literature","type":"article-journal","volume":"9"},"uris":["http://www.mendeley.com/documents/?uuid=a115d031-a9e3-3e06-bfbe-9a163ba45505"]}],"mendeley":{"formattedCitation":"(2,7)","plainTextFormattedCitation":"(2,7)","previouslyFormattedCitation":"(2,7)"},"properties":{"noteIndex":0},"schema":"https://github.com/citation-style-language/schema/raw/master/csl-citation.json"}</w:instrText>
      </w:r>
      <w:r w:rsidRPr="009E5737">
        <w:rPr>
          <w:lang w:val="en-US"/>
        </w:rPr>
        <w:fldChar w:fldCharType="separate"/>
      </w:r>
      <w:r w:rsidR="00496E7C" w:rsidRPr="009E5737">
        <w:rPr>
          <w:noProof/>
          <w:lang w:val="en-US"/>
        </w:rPr>
        <w:t>(2,7)</w:t>
      </w:r>
      <w:r w:rsidRPr="009E5737">
        <w:rPr>
          <w:lang w:val="en-US"/>
        </w:rPr>
        <w:fldChar w:fldCharType="end"/>
      </w:r>
      <w:r w:rsidRPr="009E5737">
        <w:rPr>
          <w:lang w:val="en-US"/>
        </w:rPr>
        <w:t xml:space="preserve">. In Latin American (LA) communities, FTD prevalence rates of 1.2-1.8 / 1000 people have been described in populations over 60 years of age in Venezuela, Peru, and Brazil </w:t>
      </w:r>
      <w:r w:rsidRPr="009E5737">
        <w:rPr>
          <w:lang w:val="en-US"/>
        </w:rPr>
        <w:fldChar w:fldCharType="begin" w:fldLock="1"/>
      </w:r>
      <w:r w:rsidR="004B0448" w:rsidRPr="009E5737">
        <w:rPr>
          <w:lang w:val="en-US"/>
        </w:rPr>
        <w:instrText>ADDIN CSL_CITATION {"citationItems":[{"id":"ITEM-1","itemData":{"DOI":"10.1590/S1980-57642013DN70100005","ISSN":"19805764","abstract":"Latin America (LA) is experiencing a rise in the elderly population and a consequent increase in geriatric problems such as dementia. There are few epidemiological studies assessing the magnitude of dementia and dementia subtypes in LA. Objective: To identify published community-based studies on the prevalence of FTD in LA countries. Methods: A database search for door-to-door studies on FTD prevalence in LA was performed. The search was carried out on Medline, Embase, and LILACS databases for research conducted between 1994 and 2012. The main inclusion criteria were: use of any internationally accepted diagnostic criteria and investigation of community samples. Results: Four hundred and ninety two articles were found, of which 26 were initially pre-selected by title or abstract review. Five studies from 3 different countries were included. The FTD prevalence rates in community-dwelling elderly were 1.2 (Venezuela), 1.3 (Peru) and 1.7-1.8 (Brazil) per thousand persons, depending on age group. Conclusion: The FTD prevalence in LA studies showed values mid-way between those observed in western and in oriental populations. Despite the magnitude of this problem, epidemiological information on FTD remains scarce in LA.","author":[{"dropping-particle":"","family":"Custodio","given":"Nilton","non-dropping-particle":"","parse-names":false,"suffix":""},{"dropping-particle":"","family":"Herrera-Perez","given":"Eder","non-dropping-particle":"","parse-names":false,"suffix":""},{"dropping-particle":"","family":"Lira","given":"David","non-dropping-particle":"","parse-names":false,"suffix":""},{"dropping-particle":"","family":"Montesinos","given":"Rosa","non-dropping-particle":"","parse-names":false,"suffix":""},{"dropping-particle":"","family":"Bendezu","given":"Liliana","non-dropping-particle":"","parse-names":false,"suffix":""}],"container-title":"Dementia e Neuropsychologia","id":"ITEM-1","issue":"1","issued":{"date-parts":[["2013"]]},"page":"27-32","publisher":"Academia Brasileira de Neurologia","title":"Prevalência De Demência Frontotemporal Em Estudos De Base Comunitária Na America Latina: Uma Revisão Sistemática","type":"article-journal","volume":"7"},"uris":["http://www.mendeley.com/documents/?uuid=d5f52b72-9edd-3cff-8999-6a7a4a84fed1"]}],"mendeley":{"formattedCitation":"(8)","plainTextFormattedCitation":"(8)","previouslyFormattedCitation":"(8)"},"properties":{"noteIndex":0},"schema":"https://github.com/citation-style-language/schema/raw/master/csl-citation.json"}</w:instrText>
      </w:r>
      <w:r w:rsidRPr="009E5737">
        <w:rPr>
          <w:lang w:val="en-US"/>
        </w:rPr>
        <w:fldChar w:fldCharType="separate"/>
      </w:r>
      <w:r w:rsidR="00496E7C" w:rsidRPr="009E5737">
        <w:rPr>
          <w:noProof/>
          <w:lang w:val="en-US"/>
        </w:rPr>
        <w:t>(8)</w:t>
      </w:r>
      <w:r w:rsidRPr="009E5737">
        <w:rPr>
          <w:lang w:val="en-US"/>
        </w:rPr>
        <w:fldChar w:fldCharType="end"/>
      </w:r>
      <w:r w:rsidRPr="009E5737">
        <w:rPr>
          <w:lang w:val="en-US"/>
        </w:rPr>
        <w:t>.</w:t>
      </w:r>
    </w:p>
    <w:p w14:paraId="27352DC6" w14:textId="77777777" w:rsidR="00CC098F" w:rsidRPr="009E5737" w:rsidRDefault="00CC098F" w:rsidP="00CC098F">
      <w:pPr>
        <w:spacing w:line="360" w:lineRule="auto"/>
        <w:jc w:val="both"/>
        <w:rPr>
          <w:lang w:val="en-US"/>
        </w:rPr>
      </w:pPr>
    </w:p>
    <w:p w14:paraId="200B6DD9" w14:textId="6BDECD70" w:rsidR="00CC098F" w:rsidRPr="009E5737" w:rsidRDefault="00CC098F" w:rsidP="00CC098F">
      <w:pPr>
        <w:spacing w:line="360" w:lineRule="auto"/>
        <w:jc w:val="both"/>
        <w:rPr>
          <w:lang w:val="en-US"/>
        </w:rPr>
      </w:pPr>
      <w:r w:rsidRPr="009E5737">
        <w:rPr>
          <w:lang w:val="en-US"/>
        </w:rPr>
        <w:t xml:space="preserve">According to the WHO, the societal cost of dementia worldwide was US$818 billion in 2015, equivalent to 1.1% of global gross domestic product (GDP). Consequently, some reports classify the annual economic burden per patient of DFT as considerable, amounting to US$119,654 per patient, which could almost double the patient's costs reported for AD  </w:t>
      </w:r>
      <w:r w:rsidRPr="009E5737">
        <w:rPr>
          <w:lang w:val="en-US"/>
        </w:rPr>
        <w:fldChar w:fldCharType="begin" w:fldLock="1"/>
      </w:r>
      <w:r w:rsidR="004B0448" w:rsidRPr="009E5737">
        <w:rPr>
          <w:lang w:val="en-US"/>
        </w:rPr>
        <w:instrText>ADDIN CSL_CITATION {"citationItems":[{"id":"ITEM-1","itemData":{"DOI":"10.1212/WNL.0000000000004614","ISSN":"1526632X","PMID":"28978658","abstract":"Objective: To quantify the socioeconomic burden of frontotemporal degeneration (FTD) compared to previously published data for Alzheimer disease (AD). Methods: A 250-item internet survey was administered to primary caregivers of patients with behavioral-variant FTD (bvFTD), primary progressive aphasia, FTD with motor neuron disease, corticobasal syndrome, or progressive supranuclear palsy. The survey included validated scales for disease staging, behavior, activities of daily living, caregiver burden, and health economics, as well as investigator-designed questions to capture patient and caregiver experience with FTD. Results: The entire survey was completed by 674 of 956 respondents (70.5%). Direct costs (2016 US dollars) equaled $47,916 and indirect costs $71,737, for a total annual per-patient cost of $119,654, nearly 2 times higher than reported costs for AD. Patients ≥65 years of age, with later stages of disease, and with bvFTD correlated with higher direct costs, while patients &lt;65 years of age and men were associated with higher indirect costs. An FTD diagnosis produced a mean decrease in household income from $75,000 to $99,000 12 months before diagnosis to $50,000 to $59,999 12 months after diagnosis, resulting from lost days of work and early departure from the workforce. Conclusions: The economic burden of FTD is substantial. Counting productivity-related costs, per-patient costs for FTD appear to be greater than per-patient costs reported for AD. There is a need for biomarkers for accurate and timely diagnosis, effective treatments, and services to reduce this socioeconomic burden.","author":[{"dropping-particle":"","family":"Galvin","given":"James E.","non-dropping-particle":"","parse-names":false,"suffix":""},{"dropping-particle":"","family":"Howard","given":"David H.","non-dropping-particle":"","parse-names":false,"suffix":""},{"dropping-particle":"","family":"Denny","given":"Sharon S.","non-dropping-particle":"","parse-names":false,"suffix":""},{"dropping-particle":"","family":"Dickinson","given":"Susan","non-dropping-particle":"","parse-names":false,"suffix":""},{"dropping-particle":"","family":"Tatton","given":"Nadine","non-dropping-particle":"","parse-names":false,"suffix":""}],"container-title":"Neurology","id":"ITEM-1","issue":"20","issued":{"date-parts":[["2017"]]},"page":"2049-2056","publisher":"Lippincott Williams and Wilkins","title":"The social and economic burden of frontotemporal degeneration","type":"article-journal","volume":"89"},"uris":["http://www.mendeley.com/documents/?uuid=45633378-116b-3b1e-8540-6b3017368352"]}],"mendeley":{"formattedCitation":"(9)","plainTextFormattedCitation":"(9)","previouslyFormattedCitation":"(9)"},"properties":{"noteIndex":0},"schema":"https://github.com/citation-style-language/schema/raw/master/csl-citation.json"}</w:instrText>
      </w:r>
      <w:r w:rsidRPr="009E5737">
        <w:rPr>
          <w:lang w:val="en-US"/>
        </w:rPr>
        <w:fldChar w:fldCharType="separate"/>
      </w:r>
      <w:r w:rsidR="00496E7C" w:rsidRPr="009E5737">
        <w:rPr>
          <w:noProof/>
          <w:lang w:val="en-US"/>
        </w:rPr>
        <w:t>(9)</w:t>
      </w:r>
      <w:r w:rsidRPr="009E5737">
        <w:rPr>
          <w:lang w:val="en-US"/>
        </w:rPr>
        <w:fldChar w:fldCharType="end"/>
      </w:r>
      <w:r w:rsidRPr="009E5737">
        <w:rPr>
          <w:lang w:val="en-US"/>
        </w:rPr>
        <w:t xml:space="preserve">. In developed countries, where the annual income is high, this cost is mainly justified by expenses related to productivity since a patient can reduce their annual income by up to US$ 50,000 after twelve months of diagnosis due to lost workdays and early layoffs </w:t>
      </w:r>
      <w:r w:rsidRPr="009E5737">
        <w:rPr>
          <w:lang w:val="en-US"/>
        </w:rPr>
        <w:fldChar w:fldCharType="begin" w:fldLock="1"/>
      </w:r>
      <w:r w:rsidR="004B0448" w:rsidRPr="009E5737">
        <w:rPr>
          <w:lang w:val="en-US"/>
        </w:rPr>
        <w:instrText>ADDIN CSL_CITATION {"citationItems":[{"id":"ITEM-1","itemData":{"DOI":"10.1212/WNL.0000000000004614","ISSN":"1526632X","PMID":"28978658","abstract":"Objective: To quantify the socioeconomic burden of frontotemporal degeneration (FTD) compared to previously published data for Alzheimer disease (AD). Methods: A 250-item internet survey was administered to primary caregivers of patients with behavioral-variant FTD (bvFTD), primary progressive aphasia, FTD with motor neuron disease, corticobasal syndrome, or progressive supranuclear palsy. The survey included validated scales for disease staging, behavior, activities of daily living, caregiver burden, and health economics, as well as investigator-designed questions to capture patient and caregiver experience with FTD. Results: The entire survey was completed by 674 of 956 respondents (70.5%). Direct costs (2016 US dollars) equaled $47,916 and indirect costs $71,737, for a total annual per-patient cost of $119,654, nearly 2 times higher than reported costs for AD. Patients ≥65 years of age, with later stages of disease, and with bvFTD correlated with higher direct costs, while patients &lt;65 years of age and men were associated with higher indirect costs. An FTD diagnosis produced a mean decrease in household income from $75,000 to $99,000 12 months before diagnosis to $50,000 to $59,999 12 months after diagnosis, resulting from lost days of work and early departure from the workforce. Conclusions: The economic burden of FTD is substantial. Counting productivity-related costs, per-patient costs for FTD appear to be greater than per-patient costs reported for AD. There is a need for biomarkers for accurate and timely diagnosis, effective treatments, and services to reduce this socioeconomic burden.","author":[{"dropping-particle":"","family":"Galvin","given":"James E.","non-dropping-particle":"","parse-names":false,"suffix":""},{"dropping-particle":"","family":"Howard","given":"David H.","non-dropping-particle":"","parse-names":false,"suffix":""},{"dropping-particle":"","family":"Denny","given":"Sharon S.","non-dropping-particle":"","parse-names":false,"suffix":""},{"dropping-particle":"","family":"Dickinson","given":"Susan","non-dropping-particle":"","parse-names":false,"suffix":""},{"dropping-particle":"","family":"Tatton","given":"Nadine","non-dropping-particle":"","parse-names":false,"suffix":""}],"container-title":"Neurology","id":"ITEM-1","issue":"20","issued":{"date-parts":[["2017"]]},"page":"2049-2056","publisher":"Lippincott Williams and Wilkins","title":"The social and economic burden of frontotemporal degeneration","type":"article-journal","volume":"89"},"uris":["http://www.mendeley.com/documents/?uuid=45633378-116b-3b1e-8540-6b3017368352"]}],"mendeley":{"formattedCitation":"(9)","plainTextFormattedCitation":"(9)","previouslyFormattedCitation":"(9)"},"properties":{"noteIndex":0},"schema":"https://github.com/citation-style-language/schema/raw/master/csl-citation.json"}</w:instrText>
      </w:r>
      <w:r w:rsidRPr="009E5737">
        <w:rPr>
          <w:lang w:val="en-US"/>
        </w:rPr>
        <w:fldChar w:fldCharType="separate"/>
      </w:r>
      <w:r w:rsidR="00496E7C" w:rsidRPr="009E5737">
        <w:rPr>
          <w:noProof/>
          <w:lang w:val="en-US"/>
        </w:rPr>
        <w:t>(9)</w:t>
      </w:r>
      <w:r w:rsidRPr="009E5737">
        <w:rPr>
          <w:lang w:val="en-US"/>
        </w:rPr>
        <w:fldChar w:fldCharType="end"/>
      </w:r>
      <w:r w:rsidRPr="009E5737">
        <w:rPr>
          <w:lang w:val="en-US"/>
        </w:rPr>
        <w:t>. In LA, the expected socioeconomic impact of the FTD will be much more significant since the health budget allocated to this type of disease is small and may represent only 0.001% of the total budget and 0.02% of the budget allocated to the health sector. Additionally, precarious labor systems assign low wages compared to those in developed countries, which generates more significant uncertainty regarding the costs associated with FTD in the region.</w:t>
      </w:r>
    </w:p>
    <w:p w14:paraId="62889475" w14:textId="77777777" w:rsidR="00CC098F" w:rsidRPr="009E5737" w:rsidRDefault="00CC098F" w:rsidP="00CC098F">
      <w:pPr>
        <w:spacing w:line="360" w:lineRule="auto"/>
        <w:jc w:val="both"/>
        <w:rPr>
          <w:lang w:val="en-US"/>
        </w:rPr>
      </w:pPr>
    </w:p>
    <w:p w14:paraId="7181E10A" w14:textId="0B03FA9D" w:rsidR="00CC098F" w:rsidRPr="009E5737" w:rsidRDefault="00CC098F" w:rsidP="00CC098F">
      <w:pPr>
        <w:spacing w:line="360" w:lineRule="auto"/>
        <w:jc w:val="both"/>
        <w:rPr>
          <w:lang w:val="en-US"/>
        </w:rPr>
      </w:pPr>
      <w:r w:rsidRPr="009E5737">
        <w:rPr>
          <w:lang w:val="en-US"/>
        </w:rPr>
        <w:t xml:space="preserve">The cost of illness (COI) is defined as the value of resources spent or abandoned because of a health problem. It includes the costs of the health sector (direct costs), the value of productivity diminished or lost by the patient (indirect costs), and the cost of pain and suffering (intangible costs) </w:t>
      </w:r>
      <w:r w:rsidRPr="009E5737">
        <w:rPr>
          <w:lang w:val="en-US"/>
        </w:rPr>
        <w:fldChar w:fldCharType="begin" w:fldLock="1"/>
      </w:r>
      <w:r w:rsidR="004B0448" w:rsidRPr="009E5737">
        <w:rPr>
          <w:lang w:val="en-US"/>
        </w:rPr>
        <w:instrText>ADDIN CSL_CITATION {"citationItems":[{"id":"ITEM-1","itemData":{"DOI":"10.1016/B978-0-12-416721-6.00001-7","ISBN":"9780124167285","abstract":"Malignant primary bone tumors are rare and are outnumbered by metastasis to the bone and hematological disorders. The most common primary malignant bone tumors are: osteosarcoma, chondrosarcoma, Ewing sarcoma and undifferentiated pleomorphic sarcoma. Osteosarcoma and Ewing sarcoma, accounting for approximately 50% of the malignant bone tumors, affect mostly children and young adults and have a major impact of the life of the patient and his family. Besides the burden of illness there is also an important financial burden. The direct costs for the health care system, related to diagnosis and treatment, can be estimated rather easily. However, the direct costs for the family, and more so the indirect costs of diminished or loss of productivity, and of pain and suffering are more difficult to calculate and are underestimated. This is more relevant in the younger age group, due to the prolonged survival of these patients after initial treatment.","author":[{"dropping-particle":"","family":"Hauben","given":"Esther I.","non-dropping-particle":"","parse-names":false,"suffix":""},{"dropping-particle":"","family":"Hogendoorn","given":"Pancras C.W.","non-dropping-particle":"","parse-names":false,"suffix":""}],"container-title":"Bone Cancer: Primary Bone Cancers and Bone Metastases: Second Edition","id":"ITEM-1","issued":{"date-parts":[["2015","1","1"]]},"page":"5-10","publisher":"Elsevier Inc.","title":"Epidemiology of primary bone tumors and economical aspects of bone metastases","type":"chapter"},"uris":["http://www.mendeley.com/documents/?uuid=b0e5878c-ca4b-39c9-bcd5-fca7540ce721"]},{"id":"ITEM-2","itemData":{"DOI":"10.3350/cmh.2014.20.4.327","ISSN":"2287285X","PMID":"25548737","abstract":"Liver diseases are one of the main causes of death, and their ever-increasing prevalence is threatening to cause significant damage both to individuals and society as a whole. This damage is especially serious for the economically active population in Korea. From the societal perspective, it is therefore necessary to consider the economic impacts associated with liver diseases, and identify interventions that can reduce the burden of these diseases. The cost-of-illness study is considered to be an essential evaluation technique in health care. By measuring and comparing the economic burdens of diseases to society, such studies can help health-care decision-makers to set up and prioritize health-care policies and interventions. Using economic theories, this paper introduces various study methods that are generally applicable to most disease cases for estimating the costs of illness associated with mortality, morbidity, disability, and other disease characteristics. It also presents concepts and scopes of costs along with different cost categories from different research perspectives in cost estimations. By discussing the epidemiological and economic grounds of the cost-of-illness study, the reported results represent useful information about several evaluation techniques at an advanced level, such as cost-benefit analysis, cost-effectiveness analysis, and cost-utility analysis.","author":[{"dropping-particle":"","family":"Jo","given":"Changik","non-dropping-particle":"","parse-names":false,"suffix":""}],"container-title":"Clinical and molecular hepatology","id":"ITEM-2","issue":"4","issued":{"date-parts":[["2014","12","1"]]},"page":"327-337","publisher":"Korean Association for the Study of the Liver","title":"Cost-of-illness studies: concepts, scopes, and methods","type":"article","volume":"20"},"uris":["http://www.mendeley.com/documents/?uuid=e84cf03c-84ac-3ecb-a959-b0e515e7f9d3"]}],"mendeley":{"formattedCitation":"(10,11)","plainTextFormattedCitation":"(10,11)","previouslyFormattedCitation":"(10,11)"},"properties":{"noteIndex":0},"schema":"https://github.com/citation-style-language/schema/raw/master/csl-citation.json"}</w:instrText>
      </w:r>
      <w:r w:rsidRPr="009E5737">
        <w:rPr>
          <w:lang w:val="en-US"/>
        </w:rPr>
        <w:fldChar w:fldCharType="separate"/>
      </w:r>
      <w:r w:rsidR="00496E7C" w:rsidRPr="009E5737">
        <w:rPr>
          <w:noProof/>
          <w:lang w:val="en-US"/>
        </w:rPr>
        <w:t>(10,11)</w:t>
      </w:r>
      <w:r w:rsidRPr="009E5737">
        <w:rPr>
          <w:lang w:val="en-US"/>
        </w:rPr>
        <w:fldChar w:fldCharType="end"/>
      </w:r>
      <w:r w:rsidRPr="009E5737">
        <w:rPr>
          <w:lang w:val="en-US"/>
        </w:rPr>
        <w:t xml:space="preserve">. Direct costs for the health sector include hospital expenses (hospitalization, treatment, and medical care) and, also, non-reimbursable expenses incurred by patients and family members concerning health care (medications, transportation for hospital visits, home modifications because of illness, and costs of caring for the patient at </w:t>
      </w:r>
      <w:r w:rsidRPr="009E5737">
        <w:rPr>
          <w:lang w:val="en-US"/>
        </w:rPr>
        <w:lastRenderedPageBreak/>
        <w:t xml:space="preserve">home). On the other hand, indirect costs can result from lost wages or benefits due to illness, premature death, side effects of illness or treatment, or time spent receiving treatment. Indirect costs also affect family members who reduce or cease employment to care for the patient </w:t>
      </w:r>
      <w:r w:rsidRPr="009E5737">
        <w:rPr>
          <w:lang w:val="en-US"/>
        </w:rPr>
        <w:fldChar w:fldCharType="begin" w:fldLock="1"/>
      </w:r>
      <w:r w:rsidR="004B0448" w:rsidRPr="009E5737">
        <w:rPr>
          <w:lang w:val="en-US"/>
        </w:rPr>
        <w:instrText>ADDIN CSL_CITATION {"citationItems":[{"id":"ITEM-1","itemData":{"DOI":"10.1016/B978-0-12-416721-6.00001-7","ISBN":"9780124167285","abstract":"Malignant primary bone tumors are rare and are outnumbered by metastasis to the bone and hematological disorders. The most common primary malignant bone tumors are: osteosarcoma, chondrosarcoma, Ewing sarcoma and undifferentiated pleomorphic sarcoma. Osteosarcoma and Ewing sarcoma, accounting for approximately 50% of the malignant bone tumors, affect mostly children and young adults and have a major impact of the life of the patient and his family. Besides the burden of illness there is also an important financial burden. The direct costs for the health care system, related to diagnosis and treatment, can be estimated rather easily. However, the direct costs for the family, and more so the indirect costs of diminished or loss of productivity, and of pain and suffering are more difficult to calculate and are underestimated. This is more relevant in the younger age group, due to the prolonged survival of these patients after initial treatment.","author":[{"dropping-particle":"","family":"Hauben","given":"Esther I.","non-dropping-particle":"","parse-names":false,"suffix":""},{"dropping-particle":"","family":"Hogendoorn","given":"Pancras C.W.","non-dropping-particle":"","parse-names":false,"suffix":""}],"container-title":"Bone Cancer: Primary Bone Cancers and Bone Metastases: Second Edition","id":"ITEM-1","issued":{"date-parts":[["2015","1","1"]]},"page":"5-10","publisher":"Elsevier Inc.","title":"Epidemiology of primary bone tumors and economical aspects of bone metastases","type":"chapter"},"uris":["http://www.mendeley.com/documents/?uuid=b0e5878c-ca4b-39c9-bcd5-fca7540ce721"]}],"mendeley":{"formattedCitation":"(10)","plainTextFormattedCitation":"(10)","previouslyFormattedCitation":"(10)"},"properties":{"noteIndex":0},"schema":"https://github.com/citation-style-language/schema/raw/master/csl-citation.json"}</w:instrText>
      </w:r>
      <w:r w:rsidRPr="009E5737">
        <w:rPr>
          <w:lang w:val="en-US"/>
        </w:rPr>
        <w:fldChar w:fldCharType="separate"/>
      </w:r>
      <w:r w:rsidR="00496E7C" w:rsidRPr="009E5737">
        <w:rPr>
          <w:noProof/>
          <w:lang w:val="en-US"/>
        </w:rPr>
        <w:t>(10)</w:t>
      </w:r>
      <w:r w:rsidRPr="009E5737">
        <w:rPr>
          <w:lang w:val="en-US"/>
        </w:rPr>
        <w:fldChar w:fldCharType="end"/>
      </w:r>
      <w:r w:rsidRPr="009E5737">
        <w:rPr>
          <w:lang w:val="en-US"/>
        </w:rPr>
        <w:t>.</w:t>
      </w:r>
    </w:p>
    <w:p w14:paraId="2E3BAE9B" w14:textId="1EA33A37" w:rsidR="001029B0" w:rsidRPr="009E5737" w:rsidRDefault="00CC098F" w:rsidP="00CC098F">
      <w:pPr>
        <w:spacing w:line="360" w:lineRule="auto"/>
        <w:jc w:val="both"/>
        <w:rPr>
          <w:lang w:val="en-US"/>
        </w:rPr>
      </w:pPr>
      <w:r w:rsidRPr="009E5737">
        <w:rPr>
          <w:lang w:val="en-US"/>
        </w:rPr>
        <w:t>Although its calculation is complicated, COI analysis provides essential information on the disease's financial impact to make more efficient use of resources (for example, select a specific treatment strategy) by health managers, researchers, and medical specialists. However, most studies on the economic burden of disease focus only on direct medical costs, as they are the easiest to identify for the health sector, which underestimates the total cost of the disease.</w:t>
      </w:r>
    </w:p>
    <w:p w14:paraId="7EE4F794" w14:textId="093023A7" w:rsidR="001029B0" w:rsidRPr="009E5737" w:rsidRDefault="001029B0" w:rsidP="0041254F">
      <w:pPr>
        <w:jc w:val="both"/>
        <w:rPr>
          <w:lang w:val="en-US"/>
        </w:rPr>
      </w:pPr>
    </w:p>
    <w:p w14:paraId="41E3044F" w14:textId="77777777" w:rsidR="001029B0" w:rsidRPr="009E5737" w:rsidRDefault="001029B0" w:rsidP="001A676D">
      <w:pPr>
        <w:spacing w:line="360" w:lineRule="auto"/>
        <w:jc w:val="both"/>
        <w:rPr>
          <w:lang w:val="en-US"/>
        </w:rPr>
      </w:pPr>
    </w:p>
    <w:p w14:paraId="1177161D" w14:textId="77777777" w:rsidR="00A84485" w:rsidRPr="009E5737" w:rsidRDefault="00CE65FD" w:rsidP="009E5737">
      <w:pPr>
        <w:spacing w:line="360" w:lineRule="auto"/>
        <w:jc w:val="both"/>
        <w:rPr>
          <w:b/>
          <w:color w:val="002060"/>
          <w:sz w:val="30"/>
          <w:szCs w:val="30"/>
          <w:lang w:val="en-US"/>
        </w:rPr>
      </w:pPr>
      <w:r w:rsidRPr="009E5737">
        <w:rPr>
          <w:b/>
          <w:color w:val="002060"/>
          <w:sz w:val="30"/>
          <w:szCs w:val="30"/>
          <w:lang w:val="en-US"/>
        </w:rPr>
        <w:t>Review Question</w:t>
      </w:r>
    </w:p>
    <w:p w14:paraId="0548F54E" w14:textId="48EEE5E6" w:rsidR="00A84485" w:rsidRPr="009E5737" w:rsidRDefault="00E45F47" w:rsidP="009E5737">
      <w:pPr>
        <w:spacing w:line="360" w:lineRule="auto"/>
        <w:jc w:val="both"/>
        <w:rPr>
          <w:lang w:val="en-US"/>
        </w:rPr>
      </w:pPr>
      <w:r w:rsidRPr="009E5737">
        <w:rPr>
          <w:lang w:val="en-US"/>
        </w:rPr>
        <w:t>What are the disease costs associated with frontotemporal dementia in Latin America?</w:t>
      </w:r>
    </w:p>
    <w:p w14:paraId="0FF68A31" w14:textId="77777777" w:rsidR="00E45F47" w:rsidRPr="009E5737" w:rsidRDefault="00E45F47" w:rsidP="009E5737">
      <w:pPr>
        <w:spacing w:line="360" w:lineRule="auto"/>
        <w:jc w:val="both"/>
        <w:rPr>
          <w:lang w:val="en-US"/>
        </w:rPr>
      </w:pPr>
    </w:p>
    <w:p w14:paraId="5AF77778" w14:textId="77777777" w:rsidR="00A84485" w:rsidRPr="009E5737" w:rsidRDefault="00CE65FD" w:rsidP="009E5737">
      <w:pPr>
        <w:spacing w:line="360" w:lineRule="auto"/>
        <w:jc w:val="both"/>
        <w:rPr>
          <w:b/>
          <w:color w:val="002060"/>
          <w:sz w:val="30"/>
          <w:szCs w:val="30"/>
          <w:lang w:val="en-US"/>
        </w:rPr>
      </w:pPr>
      <w:r w:rsidRPr="009E5737">
        <w:rPr>
          <w:b/>
          <w:color w:val="002060"/>
          <w:sz w:val="30"/>
          <w:szCs w:val="30"/>
          <w:lang w:val="en-US"/>
        </w:rPr>
        <w:t>Inclusion Criteria</w:t>
      </w:r>
    </w:p>
    <w:p w14:paraId="62AF1108" w14:textId="77777777" w:rsidR="00A84485" w:rsidRPr="009E5737" w:rsidRDefault="00A84485" w:rsidP="009E5737">
      <w:pPr>
        <w:spacing w:line="360" w:lineRule="auto"/>
        <w:jc w:val="both"/>
        <w:rPr>
          <w:lang w:val="en-US"/>
        </w:rPr>
      </w:pPr>
    </w:p>
    <w:p w14:paraId="712D42F5" w14:textId="77777777" w:rsidR="00A84485" w:rsidRPr="009E5737" w:rsidRDefault="00CE65FD" w:rsidP="009E5737">
      <w:pPr>
        <w:spacing w:line="360" w:lineRule="auto"/>
        <w:jc w:val="both"/>
        <w:rPr>
          <w:b/>
          <w:sz w:val="24"/>
          <w:szCs w:val="24"/>
          <w:lang w:val="en-US"/>
        </w:rPr>
      </w:pPr>
      <w:r w:rsidRPr="009E5737">
        <w:rPr>
          <w:b/>
          <w:sz w:val="24"/>
          <w:szCs w:val="24"/>
          <w:lang w:val="en-US"/>
        </w:rPr>
        <w:t>Population</w:t>
      </w:r>
    </w:p>
    <w:p w14:paraId="706EB626" w14:textId="188D3215" w:rsidR="00A84485" w:rsidRPr="009E5737" w:rsidRDefault="008D1286" w:rsidP="009E5737">
      <w:pPr>
        <w:spacing w:line="360" w:lineRule="auto"/>
        <w:jc w:val="both"/>
        <w:rPr>
          <w:lang w:val="en-US"/>
        </w:rPr>
      </w:pPr>
      <w:r w:rsidRPr="009E5737">
        <w:rPr>
          <w:lang w:val="en-US"/>
        </w:rPr>
        <w:t>Patients with fronto-temporal dementia in Latin-America</w:t>
      </w:r>
      <w:r w:rsidR="00CE65FD" w:rsidRPr="009E5737">
        <w:rPr>
          <w:lang w:val="en-US"/>
        </w:rPr>
        <w:t>.</w:t>
      </w:r>
    </w:p>
    <w:p w14:paraId="624EC777" w14:textId="77777777" w:rsidR="00A84485" w:rsidRPr="009E5737" w:rsidRDefault="00A84485" w:rsidP="009E5737">
      <w:pPr>
        <w:spacing w:line="360" w:lineRule="auto"/>
        <w:jc w:val="both"/>
        <w:rPr>
          <w:lang w:val="en-US"/>
        </w:rPr>
      </w:pPr>
    </w:p>
    <w:p w14:paraId="0346FD38" w14:textId="77777777" w:rsidR="00A84485" w:rsidRPr="009E5737" w:rsidRDefault="00CE65FD" w:rsidP="009E5737">
      <w:pPr>
        <w:spacing w:line="360" w:lineRule="auto"/>
        <w:jc w:val="both"/>
        <w:rPr>
          <w:b/>
          <w:sz w:val="24"/>
          <w:szCs w:val="24"/>
          <w:lang w:val="en-US"/>
        </w:rPr>
      </w:pPr>
      <w:r w:rsidRPr="009E5737">
        <w:rPr>
          <w:b/>
          <w:sz w:val="24"/>
          <w:szCs w:val="24"/>
          <w:lang w:val="en-US"/>
        </w:rPr>
        <w:t>Concept</w:t>
      </w:r>
    </w:p>
    <w:p w14:paraId="54298E6A" w14:textId="5CFA0B6F" w:rsidR="00A84485" w:rsidRPr="009E5737" w:rsidRDefault="00817831" w:rsidP="009E5737">
      <w:pPr>
        <w:spacing w:line="360" w:lineRule="auto"/>
        <w:jc w:val="both"/>
        <w:rPr>
          <w:lang w:val="en-US"/>
        </w:rPr>
      </w:pPr>
      <w:r w:rsidRPr="009E5737">
        <w:rPr>
          <w:lang w:val="en-US"/>
        </w:rPr>
        <w:t>Financial burden</w:t>
      </w:r>
    </w:p>
    <w:p w14:paraId="7F958A72" w14:textId="77777777" w:rsidR="008538AF" w:rsidRPr="009E5737" w:rsidRDefault="008538AF" w:rsidP="009E5737">
      <w:pPr>
        <w:spacing w:line="360" w:lineRule="auto"/>
        <w:jc w:val="both"/>
        <w:rPr>
          <w:lang w:val="en-US"/>
        </w:rPr>
      </w:pPr>
    </w:p>
    <w:p w14:paraId="59496D78" w14:textId="77777777" w:rsidR="00A84485" w:rsidRPr="009E5737" w:rsidRDefault="00CE65FD" w:rsidP="009E5737">
      <w:pPr>
        <w:spacing w:line="360" w:lineRule="auto"/>
        <w:jc w:val="both"/>
        <w:rPr>
          <w:b/>
          <w:sz w:val="24"/>
          <w:szCs w:val="24"/>
          <w:lang w:val="en-US"/>
        </w:rPr>
      </w:pPr>
      <w:r w:rsidRPr="009E5737">
        <w:rPr>
          <w:b/>
          <w:sz w:val="24"/>
          <w:szCs w:val="24"/>
          <w:lang w:val="en-US"/>
        </w:rPr>
        <w:t>Context</w:t>
      </w:r>
    </w:p>
    <w:p w14:paraId="70F9832F" w14:textId="7126C031" w:rsidR="00A84485" w:rsidRPr="009E5737" w:rsidRDefault="00620C63" w:rsidP="009E5737">
      <w:pPr>
        <w:spacing w:line="360" w:lineRule="auto"/>
        <w:jc w:val="both"/>
        <w:rPr>
          <w:lang w:val="en-US"/>
        </w:rPr>
      </w:pPr>
      <w:r w:rsidRPr="009E5737">
        <w:rPr>
          <w:lang w:val="en-US"/>
        </w:rPr>
        <w:t>As new research highlights the enormous cost of dementia and its distribution worldwide, evidence-synthesis becomes necessary to inform the decision of policy makers. Ideas like publicly funded long-term care services or long-lasting effective interventions to support families and reduce dependence must be informed by the cost of the disease. However, currently there are no systematic reviews assessing the cost of dementia, specifically fronto-temporal dementia, in Latin-American countries</w:t>
      </w:r>
      <w:r w:rsidR="00D02693" w:rsidRPr="009E5737">
        <w:rPr>
          <w:lang w:val="en-US"/>
        </w:rPr>
        <w:t>.</w:t>
      </w:r>
    </w:p>
    <w:p w14:paraId="2F2AA62D" w14:textId="77777777" w:rsidR="00A84485" w:rsidRPr="009E5737" w:rsidRDefault="00A84485" w:rsidP="009E5737">
      <w:pPr>
        <w:spacing w:line="360" w:lineRule="auto"/>
        <w:jc w:val="both"/>
        <w:rPr>
          <w:lang w:val="en-US"/>
        </w:rPr>
      </w:pPr>
    </w:p>
    <w:p w14:paraId="1235C8D1" w14:textId="77777777" w:rsidR="00A84485" w:rsidRPr="009E5737" w:rsidRDefault="00CE65FD" w:rsidP="009E5737">
      <w:pPr>
        <w:spacing w:line="360" w:lineRule="auto"/>
        <w:jc w:val="both"/>
        <w:rPr>
          <w:b/>
          <w:sz w:val="24"/>
          <w:szCs w:val="24"/>
          <w:lang w:val="en-US"/>
        </w:rPr>
      </w:pPr>
      <w:r w:rsidRPr="009E5737">
        <w:rPr>
          <w:b/>
          <w:sz w:val="24"/>
          <w:szCs w:val="24"/>
          <w:lang w:val="en-US"/>
        </w:rPr>
        <w:t>Types of studies</w:t>
      </w:r>
    </w:p>
    <w:p w14:paraId="3465C3CE" w14:textId="77777777" w:rsidR="00A84485" w:rsidRPr="009E5737" w:rsidRDefault="00A84485" w:rsidP="009E5737">
      <w:pPr>
        <w:spacing w:line="360" w:lineRule="auto"/>
        <w:jc w:val="both"/>
        <w:rPr>
          <w:b/>
          <w:sz w:val="24"/>
          <w:szCs w:val="24"/>
          <w:lang w:val="en-US"/>
        </w:rPr>
      </w:pPr>
    </w:p>
    <w:p w14:paraId="3F15936C" w14:textId="77777777" w:rsidR="00A84485" w:rsidRPr="009E5737" w:rsidRDefault="00CE65FD" w:rsidP="009E5737">
      <w:pPr>
        <w:spacing w:line="360" w:lineRule="auto"/>
        <w:jc w:val="both"/>
        <w:rPr>
          <w:b/>
          <w:lang w:val="en-US"/>
        </w:rPr>
      </w:pPr>
      <w:r w:rsidRPr="009E5737">
        <w:rPr>
          <w:b/>
          <w:lang w:val="en-US"/>
        </w:rPr>
        <w:t>Inclusion</w:t>
      </w:r>
    </w:p>
    <w:p w14:paraId="78A74F13" w14:textId="77777777" w:rsidR="00E359D8" w:rsidRPr="009E5737" w:rsidRDefault="00E359D8" w:rsidP="009E5737">
      <w:pPr>
        <w:spacing w:line="360" w:lineRule="auto"/>
        <w:rPr>
          <w:lang w:val="en-US"/>
        </w:rPr>
      </w:pPr>
      <w:r w:rsidRPr="009E5737">
        <w:rPr>
          <w:lang w:val="en-US"/>
        </w:rPr>
        <w:t>Studies that assess costs of disease, such as cross-sectional or cohort studies will be screened.</w:t>
      </w:r>
    </w:p>
    <w:p w14:paraId="45918297" w14:textId="77777777" w:rsidR="00E359D8" w:rsidRPr="009E5737" w:rsidRDefault="00E359D8" w:rsidP="009E5737">
      <w:pPr>
        <w:spacing w:line="360" w:lineRule="auto"/>
        <w:rPr>
          <w:lang w:val="en-US"/>
        </w:rPr>
      </w:pPr>
      <w:r w:rsidRPr="009E5737">
        <w:rPr>
          <w:lang w:val="en-US"/>
        </w:rPr>
        <w:t>We will include studies that fulfill the following criteria:</w:t>
      </w:r>
    </w:p>
    <w:p w14:paraId="7A4BA9E7" w14:textId="1F90DAEF" w:rsidR="00E359D8" w:rsidRPr="009E5737" w:rsidRDefault="00E359D8" w:rsidP="009E5737">
      <w:pPr>
        <w:spacing w:line="360" w:lineRule="auto"/>
        <w:rPr>
          <w:lang w:val="en-US"/>
        </w:rPr>
      </w:pPr>
      <w:r w:rsidRPr="009E5737">
        <w:rPr>
          <w:lang w:val="en-US"/>
        </w:rPr>
        <w:lastRenderedPageBreak/>
        <w:t xml:space="preserve">- Studies that evaluated the cost-of-illness of fronto-temporal dementia in </w:t>
      </w:r>
      <w:r w:rsidR="001A676D" w:rsidRPr="009E5737">
        <w:rPr>
          <w:lang w:val="en-US"/>
        </w:rPr>
        <w:t>Latin-American</w:t>
      </w:r>
      <w:r w:rsidRPr="009E5737">
        <w:rPr>
          <w:lang w:val="en-US"/>
        </w:rPr>
        <w:t xml:space="preserve"> population</w:t>
      </w:r>
    </w:p>
    <w:p w14:paraId="43C1F4F5" w14:textId="14305DC5" w:rsidR="00E359D8" w:rsidRPr="009E5737" w:rsidRDefault="00E359D8" w:rsidP="009E5737">
      <w:pPr>
        <w:spacing w:line="360" w:lineRule="auto"/>
        <w:rPr>
          <w:lang w:val="en-US"/>
        </w:rPr>
      </w:pPr>
      <w:r w:rsidRPr="009E5737">
        <w:rPr>
          <w:lang w:val="en-US"/>
        </w:rPr>
        <w:t xml:space="preserve">- Studies that evaluated other type of economic studies of the cost-of-illness of fronto-temporal dementia in </w:t>
      </w:r>
      <w:r w:rsidR="001A676D" w:rsidRPr="009E5737">
        <w:rPr>
          <w:lang w:val="en-US"/>
        </w:rPr>
        <w:t>Latin-American</w:t>
      </w:r>
      <w:r w:rsidRPr="009E5737">
        <w:rPr>
          <w:lang w:val="en-US"/>
        </w:rPr>
        <w:t xml:space="preserve"> population</w:t>
      </w:r>
    </w:p>
    <w:p w14:paraId="1656DC1F" w14:textId="77777777" w:rsidR="00A84485" w:rsidRPr="009E5737" w:rsidRDefault="00A84485" w:rsidP="009E5737">
      <w:pPr>
        <w:spacing w:line="360" w:lineRule="auto"/>
        <w:jc w:val="both"/>
        <w:rPr>
          <w:lang w:val="en-US"/>
        </w:rPr>
      </w:pPr>
    </w:p>
    <w:p w14:paraId="1D474663" w14:textId="77777777" w:rsidR="00A84485" w:rsidRPr="009E5737" w:rsidRDefault="00CE65FD" w:rsidP="009E5737">
      <w:pPr>
        <w:spacing w:line="360" w:lineRule="auto"/>
        <w:jc w:val="both"/>
        <w:rPr>
          <w:b/>
          <w:lang w:val="en-US"/>
        </w:rPr>
      </w:pPr>
      <w:r w:rsidRPr="009E5737">
        <w:rPr>
          <w:b/>
          <w:lang w:val="en-US"/>
        </w:rPr>
        <w:t>Exclusion</w:t>
      </w:r>
    </w:p>
    <w:p w14:paraId="0F35F9DA" w14:textId="77777777" w:rsidR="007A6F6E" w:rsidRPr="009E5737" w:rsidRDefault="007A6F6E" w:rsidP="009E5737">
      <w:pPr>
        <w:spacing w:line="360" w:lineRule="auto"/>
        <w:rPr>
          <w:lang w:val="en-US"/>
        </w:rPr>
      </w:pPr>
      <w:r w:rsidRPr="009E5737">
        <w:rPr>
          <w:lang w:val="en-US"/>
        </w:rPr>
        <w:t xml:space="preserve">We will exclude the next type of studies: </w:t>
      </w:r>
    </w:p>
    <w:p w14:paraId="24BED7F2" w14:textId="77777777" w:rsidR="007A6F6E" w:rsidRPr="009E5737" w:rsidRDefault="007A6F6E" w:rsidP="009E5737">
      <w:pPr>
        <w:spacing w:line="360" w:lineRule="auto"/>
        <w:rPr>
          <w:lang w:val="en-US"/>
        </w:rPr>
      </w:pPr>
      <w:r w:rsidRPr="009E5737">
        <w:rPr>
          <w:lang w:val="en-US"/>
        </w:rPr>
        <w:t xml:space="preserve">-Review articles, Abstracts, Letters, Editorials </w:t>
      </w:r>
    </w:p>
    <w:p w14:paraId="486F17C9" w14:textId="2C900E51" w:rsidR="007A6F6E" w:rsidRPr="009E5737" w:rsidRDefault="00401493" w:rsidP="009E5737">
      <w:pPr>
        <w:spacing w:line="360" w:lineRule="auto"/>
        <w:rPr>
          <w:lang w:val="en-US"/>
        </w:rPr>
      </w:pPr>
      <w:r>
        <w:rPr>
          <w:lang w:val="en-US"/>
        </w:rPr>
        <w:t>-</w:t>
      </w:r>
      <w:r w:rsidR="007A6F6E" w:rsidRPr="009E5737">
        <w:rPr>
          <w:lang w:val="en-US"/>
        </w:rPr>
        <w:t xml:space="preserve">We will </w:t>
      </w:r>
      <w:r>
        <w:rPr>
          <w:lang w:val="en-US"/>
        </w:rPr>
        <w:t>exclude studies written in languages other than English, Spanish or Portuguese</w:t>
      </w:r>
    </w:p>
    <w:p w14:paraId="7488E5FB" w14:textId="77777777" w:rsidR="001029B0" w:rsidRPr="009E5737" w:rsidRDefault="001029B0" w:rsidP="009E5737">
      <w:pPr>
        <w:spacing w:line="360" w:lineRule="auto"/>
        <w:jc w:val="both"/>
        <w:rPr>
          <w:lang w:val="en-US"/>
        </w:rPr>
      </w:pPr>
    </w:p>
    <w:p w14:paraId="629B1FC0" w14:textId="77777777" w:rsidR="00A84485" w:rsidRPr="009E5737" w:rsidRDefault="00CE65FD" w:rsidP="009E5737">
      <w:pPr>
        <w:spacing w:line="360" w:lineRule="auto"/>
        <w:jc w:val="both"/>
        <w:rPr>
          <w:b/>
          <w:color w:val="002060"/>
          <w:sz w:val="30"/>
          <w:szCs w:val="30"/>
          <w:lang w:val="en-US"/>
        </w:rPr>
      </w:pPr>
      <w:r w:rsidRPr="009E5737">
        <w:rPr>
          <w:b/>
          <w:color w:val="002060"/>
          <w:sz w:val="30"/>
          <w:szCs w:val="30"/>
          <w:lang w:val="en-US"/>
        </w:rPr>
        <w:t>Methods</w:t>
      </w:r>
    </w:p>
    <w:p w14:paraId="559BD21A" w14:textId="77777777" w:rsidR="00A84485" w:rsidRPr="009E5737" w:rsidRDefault="00CE65FD" w:rsidP="009E5737">
      <w:pPr>
        <w:spacing w:line="360" w:lineRule="auto"/>
        <w:jc w:val="both"/>
        <w:rPr>
          <w:b/>
          <w:sz w:val="24"/>
          <w:szCs w:val="24"/>
          <w:lang w:val="en-US"/>
        </w:rPr>
      </w:pPr>
      <w:r w:rsidRPr="009E5737">
        <w:rPr>
          <w:b/>
          <w:sz w:val="24"/>
          <w:szCs w:val="24"/>
          <w:lang w:val="en-US"/>
        </w:rPr>
        <w:t>Search strategy</w:t>
      </w:r>
    </w:p>
    <w:p w14:paraId="28E9B2A6" w14:textId="4344EB5C" w:rsidR="00D46243" w:rsidRDefault="00D46243" w:rsidP="00D46243">
      <w:pPr>
        <w:spacing w:line="360" w:lineRule="auto"/>
        <w:jc w:val="both"/>
        <w:rPr>
          <w:lang w:val="en-US"/>
        </w:rPr>
      </w:pPr>
      <w:r w:rsidRPr="00D46243">
        <w:rPr>
          <w:lang w:val="en-US"/>
        </w:rPr>
        <w:t xml:space="preserve">We developed the search strategy from Medical Subject Headings - MeSH (Pubmed) for "Frontotemporal dementia" and related words for "Cost of the illness," "Cost-Benefit Analysis," and "Economics," employing a PICO structure approach. </w:t>
      </w:r>
      <w:r>
        <w:rPr>
          <w:lang w:val="en-US"/>
        </w:rPr>
        <w:t>We will include</w:t>
      </w:r>
      <w:r w:rsidRPr="00D46243">
        <w:rPr>
          <w:lang w:val="en-US"/>
        </w:rPr>
        <w:t xml:space="preserve"> studies conducted in Latin American countries and published in English, Spanish, or Portuguese. We </w:t>
      </w:r>
      <w:r>
        <w:rPr>
          <w:lang w:val="en-US"/>
        </w:rPr>
        <w:t>will limit</w:t>
      </w:r>
      <w:r w:rsidRPr="00D46243">
        <w:rPr>
          <w:lang w:val="en-US"/>
        </w:rPr>
        <w:t xml:space="preserve"> the search date from inception to 2020.</w:t>
      </w:r>
    </w:p>
    <w:p w14:paraId="50211670" w14:textId="77777777" w:rsidR="00D46243" w:rsidRDefault="00D46243" w:rsidP="00D46243">
      <w:pPr>
        <w:spacing w:line="360" w:lineRule="auto"/>
        <w:jc w:val="both"/>
        <w:rPr>
          <w:lang w:val="en-US"/>
        </w:rPr>
      </w:pPr>
    </w:p>
    <w:p w14:paraId="302B7054" w14:textId="77777777" w:rsidR="00A84485" w:rsidRPr="009E5737" w:rsidRDefault="00CE65FD" w:rsidP="009E5737">
      <w:pPr>
        <w:spacing w:line="360" w:lineRule="auto"/>
        <w:jc w:val="both"/>
        <w:rPr>
          <w:b/>
          <w:sz w:val="24"/>
          <w:szCs w:val="24"/>
          <w:lang w:val="en-US"/>
        </w:rPr>
      </w:pPr>
      <w:r w:rsidRPr="009E5737">
        <w:rPr>
          <w:b/>
          <w:sz w:val="24"/>
          <w:szCs w:val="24"/>
          <w:lang w:val="en-US"/>
        </w:rPr>
        <w:t>Information sources</w:t>
      </w:r>
    </w:p>
    <w:p w14:paraId="30E0B8B1" w14:textId="6310C68F" w:rsidR="00742E6C" w:rsidRDefault="00742E6C" w:rsidP="009E5737">
      <w:pPr>
        <w:spacing w:line="360" w:lineRule="auto"/>
        <w:jc w:val="both"/>
        <w:rPr>
          <w:lang w:val="en-US"/>
        </w:rPr>
      </w:pPr>
      <w:r w:rsidRPr="009E5737">
        <w:rPr>
          <w:lang w:val="en-US"/>
        </w:rPr>
        <w:t xml:space="preserve">We will search the following databases: MEDLINE (accessed through Pubmed), Scopus, Web of Science and Embase with a supplementary search in the Health Economic Evaluations Database (HEED) for additional studies. We will adapt the search strategy for each of the databases. </w:t>
      </w:r>
    </w:p>
    <w:p w14:paraId="0D811378" w14:textId="5DD44B00" w:rsidR="00A84485" w:rsidRPr="009E5737" w:rsidRDefault="00D46243" w:rsidP="009E5737">
      <w:pPr>
        <w:spacing w:line="360" w:lineRule="auto"/>
        <w:jc w:val="both"/>
        <w:rPr>
          <w:lang w:val="en-US"/>
        </w:rPr>
      </w:pPr>
      <w:r>
        <w:rPr>
          <w:lang w:val="en-US"/>
        </w:rPr>
        <w:t>Additionally, we will carry out</w:t>
      </w:r>
      <w:r w:rsidRPr="00D46243">
        <w:rPr>
          <w:lang w:val="en-US"/>
        </w:rPr>
        <w:t xml:space="preserve"> a manual search in the repositories of the WHO and the world bank.</w:t>
      </w:r>
      <w:r>
        <w:rPr>
          <w:lang w:val="en-US"/>
        </w:rPr>
        <w:t xml:space="preserve"> </w:t>
      </w:r>
      <w:r w:rsidR="00742E6C" w:rsidRPr="009E5737">
        <w:rPr>
          <w:lang w:val="en-US"/>
        </w:rPr>
        <w:t xml:space="preserve">We will also review the references of included studies </w:t>
      </w:r>
      <w:proofErr w:type="gramStart"/>
      <w:r w:rsidR="00742E6C" w:rsidRPr="009E5737">
        <w:rPr>
          <w:lang w:val="en-US"/>
        </w:rPr>
        <w:t>in order to</w:t>
      </w:r>
      <w:proofErr w:type="gramEnd"/>
      <w:r w:rsidR="00742E6C" w:rsidRPr="009E5737">
        <w:rPr>
          <w:lang w:val="en-US"/>
        </w:rPr>
        <w:t xml:space="preserve"> identify studies which might fulfill inclusion criteria</w:t>
      </w:r>
      <w:r w:rsidR="00CE65FD" w:rsidRPr="009E5737">
        <w:rPr>
          <w:lang w:val="en-US"/>
        </w:rPr>
        <w:t>.</w:t>
      </w:r>
    </w:p>
    <w:p w14:paraId="2BD4AAFA" w14:textId="77777777" w:rsidR="00A84485" w:rsidRPr="009E5737" w:rsidRDefault="00A84485" w:rsidP="009E5737">
      <w:pPr>
        <w:spacing w:line="360" w:lineRule="auto"/>
        <w:jc w:val="both"/>
        <w:rPr>
          <w:lang w:val="en-US"/>
        </w:rPr>
      </w:pPr>
    </w:p>
    <w:p w14:paraId="18AFFE22" w14:textId="77777777" w:rsidR="00A84485" w:rsidRPr="009E5737" w:rsidRDefault="00CE65FD" w:rsidP="009E5737">
      <w:pPr>
        <w:spacing w:line="360" w:lineRule="auto"/>
        <w:jc w:val="both"/>
        <w:rPr>
          <w:b/>
          <w:sz w:val="24"/>
          <w:szCs w:val="24"/>
          <w:lang w:val="en-US"/>
        </w:rPr>
      </w:pPr>
      <w:r w:rsidRPr="009E5737">
        <w:rPr>
          <w:b/>
          <w:sz w:val="24"/>
          <w:szCs w:val="24"/>
          <w:lang w:val="en-US"/>
        </w:rPr>
        <w:t>Study selection</w:t>
      </w:r>
    </w:p>
    <w:p w14:paraId="000D6A3A" w14:textId="764AF5BF" w:rsidR="00401493" w:rsidRDefault="00DC727C" w:rsidP="009E5737">
      <w:pPr>
        <w:spacing w:line="360" w:lineRule="auto"/>
        <w:jc w:val="both"/>
        <w:rPr>
          <w:lang w:val="en-US"/>
        </w:rPr>
      </w:pPr>
      <w:r w:rsidRPr="009E5737">
        <w:rPr>
          <w:lang w:val="en-US"/>
        </w:rPr>
        <w:t xml:space="preserve">Before selecting studies, we will remove duplicate records and subsequently </w:t>
      </w:r>
      <w:r w:rsidR="00F46520" w:rsidRPr="009E5737">
        <w:rPr>
          <w:lang w:val="en-US"/>
        </w:rPr>
        <w:t>perform</w:t>
      </w:r>
      <w:r w:rsidRPr="009E5737">
        <w:rPr>
          <w:lang w:val="en-US"/>
        </w:rPr>
        <w:t xml:space="preserve"> a manual review. We </w:t>
      </w:r>
      <w:r w:rsidR="00F46520" w:rsidRPr="009E5737">
        <w:rPr>
          <w:lang w:val="en-US"/>
        </w:rPr>
        <w:t>will select</w:t>
      </w:r>
      <w:r w:rsidRPr="009E5737">
        <w:rPr>
          <w:lang w:val="en-US"/>
        </w:rPr>
        <w:t xml:space="preserve"> studies with Endnote x9 software by reviewing titles and abstracts to identify potentially relevant documents according to the inclusion criteria. Finally, these potential documents </w:t>
      </w:r>
      <w:r w:rsidR="00F46520" w:rsidRPr="009E5737">
        <w:rPr>
          <w:lang w:val="en-US"/>
        </w:rPr>
        <w:t>will be</w:t>
      </w:r>
      <w:r w:rsidRPr="009E5737">
        <w:rPr>
          <w:lang w:val="en-US"/>
        </w:rPr>
        <w:t xml:space="preserve"> evaluated in full text to assess their eligibility. Two independent authors (MM &amp; ARC) </w:t>
      </w:r>
      <w:r w:rsidR="001B1DAC" w:rsidRPr="009E5737">
        <w:rPr>
          <w:lang w:val="en-US"/>
        </w:rPr>
        <w:t>will make</w:t>
      </w:r>
      <w:r w:rsidRPr="009E5737">
        <w:rPr>
          <w:lang w:val="en-US"/>
        </w:rPr>
        <w:t xml:space="preserve"> the selection, and a third author (CAD) </w:t>
      </w:r>
      <w:r w:rsidR="001B1DAC" w:rsidRPr="009E5737">
        <w:rPr>
          <w:lang w:val="en-US"/>
        </w:rPr>
        <w:t>will participate</w:t>
      </w:r>
      <w:r w:rsidRPr="009E5737">
        <w:rPr>
          <w:lang w:val="en-US"/>
        </w:rPr>
        <w:t xml:space="preserve"> if there </w:t>
      </w:r>
      <w:r w:rsidR="0090737B" w:rsidRPr="009E5737">
        <w:rPr>
          <w:lang w:val="en-US"/>
        </w:rPr>
        <w:t>is</w:t>
      </w:r>
      <w:r w:rsidRPr="009E5737">
        <w:rPr>
          <w:lang w:val="en-US"/>
        </w:rPr>
        <w:t xml:space="preserve"> any discrepancy through discussion and consensus. </w:t>
      </w:r>
    </w:p>
    <w:p w14:paraId="28F3BA0D" w14:textId="667223DF" w:rsidR="00401493" w:rsidRPr="00D46243" w:rsidRDefault="00401493" w:rsidP="00401493">
      <w:pPr>
        <w:spacing w:line="360" w:lineRule="auto"/>
        <w:jc w:val="both"/>
        <w:rPr>
          <w:lang w:val="en-US"/>
        </w:rPr>
      </w:pPr>
      <w:r>
        <w:rPr>
          <w:lang w:val="en-US"/>
        </w:rPr>
        <w:lastRenderedPageBreak/>
        <w:t xml:space="preserve">We will include </w:t>
      </w:r>
      <w:r w:rsidRPr="00D46243">
        <w:rPr>
          <w:lang w:val="en-US"/>
        </w:rPr>
        <w:t xml:space="preserve">those studies of socioeconomic evaluations that provide data on the disease's costs by FTD. We </w:t>
      </w:r>
      <w:r>
        <w:rPr>
          <w:lang w:val="en-US"/>
        </w:rPr>
        <w:t>will exclude</w:t>
      </w:r>
      <w:r w:rsidRPr="00D46243">
        <w:rPr>
          <w:lang w:val="en-US"/>
        </w:rPr>
        <w:t xml:space="preserve"> publication types such as letters, notes, conference papers, short surveys, and clinical trials, as well as studies not available in full text.</w:t>
      </w:r>
    </w:p>
    <w:p w14:paraId="27D6CB88" w14:textId="77777777" w:rsidR="00401493" w:rsidRDefault="00401493" w:rsidP="009E5737">
      <w:pPr>
        <w:spacing w:line="360" w:lineRule="auto"/>
        <w:jc w:val="both"/>
        <w:rPr>
          <w:lang w:val="en-US"/>
        </w:rPr>
      </w:pPr>
    </w:p>
    <w:p w14:paraId="6793A285" w14:textId="1DB0EF3D" w:rsidR="00A84485" w:rsidRPr="009E5737" w:rsidRDefault="00DC727C" w:rsidP="009E5737">
      <w:pPr>
        <w:spacing w:line="360" w:lineRule="auto"/>
        <w:jc w:val="both"/>
        <w:rPr>
          <w:lang w:val="en-US"/>
        </w:rPr>
      </w:pPr>
      <w:r w:rsidRPr="009E5737">
        <w:rPr>
          <w:lang w:val="en-US"/>
        </w:rPr>
        <w:t xml:space="preserve">Two authors (MM &amp; ARC) </w:t>
      </w:r>
      <w:r w:rsidR="00C11DCD" w:rsidRPr="009E5737">
        <w:rPr>
          <w:lang w:val="en-US"/>
        </w:rPr>
        <w:t>will carry</w:t>
      </w:r>
      <w:r w:rsidRPr="009E5737">
        <w:rPr>
          <w:lang w:val="en-US"/>
        </w:rPr>
        <w:t xml:space="preserve"> out data collection independently using a standardized form in Microsoft Excel. A third author (VVR) </w:t>
      </w:r>
      <w:r w:rsidR="009F00EE" w:rsidRPr="009E5737">
        <w:rPr>
          <w:lang w:val="en-US"/>
        </w:rPr>
        <w:t>will verify</w:t>
      </w:r>
      <w:r w:rsidRPr="009E5737">
        <w:rPr>
          <w:lang w:val="en-US"/>
        </w:rPr>
        <w:t xml:space="preserve"> the quality of the data before analysis. We </w:t>
      </w:r>
      <w:r w:rsidR="00204667" w:rsidRPr="009E5737">
        <w:rPr>
          <w:lang w:val="en-US"/>
        </w:rPr>
        <w:t>will adjust</w:t>
      </w:r>
      <w:r w:rsidRPr="009E5737">
        <w:rPr>
          <w:lang w:val="en-US"/>
        </w:rPr>
        <w:t xml:space="preserve"> the costs for inflation using the Consumer Price Index inflation calculator by the US Bureau of Labour Statistics for all costs reported in US Dollars. </w:t>
      </w:r>
    </w:p>
    <w:p w14:paraId="2F5D694C" w14:textId="77777777" w:rsidR="0035767C" w:rsidRPr="009E5737" w:rsidRDefault="0035767C" w:rsidP="009E5737">
      <w:pPr>
        <w:spacing w:line="360" w:lineRule="auto"/>
        <w:jc w:val="both"/>
        <w:rPr>
          <w:lang w:val="en-US"/>
        </w:rPr>
      </w:pPr>
    </w:p>
    <w:p w14:paraId="25CEC958" w14:textId="3D5BC81B" w:rsidR="00A84485" w:rsidRPr="009E5737" w:rsidRDefault="00CE65FD" w:rsidP="009E5737">
      <w:pPr>
        <w:spacing w:line="360" w:lineRule="auto"/>
        <w:jc w:val="both"/>
        <w:rPr>
          <w:b/>
          <w:sz w:val="24"/>
          <w:szCs w:val="24"/>
          <w:lang w:val="en-US"/>
        </w:rPr>
      </w:pPr>
      <w:r w:rsidRPr="009E5737">
        <w:rPr>
          <w:b/>
          <w:sz w:val="24"/>
          <w:szCs w:val="24"/>
          <w:lang w:val="en-US"/>
        </w:rPr>
        <w:t>Assessment of methodological quality</w:t>
      </w:r>
    </w:p>
    <w:p w14:paraId="051897EB" w14:textId="77777777" w:rsidR="00B207BB" w:rsidRPr="009E5737" w:rsidRDefault="00B207BB" w:rsidP="009E5737">
      <w:pPr>
        <w:spacing w:line="360" w:lineRule="auto"/>
        <w:jc w:val="both"/>
        <w:rPr>
          <w:b/>
          <w:sz w:val="24"/>
          <w:szCs w:val="24"/>
          <w:lang w:val="en-US"/>
        </w:rPr>
      </w:pPr>
    </w:p>
    <w:p w14:paraId="320895E8" w14:textId="52CA278A" w:rsidR="00980E8C" w:rsidRPr="009E5737" w:rsidRDefault="00980E8C" w:rsidP="009E5737">
      <w:pPr>
        <w:spacing w:line="360" w:lineRule="auto"/>
        <w:jc w:val="both"/>
        <w:rPr>
          <w:b/>
          <w:bCs/>
          <w:lang w:val="en-US"/>
        </w:rPr>
      </w:pPr>
      <w:bookmarkStart w:id="0" w:name="_Hlk55940782"/>
      <w:r w:rsidRPr="009E5737">
        <w:rPr>
          <w:b/>
          <w:bCs/>
          <w:lang w:val="en-US"/>
        </w:rPr>
        <w:t>Instrument</w:t>
      </w:r>
    </w:p>
    <w:p w14:paraId="5F8EB96B" w14:textId="56C4EBB1" w:rsidR="000B153F" w:rsidRPr="009E5737" w:rsidRDefault="00236FCF" w:rsidP="009E5737">
      <w:pPr>
        <w:spacing w:line="360" w:lineRule="auto"/>
        <w:jc w:val="both"/>
        <w:rPr>
          <w:lang w:val="en-US"/>
        </w:rPr>
      </w:pPr>
      <w:r w:rsidRPr="009E5737">
        <w:rPr>
          <w:lang w:val="en-US"/>
        </w:rPr>
        <w:t xml:space="preserve">The studies' quality will be critically assessed using a COI assessment tool developed by Afroz et al. </w:t>
      </w:r>
      <w:r w:rsidRPr="009E5737">
        <w:rPr>
          <w:lang w:val="en-US"/>
        </w:rPr>
        <w:fldChar w:fldCharType="begin" w:fldLock="1"/>
      </w:r>
      <w:r w:rsidR="004B0448" w:rsidRPr="009E5737">
        <w:rPr>
          <w:lang w:val="en-US"/>
        </w:rPr>
        <w:instrText>ADDIN CSL_CITATION {"citationItems":[{"id":"ITEM-1","itemData":{"DOI":"10.1186/s12913-018-3772-8","ISSN":"14726963","PMID":"30558591","abstract":"Background: Diabetes is one of the world's most prevalent and serious non-communicable diseases (NCDs). It is a leading cause of death, disability and financial loss; moreover, it is identified as a major threat to global development. The chronic nature of diabetes and its related complications make it a costly disease. Estimating the total cost of an illness is a useful aid to national and international health policy decision making. The aim of this systematic review is to summarise the impact of the cost-of-illness of type 2 diabetes mellitus in low and lower-middle income countries, and to identify methodological gaps in measuring the cost-of-illness of type 2 diabetes mellitus. Methods: This systematic review considers studies that reported the cost-of-illness of type 2 diabetes in subjects aged 18 years and above in low and lower-middle income countries. The search engines MEDLINE, EMBASE, CINAHL, PSYCINFO and COCHRANE were used form date of their inception to September 2018. Two authors independently identified the eligible studies. Costs reported in the included studies were converted to US dollars in relation to the dates mentioned in the studies. Results: The systematic search identified eight eligible studies conducted in low and lower-middle income countries. There was a considerable variation in the costs and method used in these studies. The annual average cost (both direct and indirect) per person for treating type 2 diabetes mellitus ranged from USD29.91 to USD237.38, direct costs ranged from USD106.53 to USD293.79, and indirect costs ranged from USD1.92 to USD73.4 per person per year. Hospitalization cost was the major contributor of direct costs followed by drug costs. Conclusion: Type 2 diabetes mellitus imposes a considerable economic burden which most directly affects the patients in low and lower-middle income countries. There is enormous scope for adding research-based evidence that is methodologically sound to gain a more accurate estimation of cost and to facilitate comparison between studies.","author":[{"dropping-particle":"","family":"Afroz","given":"Afsana","non-dropping-particle":"","parse-names":false,"suffix":""},{"dropping-particle":"","family":"Alramadan","given":"Mohammed J.","non-dropping-particle":"","parse-names":false,"suffix":""},{"dropping-particle":"","family":"Hossain","given":"Md Nassif","non-dropping-particle":"","parse-names":false,"suffix":""},{"dropping-particle":"","family":"Romero","given":"Lorena","non-dropping-particle":"","parse-names":false,"suffix":""},{"dropping-particle":"","family":"Alam","given":"Khurshid","non-dropping-particle":"","parse-names":false,"suffix":""},{"dropping-particle":"","family":"Magliano","given":"Dianna J.","non-dropping-particle":"","parse-names":false,"suffix":""},{"dropping-particle":"","family":"Billah","given":"Baki","non-dropping-particle":"","parse-names":false,"suffix":""}],"container-title":"BMC Health Services Research","id":"ITEM-1","issue":"1","issued":{"date-parts":[["2018","12","17"]]},"page":"972","publisher":"BioMed Central Ltd.","title":"Cost-of-illness of type 2 diabetes mellitus in low and lower-middle income countries: A systematic review","type":"article","volume":"18"},"uris":["http://www.mendeley.com/documents/?uuid=fa04db63-d22f-3b49-b165-4f9d46868550"]}],"mendeley":{"formattedCitation":"(12)","plainTextFormattedCitation":"(12)","previouslyFormattedCitation":"(12)"},"properties":{"noteIndex":0},"schema":"https://github.com/citation-style-language/schema/raw/master/csl-citation.json"}</w:instrText>
      </w:r>
      <w:r w:rsidRPr="009E5737">
        <w:rPr>
          <w:lang w:val="en-US"/>
        </w:rPr>
        <w:fldChar w:fldCharType="separate"/>
      </w:r>
      <w:r w:rsidR="00496E7C" w:rsidRPr="009E5737">
        <w:rPr>
          <w:noProof/>
          <w:lang w:val="en-US"/>
        </w:rPr>
        <w:t>(12)</w:t>
      </w:r>
      <w:r w:rsidRPr="009E5737">
        <w:rPr>
          <w:lang w:val="en-US"/>
        </w:rPr>
        <w:fldChar w:fldCharType="end"/>
      </w:r>
      <w:r w:rsidRPr="009E5737">
        <w:rPr>
          <w:lang w:val="en-US"/>
        </w:rPr>
        <w:t>. Two researchers (</w:t>
      </w:r>
      <w:r w:rsidRPr="009E5737">
        <w:rPr>
          <w:bCs/>
          <w:lang w:val="en-US"/>
        </w:rPr>
        <w:t>MM &amp; ARC)</w:t>
      </w:r>
      <w:r w:rsidRPr="009E5737">
        <w:rPr>
          <w:lang w:val="en-US"/>
        </w:rPr>
        <w:t xml:space="preserve"> independently will assess the risk of bias for each outcome</w:t>
      </w:r>
      <w:r w:rsidR="000B153F" w:rsidRPr="009E5737">
        <w:rPr>
          <w:lang w:val="en-US"/>
        </w:rPr>
        <w:t>.</w:t>
      </w:r>
    </w:p>
    <w:p w14:paraId="3B69A5C8" w14:textId="49C50581" w:rsidR="00AB2ABB" w:rsidRPr="009E5737" w:rsidRDefault="00AB2ABB" w:rsidP="009E5737">
      <w:pPr>
        <w:spacing w:line="360" w:lineRule="auto"/>
        <w:jc w:val="both"/>
        <w:rPr>
          <w:lang w:val="en-US"/>
        </w:rPr>
      </w:pPr>
    </w:p>
    <w:p w14:paraId="0637FCB6" w14:textId="77777777" w:rsidR="002074F9" w:rsidRPr="009E5737" w:rsidRDefault="002074F9" w:rsidP="009E5737">
      <w:pPr>
        <w:spacing w:line="360" w:lineRule="auto"/>
        <w:jc w:val="both"/>
        <w:rPr>
          <w:lang w:val="en-US"/>
        </w:rPr>
      </w:pPr>
    </w:p>
    <w:p w14:paraId="027F3B74" w14:textId="7D1F49B7" w:rsidR="00980E8C" w:rsidRPr="009E5737" w:rsidRDefault="00980E8C" w:rsidP="009E5737">
      <w:pPr>
        <w:spacing w:line="360" w:lineRule="auto"/>
        <w:jc w:val="both"/>
        <w:rPr>
          <w:b/>
          <w:bCs/>
          <w:lang w:val="en-US"/>
        </w:rPr>
      </w:pPr>
      <w:r w:rsidRPr="009E5737">
        <w:rPr>
          <w:b/>
          <w:bCs/>
          <w:lang w:val="en-US"/>
        </w:rPr>
        <w:t>Calculation of domain scores</w:t>
      </w:r>
    </w:p>
    <w:p w14:paraId="65766BC1" w14:textId="2CE687D8" w:rsidR="006C456A" w:rsidRPr="009E5737" w:rsidRDefault="006C456A" w:rsidP="009E5737">
      <w:pPr>
        <w:spacing w:line="360" w:lineRule="auto"/>
        <w:jc w:val="center"/>
        <w:rPr>
          <w:lang w:val="en-US"/>
        </w:rPr>
      </w:pPr>
    </w:p>
    <w:p w14:paraId="607D61D8" w14:textId="4735B022" w:rsidR="006C456A" w:rsidRPr="009E5737" w:rsidRDefault="00163306" w:rsidP="009E5737">
      <w:pPr>
        <w:spacing w:line="360" w:lineRule="auto"/>
        <w:jc w:val="both"/>
        <w:rPr>
          <w:lang w:val="en-US"/>
        </w:rPr>
      </w:pPr>
      <w:r w:rsidRPr="009E5737">
        <w:rPr>
          <w:lang w:val="en-US"/>
        </w:rPr>
        <w:t>This tool</w:t>
      </w:r>
      <w:r w:rsidR="004B0448" w:rsidRPr="009E5737">
        <w:rPr>
          <w:lang w:val="en-US"/>
        </w:rPr>
        <w:t xml:space="preserve"> </w:t>
      </w:r>
      <w:r w:rsidR="004B0448" w:rsidRPr="009E5737">
        <w:rPr>
          <w:lang w:val="en-US"/>
        </w:rPr>
        <w:fldChar w:fldCharType="begin" w:fldLock="1"/>
      </w:r>
      <w:r w:rsidR="004B0448" w:rsidRPr="009E5737">
        <w:rPr>
          <w:lang w:val="en-US"/>
        </w:rPr>
        <w:instrText>ADDIN CSL_CITATION {"citationItems":[{"id":"ITEM-1","itemData":{"DOI":"10.1186/s12913-018-3772-8","ISSN":"14726963","PMID":"30558591","abstract":"Background: Diabetes is one of the world's most prevalent and serious non-communicable diseases (NCDs). It is a leading cause of death, disability and financial loss; moreover, it is identified as a major threat to global development. The chronic nature of diabetes and its related complications make it a costly disease. Estimating the total cost of an illness is a useful aid to national and international health policy decision making. The aim of this systematic review is to summarise the impact of the cost-of-illness of type 2 diabetes mellitus in low and lower-middle income countries, and to identify methodological gaps in measuring the cost-of-illness of type 2 diabetes mellitus. Methods: This systematic review considers studies that reported the cost-of-illness of type 2 diabetes in subjects aged 18 years and above in low and lower-middle income countries. The search engines MEDLINE, EMBASE, CINAHL, PSYCINFO and COCHRANE were used form date of their inception to September 2018. Two authors independently identified the eligible studies. Costs reported in the included studies were converted to US dollars in relation to the dates mentioned in the studies. Results: The systematic search identified eight eligible studies conducted in low and lower-middle income countries. There was a considerable variation in the costs and method used in these studies. The annual average cost (both direct and indirect) per person for treating type 2 diabetes mellitus ranged from USD29.91 to USD237.38, direct costs ranged from USD106.53 to USD293.79, and indirect costs ranged from USD1.92 to USD73.4 per person per year. Hospitalization cost was the major contributor of direct costs followed by drug costs. Conclusion: Type 2 diabetes mellitus imposes a considerable economic burden which most directly affects the patients in low and lower-middle income countries. There is enormous scope for adding research-based evidence that is methodologically sound to gain a more accurate estimation of cost and to facilitate comparison between studies.","author":[{"dropping-particle":"","family":"Afroz","given":"Afsana","non-dropping-particle":"","parse-names":false,"suffix":""},{"dropping-particle":"","family":"Alramadan","given":"Mohammed J.","non-dropping-particle":"","parse-names":false,"suffix":""},{"dropping-particle":"","family":"Hossain","given":"Md Nassif","non-dropping-particle":"","parse-names":false,"suffix":""},{"dropping-particle":"","family":"Romero","given":"Lorena","non-dropping-particle":"","parse-names":false,"suffix":""},{"dropping-particle":"","family":"Alam","given":"Khurshid","non-dropping-particle":"","parse-names":false,"suffix":""},{"dropping-particle":"","family":"Magliano","given":"Dianna J.","non-dropping-particle":"","parse-names":false,"suffix":""},{"dropping-particle":"","family":"Billah","given":"Baki","non-dropping-particle":"","parse-names":false,"suffix":""}],"container-title":"BMC Health Services Research","id":"ITEM-1","issue":"1","issued":{"date-parts":[["2018","12","17"]]},"page":"972","publisher":"BioMed Central Ltd.","title":"Cost-of-illness of type 2 diabetes mellitus in low and lower-middle income countries: A systematic review","type":"article","volume":"18"},"uris":["http://www.mendeley.com/documents/?uuid=fa04db63-d22f-3b49-b165-4f9d46868550"]}],"mendeley":{"formattedCitation":"(12)","plainTextFormattedCitation":"(12)"},"properties":{"noteIndex":0},"schema":"https://github.com/citation-style-language/schema/raw/master/csl-citation.json"}</w:instrText>
      </w:r>
      <w:r w:rsidR="004B0448" w:rsidRPr="009E5737">
        <w:rPr>
          <w:lang w:val="en-US"/>
        </w:rPr>
        <w:fldChar w:fldCharType="separate"/>
      </w:r>
      <w:r w:rsidR="004B0448" w:rsidRPr="009E5737">
        <w:rPr>
          <w:noProof/>
          <w:lang w:val="en-US"/>
        </w:rPr>
        <w:t>(12)</w:t>
      </w:r>
      <w:r w:rsidR="004B0448" w:rsidRPr="009E5737">
        <w:rPr>
          <w:lang w:val="en-US"/>
        </w:rPr>
        <w:fldChar w:fldCharType="end"/>
      </w:r>
      <w:r w:rsidRPr="009E5737">
        <w:rPr>
          <w:lang w:val="en-US"/>
        </w:rPr>
        <w:t xml:space="preserve"> has 15 indicators, which can be given no score, 0, a partial score of 0.5, or a total score of 1. Thus, it has a maximum obtainable score of 15. However, three items are specific to the disease used for its development and </w:t>
      </w:r>
      <w:r w:rsidR="00401493">
        <w:rPr>
          <w:lang w:val="en-US"/>
        </w:rPr>
        <w:t>do</w:t>
      </w:r>
      <w:r w:rsidRPr="009E5737">
        <w:rPr>
          <w:lang w:val="en-US"/>
        </w:rPr>
        <w:t xml:space="preserve"> not apply to our studies. Because of this, the maximum obtainable score will be 12.</w:t>
      </w:r>
    </w:p>
    <w:p w14:paraId="11A28942" w14:textId="77777777" w:rsidR="00163306" w:rsidRPr="009E5737" w:rsidRDefault="00163306" w:rsidP="009E5737">
      <w:pPr>
        <w:spacing w:line="360" w:lineRule="auto"/>
        <w:jc w:val="both"/>
        <w:rPr>
          <w:lang w:val="en-US"/>
        </w:rPr>
      </w:pPr>
    </w:p>
    <w:bookmarkEnd w:id="0"/>
    <w:p w14:paraId="7BEA9D86" w14:textId="77777777" w:rsidR="00201A2C" w:rsidRPr="009E5737" w:rsidRDefault="00201A2C" w:rsidP="009E5737">
      <w:pPr>
        <w:spacing w:line="360" w:lineRule="auto"/>
        <w:jc w:val="both"/>
        <w:rPr>
          <w:lang w:val="en-US"/>
        </w:rPr>
      </w:pPr>
    </w:p>
    <w:p w14:paraId="45C5806E" w14:textId="77777777" w:rsidR="00A84485" w:rsidRPr="009E5737" w:rsidRDefault="00CE65FD" w:rsidP="009E5737">
      <w:pPr>
        <w:spacing w:line="360" w:lineRule="auto"/>
        <w:jc w:val="both"/>
        <w:rPr>
          <w:b/>
          <w:sz w:val="24"/>
          <w:szCs w:val="24"/>
          <w:lang w:val="en-US"/>
        </w:rPr>
      </w:pPr>
      <w:r w:rsidRPr="009E5737">
        <w:rPr>
          <w:b/>
          <w:sz w:val="24"/>
          <w:szCs w:val="24"/>
          <w:lang w:val="en-US"/>
        </w:rPr>
        <w:t>Data extraction</w:t>
      </w:r>
    </w:p>
    <w:p w14:paraId="5FD0BC0B" w14:textId="7D1B8A29" w:rsidR="006110C1" w:rsidRPr="009E5737" w:rsidRDefault="0093593F" w:rsidP="009E5737">
      <w:pPr>
        <w:spacing w:line="360" w:lineRule="auto"/>
        <w:jc w:val="both"/>
        <w:rPr>
          <w:lang w:val="en-US"/>
        </w:rPr>
      </w:pPr>
      <w:r w:rsidRPr="009E5737">
        <w:rPr>
          <w:lang w:val="en-US"/>
        </w:rPr>
        <w:t xml:space="preserve">The data extracted </w:t>
      </w:r>
      <w:r w:rsidR="00401493">
        <w:rPr>
          <w:lang w:val="en-US"/>
        </w:rPr>
        <w:t xml:space="preserve">will include: </w:t>
      </w:r>
      <w:r w:rsidRPr="009E5737">
        <w:rPr>
          <w:lang w:val="en-US"/>
        </w:rPr>
        <w:t xml:space="preserve">Author, year of publication, Country, number of patients included in the study and the analysis, data collection method, calculation of costs, and quality of the articles. We </w:t>
      </w:r>
      <w:r w:rsidR="00401493">
        <w:rPr>
          <w:lang w:val="en-US"/>
        </w:rPr>
        <w:t xml:space="preserve">will </w:t>
      </w:r>
      <w:r w:rsidRPr="009E5737">
        <w:rPr>
          <w:lang w:val="en-US"/>
        </w:rPr>
        <w:t xml:space="preserve">categorize the cost components into direct medical costs and indirect costs. The first one </w:t>
      </w:r>
      <w:r w:rsidR="00401493">
        <w:rPr>
          <w:lang w:val="en-US"/>
        </w:rPr>
        <w:t>will be</w:t>
      </w:r>
      <w:r w:rsidRPr="009E5737">
        <w:rPr>
          <w:lang w:val="en-US"/>
        </w:rPr>
        <w:t xml:space="preserve"> made up of medication costs, healthcare services, and additional direct costs, while indirect costs </w:t>
      </w:r>
      <w:r w:rsidR="00401493">
        <w:rPr>
          <w:lang w:val="en-US"/>
        </w:rPr>
        <w:t>will include</w:t>
      </w:r>
      <w:r w:rsidRPr="009E5737">
        <w:rPr>
          <w:lang w:val="en-US"/>
        </w:rPr>
        <w:t xml:space="preserve"> caregiver expenses, loss of productivity, and time loss due to patient care.</w:t>
      </w:r>
    </w:p>
    <w:p w14:paraId="63A78891" w14:textId="77777777" w:rsidR="0093593F" w:rsidRPr="009E5737" w:rsidRDefault="0093593F" w:rsidP="009E5737">
      <w:pPr>
        <w:spacing w:line="360" w:lineRule="auto"/>
        <w:jc w:val="both"/>
        <w:rPr>
          <w:b/>
          <w:sz w:val="24"/>
          <w:szCs w:val="24"/>
          <w:lang w:val="en-US"/>
        </w:rPr>
      </w:pPr>
    </w:p>
    <w:p w14:paraId="6A98CDA3" w14:textId="0315DB8E" w:rsidR="009572D7" w:rsidRPr="009E5737" w:rsidRDefault="00D01F49" w:rsidP="009E5737">
      <w:pPr>
        <w:spacing w:line="360" w:lineRule="auto"/>
        <w:jc w:val="both"/>
        <w:rPr>
          <w:b/>
          <w:sz w:val="24"/>
          <w:szCs w:val="24"/>
          <w:lang w:val="en-US"/>
        </w:rPr>
      </w:pPr>
      <w:r w:rsidRPr="009E5737">
        <w:rPr>
          <w:b/>
          <w:sz w:val="24"/>
          <w:szCs w:val="24"/>
          <w:lang w:val="en-US"/>
        </w:rPr>
        <w:t>Analysis of the evidence</w:t>
      </w:r>
    </w:p>
    <w:p w14:paraId="62E7BBA7" w14:textId="7EA391B4" w:rsidR="0093593F" w:rsidRDefault="00401493" w:rsidP="00401493">
      <w:pPr>
        <w:spacing w:line="360" w:lineRule="auto"/>
        <w:jc w:val="both"/>
        <w:rPr>
          <w:bCs/>
          <w:lang w:val="en-US"/>
        </w:rPr>
      </w:pPr>
      <w:r>
        <w:rPr>
          <w:bCs/>
          <w:lang w:val="en-US"/>
        </w:rPr>
        <w:t xml:space="preserve">If possible, a meta-analysis will be performed. This will be done using a random effects model with DerSimonian and Laird weights. </w:t>
      </w:r>
      <w:r w:rsidRPr="00401493">
        <w:rPr>
          <w:bCs/>
          <w:lang w:val="en-US"/>
        </w:rPr>
        <w:t>Heterogeneity will be tested with the Cochran</w:t>
      </w:r>
      <w:r>
        <w:rPr>
          <w:bCs/>
          <w:lang w:val="en-US"/>
        </w:rPr>
        <w:t xml:space="preserve"> </w:t>
      </w:r>
      <w:r w:rsidRPr="00401493">
        <w:rPr>
          <w:bCs/>
          <w:lang w:val="en-US"/>
        </w:rPr>
        <w:t xml:space="preserve">Q statistic </w:t>
      </w:r>
      <w:r w:rsidRPr="00401493">
        <w:rPr>
          <w:bCs/>
          <w:lang w:val="en-US"/>
        </w:rPr>
        <w:lastRenderedPageBreak/>
        <w:t>and quantified with the I2 statistic, which describes the</w:t>
      </w:r>
      <w:r>
        <w:rPr>
          <w:bCs/>
          <w:lang w:val="en-US"/>
        </w:rPr>
        <w:t xml:space="preserve"> </w:t>
      </w:r>
      <w:r w:rsidRPr="00401493">
        <w:rPr>
          <w:bCs/>
          <w:lang w:val="en-US"/>
        </w:rPr>
        <w:t>variation in the effect size that would be attributed to the heterogeneity between</w:t>
      </w:r>
      <w:r>
        <w:rPr>
          <w:bCs/>
          <w:lang w:val="en-US"/>
        </w:rPr>
        <w:t xml:space="preserve"> </w:t>
      </w:r>
      <w:r w:rsidRPr="00401493">
        <w:rPr>
          <w:bCs/>
          <w:lang w:val="en-US"/>
        </w:rPr>
        <w:t>studies</w:t>
      </w:r>
      <w:r>
        <w:rPr>
          <w:bCs/>
          <w:lang w:val="en-US"/>
        </w:rPr>
        <w:t>, w</w:t>
      </w:r>
      <w:r w:rsidRPr="00401493">
        <w:rPr>
          <w:bCs/>
          <w:lang w:val="en-US"/>
        </w:rPr>
        <w:t>here an I2 value greater than 50% would indicate significant</w:t>
      </w:r>
      <w:r>
        <w:rPr>
          <w:bCs/>
          <w:lang w:val="en-US"/>
        </w:rPr>
        <w:t xml:space="preserve"> </w:t>
      </w:r>
      <w:r w:rsidRPr="00401493">
        <w:rPr>
          <w:bCs/>
          <w:lang w:val="en-US"/>
        </w:rPr>
        <w:t>heterogeneity. Also, according</w:t>
      </w:r>
      <w:r>
        <w:rPr>
          <w:bCs/>
          <w:lang w:val="en-US"/>
        </w:rPr>
        <w:t xml:space="preserve"> </w:t>
      </w:r>
      <w:r w:rsidRPr="00401493">
        <w:rPr>
          <w:bCs/>
          <w:lang w:val="en-US"/>
        </w:rPr>
        <w:t>to the number of included studies, publication bias will be evaluated and a p-value in two-tailed tests will be considered statistically significant</w:t>
      </w:r>
      <w:r>
        <w:rPr>
          <w:bCs/>
          <w:lang w:val="en-US"/>
        </w:rPr>
        <w:t>.</w:t>
      </w:r>
    </w:p>
    <w:p w14:paraId="73423E52" w14:textId="77777777" w:rsidR="00C76155" w:rsidRPr="009E5737" w:rsidRDefault="00C76155" w:rsidP="009E5737">
      <w:pPr>
        <w:spacing w:line="360" w:lineRule="auto"/>
        <w:jc w:val="both"/>
        <w:rPr>
          <w:b/>
          <w:sz w:val="24"/>
          <w:szCs w:val="24"/>
          <w:lang w:val="en-US"/>
        </w:rPr>
      </w:pPr>
    </w:p>
    <w:p w14:paraId="52EDEEEF" w14:textId="15D7009D" w:rsidR="00A84485" w:rsidRPr="009E5737" w:rsidRDefault="00CE65FD" w:rsidP="009E5737">
      <w:pPr>
        <w:spacing w:line="360" w:lineRule="auto"/>
        <w:jc w:val="both"/>
        <w:rPr>
          <w:b/>
          <w:sz w:val="24"/>
          <w:szCs w:val="24"/>
          <w:lang w:val="en-US"/>
        </w:rPr>
      </w:pPr>
      <w:r w:rsidRPr="009E5737">
        <w:rPr>
          <w:b/>
          <w:sz w:val="24"/>
          <w:szCs w:val="24"/>
          <w:lang w:val="en-US"/>
        </w:rPr>
        <w:t>Data presentation</w:t>
      </w:r>
    </w:p>
    <w:p w14:paraId="1EDEA5A8" w14:textId="48C00ED4" w:rsidR="0017346E" w:rsidRPr="009E5737" w:rsidRDefault="00401493" w:rsidP="009E5737">
      <w:pPr>
        <w:spacing w:line="360" w:lineRule="auto"/>
        <w:jc w:val="both"/>
        <w:rPr>
          <w:lang w:val="en-US"/>
        </w:rPr>
      </w:pPr>
      <w:r>
        <w:rPr>
          <w:lang w:val="en-US"/>
        </w:rPr>
        <w:t xml:space="preserve">Two tables will be </w:t>
      </w:r>
      <w:r w:rsidR="002243D5">
        <w:rPr>
          <w:lang w:val="en-US"/>
        </w:rPr>
        <w:t xml:space="preserve">developed summarizing both the characteristics of the included studied and the costs and its respective categories, respectively. If a meta-analysis is performed, this will be presented through a Forrest plot and publication bias will be graphed using a funnel plot. </w:t>
      </w:r>
    </w:p>
    <w:p w14:paraId="01578613" w14:textId="4D2AB57C" w:rsidR="0093593F" w:rsidRPr="009E5737" w:rsidRDefault="0093593F" w:rsidP="009E5737">
      <w:pPr>
        <w:spacing w:line="360" w:lineRule="auto"/>
        <w:jc w:val="both"/>
        <w:rPr>
          <w:lang w:val="en-US"/>
        </w:rPr>
      </w:pPr>
    </w:p>
    <w:p w14:paraId="7A8135F4" w14:textId="77777777" w:rsidR="00C76155" w:rsidRPr="009E5737" w:rsidRDefault="00C76155" w:rsidP="009E5737">
      <w:pPr>
        <w:spacing w:line="360" w:lineRule="auto"/>
        <w:jc w:val="both"/>
        <w:rPr>
          <w:lang w:val="en-US"/>
        </w:rPr>
      </w:pPr>
    </w:p>
    <w:p w14:paraId="140DFEDA" w14:textId="77777777" w:rsidR="00A84485" w:rsidRPr="009E5737" w:rsidRDefault="00CE65FD" w:rsidP="009E5737">
      <w:pPr>
        <w:spacing w:line="360" w:lineRule="auto"/>
        <w:jc w:val="both"/>
        <w:rPr>
          <w:b/>
          <w:color w:val="002060"/>
          <w:sz w:val="30"/>
          <w:szCs w:val="30"/>
          <w:lang w:val="en-US"/>
        </w:rPr>
      </w:pPr>
      <w:r w:rsidRPr="009E5737">
        <w:rPr>
          <w:b/>
          <w:color w:val="002060"/>
          <w:sz w:val="30"/>
          <w:szCs w:val="30"/>
          <w:lang w:val="en-US"/>
        </w:rPr>
        <w:t>Funding</w:t>
      </w:r>
    </w:p>
    <w:p w14:paraId="77F69B74" w14:textId="4DE57C9E" w:rsidR="00A84485" w:rsidRPr="009E5737" w:rsidRDefault="00CE65FD" w:rsidP="009E5737">
      <w:pPr>
        <w:spacing w:line="360" w:lineRule="auto"/>
        <w:jc w:val="both"/>
        <w:rPr>
          <w:lang w:val="en-US"/>
        </w:rPr>
      </w:pPr>
      <w:r w:rsidRPr="009E5737">
        <w:rPr>
          <w:lang w:val="en-US"/>
        </w:rPr>
        <w:t xml:space="preserve">This scoping review will be </w:t>
      </w:r>
      <w:r w:rsidR="007849FB" w:rsidRPr="009E5737">
        <w:rPr>
          <w:lang w:val="en-US"/>
        </w:rPr>
        <w:t>self-supported</w:t>
      </w:r>
      <w:r w:rsidRPr="009E5737">
        <w:rPr>
          <w:lang w:val="en-US"/>
        </w:rPr>
        <w:t xml:space="preserve"> by the authors.</w:t>
      </w:r>
    </w:p>
    <w:p w14:paraId="4AB69C10" w14:textId="77777777" w:rsidR="00A84485" w:rsidRPr="009E5737" w:rsidRDefault="00A84485" w:rsidP="009E5737">
      <w:pPr>
        <w:spacing w:line="360" w:lineRule="auto"/>
        <w:jc w:val="both"/>
        <w:rPr>
          <w:lang w:val="en-US"/>
        </w:rPr>
      </w:pPr>
    </w:p>
    <w:p w14:paraId="5A8DF371" w14:textId="77777777" w:rsidR="00A84485" w:rsidRPr="009E5737" w:rsidRDefault="00CE65FD" w:rsidP="009E5737">
      <w:pPr>
        <w:spacing w:line="360" w:lineRule="auto"/>
        <w:jc w:val="both"/>
        <w:rPr>
          <w:b/>
          <w:color w:val="002060"/>
          <w:sz w:val="30"/>
          <w:szCs w:val="30"/>
          <w:lang w:val="en-US"/>
        </w:rPr>
      </w:pPr>
      <w:r w:rsidRPr="009E5737">
        <w:rPr>
          <w:b/>
          <w:color w:val="002060"/>
          <w:sz w:val="30"/>
          <w:szCs w:val="30"/>
          <w:lang w:val="en-US"/>
        </w:rPr>
        <w:t>Conflict of interest</w:t>
      </w:r>
    </w:p>
    <w:p w14:paraId="12C129E5" w14:textId="77777777" w:rsidR="00A84485" w:rsidRPr="009E5737" w:rsidRDefault="00CE65FD" w:rsidP="009E5737">
      <w:pPr>
        <w:spacing w:line="360" w:lineRule="auto"/>
        <w:jc w:val="both"/>
        <w:rPr>
          <w:lang w:val="en-US"/>
        </w:rPr>
      </w:pPr>
      <w:r w:rsidRPr="009E5737">
        <w:rPr>
          <w:lang w:val="en-US"/>
        </w:rPr>
        <w:t>The authors declare no conflict of interest.</w:t>
      </w:r>
    </w:p>
    <w:p w14:paraId="1770E2A0" w14:textId="77777777" w:rsidR="00A84485" w:rsidRPr="009E5737" w:rsidRDefault="00A84485" w:rsidP="009E5737">
      <w:pPr>
        <w:spacing w:line="360" w:lineRule="auto"/>
        <w:jc w:val="both"/>
        <w:rPr>
          <w:lang w:val="en-US"/>
        </w:rPr>
      </w:pPr>
    </w:p>
    <w:p w14:paraId="60B2E2F3" w14:textId="2A0603CE" w:rsidR="00A84485" w:rsidRPr="009E5737" w:rsidRDefault="00CE65FD" w:rsidP="009E5737">
      <w:pPr>
        <w:spacing w:line="360" w:lineRule="auto"/>
        <w:jc w:val="both"/>
        <w:rPr>
          <w:b/>
          <w:sz w:val="30"/>
          <w:szCs w:val="30"/>
          <w:lang w:val="en-US"/>
        </w:rPr>
      </w:pPr>
      <w:r w:rsidRPr="009E5737">
        <w:rPr>
          <w:b/>
          <w:color w:val="002060"/>
          <w:sz w:val="30"/>
          <w:szCs w:val="30"/>
          <w:lang w:val="en-US"/>
        </w:rPr>
        <w:t>Acknowledgments</w:t>
      </w:r>
    </w:p>
    <w:p w14:paraId="49B9616A" w14:textId="75195D42" w:rsidR="00A84485" w:rsidRPr="009E5737" w:rsidRDefault="004E0F2B" w:rsidP="009E5737">
      <w:pPr>
        <w:spacing w:line="360" w:lineRule="auto"/>
        <w:jc w:val="both"/>
        <w:rPr>
          <w:lang w:val="en-US"/>
        </w:rPr>
      </w:pPr>
      <w:r w:rsidRPr="009E5737">
        <w:rPr>
          <w:lang w:val="en-US"/>
        </w:rPr>
        <w:t>None</w:t>
      </w:r>
    </w:p>
    <w:p w14:paraId="67DAF0E1" w14:textId="77777777" w:rsidR="00A84485" w:rsidRPr="009E5737" w:rsidRDefault="00A84485" w:rsidP="0041254F">
      <w:pPr>
        <w:jc w:val="both"/>
        <w:rPr>
          <w:lang w:val="en-US"/>
        </w:rPr>
      </w:pPr>
    </w:p>
    <w:p w14:paraId="5557CB9E" w14:textId="77777777" w:rsidR="00A84485" w:rsidRPr="009E5737" w:rsidRDefault="00A84485" w:rsidP="0041254F">
      <w:pPr>
        <w:jc w:val="both"/>
        <w:rPr>
          <w:lang w:val="en-US"/>
        </w:rPr>
      </w:pPr>
    </w:p>
    <w:p w14:paraId="242B4B1C" w14:textId="77777777" w:rsidR="00A84485" w:rsidRPr="009E5737" w:rsidRDefault="00A84485">
      <w:pPr>
        <w:rPr>
          <w:lang w:val="en-US"/>
        </w:rPr>
      </w:pPr>
    </w:p>
    <w:p w14:paraId="2BED3B6D" w14:textId="77777777" w:rsidR="00A84485" w:rsidRPr="009E5737" w:rsidRDefault="00A84485">
      <w:pPr>
        <w:rPr>
          <w:lang w:val="en-US"/>
        </w:rPr>
      </w:pPr>
    </w:p>
    <w:p w14:paraId="470D9EA9" w14:textId="77777777" w:rsidR="00A84485" w:rsidRPr="009E5737" w:rsidRDefault="00A84485">
      <w:pPr>
        <w:rPr>
          <w:lang w:val="en-US"/>
        </w:rPr>
      </w:pPr>
    </w:p>
    <w:p w14:paraId="708C9FF8" w14:textId="77777777" w:rsidR="00A84485" w:rsidRPr="009E5737" w:rsidRDefault="00A84485">
      <w:pPr>
        <w:rPr>
          <w:lang w:val="en-US"/>
        </w:rPr>
      </w:pPr>
    </w:p>
    <w:p w14:paraId="0D878008" w14:textId="77777777" w:rsidR="006C456A" w:rsidRPr="009E5737" w:rsidRDefault="006C456A">
      <w:pPr>
        <w:rPr>
          <w:lang w:val="en-US"/>
        </w:rPr>
      </w:pPr>
    </w:p>
    <w:p w14:paraId="06557F1E" w14:textId="3A2CF44D" w:rsidR="00A84485" w:rsidRPr="009E5737" w:rsidRDefault="00A84485">
      <w:pPr>
        <w:rPr>
          <w:lang w:val="en-US"/>
        </w:rPr>
      </w:pPr>
    </w:p>
    <w:p w14:paraId="69A508DC" w14:textId="7B51C66C" w:rsidR="001029B0" w:rsidRPr="009E5737" w:rsidRDefault="001029B0">
      <w:pPr>
        <w:rPr>
          <w:lang w:val="en-US"/>
        </w:rPr>
      </w:pPr>
    </w:p>
    <w:p w14:paraId="0B3609A9" w14:textId="331D4594" w:rsidR="001029B0" w:rsidRPr="009E5737" w:rsidRDefault="001029B0">
      <w:pPr>
        <w:rPr>
          <w:lang w:val="en-US"/>
        </w:rPr>
      </w:pPr>
    </w:p>
    <w:p w14:paraId="0503068D" w14:textId="601F0325" w:rsidR="001029B0" w:rsidRPr="009E5737" w:rsidRDefault="001029B0">
      <w:pPr>
        <w:rPr>
          <w:lang w:val="en-US"/>
        </w:rPr>
      </w:pPr>
    </w:p>
    <w:p w14:paraId="20C89DED" w14:textId="4B5F4DC3" w:rsidR="001029B0" w:rsidRPr="009E5737" w:rsidRDefault="001029B0">
      <w:pPr>
        <w:rPr>
          <w:lang w:val="en-US"/>
        </w:rPr>
      </w:pPr>
    </w:p>
    <w:p w14:paraId="22370251" w14:textId="3360940D" w:rsidR="001029B0" w:rsidRPr="009E5737" w:rsidRDefault="001029B0">
      <w:pPr>
        <w:rPr>
          <w:lang w:val="en-US"/>
        </w:rPr>
      </w:pPr>
    </w:p>
    <w:p w14:paraId="1B1C7A29" w14:textId="2E873CA7" w:rsidR="001029B0" w:rsidRPr="009E5737" w:rsidRDefault="001029B0">
      <w:pPr>
        <w:rPr>
          <w:lang w:val="en-US"/>
        </w:rPr>
      </w:pPr>
    </w:p>
    <w:p w14:paraId="152EB0A2" w14:textId="3B3AE1C9" w:rsidR="001029B0" w:rsidRPr="009E5737" w:rsidRDefault="001029B0">
      <w:pPr>
        <w:rPr>
          <w:lang w:val="en-US"/>
        </w:rPr>
      </w:pPr>
    </w:p>
    <w:p w14:paraId="5CF4B8EE" w14:textId="3367654B" w:rsidR="001029B0" w:rsidRPr="009E5737" w:rsidRDefault="001029B0">
      <w:pPr>
        <w:rPr>
          <w:lang w:val="en-US"/>
        </w:rPr>
      </w:pPr>
    </w:p>
    <w:p w14:paraId="20A5B821" w14:textId="77777777" w:rsidR="001029B0" w:rsidRPr="009E5737" w:rsidRDefault="001029B0">
      <w:pPr>
        <w:rPr>
          <w:lang w:val="en-US"/>
        </w:rPr>
      </w:pPr>
    </w:p>
    <w:p w14:paraId="6E3D5C6D" w14:textId="77777777" w:rsidR="001D0B22" w:rsidRPr="009E5737" w:rsidRDefault="001D0B22" w:rsidP="00A73C9E">
      <w:pPr>
        <w:rPr>
          <w:b/>
          <w:sz w:val="30"/>
          <w:szCs w:val="30"/>
          <w:lang w:val="en-US"/>
        </w:rPr>
      </w:pPr>
    </w:p>
    <w:p w14:paraId="4A23D9EA" w14:textId="77777777" w:rsidR="001D0B22" w:rsidRPr="009E5737" w:rsidRDefault="001D0B22">
      <w:pPr>
        <w:rPr>
          <w:b/>
          <w:sz w:val="30"/>
          <w:szCs w:val="30"/>
          <w:lang w:val="en-US"/>
        </w:rPr>
      </w:pPr>
      <w:r w:rsidRPr="009E5737">
        <w:rPr>
          <w:b/>
          <w:sz w:val="30"/>
          <w:szCs w:val="30"/>
          <w:lang w:val="en-US"/>
        </w:rPr>
        <w:br w:type="page"/>
      </w:r>
    </w:p>
    <w:p w14:paraId="7EA52666" w14:textId="430FA46E" w:rsidR="00A73C9E" w:rsidRPr="009E5737" w:rsidRDefault="00A73C9E" w:rsidP="00A73C9E">
      <w:pPr>
        <w:rPr>
          <w:b/>
          <w:sz w:val="30"/>
          <w:szCs w:val="30"/>
          <w:lang w:val="en-US"/>
        </w:rPr>
      </w:pPr>
      <w:r w:rsidRPr="009E5737">
        <w:rPr>
          <w:b/>
          <w:sz w:val="30"/>
          <w:szCs w:val="30"/>
          <w:lang w:val="en-US"/>
        </w:rPr>
        <w:lastRenderedPageBreak/>
        <w:t>References</w:t>
      </w:r>
    </w:p>
    <w:p w14:paraId="28BA8DA4" w14:textId="77777777" w:rsidR="00276206" w:rsidRPr="009E5737" w:rsidRDefault="00276206" w:rsidP="001D0B22">
      <w:pPr>
        <w:spacing w:line="360" w:lineRule="auto"/>
        <w:jc w:val="both"/>
        <w:rPr>
          <w:b/>
          <w:lang w:val="en-US"/>
        </w:rPr>
      </w:pPr>
    </w:p>
    <w:p w14:paraId="285350C5" w14:textId="031C3E55" w:rsidR="004B0448" w:rsidRPr="009E5737" w:rsidRDefault="00496E7C" w:rsidP="001D0B22">
      <w:pPr>
        <w:widowControl w:val="0"/>
        <w:autoSpaceDE w:val="0"/>
        <w:autoSpaceDN w:val="0"/>
        <w:adjustRightInd w:val="0"/>
        <w:spacing w:line="360" w:lineRule="auto"/>
        <w:ind w:left="640" w:hanging="640"/>
        <w:jc w:val="both"/>
        <w:rPr>
          <w:noProof/>
          <w:szCs w:val="24"/>
          <w:lang w:val="en-US"/>
        </w:rPr>
      </w:pPr>
      <w:r w:rsidRPr="009E5737">
        <w:rPr>
          <w:b/>
          <w:lang w:val="en-US"/>
        </w:rPr>
        <w:fldChar w:fldCharType="begin" w:fldLock="1"/>
      </w:r>
      <w:r w:rsidRPr="009E5737">
        <w:rPr>
          <w:b/>
          <w:lang w:val="en-US"/>
        </w:rPr>
        <w:instrText xml:space="preserve">ADDIN Mendeley Bibliography CSL_BIBLIOGRAPHY </w:instrText>
      </w:r>
      <w:r w:rsidRPr="009E5737">
        <w:rPr>
          <w:b/>
          <w:lang w:val="en-US"/>
        </w:rPr>
        <w:fldChar w:fldCharType="separate"/>
      </w:r>
      <w:r w:rsidR="004B0448" w:rsidRPr="009E5737">
        <w:rPr>
          <w:noProof/>
          <w:szCs w:val="24"/>
          <w:lang w:val="en-US"/>
        </w:rPr>
        <w:t xml:space="preserve">1. </w:t>
      </w:r>
      <w:r w:rsidR="004B0448" w:rsidRPr="009E5737">
        <w:rPr>
          <w:noProof/>
          <w:szCs w:val="24"/>
          <w:lang w:val="en-US"/>
        </w:rPr>
        <w:tab/>
        <w:t xml:space="preserve">Custodio N, Montesinos R, Alarcón JO. </w:t>
      </w:r>
      <w:r w:rsidR="004B0448" w:rsidRPr="00D46243">
        <w:rPr>
          <w:noProof/>
          <w:szCs w:val="24"/>
        </w:rPr>
        <w:t xml:space="preserve">Evolución histórica del concepto y criterios actuales para el diagnóstico de demencia. </w:t>
      </w:r>
      <w:r w:rsidR="004B0448" w:rsidRPr="009E5737">
        <w:rPr>
          <w:noProof/>
          <w:szCs w:val="24"/>
          <w:lang w:val="en-US"/>
        </w:rPr>
        <w:t xml:space="preserve">Rev Neuropsiquiatr. 2019; </w:t>
      </w:r>
    </w:p>
    <w:p w14:paraId="1F4E4EE4"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2. </w:t>
      </w:r>
      <w:r w:rsidRPr="009E5737">
        <w:rPr>
          <w:noProof/>
          <w:szCs w:val="24"/>
          <w:lang w:val="en-US"/>
        </w:rPr>
        <w:tab/>
        <w:t xml:space="preserve">Rabinovici GD, Miller BL. Frontotemporal lobar degeneration: Epidemiology, pathophysiology, diagnosis and management. CNS Drugs. 2010. </w:t>
      </w:r>
    </w:p>
    <w:p w14:paraId="1A353295"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3. </w:t>
      </w:r>
      <w:r w:rsidRPr="009E5737">
        <w:rPr>
          <w:noProof/>
          <w:szCs w:val="24"/>
          <w:lang w:val="en-US"/>
        </w:rPr>
        <w:tab/>
        <w:t>Olney NT, Spina S, Miller BL. Frontotemporal Dementia [Internet]. Vol. 35, Neurologic Clinics. W.B. Saunders; 2017 [cited 2021 Feb 5]. p. 339–74. Available from: http://www.neurologic.theclinics.com/article/S0733861917300087/fulltext</w:t>
      </w:r>
    </w:p>
    <w:p w14:paraId="05E248FC"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4. </w:t>
      </w:r>
      <w:r w:rsidRPr="009E5737">
        <w:rPr>
          <w:noProof/>
          <w:szCs w:val="24"/>
          <w:lang w:val="en-US"/>
        </w:rPr>
        <w:tab/>
        <w:t>Ratnavalli E, Brayne C, Dawson K, Hodges JR. The prevalence of frontotemporal dementia. Neurology [Internet]. 2002 Jun 11 [cited 2021 Feb 5];58(11):1615–21. Available from: https://n.neurology.org/content/58/11/1615</w:t>
      </w:r>
    </w:p>
    <w:p w14:paraId="5516B0A1"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5. </w:t>
      </w:r>
      <w:r w:rsidRPr="009E5737">
        <w:rPr>
          <w:noProof/>
          <w:szCs w:val="24"/>
          <w:lang w:val="en-US"/>
        </w:rPr>
        <w:tab/>
        <w:t>van Swieten JC, Rosso SM. Epidemiological aspects of frontotemporal dementia [Internet]. Vol. 89, Handbook of Clinical Neurology. Handb Clin Neurol; 2008 [cited 2021 Feb 5]. p. 331–41. Available from: https://pubmed.ncbi.nlm.nih.gov/18631758/</w:t>
      </w:r>
    </w:p>
    <w:p w14:paraId="6282FC75"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6. </w:t>
      </w:r>
      <w:r w:rsidRPr="009E5737">
        <w:rPr>
          <w:noProof/>
          <w:szCs w:val="24"/>
          <w:lang w:val="en-US"/>
        </w:rPr>
        <w:tab/>
        <w:t>Coyle-Gilchrist ITS, Dick KM, Patterson K, Rodríquez PV, Wehmann E, Wilcox A, et al. Prevalence, characteristics, and survival of frontotemporal lobar degeneration syndromes. Neurology [Internet]. 2016 May 3 [cited 2021 Feb 5];86(18):1736–43. Available from: /pmc/articles/PMC4854589/?report=abstract</w:t>
      </w:r>
    </w:p>
    <w:p w14:paraId="561C0AE4"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7. </w:t>
      </w:r>
      <w:r w:rsidRPr="009E5737">
        <w:rPr>
          <w:noProof/>
          <w:szCs w:val="24"/>
          <w:lang w:val="en-US"/>
        </w:rPr>
        <w:tab/>
        <w:t>Vieira RT. Epidemiology of early-onset dementia: a review of the literature. Clin Pract Epidemiol Ment Heal [Internet]. 2013 Jul 19 [cited 2021 Feb 5];9(1):88–95. Available from: https://pubmed.ncbi.nlm.nih.gov/23878613/</w:t>
      </w:r>
    </w:p>
    <w:p w14:paraId="0CDAA65F"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D46243">
        <w:rPr>
          <w:noProof/>
          <w:szCs w:val="24"/>
        </w:rPr>
        <w:t xml:space="preserve">8. </w:t>
      </w:r>
      <w:r w:rsidRPr="00D46243">
        <w:rPr>
          <w:noProof/>
          <w:szCs w:val="24"/>
        </w:rPr>
        <w:tab/>
        <w:t xml:space="preserve">Custodio N, Herrera-Perez E, Lira D, Montesinos R, Bendezu L. Prevalência De Demência Frontotemporal Em Estudos De Base Comunitária Na America Latina: Uma Revisão Sistemática. </w:t>
      </w:r>
      <w:r w:rsidRPr="009E5737">
        <w:rPr>
          <w:noProof/>
          <w:szCs w:val="24"/>
          <w:lang w:val="en-US"/>
        </w:rPr>
        <w:t>Dement e Neuropsychol [Internet]. 2013 [cited 2021 Feb 5];7(1):27–32. Available from: /pmc/articles/PMC5619541/?report=abstract</w:t>
      </w:r>
    </w:p>
    <w:p w14:paraId="3B2D4050"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9. </w:t>
      </w:r>
      <w:r w:rsidRPr="009E5737">
        <w:rPr>
          <w:noProof/>
          <w:szCs w:val="24"/>
          <w:lang w:val="en-US"/>
        </w:rPr>
        <w:tab/>
        <w:t>Galvin JE, Howard DH, Denny SS, Dickinson S, Tatton N. The social and economic burden of frontotemporal degeneration. Neurology [Internet]. 2017 [cited 2021 Feb 5];89(20):2049–56. Available from: /pmc/articles/PMC5711509/?report=abstract</w:t>
      </w:r>
    </w:p>
    <w:p w14:paraId="52090092"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10. </w:t>
      </w:r>
      <w:r w:rsidRPr="009E5737">
        <w:rPr>
          <w:noProof/>
          <w:szCs w:val="24"/>
          <w:lang w:val="en-US"/>
        </w:rPr>
        <w:tab/>
        <w:t xml:space="preserve">Hauben EI, Hogendoorn PCW. Epidemiology of primary bone tumors and economical aspects of bone metastases. In: Bone Cancer: Primary Bone Cancers and Bone Metastases: Second Edition. Elsevier Inc.; 2015. p. 5–10. </w:t>
      </w:r>
    </w:p>
    <w:p w14:paraId="3E67D421" w14:textId="77777777" w:rsidR="004B0448" w:rsidRPr="009E5737" w:rsidRDefault="004B0448" w:rsidP="001D0B22">
      <w:pPr>
        <w:widowControl w:val="0"/>
        <w:autoSpaceDE w:val="0"/>
        <w:autoSpaceDN w:val="0"/>
        <w:adjustRightInd w:val="0"/>
        <w:spacing w:line="360" w:lineRule="auto"/>
        <w:ind w:left="640" w:hanging="640"/>
        <w:jc w:val="both"/>
        <w:rPr>
          <w:noProof/>
          <w:szCs w:val="24"/>
          <w:lang w:val="en-US"/>
        </w:rPr>
      </w:pPr>
      <w:r w:rsidRPr="009E5737">
        <w:rPr>
          <w:noProof/>
          <w:szCs w:val="24"/>
          <w:lang w:val="en-US"/>
        </w:rPr>
        <w:t xml:space="preserve">11. </w:t>
      </w:r>
      <w:r w:rsidRPr="009E5737">
        <w:rPr>
          <w:noProof/>
          <w:szCs w:val="24"/>
          <w:lang w:val="en-US"/>
        </w:rPr>
        <w:tab/>
        <w:t>Jo C. Cost-of-illness studies: concepts, scopes, and methods [Internet]. Vol. 20, Clinical and molecular hepatology. Korean Association for the Study of the Liver; 2014 [cited 2021 Feb 5]. p. 327–37. Available from: /pmc/articles/PMC4278062/?report=abstract</w:t>
      </w:r>
    </w:p>
    <w:p w14:paraId="3041CFD4" w14:textId="77777777" w:rsidR="004B0448" w:rsidRPr="009E5737" w:rsidRDefault="004B0448" w:rsidP="001D0B22">
      <w:pPr>
        <w:widowControl w:val="0"/>
        <w:autoSpaceDE w:val="0"/>
        <w:autoSpaceDN w:val="0"/>
        <w:adjustRightInd w:val="0"/>
        <w:spacing w:line="360" w:lineRule="auto"/>
        <w:ind w:left="640" w:hanging="640"/>
        <w:jc w:val="both"/>
        <w:rPr>
          <w:noProof/>
          <w:lang w:val="en-US"/>
        </w:rPr>
      </w:pPr>
      <w:r w:rsidRPr="009E5737">
        <w:rPr>
          <w:noProof/>
          <w:szCs w:val="24"/>
          <w:lang w:val="en-US"/>
        </w:rPr>
        <w:t xml:space="preserve">12. </w:t>
      </w:r>
      <w:r w:rsidRPr="009E5737">
        <w:rPr>
          <w:noProof/>
          <w:szCs w:val="24"/>
          <w:lang w:val="en-US"/>
        </w:rPr>
        <w:tab/>
        <w:t xml:space="preserve">Afroz A, Alramadan MJ, Hossain MN, Romero L, Alam K, Magliano DJ, et al. Cost-of-illness of type 2 diabetes mellitus in low and lower-middle income countries: A </w:t>
      </w:r>
      <w:r w:rsidRPr="009E5737">
        <w:rPr>
          <w:noProof/>
          <w:szCs w:val="24"/>
          <w:lang w:val="en-US"/>
        </w:rPr>
        <w:lastRenderedPageBreak/>
        <w:t>systematic review [Internet]. Vol. 18, BMC Health Services Research. BioMed Central Ltd.; 2018 [cited 2021 Feb 6]. p. 972. Available from: https://bmchealthservres.biomedcentral.com/articles/10.1186/s12913-018-3772-8</w:t>
      </w:r>
    </w:p>
    <w:p w14:paraId="03BEFF34" w14:textId="4AAA16F4" w:rsidR="00933D97" w:rsidRPr="009E5737" w:rsidRDefault="00496E7C" w:rsidP="001D0B22">
      <w:pPr>
        <w:spacing w:line="360" w:lineRule="auto"/>
        <w:jc w:val="both"/>
        <w:rPr>
          <w:b/>
          <w:lang w:val="en-US"/>
        </w:rPr>
        <w:sectPr w:rsidR="00933D97" w:rsidRPr="009E5737">
          <w:pgSz w:w="11909" w:h="16834"/>
          <w:pgMar w:top="1440" w:right="1440" w:bottom="1440" w:left="1440" w:header="720" w:footer="720" w:gutter="0"/>
          <w:pgNumType w:start="1"/>
          <w:cols w:space="720"/>
        </w:sectPr>
      </w:pPr>
      <w:r w:rsidRPr="009E5737">
        <w:rPr>
          <w:b/>
          <w:lang w:val="en-US"/>
        </w:rPr>
        <w:fldChar w:fldCharType="end"/>
      </w:r>
    </w:p>
    <w:p w14:paraId="1D5454FE" w14:textId="7C6FCF47" w:rsidR="001213B9" w:rsidRPr="009E5737" w:rsidRDefault="001213B9" w:rsidP="00872BC0">
      <w:pPr>
        <w:tabs>
          <w:tab w:val="left" w:pos="1189"/>
        </w:tabs>
        <w:rPr>
          <w:sz w:val="30"/>
          <w:szCs w:val="30"/>
          <w:lang w:val="en-US"/>
        </w:rPr>
      </w:pPr>
    </w:p>
    <w:sectPr w:rsidR="001213B9" w:rsidRPr="009E5737" w:rsidSect="001A114B">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7DF7"/>
    <w:multiLevelType w:val="hybridMultilevel"/>
    <w:tmpl w:val="A260E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FD930E6"/>
    <w:multiLevelType w:val="hybridMultilevel"/>
    <w:tmpl w:val="305C9D1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2BD7F5A"/>
    <w:multiLevelType w:val="hybridMultilevel"/>
    <w:tmpl w:val="F75C1B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86D136C"/>
    <w:multiLevelType w:val="hybridMultilevel"/>
    <w:tmpl w:val="AD96EF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B895024"/>
    <w:multiLevelType w:val="hybridMultilevel"/>
    <w:tmpl w:val="6590A1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B226FD"/>
    <w:multiLevelType w:val="hybridMultilevel"/>
    <w:tmpl w:val="85AEE4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4BF5E25"/>
    <w:multiLevelType w:val="hybridMultilevel"/>
    <w:tmpl w:val="90F0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8B71133"/>
    <w:multiLevelType w:val="hybridMultilevel"/>
    <w:tmpl w:val="12C20A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BFC4B63"/>
    <w:multiLevelType w:val="hybridMultilevel"/>
    <w:tmpl w:val="923EF9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tLQ0MDcxMzI3MjdQ0lEKTi0uzszPAykwqwUAF7lUFiwAAAA="/>
    <w:docVar w:name="EN.InstantFormat" w:val="&lt;ENInstantFormat&gt;&lt;Enabled&gt;1&lt;/Enabled&gt;&lt;ScanUnformatted&gt;1&lt;/ScanUnformatted&gt;&lt;ScanChanges&gt;1&lt;/ScanChanges&gt;&lt;Suspended&gt;1&lt;/Suspended&gt;&lt;/ENInstantFormat&gt;"/>
  </w:docVars>
  <w:rsids>
    <w:rsidRoot w:val="00A84485"/>
    <w:rsid w:val="000156E4"/>
    <w:rsid w:val="000302B8"/>
    <w:rsid w:val="00046ED5"/>
    <w:rsid w:val="00061CBE"/>
    <w:rsid w:val="0007265D"/>
    <w:rsid w:val="000B153F"/>
    <w:rsid w:val="001029B0"/>
    <w:rsid w:val="00112489"/>
    <w:rsid w:val="001131A0"/>
    <w:rsid w:val="001213B9"/>
    <w:rsid w:val="001501A2"/>
    <w:rsid w:val="00163306"/>
    <w:rsid w:val="00165688"/>
    <w:rsid w:val="0017346E"/>
    <w:rsid w:val="00191711"/>
    <w:rsid w:val="001A114B"/>
    <w:rsid w:val="001A24A3"/>
    <w:rsid w:val="001A676D"/>
    <w:rsid w:val="001A7EF3"/>
    <w:rsid w:val="001B1DAC"/>
    <w:rsid w:val="001C0939"/>
    <w:rsid w:val="001C331A"/>
    <w:rsid w:val="001D0B22"/>
    <w:rsid w:val="00201A2C"/>
    <w:rsid w:val="00204667"/>
    <w:rsid w:val="002074F9"/>
    <w:rsid w:val="00215A52"/>
    <w:rsid w:val="00217C66"/>
    <w:rsid w:val="00220E75"/>
    <w:rsid w:val="002243D5"/>
    <w:rsid w:val="00236FCF"/>
    <w:rsid w:val="00237A02"/>
    <w:rsid w:val="002419AE"/>
    <w:rsid w:val="00243829"/>
    <w:rsid w:val="002738A1"/>
    <w:rsid w:val="00276206"/>
    <w:rsid w:val="00284C7B"/>
    <w:rsid w:val="002870DB"/>
    <w:rsid w:val="002A5B7D"/>
    <w:rsid w:val="002D6705"/>
    <w:rsid w:val="002D69C0"/>
    <w:rsid w:val="002F095C"/>
    <w:rsid w:val="002F578A"/>
    <w:rsid w:val="003427A4"/>
    <w:rsid w:val="00346674"/>
    <w:rsid w:val="00353E82"/>
    <w:rsid w:val="0035767C"/>
    <w:rsid w:val="0036375E"/>
    <w:rsid w:val="0036544C"/>
    <w:rsid w:val="003D622C"/>
    <w:rsid w:val="00401493"/>
    <w:rsid w:val="0041254F"/>
    <w:rsid w:val="004548C7"/>
    <w:rsid w:val="00461984"/>
    <w:rsid w:val="004739B5"/>
    <w:rsid w:val="00490669"/>
    <w:rsid w:val="004950F2"/>
    <w:rsid w:val="00496E7C"/>
    <w:rsid w:val="004B0448"/>
    <w:rsid w:val="004B63D0"/>
    <w:rsid w:val="004D0FE3"/>
    <w:rsid w:val="004E0F2B"/>
    <w:rsid w:val="004E6E62"/>
    <w:rsid w:val="00502634"/>
    <w:rsid w:val="00515AE7"/>
    <w:rsid w:val="005561F9"/>
    <w:rsid w:val="005718CF"/>
    <w:rsid w:val="00584ED0"/>
    <w:rsid w:val="00590F9B"/>
    <w:rsid w:val="00591E9D"/>
    <w:rsid w:val="005C2B5D"/>
    <w:rsid w:val="005F2288"/>
    <w:rsid w:val="00606D19"/>
    <w:rsid w:val="006105D2"/>
    <w:rsid w:val="006110C1"/>
    <w:rsid w:val="00611B58"/>
    <w:rsid w:val="00620C63"/>
    <w:rsid w:val="00621CFD"/>
    <w:rsid w:val="00641EF8"/>
    <w:rsid w:val="006520F0"/>
    <w:rsid w:val="006521B9"/>
    <w:rsid w:val="00672DF7"/>
    <w:rsid w:val="006A12C3"/>
    <w:rsid w:val="006C456A"/>
    <w:rsid w:val="006D6C12"/>
    <w:rsid w:val="00716C73"/>
    <w:rsid w:val="00717D6F"/>
    <w:rsid w:val="00731E2F"/>
    <w:rsid w:val="00736E40"/>
    <w:rsid w:val="00742E6C"/>
    <w:rsid w:val="00760498"/>
    <w:rsid w:val="00767F72"/>
    <w:rsid w:val="007849FB"/>
    <w:rsid w:val="00790C19"/>
    <w:rsid w:val="00796DE3"/>
    <w:rsid w:val="007A6F6E"/>
    <w:rsid w:val="007B77FF"/>
    <w:rsid w:val="007E65CD"/>
    <w:rsid w:val="00810136"/>
    <w:rsid w:val="00815DAD"/>
    <w:rsid w:val="00817831"/>
    <w:rsid w:val="0082185F"/>
    <w:rsid w:val="008473F0"/>
    <w:rsid w:val="008538AF"/>
    <w:rsid w:val="00872BC0"/>
    <w:rsid w:val="008B7BD1"/>
    <w:rsid w:val="008C2578"/>
    <w:rsid w:val="008D1286"/>
    <w:rsid w:val="008D440C"/>
    <w:rsid w:val="0090737B"/>
    <w:rsid w:val="00933D97"/>
    <w:rsid w:val="0093593F"/>
    <w:rsid w:val="00943CBE"/>
    <w:rsid w:val="00950B78"/>
    <w:rsid w:val="009572D7"/>
    <w:rsid w:val="00957C15"/>
    <w:rsid w:val="00962749"/>
    <w:rsid w:val="009674D6"/>
    <w:rsid w:val="00980E8C"/>
    <w:rsid w:val="009A02CD"/>
    <w:rsid w:val="009A6DCE"/>
    <w:rsid w:val="009B4622"/>
    <w:rsid w:val="009E5737"/>
    <w:rsid w:val="009F00EE"/>
    <w:rsid w:val="00A079D1"/>
    <w:rsid w:val="00A2520B"/>
    <w:rsid w:val="00A25B43"/>
    <w:rsid w:val="00A31685"/>
    <w:rsid w:val="00A47FEC"/>
    <w:rsid w:val="00A528C1"/>
    <w:rsid w:val="00A528C4"/>
    <w:rsid w:val="00A54C62"/>
    <w:rsid w:val="00A633F6"/>
    <w:rsid w:val="00A64E3D"/>
    <w:rsid w:val="00A73C9E"/>
    <w:rsid w:val="00A84485"/>
    <w:rsid w:val="00A86CC5"/>
    <w:rsid w:val="00AA5E0D"/>
    <w:rsid w:val="00AB2ABB"/>
    <w:rsid w:val="00AE741E"/>
    <w:rsid w:val="00B15687"/>
    <w:rsid w:val="00B207BB"/>
    <w:rsid w:val="00B35EB1"/>
    <w:rsid w:val="00B76421"/>
    <w:rsid w:val="00B778A8"/>
    <w:rsid w:val="00B90533"/>
    <w:rsid w:val="00BB0E6B"/>
    <w:rsid w:val="00BE229D"/>
    <w:rsid w:val="00BE26A1"/>
    <w:rsid w:val="00BF3F1B"/>
    <w:rsid w:val="00BF5105"/>
    <w:rsid w:val="00C11DCD"/>
    <w:rsid w:val="00C2532E"/>
    <w:rsid w:val="00C72A9D"/>
    <w:rsid w:val="00C76155"/>
    <w:rsid w:val="00CC098F"/>
    <w:rsid w:val="00CE65FD"/>
    <w:rsid w:val="00D01F49"/>
    <w:rsid w:val="00D02693"/>
    <w:rsid w:val="00D46243"/>
    <w:rsid w:val="00D914F8"/>
    <w:rsid w:val="00DC727C"/>
    <w:rsid w:val="00DE31D1"/>
    <w:rsid w:val="00DF7505"/>
    <w:rsid w:val="00E03514"/>
    <w:rsid w:val="00E359D8"/>
    <w:rsid w:val="00E45F47"/>
    <w:rsid w:val="00E72630"/>
    <w:rsid w:val="00E86EC7"/>
    <w:rsid w:val="00E936CF"/>
    <w:rsid w:val="00EA7303"/>
    <w:rsid w:val="00ED26CC"/>
    <w:rsid w:val="00EE5AF9"/>
    <w:rsid w:val="00EF789A"/>
    <w:rsid w:val="00F01655"/>
    <w:rsid w:val="00F0692E"/>
    <w:rsid w:val="00F45B72"/>
    <w:rsid w:val="00F46520"/>
    <w:rsid w:val="00F86EB6"/>
    <w:rsid w:val="00F921B9"/>
    <w:rsid w:val="00F92F21"/>
    <w:rsid w:val="00F931D0"/>
    <w:rsid w:val="00F95293"/>
    <w:rsid w:val="00FA11DA"/>
    <w:rsid w:val="00FC3E78"/>
    <w:rsid w:val="00FE49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455C"/>
  <w15:docId w15:val="{A161C2DC-1061-4A5F-A228-9CD4E4C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3C9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C9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849FB"/>
    <w:rPr>
      <w:b/>
      <w:bCs/>
    </w:rPr>
  </w:style>
  <w:style w:type="character" w:customStyle="1" w:styleId="AsuntodelcomentarioCar">
    <w:name w:val="Asunto del comentario Car"/>
    <w:basedOn w:val="TextocomentarioCar"/>
    <w:link w:val="Asuntodelcomentario"/>
    <w:uiPriority w:val="99"/>
    <w:semiHidden/>
    <w:rsid w:val="007849FB"/>
    <w:rPr>
      <w:b/>
      <w:bCs/>
      <w:sz w:val="20"/>
      <w:szCs w:val="20"/>
    </w:rPr>
  </w:style>
  <w:style w:type="paragraph" w:styleId="Bibliografa">
    <w:name w:val="Bibliography"/>
    <w:basedOn w:val="Normal"/>
    <w:next w:val="Normal"/>
    <w:uiPriority w:val="37"/>
    <w:unhideWhenUsed/>
    <w:rsid w:val="007849FB"/>
    <w:pPr>
      <w:tabs>
        <w:tab w:val="left" w:pos="384"/>
      </w:tabs>
      <w:spacing w:after="240" w:line="240" w:lineRule="auto"/>
      <w:ind w:left="384" w:hanging="384"/>
    </w:pPr>
  </w:style>
  <w:style w:type="table" w:styleId="Tablaconcuadrcula">
    <w:name w:val="Table Grid"/>
    <w:basedOn w:val="Tablanormal"/>
    <w:uiPriority w:val="39"/>
    <w:rsid w:val="00767F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5E0D"/>
    <w:pPr>
      <w:ind w:left="720"/>
      <w:contextualSpacing/>
    </w:pPr>
  </w:style>
  <w:style w:type="character" w:styleId="Hipervnculo">
    <w:name w:val="Hyperlink"/>
    <w:basedOn w:val="Fuentedeprrafopredeter"/>
    <w:uiPriority w:val="99"/>
    <w:unhideWhenUsed/>
    <w:rsid w:val="005718CF"/>
    <w:rPr>
      <w:color w:val="0000FF" w:themeColor="hyperlink"/>
      <w:u w:val="single"/>
    </w:rPr>
  </w:style>
  <w:style w:type="character" w:styleId="Mencinsinresolver">
    <w:name w:val="Unresolved Mention"/>
    <w:basedOn w:val="Fuentedeprrafopredeter"/>
    <w:uiPriority w:val="99"/>
    <w:semiHidden/>
    <w:unhideWhenUsed/>
    <w:rsid w:val="005718CF"/>
    <w:rPr>
      <w:color w:val="605E5C"/>
      <w:shd w:val="clear" w:color="auto" w:fill="E1DFDD"/>
    </w:rPr>
  </w:style>
  <w:style w:type="paragraph" w:styleId="NormalWeb">
    <w:name w:val="Normal (Web)"/>
    <w:basedOn w:val="Normal"/>
    <w:uiPriority w:val="99"/>
    <w:unhideWhenUsed/>
    <w:rsid w:val="00641EF8"/>
    <w:pPr>
      <w:spacing w:before="100" w:beforeAutospacing="1" w:after="100" w:afterAutospacing="1" w:line="240" w:lineRule="auto"/>
    </w:pPr>
    <w:rPr>
      <w:rFonts w:ascii="Times New Roman" w:eastAsia="Times New Roman" w:hAnsi="Times New Roman" w:cs="Times New Roman"/>
      <w:sz w:val="24"/>
      <w:szCs w:val="24"/>
      <w:lang w:val="es-PE"/>
    </w:rPr>
  </w:style>
  <w:style w:type="character" w:styleId="Hipervnculovisitado">
    <w:name w:val="FollowedHyperlink"/>
    <w:basedOn w:val="Fuentedeprrafopredeter"/>
    <w:uiPriority w:val="99"/>
    <w:semiHidden/>
    <w:unhideWhenUsed/>
    <w:rsid w:val="00641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26171">
      <w:bodyDiv w:val="1"/>
      <w:marLeft w:val="0"/>
      <w:marRight w:val="0"/>
      <w:marTop w:val="0"/>
      <w:marBottom w:val="0"/>
      <w:divBdr>
        <w:top w:val="none" w:sz="0" w:space="0" w:color="auto"/>
        <w:left w:val="none" w:sz="0" w:space="0" w:color="auto"/>
        <w:bottom w:val="none" w:sz="0" w:space="0" w:color="auto"/>
        <w:right w:val="none" w:sz="0" w:space="0" w:color="auto"/>
      </w:divBdr>
    </w:div>
    <w:div w:id="516233325">
      <w:bodyDiv w:val="1"/>
      <w:marLeft w:val="0"/>
      <w:marRight w:val="0"/>
      <w:marTop w:val="0"/>
      <w:marBottom w:val="0"/>
      <w:divBdr>
        <w:top w:val="none" w:sz="0" w:space="0" w:color="auto"/>
        <w:left w:val="none" w:sz="0" w:space="0" w:color="auto"/>
        <w:bottom w:val="none" w:sz="0" w:space="0" w:color="auto"/>
        <w:right w:val="none" w:sz="0" w:space="0" w:color="auto"/>
      </w:divBdr>
    </w:div>
    <w:div w:id="779180606">
      <w:bodyDiv w:val="1"/>
      <w:marLeft w:val="0"/>
      <w:marRight w:val="0"/>
      <w:marTop w:val="0"/>
      <w:marBottom w:val="0"/>
      <w:divBdr>
        <w:top w:val="none" w:sz="0" w:space="0" w:color="auto"/>
        <w:left w:val="none" w:sz="0" w:space="0" w:color="auto"/>
        <w:bottom w:val="none" w:sz="0" w:space="0" w:color="auto"/>
        <w:right w:val="none" w:sz="0" w:space="0" w:color="auto"/>
      </w:divBdr>
    </w:div>
    <w:div w:id="968364529">
      <w:bodyDiv w:val="1"/>
      <w:marLeft w:val="0"/>
      <w:marRight w:val="0"/>
      <w:marTop w:val="0"/>
      <w:marBottom w:val="0"/>
      <w:divBdr>
        <w:top w:val="none" w:sz="0" w:space="0" w:color="auto"/>
        <w:left w:val="none" w:sz="0" w:space="0" w:color="auto"/>
        <w:bottom w:val="none" w:sz="0" w:space="0" w:color="auto"/>
        <w:right w:val="none" w:sz="0" w:space="0" w:color="auto"/>
      </w:divBdr>
    </w:div>
    <w:div w:id="1178081573">
      <w:bodyDiv w:val="1"/>
      <w:marLeft w:val="0"/>
      <w:marRight w:val="0"/>
      <w:marTop w:val="0"/>
      <w:marBottom w:val="0"/>
      <w:divBdr>
        <w:top w:val="none" w:sz="0" w:space="0" w:color="auto"/>
        <w:left w:val="none" w:sz="0" w:space="0" w:color="auto"/>
        <w:bottom w:val="none" w:sz="0" w:space="0" w:color="auto"/>
        <w:right w:val="none" w:sz="0" w:space="0" w:color="auto"/>
      </w:divBdr>
    </w:div>
    <w:div w:id="1873109436">
      <w:bodyDiv w:val="1"/>
      <w:marLeft w:val="0"/>
      <w:marRight w:val="0"/>
      <w:marTop w:val="0"/>
      <w:marBottom w:val="0"/>
      <w:divBdr>
        <w:top w:val="none" w:sz="0" w:space="0" w:color="auto"/>
        <w:left w:val="none" w:sz="0" w:space="0" w:color="auto"/>
        <w:bottom w:val="none" w:sz="0" w:space="0" w:color="auto"/>
        <w:right w:val="none" w:sz="0" w:space="0" w:color="auto"/>
      </w:divBdr>
    </w:div>
    <w:div w:id="2017272079">
      <w:bodyDiv w:val="1"/>
      <w:marLeft w:val="0"/>
      <w:marRight w:val="0"/>
      <w:marTop w:val="0"/>
      <w:marBottom w:val="0"/>
      <w:divBdr>
        <w:top w:val="none" w:sz="0" w:space="0" w:color="auto"/>
        <w:left w:val="none" w:sz="0" w:space="0" w:color="auto"/>
        <w:bottom w:val="none" w:sz="0" w:space="0" w:color="auto"/>
        <w:right w:val="none" w:sz="0" w:space="0" w:color="auto"/>
      </w:divBdr>
    </w:div>
    <w:div w:id="205292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los.alexander.al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D1CE-6A6A-4F87-A1EC-46793DB3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9163</Words>
  <Characters>50397</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Málaga Julca</dc:creator>
  <cp:lastModifiedBy>Victor Andres Velasquez Rimachi</cp:lastModifiedBy>
  <cp:revision>5</cp:revision>
  <dcterms:created xsi:type="dcterms:W3CDTF">2021-02-24T02:02:00Z</dcterms:created>
  <dcterms:modified xsi:type="dcterms:W3CDTF">2021-03-15T16:43:00Z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id="xhn0pG3L"/&gt;&lt;style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566a2777-018f-3733-9da7-114edf227720</vt:lpwstr>
  </property>
  <property fmtid="{D5CDD505-2E9C-101B-9397-08002B2CF9AE}" pid="26" name="Mendeley Citation Style_1">
    <vt:lpwstr>http://www.zotero.org/styles/vancouver</vt:lpwstr>
  </property>
</Properties>
</file>