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79CAC" w14:textId="022F309D" w:rsidR="00D05D9D" w:rsidRDefault="00D05D9D" w:rsidP="00D05D9D">
      <w:pPr>
        <w:spacing w:line="480" w:lineRule="auto"/>
        <w:rPr>
          <w:rFonts w:cs="Times New Roman"/>
          <w:b/>
          <w:sz w:val="22"/>
          <w:szCs w:val="22"/>
          <w:u w:val="single"/>
        </w:rPr>
      </w:pPr>
      <w:r>
        <w:rPr>
          <w:rFonts w:eastAsia="MS Mincho" w:cs="Times New Roman"/>
          <w:b/>
          <w:sz w:val="20"/>
          <w:szCs w:val="20"/>
          <w:lang w:val="en-CA"/>
        </w:rPr>
        <w:t>S</w:t>
      </w:r>
      <w:r w:rsidR="006C71FA">
        <w:rPr>
          <w:rFonts w:eastAsia="MS Mincho" w:cs="Times New Roman"/>
          <w:b/>
          <w:sz w:val="20"/>
          <w:szCs w:val="20"/>
          <w:lang w:val="en-CA"/>
        </w:rPr>
        <w:t>3</w:t>
      </w:r>
      <w:r>
        <w:rPr>
          <w:rFonts w:eastAsia="MS Mincho" w:cs="Times New Roman"/>
          <w:b/>
          <w:sz w:val="20"/>
          <w:szCs w:val="20"/>
          <w:lang w:val="en-CA"/>
        </w:rPr>
        <w:t xml:space="preserve"> </w:t>
      </w:r>
      <w:r w:rsidR="006C71FA">
        <w:rPr>
          <w:rFonts w:eastAsia="MS Mincho" w:cs="Times New Roman"/>
          <w:b/>
          <w:sz w:val="20"/>
          <w:szCs w:val="20"/>
          <w:lang w:val="en-CA"/>
        </w:rPr>
        <w:t>T</w:t>
      </w:r>
      <w:r w:rsidRPr="004E041D">
        <w:rPr>
          <w:rFonts w:eastAsia="MS Mincho" w:cs="Times New Roman"/>
          <w:b/>
          <w:sz w:val="20"/>
          <w:szCs w:val="20"/>
          <w:lang w:val="en-CA"/>
        </w:rPr>
        <w:t xml:space="preserve">able. Estimated hazard ratios of 30-day and 1-year all-cause mortality, recurrent myocardial infarction, </w:t>
      </w:r>
      <w:r>
        <w:rPr>
          <w:rFonts w:eastAsia="MS Mincho" w:cs="Times New Roman"/>
          <w:b/>
          <w:sz w:val="20"/>
          <w:szCs w:val="20"/>
          <w:lang w:val="en-CA"/>
        </w:rPr>
        <w:t xml:space="preserve">and </w:t>
      </w:r>
      <w:r w:rsidRPr="004E041D">
        <w:rPr>
          <w:rFonts w:eastAsia="MS Mincho" w:cs="Times New Roman"/>
          <w:b/>
          <w:sz w:val="20"/>
          <w:szCs w:val="20"/>
          <w:lang w:val="en-CA"/>
        </w:rPr>
        <w:t xml:space="preserve">subsequent heart failure admission </w:t>
      </w:r>
      <w:r w:rsidRPr="008A4078">
        <w:rPr>
          <w:rFonts w:eastAsia="MS Mincho" w:cs="Times New Roman"/>
          <w:b/>
          <w:sz w:val="20"/>
          <w:szCs w:val="20"/>
          <w:lang w:val="en-CA"/>
        </w:rPr>
        <w:t>in the acute myocardial infarction, acute myocardial injury with recognized coronary artery disease, acute myocardial injury without recognized coronary artery disease and chronic myocardial injury groups</w:t>
      </w:r>
      <w:r w:rsidRPr="004E041D">
        <w:rPr>
          <w:rFonts w:eastAsia="MS Mincho" w:cs="Times New Roman"/>
          <w:sz w:val="20"/>
          <w:szCs w:val="20"/>
          <w:lang w:val="en-CA"/>
        </w:rPr>
        <w:t xml:space="preserve"> </w:t>
      </w:r>
      <w:r>
        <w:rPr>
          <w:rFonts w:eastAsia="MS Mincho" w:cs="Times New Roman"/>
          <w:b/>
          <w:sz w:val="20"/>
          <w:szCs w:val="20"/>
          <w:lang w:val="en-CA"/>
        </w:rPr>
        <w:t xml:space="preserve">after excluding patients with 4 or more non-cardiovascular presentation per year. </w:t>
      </w:r>
      <w:r w:rsidRPr="004E041D">
        <w:rPr>
          <w:rFonts w:eastAsia="MS Mincho" w:cs="Times New Roman"/>
          <w:sz w:val="20"/>
          <w:szCs w:val="20"/>
          <w:lang w:val="en-CA"/>
        </w:rPr>
        <w:t xml:space="preserve"> </w:t>
      </w:r>
      <w:r>
        <w:rPr>
          <w:rFonts w:eastAsia="MS Mincho" w:cs="Times New Roman"/>
          <w:sz w:val="20"/>
          <w:szCs w:val="20"/>
          <w:lang w:val="en-CA"/>
        </w:rPr>
        <w:t>The</w:t>
      </w:r>
      <w:r w:rsidRPr="004E041D">
        <w:rPr>
          <w:rFonts w:eastAsia="MS Mincho" w:cs="Times New Roman"/>
          <w:sz w:val="20"/>
          <w:szCs w:val="20"/>
          <w:lang w:val="en-CA"/>
        </w:rPr>
        <w:t xml:space="preserve"> model adjusted for </w:t>
      </w:r>
      <w:r w:rsidRPr="004E041D">
        <w:rPr>
          <w:rFonts w:eastAsia="Times New Roman" w:cs="Times New Roman"/>
          <w:color w:val="000000"/>
          <w:sz w:val="20"/>
          <w:szCs w:val="20"/>
        </w:rPr>
        <w:t xml:space="preserve">age in years, sex, lowest in-hospital estimated glomerular filtration rate, maximal in-hospital high-sensitivity troponin-T, clinical comorbidities </w:t>
      </w:r>
      <w:r w:rsidRPr="004E041D">
        <w:rPr>
          <w:rFonts w:cs="Times New Roman"/>
          <w:color w:val="000000"/>
          <w:sz w:val="20"/>
          <w:szCs w:val="20"/>
        </w:rPr>
        <w:t>such as diabetes mellitus, c</w:t>
      </w:r>
      <w:r w:rsidRPr="004E041D">
        <w:rPr>
          <w:rFonts w:eastAsia="MS Mincho" w:cs="Times New Roman"/>
          <w:sz w:val="20"/>
          <w:szCs w:val="20"/>
        </w:rPr>
        <w:t>hronic obstructive pulmonary disease</w:t>
      </w:r>
      <w:r w:rsidRPr="004E041D">
        <w:rPr>
          <w:rFonts w:cs="Times New Roman"/>
          <w:color w:val="000000"/>
          <w:sz w:val="20"/>
          <w:szCs w:val="20"/>
        </w:rPr>
        <w:t>, dementia, peripheral artery disease, and previous stroke</w:t>
      </w:r>
      <w:r w:rsidRPr="004E041D">
        <w:rPr>
          <w:rFonts w:eastAsia="MS Mincho" w:cs="Times New Roman"/>
          <w:sz w:val="20"/>
          <w:szCs w:val="20"/>
          <w:lang w:val="en-CA"/>
        </w:rPr>
        <w:t xml:space="preserve">. CAD=coronary artery disease, HR=hazard ratio, 95%CI=95% confidence interval, MI=myocardial infarction, HF=heart failure. </w:t>
      </w:r>
    </w:p>
    <w:tbl>
      <w:tblPr>
        <w:tblStyle w:val="TableGrid"/>
        <w:tblpPr w:leftFromText="180" w:rightFromText="180" w:vertAnchor="text" w:horzAnchor="page" w:tblpX="1549" w:tblpY="29"/>
        <w:tblW w:w="9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268"/>
        <w:gridCol w:w="1984"/>
        <w:gridCol w:w="1985"/>
        <w:gridCol w:w="383"/>
      </w:tblGrid>
      <w:tr w:rsidR="00D05D9D" w:rsidRPr="000A3877" w14:paraId="61C838DA" w14:textId="77777777" w:rsidTr="00351E27">
        <w:tc>
          <w:tcPr>
            <w:tcW w:w="2552" w:type="dxa"/>
            <w:tcBorders>
              <w:bottom w:val="single" w:sz="4" w:space="0" w:color="auto"/>
            </w:tcBorders>
          </w:tcPr>
          <w:p w14:paraId="2CF22AAF" w14:textId="77777777" w:rsidR="00D05D9D" w:rsidRPr="000A3877" w:rsidRDefault="00D05D9D" w:rsidP="00351E27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C37E4" w14:textId="77777777" w:rsidR="00D05D9D" w:rsidRPr="000A3877" w:rsidRDefault="00D05D9D" w:rsidP="00351E27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sz w:val="20"/>
                <w:szCs w:val="20"/>
                <w:lang w:val="en-CA"/>
              </w:rPr>
              <w:t>All-cause mortality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D90823" w14:textId="77777777" w:rsidR="00D05D9D" w:rsidRPr="000A3877" w:rsidRDefault="00D05D9D" w:rsidP="00351E27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sz w:val="20"/>
                <w:szCs w:val="20"/>
                <w:lang w:val="en-CA"/>
              </w:rPr>
              <w:t>Recurrent MI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619E62F" w14:textId="77777777" w:rsidR="00D05D9D" w:rsidRPr="000A3877" w:rsidRDefault="00D05D9D" w:rsidP="00351E27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sz w:val="20"/>
                <w:szCs w:val="20"/>
                <w:lang w:val="en-CA"/>
              </w:rPr>
              <w:t>HF admission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AA046C8" w14:textId="77777777" w:rsidR="00D05D9D" w:rsidRPr="000A3877" w:rsidRDefault="00D05D9D" w:rsidP="00351E27">
            <w:pPr>
              <w:spacing w:line="480" w:lineRule="auto"/>
              <w:rPr>
                <w:rFonts w:cs="Times New Roman"/>
                <w:b/>
                <w:sz w:val="20"/>
                <w:szCs w:val="20"/>
                <w:lang w:val="en-CA"/>
              </w:rPr>
            </w:pPr>
          </w:p>
        </w:tc>
      </w:tr>
      <w:tr w:rsidR="00D05D9D" w:rsidRPr="000A3877" w14:paraId="1D5FC2BE" w14:textId="77777777" w:rsidTr="00351E27">
        <w:tc>
          <w:tcPr>
            <w:tcW w:w="9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939E700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b/>
                <w:sz w:val="20"/>
                <w:szCs w:val="20"/>
              </w:rPr>
              <w:t>Acute myocardial infarction (n=17410)</w:t>
            </w:r>
          </w:p>
        </w:tc>
      </w:tr>
      <w:tr w:rsidR="00D05D9D" w:rsidRPr="000A3877" w14:paraId="7ED63D1E" w14:textId="77777777" w:rsidTr="00351E27">
        <w:tc>
          <w:tcPr>
            <w:tcW w:w="2552" w:type="dxa"/>
            <w:tcBorders>
              <w:top w:val="single" w:sz="4" w:space="0" w:color="auto"/>
            </w:tcBorders>
          </w:tcPr>
          <w:p w14:paraId="7DBEC165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30-day HR (95%CI)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A0E3FBF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1.42 (1.00-2.02)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FB04633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8.88 (7.83-10.08)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881D4C4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2.05 (1.80-2.32)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47CC2C8F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157C20CD" w14:textId="77777777" w:rsidTr="00351E27">
        <w:tc>
          <w:tcPr>
            <w:tcW w:w="2552" w:type="dxa"/>
            <w:tcBorders>
              <w:bottom w:val="single" w:sz="4" w:space="0" w:color="auto"/>
            </w:tcBorders>
          </w:tcPr>
          <w:p w14:paraId="7BF39990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1-year HR (95%CI)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B571848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1.31 (1.14-1.50</w:t>
            </w:r>
            <w:r w:rsidRPr="009E7941">
              <w:rPr>
                <w:rFonts w:cs="Times New Roman"/>
                <w:sz w:val="20"/>
                <w:szCs w:val="20"/>
                <w:lang w:val="en-CA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74B5C71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5.99 (5.5-6.52)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1265688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1.02 (0.93-1.12)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46D2866F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4E66F584" w14:textId="77777777" w:rsidTr="00351E27">
        <w:tc>
          <w:tcPr>
            <w:tcW w:w="9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030F18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 w:rsidRPr="00B82B87">
              <w:rPr>
                <w:rFonts w:cs="Times New Roman"/>
                <w:b/>
                <w:sz w:val="20"/>
                <w:szCs w:val="20"/>
              </w:rPr>
              <w:t xml:space="preserve">Acute myocardial injury with recognized CAD </w:t>
            </w:r>
            <w:r>
              <w:rPr>
                <w:rFonts w:cs="Times New Roman"/>
                <w:b/>
                <w:sz w:val="20"/>
                <w:szCs w:val="20"/>
              </w:rPr>
              <w:t>(n=5980)</w:t>
            </w:r>
          </w:p>
        </w:tc>
      </w:tr>
      <w:tr w:rsidR="00D05D9D" w:rsidRPr="000A3877" w14:paraId="0DF28430" w14:textId="77777777" w:rsidTr="00351E27">
        <w:tc>
          <w:tcPr>
            <w:tcW w:w="2552" w:type="dxa"/>
            <w:tcBorders>
              <w:top w:val="single" w:sz="4" w:space="0" w:color="auto"/>
            </w:tcBorders>
          </w:tcPr>
          <w:p w14:paraId="5EE5B513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30-day HR (95%CI)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D6077DD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4.08 (2.90-5.74)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8E32A95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3.22 (2.49-4.16)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E5730A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2.21 (1.87-2.60)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167B2977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78FCFD41" w14:textId="77777777" w:rsidTr="00351E27">
        <w:tc>
          <w:tcPr>
            <w:tcW w:w="2552" w:type="dxa"/>
            <w:tcBorders>
              <w:bottom w:val="single" w:sz="4" w:space="0" w:color="auto"/>
            </w:tcBorders>
          </w:tcPr>
          <w:p w14:paraId="2BC5E3A1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CA"/>
              </w:rPr>
              <w:t>1</w:t>
            </w: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-year HR (95%CI)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BA682F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2.31 (2.02-2.66)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473BC4F7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2.68 (2.32-3.10)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B00152A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1.29 (1.17-1.43)</w:t>
            </w: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2D38D981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5BDCC69B" w14:textId="77777777" w:rsidTr="00351E27">
        <w:tc>
          <w:tcPr>
            <w:tcW w:w="9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8CAD30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 w:rsidRPr="00B82B87">
              <w:rPr>
                <w:rFonts w:cs="Times New Roman"/>
                <w:b/>
                <w:sz w:val="20"/>
                <w:szCs w:val="20"/>
              </w:rPr>
              <w:t>Acute myocardial injury without recognized CAD</w:t>
            </w:r>
            <w:r>
              <w:rPr>
                <w:rFonts w:cs="Times New Roman"/>
                <w:b/>
                <w:sz w:val="20"/>
                <w:szCs w:val="20"/>
              </w:rPr>
              <w:t xml:space="preserve"> (n=26374)</w:t>
            </w:r>
          </w:p>
        </w:tc>
      </w:tr>
      <w:tr w:rsidR="00D05D9D" w:rsidRPr="000A3877" w14:paraId="66A8C603" w14:textId="77777777" w:rsidTr="00351E27">
        <w:tc>
          <w:tcPr>
            <w:tcW w:w="2552" w:type="dxa"/>
            <w:tcBorders>
              <w:top w:val="single" w:sz="4" w:space="0" w:color="auto"/>
            </w:tcBorders>
          </w:tcPr>
          <w:p w14:paraId="3FBBFCAE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30-day HR (95%CI)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9D966EB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5.74 (2.71-2.05)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44E18B2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2.23 (1.84-2.72)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316178B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1.82 (1.64-2.02)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5191EFC9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143774E3" w14:textId="77777777" w:rsidTr="00351E27">
        <w:tc>
          <w:tcPr>
            <w:tcW w:w="2552" w:type="dxa"/>
          </w:tcPr>
          <w:p w14:paraId="73C152AE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1-year HR (95%CI)</w:t>
            </w:r>
          </w:p>
        </w:tc>
        <w:tc>
          <w:tcPr>
            <w:tcW w:w="2268" w:type="dxa"/>
          </w:tcPr>
          <w:p w14:paraId="5A8DC523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1.94 (1.76-2.14)</w:t>
            </w:r>
          </w:p>
        </w:tc>
        <w:tc>
          <w:tcPr>
            <w:tcW w:w="1984" w:type="dxa"/>
          </w:tcPr>
          <w:p w14:paraId="0BD0A729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1.63 (1.44-1.83)</w:t>
            </w:r>
          </w:p>
        </w:tc>
        <w:tc>
          <w:tcPr>
            <w:tcW w:w="1985" w:type="dxa"/>
          </w:tcPr>
          <w:p w14:paraId="5EA98265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1.30 (1.21-1.40)</w:t>
            </w:r>
          </w:p>
        </w:tc>
        <w:tc>
          <w:tcPr>
            <w:tcW w:w="383" w:type="dxa"/>
          </w:tcPr>
          <w:p w14:paraId="27FC46DE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49C8D876" w14:textId="77777777" w:rsidTr="00351E27">
        <w:tc>
          <w:tcPr>
            <w:tcW w:w="91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8BF1D2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 w:rsidRPr="00B82B87">
              <w:rPr>
                <w:rFonts w:cs="Times New Roman"/>
                <w:b/>
                <w:sz w:val="20"/>
                <w:szCs w:val="20"/>
              </w:rPr>
              <w:t xml:space="preserve">Chronic myocardial injury </w:t>
            </w:r>
            <w:r>
              <w:rPr>
                <w:rFonts w:cs="Times New Roman"/>
                <w:b/>
                <w:sz w:val="20"/>
                <w:szCs w:val="20"/>
              </w:rPr>
              <w:t>(n=41119)</w:t>
            </w:r>
          </w:p>
        </w:tc>
      </w:tr>
      <w:tr w:rsidR="00D05D9D" w:rsidRPr="000A3877" w14:paraId="03A9D4CD" w14:textId="77777777" w:rsidTr="00351E27">
        <w:tc>
          <w:tcPr>
            <w:tcW w:w="2552" w:type="dxa"/>
            <w:tcBorders>
              <w:top w:val="single" w:sz="4" w:space="0" w:color="auto"/>
            </w:tcBorders>
          </w:tcPr>
          <w:p w14:paraId="3924F22C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30-day HR (95%CI)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96B4A84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3.11 (1.72- 3.59)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4167D34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2.28 (1.96-2.65)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6DCDDFCC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1.83 (1.68-2.00)</w:t>
            </w:r>
          </w:p>
        </w:tc>
        <w:tc>
          <w:tcPr>
            <w:tcW w:w="383" w:type="dxa"/>
            <w:tcBorders>
              <w:top w:val="single" w:sz="4" w:space="0" w:color="auto"/>
            </w:tcBorders>
          </w:tcPr>
          <w:p w14:paraId="0E0F7FE3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  <w:tr w:rsidR="00D05D9D" w:rsidRPr="000A3877" w14:paraId="67DCAD1D" w14:textId="77777777" w:rsidTr="00351E27">
        <w:tc>
          <w:tcPr>
            <w:tcW w:w="2552" w:type="dxa"/>
          </w:tcPr>
          <w:p w14:paraId="25556BD4" w14:textId="77777777" w:rsidR="00D05D9D" w:rsidRPr="00BF7A64" w:rsidRDefault="00D05D9D" w:rsidP="00351E27">
            <w:pPr>
              <w:spacing w:before="120" w:line="480" w:lineRule="auto"/>
              <w:ind w:left="284"/>
              <w:rPr>
                <w:rFonts w:cs="Times New Roman"/>
                <w:sz w:val="20"/>
                <w:szCs w:val="20"/>
              </w:rPr>
            </w:pPr>
            <w:r w:rsidRPr="000A3877">
              <w:rPr>
                <w:rFonts w:cs="Times New Roman"/>
                <w:b/>
                <w:sz w:val="20"/>
                <w:szCs w:val="20"/>
                <w:lang w:val="en-CA"/>
              </w:rPr>
              <w:t>1-year HR (95%CI)</w:t>
            </w:r>
          </w:p>
        </w:tc>
        <w:tc>
          <w:tcPr>
            <w:tcW w:w="2268" w:type="dxa"/>
          </w:tcPr>
          <w:p w14:paraId="59167610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1.49 (1.37-1.61)</w:t>
            </w:r>
          </w:p>
        </w:tc>
        <w:tc>
          <w:tcPr>
            <w:tcW w:w="1984" w:type="dxa"/>
          </w:tcPr>
          <w:p w14:paraId="4DBC19AE" w14:textId="77777777" w:rsidR="00D05D9D" w:rsidRPr="00B82B8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2.13 (1.96-2.32)</w:t>
            </w:r>
          </w:p>
        </w:tc>
        <w:tc>
          <w:tcPr>
            <w:tcW w:w="1985" w:type="dxa"/>
          </w:tcPr>
          <w:p w14:paraId="44320832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  <w:r>
              <w:rPr>
                <w:rFonts w:cs="Times New Roman"/>
                <w:sz w:val="20"/>
                <w:szCs w:val="20"/>
                <w:lang w:val="en-CA"/>
              </w:rPr>
              <w:t>1.55 (1.49-1.63)</w:t>
            </w:r>
          </w:p>
        </w:tc>
        <w:tc>
          <w:tcPr>
            <w:tcW w:w="383" w:type="dxa"/>
          </w:tcPr>
          <w:p w14:paraId="4E7133CA" w14:textId="77777777" w:rsidR="00D05D9D" w:rsidRPr="000A3877" w:rsidRDefault="00D05D9D" w:rsidP="00351E27">
            <w:pPr>
              <w:spacing w:before="120" w:line="480" w:lineRule="auto"/>
              <w:rPr>
                <w:rFonts w:cs="Times New Roman"/>
                <w:sz w:val="20"/>
                <w:szCs w:val="20"/>
                <w:lang w:val="en-CA"/>
              </w:rPr>
            </w:pPr>
          </w:p>
        </w:tc>
      </w:tr>
    </w:tbl>
    <w:p w14:paraId="1723D585" w14:textId="77777777" w:rsidR="005B463C" w:rsidRDefault="005B463C"/>
    <w:sectPr w:rsidR="005B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D9D"/>
    <w:rsid w:val="005B463C"/>
    <w:rsid w:val="006C71FA"/>
    <w:rsid w:val="00BA5CF0"/>
    <w:rsid w:val="00D05D9D"/>
    <w:rsid w:val="00E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FC97"/>
  <w15:chartTrackingRefBased/>
  <w15:docId w15:val="{08E74D85-410C-42A0-90E5-D32F534D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D9D"/>
    <w:pPr>
      <w:spacing w:after="0" w:line="240" w:lineRule="auto"/>
    </w:pPr>
    <w:rPr>
      <w:rFonts w:ascii="Times New Roman" w:eastAsiaTheme="minorEastAsia" w:hAnsi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9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off28</dc:creator>
  <cp:keywords/>
  <dc:description/>
  <cp:lastModifiedBy>Vijayakumar A478</cp:lastModifiedBy>
  <cp:revision>2</cp:revision>
  <dcterms:created xsi:type="dcterms:W3CDTF">2021-02-27T10:29:00Z</dcterms:created>
  <dcterms:modified xsi:type="dcterms:W3CDTF">2021-03-01T13:47:00Z</dcterms:modified>
</cp:coreProperties>
</file>