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3A97" w14:textId="77777777" w:rsidR="00DC7E36" w:rsidRPr="00F41D2C" w:rsidRDefault="00DC7E36" w:rsidP="00F41D2C">
      <w:pPr>
        <w:pStyle w:val="DissertationTable1"/>
        <w:rPr>
          <w:b/>
        </w:rPr>
      </w:pPr>
      <w:r w:rsidRPr="00F41D2C">
        <w:rPr>
          <w:b/>
        </w:rPr>
        <w:t>Supporting Information</w:t>
      </w:r>
    </w:p>
    <w:p w14:paraId="6864A7AB" w14:textId="68200D71" w:rsidR="00DC7E36" w:rsidRPr="00F41D2C" w:rsidRDefault="009B079A" w:rsidP="00F41D2C">
      <w:pPr>
        <w:pStyle w:val="DissertationTable1"/>
      </w:pPr>
      <w:r>
        <w:rPr>
          <w:b/>
          <w:i/>
        </w:rPr>
        <w:t>Additional f</w:t>
      </w:r>
      <w:r w:rsidR="00DC7E36" w:rsidRPr="00F41D2C">
        <w:rPr>
          <w:b/>
          <w:i/>
        </w:rPr>
        <w:t>ield methods.</w:t>
      </w:r>
      <w:r w:rsidR="00DC7E36" w:rsidRPr="00F41D2C">
        <w:rPr>
          <w:b/>
        </w:rPr>
        <w:t xml:space="preserve"> </w:t>
      </w:r>
      <w:bookmarkStart w:id="0" w:name="_Hlk520373379"/>
      <w:r w:rsidR="00DC7E36" w:rsidRPr="00F41D2C">
        <w:t xml:space="preserve">In </w:t>
      </w:r>
      <w:r>
        <w:t>A</w:t>
      </w:r>
      <w:r w:rsidR="00DC7E36" w:rsidRPr="00F41D2C">
        <w:t xml:space="preserve">ustral </w:t>
      </w:r>
      <w:r>
        <w:t>S</w:t>
      </w:r>
      <w:r w:rsidR="00DC7E36" w:rsidRPr="00F41D2C">
        <w:t xml:space="preserve">ummers 2013 and 2014, one whisker was plucked from each of 19 seals, </w:t>
      </w:r>
      <w:bookmarkEnd w:id="0"/>
      <w:r w:rsidR="00DC7E36" w:rsidRPr="00F41D2C">
        <w:t xml:space="preserve">and the follicle location recorded. Whiskers were selected based on the following criteria: 1) The whisker was at asymptotic length (e.g., similar in length to its adjacent whiskers </w:t>
      </w:r>
      <w:r w:rsidR="00DC7E36" w:rsidRPr="00F41D2C">
        <w:fldChar w:fldCharType="begin"/>
      </w:r>
      <w:r w:rsidR="003D2920" w:rsidRPr="00F41D2C">
        <w:instrText xml:space="preserve"> ADDIN EN.CITE &lt;EndNote&gt;&lt;Cite&gt;&lt;Author&gt;Beltran&lt;/Author&gt;&lt;Year&gt;2015&lt;/Year&gt;&lt;RecNum&gt;1126&lt;/RecNum&gt;&lt;DisplayText&gt;(1)&lt;/DisplayText&gt;&lt;record&gt;&lt;rec-number&gt;1126&lt;/rec-number&gt;&lt;foreign-keys&gt;&lt;key app="EN" db-id="w2095pae4vfdxfe5e9fx2f2za5ft20axwfzz" timestamp="0"&gt;1126&lt;/key&gt;&lt;/foreign-keys&gt;&lt;ref-type name="Journal Article"&gt;17&lt;/ref-type&gt;&lt;contributors&gt;&lt;authors&gt;&lt;author&gt;Beltran, Roxanne S&lt;/author&gt;&lt;author&gt;Sadou, M&lt;/author&gt;&lt;author&gt;Condit, R&lt;/author&gt;&lt;author&gt;Peterson, S&lt;/author&gt;&lt;author&gt;Reichmuth, C&lt;/author&gt;&lt;author&gt;Costa, DP&lt;/author&gt;&lt;/authors&gt;&lt;/contributors&gt;&lt;titles&gt;&lt;title&gt;Fine-scale whisker growth measurements can reveal temporal foraging patterns from stable isotope signatures&lt;/title&gt;&lt;secondary-title&gt;Marine Ecology Progress Series&lt;/secondary-title&gt;&lt;/titles&gt;&lt;periodical&gt;&lt;full-title&gt;Marine Ecology Progress Series&lt;/full-title&gt;&lt;/periodical&gt;&lt;pages&gt;243-253&lt;/pages&gt;&lt;volume&gt;523&lt;/volume&gt;&lt;dates&gt;&lt;year&gt;2015&lt;/year&gt;&lt;pub-dates&gt;&lt;date&gt;March 16, 2015&lt;/date&gt;&lt;/pub-dates&gt;&lt;/dates&gt;&lt;urls&gt;&lt;related-urls&gt;&lt;url&gt;http://www.int-res.com/abstracts/meps/v523/p243-253/&lt;/url&gt;&lt;/related-urls&gt;&lt;/urls&gt;&lt;electronic-resource-num&gt;10.3354/meps11176&lt;/electronic-resource-num&gt;&lt;/record&gt;&lt;/Cite&gt;&lt;/EndNote&gt;</w:instrText>
      </w:r>
      <w:r w:rsidR="00DC7E36" w:rsidRPr="00F41D2C">
        <w:fldChar w:fldCharType="separate"/>
      </w:r>
      <w:r w:rsidR="003D2920" w:rsidRPr="00F41D2C">
        <w:t>(1)</w:t>
      </w:r>
      <w:r w:rsidR="00DC7E36" w:rsidRPr="00F41D2C">
        <w:fldChar w:fldCharType="end"/>
      </w:r>
      <w:r w:rsidR="00DC7E36" w:rsidRPr="00F41D2C">
        <w:t xml:space="preserve">) and 2) The whisker was fully intact (e.g., tapered at end, with no clear breakage or splintering). Seal masses were measured directly using an electronic scale (MSI-7300 Dyna-Link 2, resolution ± 0.25 kg) suspended from a tripod. </w:t>
      </w:r>
    </w:p>
    <w:p w14:paraId="78812BDA" w14:textId="77777777" w:rsidR="00DC7E36" w:rsidRPr="00F41D2C" w:rsidRDefault="00DC7E36" w:rsidP="00F41D2C">
      <w:pPr>
        <w:pStyle w:val="TextLucidaSans"/>
        <w:jc w:val="left"/>
        <w:rPr>
          <w:rFonts w:ascii="Times New Roman" w:hAnsi="Times New Roman" w:cs="Times New Roman"/>
          <w:sz w:val="24"/>
          <w:szCs w:val="24"/>
        </w:rPr>
      </w:pPr>
    </w:p>
    <w:p w14:paraId="0E7C3725" w14:textId="77777777" w:rsidR="00DC7E36" w:rsidRPr="00F41D2C" w:rsidRDefault="00DC7E36" w:rsidP="00F41D2C">
      <w:pPr>
        <w:pStyle w:val="TextLucidaSans"/>
        <w:jc w:val="left"/>
        <w:rPr>
          <w:rFonts w:ascii="Times New Roman" w:hAnsi="Times New Roman" w:cs="Times New Roman"/>
          <w:sz w:val="24"/>
          <w:szCs w:val="24"/>
        </w:rPr>
      </w:pPr>
      <w:r w:rsidRPr="00F41D2C">
        <w:rPr>
          <w:rFonts w:ascii="Times New Roman" w:hAnsi="Times New Roman" w:cs="Times New Roman"/>
          <w:b/>
          <w:i/>
          <w:sz w:val="24"/>
          <w:szCs w:val="24"/>
        </w:rPr>
        <w:t>Diving data analysis.</w:t>
      </w:r>
      <w:r w:rsidRPr="00F41D2C">
        <w:rPr>
          <w:rFonts w:ascii="Times New Roman" w:hAnsi="Times New Roman" w:cs="Times New Roman"/>
          <w:b/>
          <w:sz w:val="24"/>
          <w:szCs w:val="24"/>
        </w:rPr>
        <w:t xml:space="preserve"> </w:t>
      </w:r>
      <w:r w:rsidRPr="00F41D2C">
        <w:rPr>
          <w:rFonts w:ascii="Times New Roman" w:hAnsi="Times New Roman" w:cs="Times New Roman"/>
          <w:sz w:val="24"/>
          <w:szCs w:val="24"/>
        </w:rPr>
        <w:t>Zero-offset correction and dive identification were achieved using</w:t>
      </w:r>
      <w:r w:rsidRPr="00F41D2C">
        <w:rPr>
          <w:rFonts w:ascii="Times New Roman" w:hAnsi="Times New Roman" w:cs="Times New Roman"/>
          <w:sz w:val="24"/>
          <w:szCs w:val="24"/>
          <w:lang w:val="en-US"/>
        </w:rPr>
        <w:t xml:space="preserve"> the IKNOS toolbox in MATLAB (The MathWorks, Inc., Y. Tremblay). Dives were identified as excursions from the surface reaching a maximum depth of at least 10 meters and lasting a minimum duration of 30 seconds. Jaw motion events were identified from the raw acceleration data using</w:t>
      </w:r>
      <w:r w:rsidRPr="00F41D2C">
        <w:rPr>
          <w:rFonts w:ascii="Times New Roman" w:hAnsi="Times New Roman" w:cs="Times New Roman"/>
          <w:sz w:val="24"/>
          <w:szCs w:val="24"/>
        </w:rPr>
        <w:t xml:space="preserve"> a 0.3g amplitude surge acceleration threshold in IGOR PRO (</w:t>
      </w:r>
      <w:proofErr w:type="spellStart"/>
      <w:r w:rsidRPr="00F41D2C">
        <w:rPr>
          <w:rFonts w:ascii="Times New Roman" w:hAnsi="Times New Roman" w:cs="Times New Roman"/>
          <w:sz w:val="24"/>
          <w:szCs w:val="24"/>
        </w:rPr>
        <w:t>WaveMetrics</w:t>
      </w:r>
      <w:proofErr w:type="spellEnd"/>
      <w:r w:rsidRPr="00F41D2C">
        <w:rPr>
          <w:rFonts w:ascii="Times New Roman" w:hAnsi="Times New Roman" w:cs="Times New Roman"/>
          <w:sz w:val="24"/>
          <w:szCs w:val="24"/>
        </w:rPr>
        <w:t xml:space="preserve">, Inc.). Mass gain per hour diving was calculated as mass gain between deployment and recovery divided by the total number of hours diving.  </w:t>
      </w:r>
    </w:p>
    <w:p w14:paraId="4E5C3E1D" w14:textId="77777777" w:rsidR="00DC7E36" w:rsidRPr="00F41D2C" w:rsidRDefault="00DC7E36" w:rsidP="00F41D2C">
      <w:pPr>
        <w:pStyle w:val="DissertationTable1"/>
        <w:rPr>
          <w:b/>
        </w:rPr>
      </w:pPr>
    </w:p>
    <w:p w14:paraId="43C7B6CD" w14:textId="15183A6A" w:rsidR="00DC7E36" w:rsidRPr="00F41D2C" w:rsidRDefault="00DC7E36" w:rsidP="00F41D2C">
      <w:pPr>
        <w:pStyle w:val="DissertationTable1"/>
        <w:rPr>
          <w:b/>
        </w:rPr>
      </w:pPr>
      <w:r w:rsidRPr="00F41D2C">
        <w:t>Dives were considered benthic if they had (1) minimal bottom phase vertical excursions (2) square corners; and (3) a bottom phase slope close to zero. To characterize the bottom phase vertical excursions, we calculated a kernel density of bottom phase vertical rate for each dive. If the peak fell within the range of ± 0.08 meters per second (nearly flat bottom) and the height of the peak exceeded a density of 1.5 (consistent vertical rate), it was classified as a benthic dive. Additionally, best-fit lines were drawn for the descent phase and the bottom phase, and the intersection between the two lines was checked against the animal’s actual trajectory. If the actual trajectory was less than 15 meters from the intersection point (i.e., switch from descent phase to bottom phase was sharp), it was identified as a benthic dive (n=1,423). All other dives (those with gradual changes from descent to bottom phase, variable vertical rates) were considered pelagic (n=137,083, or 99% of all dives). The limited frequency of benthic dives during the entire summer (mean 1% of dives, ranging from 0% to 16% among individuals, Figure S</w:t>
      </w:r>
      <w:r w:rsidR="009A1AB4" w:rsidRPr="00F41D2C">
        <w:t>6</w:t>
      </w:r>
      <w:r w:rsidRPr="00F41D2C">
        <w:t xml:space="preserve">) indicates that seals focused their foraging efforts on pelagic or under-ice, rather than </w:t>
      </w:r>
      <w:r w:rsidR="003D2920" w:rsidRPr="00F41D2C">
        <w:t xml:space="preserve">on </w:t>
      </w:r>
      <w:r w:rsidRPr="00F41D2C">
        <w:t>benthic prey.</w:t>
      </w:r>
    </w:p>
    <w:p w14:paraId="5FBCAF43" w14:textId="77777777" w:rsidR="00DC7E36" w:rsidRPr="00F41D2C" w:rsidRDefault="00DC7E36" w:rsidP="00F41D2C">
      <w:pPr>
        <w:pStyle w:val="DissertationTable1"/>
        <w:rPr>
          <w:b/>
        </w:rPr>
      </w:pPr>
    </w:p>
    <w:p w14:paraId="649C808B" w14:textId="77777777" w:rsidR="00DC7E36" w:rsidRPr="00F41D2C" w:rsidRDefault="00DC7E36" w:rsidP="00F41D2C">
      <w:pPr>
        <w:rPr>
          <w:sz w:val="24"/>
          <w:szCs w:val="24"/>
        </w:rPr>
      </w:pPr>
      <w:r w:rsidRPr="00F41D2C">
        <w:rPr>
          <w:sz w:val="24"/>
          <w:szCs w:val="24"/>
        </w:rPr>
        <w:t>To differentiate the shallow diving period from the preceding and following periods of deeper diving, we calculated the full-time duration at 25% minimum depth (adapted from full-width-at-half-maximum waveform analysis) using: [</w:t>
      </w:r>
      <w:proofErr w:type="spellStart"/>
      <w:r w:rsidRPr="00F41D2C">
        <w:rPr>
          <w:i/>
          <w:sz w:val="24"/>
          <w:szCs w:val="24"/>
        </w:rPr>
        <w:t>Depth</w:t>
      </w:r>
      <w:r w:rsidRPr="00F41D2C">
        <w:rPr>
          <w:i/>
          <w:sz w:val="24"/>
          <w:szCs w:val="24"/>
          <w:vertAlign w:val="subscript"/>
        </w:rPr>
        <w:t>cutoff</w:t>
      </w:r>
      <w:proofErr w:type="spellEnd"/>
      <w:r w:rsidRPr="00F41D2C">
        <w:rPr>
          <w:sz w:val="24"/>
          <w:szCs w:val="24"/>
        </w:rPr>
        <w:t>=</w:t>
      </w:r>
      <w:proofErr w:type="spellStart"/>
      <w:r w:rsidRPr="00F41D2C">
        <w:rPr>
          <w:i/>
          <w:sz w:val="24"/>
          <w:szCs w:val="24"/>
        </w:rPr>
        <w:t>Y</w:t>
      </w:r>
      <w:r w:rsidRPr="00F41D2C">
        <w:rPr>
          <w:i/>
          <w:sz w:val="24"/>
          <w:szCs w:val="24"/>
          <w:vertAlign w:val="subscript"/>
        </w:rPr>
        <w:t>max</w:t>
      </w:r>
      <w:proofErr w:type="spellEnd"/>
      <w:r w:rsidRPr="00F41D2C">
        <w:rPr>
          <w:sz w:val="24"/>
          <w:szCs w:val="24"/>
        </w:rPr>
        <w:t>-[(</w:t>
      </w:r>
      <w:proofErr w:type="spellStart"/>
      <w:r w:rsidRPr="00F41D2C">
        <w:rPr>
          <w:i/>
          <w:sz w:val="24"/>
          <w:szCs w:val="24"/>
        </w:rPr>
        <w:t>Y</w:t>
      </w:r>
      <w:r w:rsidRPr="00F41D2C">
        <w:rPr>
          <w:i/>
          <w:sz w:val="24"/>
          <w:szCs w:val="24"/>
          <w:vertAlign w:val="subscript"/>
        </w:rPr>
        <w:t>max</w:t>
      </w:r>
      <w:r w:rsidRPr="00F41D2C">
        <w:rPr>
          <w:sz w:val="24"/>
          <w:szCs w:val="24"/>
        </w:rPr>
        <w:t>-</w:t>
      </w:r>
      <w:r w:rsidRPr="00F41D2C">
        <w:rPr>
          <w:i/>
          <w:sz w:val="24"/>
          <w:szCs w:val="24"/>
        </w:rPr>
        <w:t>Y</w:t>
      </w:r>
      <w:r w:rsidRPr="00F41D2C">
        <w:rPr>
          <w:i/>
          <w:sz w:val="24"/>
          <w:szCs w:val="24"/>
          <w:vertAlign w:val="subscript"/>
        </w:rPr>
        <w:t>min</w:t>
      </w:r>
      <w:proofErr w:type="spellEnd"/>
      <w:r w:rsidRPr="00F41D2C">
        <w:rPr>
          <w:sz w:val="24"/>
          <w:szCs w:val="24"/>
        </w:rPr>
        <w:t xml:space="preserve">)*0.25], where </w:t>
      </w:r>
      <w:proofErr w:type="spellStart"/>
      <w:r w:rsidRPr="00F41D2C">
        <w:rPr>
          <w:i/>
          <w:sz w:val="24"/>
          <w:szCs w:val="24"/>
        </w:rPr>
        <w:t>Y</w:t>
      </w:r>
      <w:r w:rsidRPr="00F41D2C">
        <w:rPr>
          <w:i/>
          <w:sz w:val="24"/>
          <w:szCs w:val="24"/>
          <w:vertAlign w:val="subscript"/>
        </w:rPr>
        <w:t>max</w:t>
      </w:r>
      <w:proofErr w:type="spellEnd"/>
      <w:r w:rsidRPr="00F41D2C">
        <w:rPr>
          <w:sz w:val="24"/>
          <w:szCs w:val="24"/>
        </w:rPr>
        <w:t xml:space="preserve"> is the shallowest daily mean depth (105 meters) and </w:t>
      </w:r>
      <w:proofErr w:type="spellStart"/>
      <w:r w:rsidRPr="00F41D2C">
        <w:rPr>
          <w:i/>
          <w:sz w:val="24"/>
          <w:szCs w:val="24"/>
        </w:rPr>
        <w:t>Y</w:t>
      </w:r>
      <w:r w:rsidRPr="00F41D2C">
        <w:rPr>
          <w:i/>
          <w:sz w:val="24"/>
          <w:szCs w:val="24"/>
          <w:vertAlign w:val="subscript"/>
        </w:rPr>
        <w:t>min</w:t>
      </w:r>
      <w:proofErr w:type="spellEnd"/>
      <w:r w:rsidRPr="00F41D2C">
        <w:rPr>
          <w:sz w:val="24"/>
          <w:szCs w:val="24"/>
        </w:rPr>
        <w:t xml:space="preserve"> is the deepest daily mean depth (245 meters). The </w:t>
      </w:r>
      <w:proofErr w:type="spellStart"/>
      <w:r w:rsidRPr="00F41D2C">
        <w:rPr>
          <w:i/>
          <w:sz w:val="24"/>
          <w:szCs w:val="24"/>
        </w:rPr>
        <w:t>Depth</w:t>
      </w:r>
      <w:r w:rsidRPr="00F41D2C">
        <w:rPr>
          <w:i/>
          <w:sz w:val="24"/>
          <w:szCs w:val="24"/>
          <w:vertAlign w:val="subscript"/>
        </w:rPr>
        <w:t>cutoff</w:t>
      </w:r>
      <w:proofErr w:type="spellEnd"/>
      <w:r w:rsidRPr="00F41D2C">
        <w:rPr>
          <w:sz w:val="24"/>
          <w:szCs w:val="24"/>
        </w:rPr>
        <w:t xml:space="preserve"> was 140 meters and resulted in a shallow period of 19 days before ice break-out to 4 days after ice break-out. We compared diving depth, wiggles per minute bottom time (hereafter, feeding rates) and percent bottom time (hereafter, foraging efficiency) across the first ten days of deployment (preceding deep period, 60 to 51 days before ice break-out), shallow period (19 days before ice break-out to 4 days after ice break-out) and last ten days of deployment (following deep period, 6 to 15 days after ice break-out). We report the total effect of increased feeding rates and foraging efficiency by summing the values for the early and late periods. </w:t>
      </w:r>
    </w:p>
    <w:p w14:paraId="0984A8D9" w14:textId="77777777" w:rsidR="00DC7E36" w:rsidRPr="00F41D2C" w:rsidRDefault="00DC7E36" w:rsidP="00F41D2C">
      <w:pPr>
        <w:pStyle w:val="DissertationTable1"/>
      </w:pPr>
    </w:p>
    <w:p w14:paraId="414E4661" w14:textId="77777777" w:rsidR="00DC7E36" w:rsidRPr="00F41D2C" w:rsidRDefault="00DC7E36" w:rsidP="00F41D2C">
      <w:pPr>
        <w:pStyle w:val="Dissertation3"/>
        <w:rPr>
          <w:b w:val="0"/>
        </w:rPr>
      </w:pPr>
      <w:r w:rsidRPr="00F41D2C">
        <w:rPr>
          <w:i/>
        </w:rPr>
        <w:t>Diet analysis.</w:t>
      </w:r>
      <w:r w:rsidRPr="00F41D2C">
        <w:t xml:space="preserve"> </w:t>
      </w:r>
      <w:r w:rsidRPr="00F41D2C">
        <w:rPr>
          <w:b w:val="0"/>
        </w:rPr>
        <w:t xml:space="preserve">Because tissue catabolism (i.e. mass loss) can elevate tissue </w:t>
      </w:r>
      <w:r w:rsidRPr="00F41D2C">
        <w:rPr>
          <w:b w:val="0"/>
          <w:i/>
        </w:rPr>
        <w:t>δ</w:t>
      </w:r>
      <w:r w:rsidRPr="00F41D2C">
        <w:rPr>
          <w:b w:val="0"/>
          <w:vertAlign w:val="superscript"/>
        </w:rPr>
        <w:t>15</w:t>
      </w:r>
      <w:r w:rsidRPr="00F41D2C">
        <w:rPr>
          <w:b w:val="0"/>
        </w:rPr>
        <w:t xml:space="preserve">N values independently of dietary changes, we limited our analysis to the 9 seals that gained mass across </w:t>
      </w:r>
      <w:r w:rsidRPr="00F41D2C">
        <w:rPr>
          <w:b w:val="0"/>
        </w:rPr>
        <w:lastRenderedPageBreak/>
        <w:t xml:space="preserve">the deployment period. Each whisker was measured and then washed for 30 minutes in a reciprocal shaking ultrasonic bath (20°C, 180 rpm; Thermo Fisher Scientific, Waltham, MA, USA) with petroleum ether to remove exogenous lipids. The base of each whisker was removed to avoid the </w:t>
      </w:r>
      <w:r w:rsidRPr="00F41D2C">
        <w:rPr>
          <w:b w:val="0"/>
          <w:vertAlign w:val="superscript"/>
        </w:rPr>
        <w:t>15</w:t>
      </w:r>
      <w:r w:rsidRPr="00F41D2C">
        <w:rPr>
          <w:b w:val="0"/>
        </w:rPr>
        <w:t xml:space="preserve">N bias associated with the sub-dermal whisker portion. The remaining whisker was then subsampled into 0.45-0.55 mg sequential segments and placed into tin boats for analysis. In addition, the distance of each subsample from the whisker tip was recorded so that growth dates could be estimated. Samples were analyzed for </w:t>
      </w:r>
      <w:r w:rsidRPr="00F41D2C">
        <w:rPr>
          <w:b w:val="0"/>
          <w:i/>
        </w:rPr>
        <w:t>δ</w:t>
      </w:r>
      <w:r w:rsidRPr="00F41D2C">
        <w:rPr>
          <w:b w:val="0"/>
          <w:vertAlign w:val="superscript"/>
        </w:rPr>
        <w:t>13</w:t>
      </w:r>
      <w:r w:rsidRPr="00F41D2C">
        <w:rPr>
          <w:b w:val="0"/>
        </w:rPr>
        <w:t xml:space="preserve">C and </w:t>
      </w:r>
      <w:r w:rsidRPr="00F41D2C">
        <w:rPr>
          <w:b w:val="0"/>
          <w:i/>
        </w:rPr>
        <w:t>δ</w:t>
      </w:r>
      <w:r w:rsidRPr="00F41D2C">
        <w:rPr>
          <w:b w:val="0"/>
          <w:vertAlign w:val="superscript"/>
        </w:rPr>
        <w:t>15</w:t>
      </w:r>
      <w:r w:rsidRPr="00F41D2C">
        <w:rPr>
          <w:b w:val="0"/>
        </w:rPr>
        <w:t>N using an ECS 4010 elemental analyzer (</w:t>
      </w:r>
      <w:proofErr w:type="spellStart"/>
      <w:r w:rsidRPr="00F41D2C">
        <w:rPr>
          <w:b w:val="0"/>
        </w:rPr>
        <w:t>Costech</w:t>
      </w:r>
      <w:proofErr w:type="spellEnd"/>
      <w:r w:rsidRPr="00F41D2C">
        <w:rPr>
          <w:b w:val="0"/>
        </w:rPr>
        <w:t xml:space="preserve">, Valencia, CA, USA) coupled to a </w:t>
      </w:r>
      <w:proofErr w:type="spellStart"/>
      <w:r w:rsidRPr="00F41D2C">
        <w:rPr>
          <w:b w:val="0"/>
        </w:rPr>
        <w:t>ThermoFinnigan</w:t>
      </w:r>
      <w:proofErr w:type="spellEnd"/>
      <w:r w:rsidRPr="00F41D2C">
        <w:rPr>
          <w:b w:val="0"/>
        </w:rPr>
        <w:t xml:space="preserve"> Delta V Advantage continuous-flow isotope ratio mass spectrometer (Thermo Scientific, Bremen, Germany) at the University of Alaska Anchorage Environment and Natural Resources Institute Stable Isotope Laboratory. Homogenized peach leaf (NIST 1547, </w:t>
      </w:r>
      <w:r w:rsidRPr="00F41D2C">
        <w:rPr>
          <w:b w:val="0"/>
          <w:i/>
        </w:rPr>
        <w:t>δ</w:t>
      </w:r>
      <w:r w:rsidRPr="00F41D2C">
        <w:rPr>
          <w:b w:val="0"/>
          <w:vertAlign w:val="superscript"/>
        </w:rPr>
        <w:t>13</w:t>
      </w:r>
      <w:r w:rsidRPr="00F41D2C">
        <w:rPr>
          <w:b w:val="0"/>
        </w:rPr>
        <w:t>C=-25.89</w:t>
      </w:r>
      <w:r w:rsidRPr="00F41D2C">
        <w:rPr>
          <w:b w:val="0"/>
          <w:highlight w:val="white"/>
        </w:rPr>
        <w:t>‰</w:t>
      </w:r>
      <w:r w:rsidRPr="00F41D2C">
        <w:rPr>
          <w:b w:val="0"/>
        </w:rPr>
        <w:t xml:space="preserve">, </w:t>
      </w:r>
      <w:r w:rsidRPr="00F41D2C">
        <w:rPr>
          <w:b w:val="0"/>
          <w:i/>
        </w:rPr>
        <w:t>δ</w:t>
      </w:r>
      <w:r w:rsidRPr="00F41D2C">
        <w:rPr>
          <w:b w:val="0"/>
          <w:vertAlign w:val="superscript"/>
        </w:rPr>
        <w:t>15</w:t>
      </w:r>
      <w:r w:rsidRPr="00F41D2C">
        <w:rPr>
          <w:b w:val="0"/>
        </w:rPr>
        <w:t>N=1.89</w:t>
      </w:r>
      <w:r w:rsidRPr="00F41D2C">
        <w:rPr>
          <w:b w:val="0"/>
          <w:highlight w:val="white"/>
        </w:rPr>
        <w:t>‰</w:t>
      </w:r>
      <w:r w:rsidRPr="00F41D2C">
        <w:rPr>
          <w:b w:val="0"/>
        </w:rPr>
        <w:t xml:space="preserve">), bowhead whale baleen (University of Alaska; </w:t>
      </w:r>
      <w:r w:rsidRPr="00F41D2C">
        <w:rPr>
          <w:b w:val="0"/>
          <w:i/>
        </w:rPr>
        <w:t>δ</w:t>
      </w:r>
      <w:r w:rsidRPr="00F41D2C">
        <w:rPr>
          <w:b w:val="0"/>
          <w:vertAlign w:val="superscript"/>
        </w:rPr>
        <w:t>13</w:t>
      </w:r>
      <w:r w:rsidRPr="00F41D2C">
        <w:rPr>
          <w:b w:val="0"/>
        </w:rPr>
        <w:t>C=-18.37</w:t>
      </w:r>
      <w:r w:rsidRPr="00F41D2C">
        <w:rPr>
          <w:b w:val="0"/>
          <w:highlight w:val="white"/>
        </w:rPr>
        <w:t>‰</w:t>
      </w:r>
      <w:r w:rsidRPr="00F41D2C">
        <w:rPr>
          <w:b w:val="0"/>
        </w:rPr>
        <w:t xml:space="preserve">, </w:t>
      </w:r>
      <w:r w:rsidRPr="00F41D2C">
        <w:rPr>
          <w:b w:val="0"/>
          <w:i/>
        </w:rPr>
        <w:t>δ</w:t>
      </w:r>
      <w:r w:rsidRPr="00F41D2C">
        <w:rPr>
          <w:b w:val="0"/>
          <w:vertAlign w:val="superscript"/>
        </w:rPr>
        <w:t>15</w:t>
      </w:r>
      <w:r w:rsidRPr="00F41D2C">
        <w:rPr>
          <w:b w:val="0"/>
        </w:rPr>
        <w:t>N=14.44</w:t>
      </w:r>
      <w:r w:rsidRPr="00F41D2C">
        <w:rPr>
          <w:b w:val="0"/>
          <w:highlight w:val="white"/>
        </w:rPr>
        <w:t>‰</w:t>
      </w:r>
      <w:r w:rsidRPr="00F41D2C">
        <w:rPr>
          <w:b w:val="0"/>
        </w:rPr>
        <w:t xml:space="preserve">) and purified methionine (Alfa </w:t>
      </w:r>
      <w:proofErr w:type="spellStart"/>
      <w:r w:rsidRPr="00F41D2C">
        <w:rPr>
          <w:b w:val="0"/>
        </w:rPr>
        <w:t>Aesar</w:t>
      </w:r>
      <w:proofErr w:type="spellEnd"/>
      <w:r w:rsidRPr="00F41D2C">
        <w:rPr>
          <w:b w:val="0"/>
        </w:rPr>
        <w:t xml:space="preserve">, Heysham, UK; </w:t>
      </w:r>
      <w:r w:rsidRPr="00F41D2C">
        <w:rPr>
          <w:b w:val="0"/>
          <w:i/>
        </w:rPr>
        <w:t>δ</w:t>
      </w:r>
      <w:r w:rsidRPr="00F41D2C">
        <w:rPr>
          <w:b w:val="0"/>
          <w:vertAlign w:val="superscript"/>
        </w:rPr>
        <w:t>13</w:t>
      </w:r>
      <w:r w:rsidRPr="00F41D2C">
        <w:rPr>
          <w:b w:val="0"/>
        </w:rPr>
        <w:t>C=-34.58</w:t>
      </w:r>
      <w:r w:rsidRPr="00F41D2C">
        <w:rPr>
          <w:b w:val="0"/>
          <w:highlight w:val="white"/>
        </w:rPr>
        <w:t>‰</w:t>
      </w:r>
      <w:r w:rsidRPr="00F41D2C">
        <w:rPr>
          <w:b w:val="0"/>
        </w:rPr>
        <w:t xml:space="preserve">, </w:t>
      </w:r>
      <w:r w:rsidRPr="00F41D2C">
        <w:rPr>
          <w:b w:val="0"/>
          <w:i/>
        </w:rPr>
        <w:t>δ</w:t>
      </w:r>
      <w:r w:rsidRPr="00F41D2C">
        <w:rPr>
          <w:b w:val="0"/>
          <w:vertAlign w:val="superscript"/>
        </w:rPr>
        <w:t>15</w:t>
      </w:r>
      <w:r w:rsidRPr="00F41D2C">
        <w:rPr>
          <w:b w:val="0"/>
        </w:rPr>
        <w:t>N=-0.94</w:t>
      </w:r>
      <w:r w:rsidRPr="00F41D2C">
        <w:rPr>
          <w:b w:val="0"/>
          <w:highlight w:val="white"/>
        </w:rPr>
        <w:t>‰</w:t>
      </w:r>
      <w:r w:rsidRPr="00F41D2C">
        <w:rPr>
          <w:b w:val="0"/>
        </w:rPr>
        <w:t>) were used as internal standards. All values are reported in parts per thousand deviations from the standard value (</w:t>
      </w:r>
      <w:r w:rsidRPr="00F41D2C">
        <w:rPr>
          <w:b w:val="0"/>
          <w:highlight w:val="white"/>
        </w:rPr>
        <w:t>‰</w:t>
      </w:r>
      <w:r w:rsidRPr="00F41D2C">
        <w:rPr>
          <w:b w:val="0"/>
        </w:rPr>
        <w:t xml:space="preserve">) using the equation </w:t>
      </w:r>
      <w:proofErr w:type="spellStart"/>
      <w:r w:rsidRPr="00F41D2C">
        <w:rPr>
          <w:b w:val="0"/>
          <w:i/>
        </w:rPr>
        <w:t>δ</w:t>
      </w:r>
      <w:r w:rsidRPr="00F41D2C">
        <w:rPr>
          <w:b w:val="0"/>
          <w:vertAlign w:val="superscript"/>
        </w:rPr>
        <w:t>h</w:t>
      </w:r>
      <w:r w:rsidRPr="00F41D2C">
        <w:rPr>
          <w:b w:val="0"/>
        </w:rPr>
        <w:t>X</w:t>
      </w:r>
      <w:proofErr w:type="spellEnd"/>
      <w:r w:rsidRPr="00F41D2C">
        <w:rPr>
          <w:b w:val="0"/>
        </w:rPr>
        <w:t>=[((</w:t>
      </w:r>
      <w:proofErr w:type="spellStart"/>
      <w:r w:rsidRPr="00F41D2C">
        <w:rPr>
          <w:b w:val="0"/>
        </w:rPr>
        <w:t>R</w:t>
      </w:r>
      <w:r w:rsidRPr="00F41D2C">
        <w:rPr>
          <w:b w:val="0"/>
          <w:vertAlign w:val="subscript"/>
        </w:rPr>
        <w:t>sample</w:t>
      </w:r>
      <w:r w:rsidRPr="00F41D2C">
        <w:rPr>
          <w:b w:val="0"/>
        </w:rPr>
        <w:t>-R</w:t>
      </w:r>
      <w:r w:rsidRPr="00F41D2C">
        <w:rPr>
          <w:b w:val="0"/>
          <w:vertAlign w:val="subscript"/>
        </w:rPr>
        <w:t>standard</w:t>
      </w:r>
      <w:proofErr w:type="spellEnd"/>
      <w:r w:rsidRPr="00F41D2C">
        <w:rPr>
          <w:b w:val="0"/>
        </w:rPr>
        <w:t>)/</w:t>
      </w:r>
      <w:proofErr w:type="spellStart"/>
      <w:r w:rsidRPr="00F41D2C">
        <w:rPr>
          <w:b w:val="0"/>
        </w:rPr>
        <w:t>R</w:t>
      </w:r>
      <w:r w:rsidRPr="00F41D2C">
        <w:rPr>
          <w:b w:val="0"/>
          <w:vertAlign w:val="subscript"/>
        </w:rPr>
        <w:t>standard</w:t>
      </w:r>
      <w:proofErr w:type="spellEnd"/>
      <w:r w:rsidRPr="00F41D2C">
        <w:rPr>
          <w:b w:val="0"/>
        </w:rPr>
        <w:t>)*1000] where X represents the element, h is the heavy atomic mass number, and R is the heavy-to-light isotope ratio found in the sample or standard (</w:t>
      </w:r>
      <w:r w:rsidRPr="00F41D2C">
        <w:rPr>
          <w:b w:val="0"/>
          <w:vertAlign w:val="superscript"/>
        </w:rPr>
        <w:t>13</w:t>
      </w:r>
      <w:r w:rsidRPr="00F41D2C">
        <w:rPr>
          <w:b w:val="0"/>
        </w:rPr>
        <w:t>C/</w:t>
      </w:r>
      <w:r w:rsidRPr="00F41D2C">
        <w:rPr>
          <w:b w:val="0"/>
          <w:vertAlign w:val="superscript"/>
        </w:rPr>
        <w:t>12</w:t>
      </w:r>
      <w:r w:rsidRPr="00F41D2C">
        <w:rPr>
          <w:b w:val="0"/>
        </w:rPr>
        <w:t xml:space="preserve">C or </w:t>
      </w:r>
      <w:r w:rsidRPr="00F41D2C">
        <w:rPr>
          <w:b w:val="0"/>
          <w:vertAlign w:val="superscript"/>
        </w:rPr>
        <w:t>15</w:t>
      </w:r>
      <w:r w:rsidRPr="00F41D2C">
        <w:rPr>
          <w:b w:val="0"/>
        </w:rPr>
        <w:t>N/</w:t>
      </w:r>
      <w:r w:rsidRPr="00F41D2C">
        <w:rPr>
          <w:b w:val="0"/>
          <w:vertAlign w:val="superscript"/>
        </w:rPr>
        <w:t>14</w:t>
      </w:r>
      <w:r w:rsidRPr="00F41D2C">
        <w:rPr>
          <w:b w:val="0"/>
        </w:rPr>
        <w:t xml:space="preserve">N). </w:t>
      </w:r>
    </w:p>
    <w:p w14:paraId="72EED4E3" w14:textId="77777777" w:rsidR="00DC7E36" w:rsidRPr="00F41D2C" w:rsidRDefault="00DC7E36" w:rsidP="00F41D2C">
      <w:pPr>
        <w:rPr>
          <w:sz w:val="24"/>
          <w:szCs w:val="24"/>
        </w:rPr>
      </w:pPr>
    </w:p>
    <w:p w14:paraId="4F69FB54" w14:textId="7F803D69" w:rsidR="00DC7E36" w:rsidRPr="00F41D2C" w:rsidRDefault="00DC7E36" w:rsidP="00F41D2C">
      <w:pPr>
        <w:rPr>
          <w:sz w:val="24"/>
          <w:szCs w:val="24"/>
        </w:rPr>
      </w:pPr>
      <w:r w:rsidRPr="00F41D2C">
        <w:rPr>
          <w:sz w:val="24"/>
          <w:szCs w:val="24"/>
        </w:rPr>
        <w:t xml:space="preserve">Average whisker </w:t>
      </w:r>
      <w:r w:rsidRPr="00F41D2C">
        <w:rPr>
          <w:i/>
          <w:sz w:val="24"/>
          <w:szCs w:val="24"/>
        </w:rPr>
        <w:t>δ</w:t>
      </w:r>
      <w:r w:rsidRPr="00F41D2C">
        <w:rPr>
          <w:sz w:val="24"/>
          <w:szCs w:val="24"/>
          <w:vertAlign w:val="superscript"/>
        </w:rPr>
        <w:t>13</w:t>
      </w:r>
      <w:r w:rsidRPr="00F41D2C">
        <w:rPr>
          <w:sz w:val="24"/>
          <w:szCs w:val="24"/>
        </w:rPr>
        <w:t xml:space="preserve">C and </w:t>
      </w:r>
      <w:r w:rsidRPr="00F41D2C">
        <w:rPr>
          <w:i/>
          <w:sz w:val="24"/>
          <w:szCs w:val="24"/>
        </w:rPr>
        <w:t>δ</w:t>
      </w:r>
      <w:r w:rsidRPr="00F41D2C">
        <w:rPr>
          <w:sz w:val="24"/>
          <w:szCs w:val="24"/>
          <w:vertAlign w:val="superscript"/>
        </w:rPr>
        <w:t>15</w:t>
      </w:r>
      <w:r w:rsidRPr="00F41D2C">
        <w:rPr>
          <w:sz w:val="24"/>
          <w:szCs w:val="24"/>
        </w:rPr>
        <w:t>N values for each seal (</w:t>
      </w:r>
      <w:proofErr w:type="spellStart"/>
      <w:r w:rsidRPr="00F41D2C">
        <w:rPr>
          <w:sz w:val="24"/>
          <w:szCs w:val="24"/>
        </w:rPr>
        <w:t>mean±SD</w:t>
      </w:r>
      <w:proofErr w:type="spellEnd"/>
      <w:r w:rsidRPr="00F41D2C">
        <w:rPr>
          <w:sz w:val="24"/>
          <w:szCs w:val="24"/>
        </w:rPr>
        <w:t>, 5±2 segments, range 3 to 8) were incorporated into a stable-isotope mixing model using R</w:t>
      </w:r>
      <w:r w:rsidRPr="00F41D2C">
        <w:rPr>
          <w:i/>
          <w:sz w:val="24"/>
          <w:szCs w:val="24"/>
        </w:rPr>
        <w:t xml:space="preserve"> </w:t>
      </w:r>
      <w:r w:rsidRPr="00F41D2C">
        <w:rPr>
          <w:sz w:val="24"/>
          <w:szCs w:val="24"/>
        </w:rPr>
        <w:t xml:space="preserve">package SIAR along with bulk isotope values from five prey groups (values from </w:t>
      </w:r>
      <w:r w:rsidRPr="00F41D2C">
        <w:rPr>
          <w:sz w:val="24"/>
          <w:szCs w:val="24"/>
        </w:rPr>
        <w:fldChar w:fldCharType="begin"/>
      </w:r>
      <w:r w:rsidR="00F41D2C" w:rsidRPr="00F41D2C">
        <w:rPr>
          <w:sz w:val="24"/>
          <w:szCs w:val="24"/>
        </w:rPr>
        <w:instrText xml:space="preserve"> ADDIN EN.CITE &lt;EndNote&gt;&lt;Cite&gt;&lt;Author&gt;Goetz&lt;/Author&gt;&lt;Year&gt;2017&lt;/Year&gt;&lt;RecNum&gt;1614&lt;/RecNum&gt;&lt;DisplayText&gt;(2)&lt;/DisplayText&gt;&lt;record&gt;&lt;rec-number&gt;1614&lt;/rec-number&gt;&lt;foreign-keys&gt;&lt;key app="EN" db-id="w2095pae4vfdxfe5e9fx2f2za5ft20axwfzz" timestamp="0"&gt;1614&lt;/key&gt;&lt;/foreign-keys&gt;&lt;ref-type name="Journal Article"&gt;17&lt;/ref-type&gt;&lt;contributors&gt;&lt;authors&gt;&lt;author&gt;Goetz, Kimberly T&lt;/author&gt;&lt;author&gt;Burns, Jennifer M&lt;/author&gt;&lt;author&gt;Hückstӓdt, Luis A&lt;/author&gt;&lt;author&gt;Shero, Michelle R&lt;/author&gt;&lt;author&gt;Costa, Daniel P&lt;/author&gt;&lt;/authors&gt;&lt;/contributors&gt;&lt;titles&gt;&lt;title&gt;Temporal variation in isotopic composition and diet of Weddell seals in the western Ross Sea&lt;/title&gt;&lt;secondary-title&gt;Deep Sea Research II&lt;/secondary-title&gt;&lt;/titles&gt;&lt;pages&gt;36-44&lt;/pages&gt;&lt;volume&gt;140&lt;/volume&gt;&lt;dates&gt;&lt;year&gt;2017&lt;/year&gt;&lt;/dates&gt;&lt;isbn&gt;0967-0645&lt;/isbn&gt;&lt;urls&gt;&lt;/urls&gt;&lt;/record&gt;&lt;/Cite&gt;&lt;/EndNote&gt;</w:instrText>
      </w:r>
      <w:r w:rsidRPr="00F41D2C">
        <w:rPr>
          <w:sz w:val="24"/>
          <w:szCs w:val="24"/>
        </w:rPr>
        <w:fldChar w:fldCharType="separate"/>
      </w:r>
      <w:r w:rsidR="00F41D2C" w:rsidRPr="00F41D2C">
        <w:rPr>
          <w:noProof/>
          <w:sz w:val="24"/>
          <w:szCs w:val="24"/>
        </w:rPr>
        <w:t>(2)</w:t>
      </w:r>
      <w:r w:rsidRPr="00F41D2C">
        <w:rPr>
          <w:sz w:val="24"/>
          <w:szCs w:val="24"/>
        </w:rPr>
        <w:fldChar w:fldCharType="end"/>
      </w:r>
      <w:r w:rsidRPr="00F41D2C">
        <w:rPr>
          <w:sz w:val="24"/>
          <w:szCs w:val="24"/>
        </w:rPr>
        <w:t xml:space="preserve">, Table S1), the </w:t>
      </w:r>
      <w:r w:rsidRPr="00F41D2C">
        <w:rPr>
          <w:rFonts w:eastAsia="Arial Unicode MS"/>
          <w:sz w:val="24"/>
          <w:szCs w:val="24"/>
        </w:rPr>
        <w:t>∆</w:t>
      </w:r>
      <w:r w:rsidRPr="00F41D2C">
        <w:rPr>
          <w:sz w:val="24"/>
          <w:szCs w:val="24"/>
          <w:vertAlign w:val="superscript"/>
        </w:rPr>
        <w:t>13</w:t>
      </w:r>
      <w:r w:rsidRPr="00F41D2C">
        <w:rPr>
          <w:sz w:val="24"/>
          <w:szCs w:val="24"/>
        </w:rPr>
        <w:t xml:space="preserve">C trophic enrichment factor (TEF) used in </w:t>
      </w:r>
      <w:r w:rsidRPr="00F41D2C">
        <w:rPr>
          <w:sz w:val="24"/>
          <w:szCs w:val="24"/>
        </w:rPr>
        <w:fldChar w:fldCharType="begin"/>
      </w:r>
      <w:r w:rsidR="00F41D2C" w:rsidRPr="00F41D2C">
        <w:rPr>
          <w:sz w:val="24"/>
          <w:szCs w:val="24"/>
        </w:rPr>
        <w:instrText xml:space="preserve"> ADDIN EN.CITE &lt;EndNote&gt;&lt;Cite AuthorYear="1"&gt;&lt;Author&gt;Goetz&lt;/Author&gt;&lt;Year&gt;2017&lt;/Year&gt;&lt;RecNum&gt;1614&lt;/RecNum&gt;&lt;DisplayText&gt;Goetz, Burns (2)&lt;/DisplayText&gt;&lt;record&gt;&lt;rec-number&gt;1614&lt;/rec-number&gt;&lt;foreign-keys&gt;&lt;key app="EN" db-id="w2095pae4vfdxfe5e9fx2f2za5ft20axwfzz" timestamp="0"&gt;1614&lt;/key&gt;&lt;/foreign-keys&gt;&lt;ref-type name="Journal Article"&gt;17&lt;/ref-type&gt;&lt;contributors&gt;&lt;authors&gt;&lt;author&gt;Goetz, Kimberly T&lt;/author&gt;&lt;author&gt;Burns, Jennifer M&lt;/author&gt;&lt;author&gt;Hückstӓdt, Luis A&lt;/author&gt;&lt;author&gt;Shero, Michelle R&lt;/author&gt;&lt;author&gt;Costa, Daniel P&lt;/author&gt;&lt;/authors&gt;&lt;/contributors&gt;&lt;titles&gt;&lt;title&gt;Temporal variation in isotopic composition and diet of Weddell seals in the western Ross Sea&lt;/title&gt;&lt;secondary-title&gt;Deep Sea Research II&lt;/secondary-title&gt;&lt;/titles&gt;&lt;pages&gt;36-44&lt;/pages&gt;&lt;volume&gt;140&lt;/volume&gt;&lt;dates&gt;&lt;year&gt;2017&lt;/year&gt;&lt;/dates&gt;&lt;isbn&gt;0967-0645&lt;/isbn&gt;&lt;urls&gt;&lt;/urls&gt;&lt;/record&gt;&lt;/Cite&gt;&lt;/EndNote&gt;</w:instrText>
      </w:r>
      <w:r w:rsidRPr="00F41D2C">
        <w:rPr>
          <w:sz w:val="24"/>
          <w:szCs w:val="24"/>
        </w:rPr>
        <w:fldChar w:fldCharType="separate"/>
      </w:r>
      <w:r w:rsidR="00F41D2C" w:rsidRPr="00F41D2C">
        <w:rPr>
          <w:noProof/>
          <w:sz w:val="24"/>
          <w:szCs w:val="24"/>
        </w:rPr>
        <w:t>Goetz, Burns (2)</w:t>
      </w:r>
      <w:r w:rsidRPr="00F41D2C">
        <w:rPr>
          <w:sz w:val="24"/>
          <w:szCs w:val="24"/>
        </w:rPr>
        <w:fldChar w:fldCharType="end"/>
      </w:r>
      <w:r w:rsidRPr="00F41D2C">
        <w:rPr>
          <w:sz w:val="24"/>
          <w:szCs w:val="24"/>
        </w:rPr>
        <w:t xml:space="preserve"> (</w:t>
      </w:r>
      <w:proofErr w:type="spellStart"/>
      <w:r w:rsidRPr="00F41D2C">
        <w:rPr>
          <w:sz w:val="24"/>
          <w:szCs w:val="24"/>
        </w:rPr>
        <w:t>mean±SD</w:t>
      </w:r>
      <w:proofErr w:type="spellEnd"/>
      <w:r w:rsidRPr="00F41D2C">
        <w:rPr>
          <w:sz w:val="24"/>
          <w:szCs w:val="24"/>
        </w:rPr>
        <w:t xml:space="preserve"> 0.8±0.12</w:t>
      </w:r>
      <w:r w:rsidRPr="00F41D2C">
        <w:rPr>
          <w:sz w:val="24"/>
          <w:szCs w:val="24"/>
          <w:highlight w:val="white"/>
        </w:rPr>
        <w:t>‰</w:t>
      </w:r>
      <w:r w:rsidRPr="00F41D2C">
        <w:rPr>
          <w:sz w:val="24"/>
          <w:szCs w:val="24"/>
        </w:rPr>
        <w:t xml:space="preserve">), and the </w:t>
      </w:r>
      <w:r w:rsidRPr="00F41D2C">
        <w:rPr>
          <w:rFonts w:eastAsia="Arial Unicode MS"/>
          <w:sz w:val="24"/>
          <w:szCs w:val="24"/>
        </w:rPr>
        <w:t>∆</w:t>
      </w:r>
      <w:r w:rsidRPr="00F41D2C">
        <w:rPr>
          <w:sz w:val="24"/>
          <w:szCs w:val="24"/>
          <w:vertAlign w:val="superscript"/>
        </w:rPr>
        <w:t>15</w:t>
      </w:r>
      <w:r w:rsidRPr="00F41D2C">
        <w:rPr>
          <w:sz w:val="24"/>
          <w:szCs w:val="24"/>
        </w:rPr>
        <w:t xml:space="preserve">N TEF from </w:t>
      </w:r>
      <w:r w:rsidRPr="00F41D2C">
        <w:rPr>
          <w:sz w:val="24"/>
          <w:szCs w:val="24"/>
        </w:rPr>
        <w:fldChar w:fldCharType="begin"/>
      </w:r>
      <w:r w:rsidR="00F41D2C" w:rsidRPr="00F41D2C">
        <w:rPr>
          <w:sz w:val="24"/>
          <w:szCs w:val="24"/>
        </w:rPr>
        <w:instrText xml:space="preserve"> ADDIN EN.CITE &lt;EndNote&gt;&lt;Cite AuthorYear="1"&gt;&lt;Author&gt;Beltran&lt;/Author&gt;&lt;Year&gt;2016&lt;/Year&gt;&lt;RecNum&gt;1617&lt;/RecNum&gt;&lt;DisplayText&gt;Beltran, Peterson (3)&lt;/DisplayText&gt;&lt;record&gt;&lt;rec-number&gt;1617&lt;/rec-number&gt;&lt;foreign-keys&gt;&lt;key app="EN" db-id="w2095pae4vfdxfe5e9fx2f2za5ft20axwfzz" timestamp="0"&gt;1617&lt;/key&gt;&lt;/foreign-keys&gt;&lt;ref-type name="Journal Article"&gt;17&lt;/ref-type&gt;&lt;contributors&gt;&lt;authors&gt;&lt;author&gt;Beltran, Roxanne S&lt;/author&gt;&lt;author&gt;Peterson, Sarah H&lt;/author&gt;&lt;author&gt;McHuron, Elizabeth A&lt;/author&gt;&lt;author&gt;Reichmuth, Colleen&lt;/author&gt;&lt;author&gt;Hückstädt, Luis A&lt;/author&gt;&lt;author&gt;Costa, Daniel P&lt;/author&gt;&lt;/authors&gt;&lt;/contributors&gt;&lt;titles&gt;&lt;title&gt;Seals and sea lions are what they eat, plus what? Determination of trophic discrimination factors for seven pinniped species&lt;/title&gt;&lt;secondary-title&gt;Rapid Communications in Mass Spectrometry&lt;/secondary-title&gt;&lt;/titles&gt;&lt;pages&gt;1115-1122&lt;/pages&gt;&lt;volume&gt;30&lt;/volume&gt;&lt;number&gt;9&lt;/number&gt;&lt;dates&gt;&lt;year&gt;2016&lt;/year&gt;&lt;/dates&gt;&lt;isbn&gt;1097-0231&lt;/isbn&gt;&lt;urls&gt;&lt;/urls&gt;&lt;/record&gt;&lt;/Cite&gt;&lt;/EndNote&gt;</w:instrText>
      </w:r>
      <w:r w:rsidRPr="00F41D2C">
        <w:rPr>
          <w:sz w:val="24"/>
          <w:szCs w:val="24"/>
        </w:rPr>
        <w:fldChar w:fldCharType="separate"/>
      </w:r>
      <w:r w:rsidR="00F41D2C" w:rsidRPr="00F41D2C">
        <w:rPr>
          <w:noProof/>
          <w:sz w:val="24"/>
          <w:szCs w:val="24"/>
        </w:rPr>
        <w:t>Beltran, Peterson (3)</w:t>
      </w:r>
      <w:r w:rsidRPr="00F41D2C">
        <w:rPr>
          <w:sz w:val="24"/>
          <w:szCs w:val="24"/>
        </w:rPr>
        <w:fldChar w:fldCharType="end"/>
      </w:r>
      <w:r w:rsidRPr="00F41D2C">
        <w:rPr>
          <w:sz w:val="24"/>
          <w:szCs w:val="24"/>
        </w:rPr>
        <w:t xml:space="preserve"> (</w:t>
      </w:r>
      <w:proofErr w:type="spellStart"/>
      <w:r w:rsidRPr="00F41D2C">
        <w:rPr>
          <w:sz w:val="24"/>
          <w:szCs w:val="24"/>
        </w:rPr>
        <w:t>mean±SD</w:t>
      </w:r>
      <w:proofErr w:type="spellEnd"/>
      <w:r w:rsidRPr="00F41D2C">
        <w:rPr>
          <w:sz w:val="24"/>
          <w:szCs w:val="24"/>
        </w:rPr>
        <w:t xml:space="preserve"> 3.2±0.5</w:t>
      </w:r>
      <w:r w:rsidRPr="00F41D2C">
        <w:rPr>
          <w:sz w:val="24"/>
          <w:szCs w:val="24"/>
          <w:highlight w:val="white"/>
        </w:rPr>
        <w:t>‰</w:t>
      </w:r>
      <w:r w:rsidRPr="00F41D2C">
        <w:rPr>
          <w:sz w:val="24"/>
          <w:szCs w:val="24"/>
        </w:rPr>
        <w:t>).</w:t>
      </w:r>
    </w:p>
    <w:p w14:paraId="2FDBB0E4" w14:textId="77777777" w:rsidR="00DC7E36" w:rsidRPr="00F41D2C" w:rsidRDefault="00DC7E36" w:rsidP="00F41D2C">
      <w:pPr>
        <w:pStyle w:val="DissertationTable1"/>
        <w:rPr>
          <w:b/>
        </w:rPr>
      </w:pPr>
    </w:p>
    <w:p w14:paraId="1A1DD979" w14:textId="2B2890BB" w:rsidR="00DC7E36" w:rsidRPr="00F41D2C" w:rsidRDefault="00DC7E36" w:rsidP="00F41D2C">
      <w:pPr>
        <w:pStyle w:val="DissertationTable1"/>
      </w:pPr>
      <w:r w:rsidRPr="00F41D2C">
        <w:t xml:space="preserve">To estimate the dates during which each whisker segment was grown, we first calculated a growth rate for each whisker using the asymptotic growth equations appropriate for phocid seals </w:t>
      </w:r>
      <w:r w:rsidRPr="00F41D2C">
        <w:fldChar w:fldCharType="begin"/>
      </w:r>
      <w:r w:rsidR="003D2920" w:rsidRPr="00F41D2C">
        <w:instrText xml:space="preserve"> ADDIN EN.CITE &lt;EndNote&gt;&lt;Cite&gt;&lt;Author&gt;Beltran&lt;/Author&gt;&lt;Year&gt;2015&lt;/Year&gt;&lt;RecNum&gt;1126&lt;/RecNum&gt;&lt;DisplayText&gt;(1)&lt;/DisplayText&gt;&lt;record&gt;&lt;rec-number&gt;1126&lt;/rec-number&gt;&lt;foreign-keys&gt;&lt;key app="EN" db-id="w2095pae4vfdxfe5e9fx2f2za5ft20axwfzz" timestamp="0"&gt;1126&lt;/key&gt;&lt;/foreign-keys&gt;&lt;ref-type name="Journal Article"&gt;17&lt;/ref-type&gt;&lt;contributors&gt;&lt;authors&gt;&lt;author&gt;Beltran, Roxanne S&lt;/author&gt;&lt;author&gt;Sadou, M&lt;/author&gt;&lt;author&gt;Condit, R&lt;/author&gt;&lt;author&gt;Peterson, S&lt;/author&gt;&lt;author&gt;Reichmuth, C&lt;/author&gt;&lt;author&gt;Costa, DP&lt;/author&gt;&lt;/authors&gt;&lt;/contributors&gt;&lt;titles&gt;&lt;title&gt;Fine-scale whisker growth measurements can reveal temporal foraging patterns from stable isotope signatures&lt;/title&gt;&lt;secondary-title&gt;Marine Ecology Progress Series&lt;/secondary-title&gt;&lt;/titles&gt;&lt;periodical&gt;&lt;full-title&gt;Marine Ecology Progress Series&lt;/full-title&gt;&lt;/periodical&gt;&lt;pages&gt;243-253&lt;/pages&gt;&lt;volume&gt;523&lt;/volume&gt;&lt;dates&gt;&lt;year&gt;2015&lt;/year&gt;&lt;pub-dates&gt;&lt;date&gt;March 16, 2015&lt;/date&gt;&lt;/pub-dates&gt;&lt;/dates&gt;&lt;urls&gt;&lt;related-urls&gt;&lt;url&gt;http://www.int-res.com/abstracts/meps/v523/p243-253/&lt;/url&gt;&lt;/related-urls&gt;&lt;/urls&gt;&lt;electronic-resource-num&gt;10.3354/meps11176&lt;/electronic-resource-num&gt;&lt;/record&gt;&lt;/Cite&gt;&lt;/EndNote&gt;</w:instrText>
      </w:r>
      <w:r w:rsidRPr="00F41D2C">
        <w:fldChar w:fldCharType="separate"/>
      </w:r>
      <w:r w:rsidR="003D2920" w:rsidRPr="00F41D2C">
        <w:t>(1)</w:t>
      </w:r>
      <w:r w:rsidRPr="00F41D2C">
        <w:fldChar w:fldCharType="end"/>
      </w:r>
      <w:r w:rsidRPr="00F41D2C">
        <w:t xml:space="preserve">. The curvature constant </w:t>
      </w:r>
      <w:r w:rsidRPr="00F41D2C">
        <w:rPr>
          <w:i/>
        </w:rPr>
        <w:t>k</w:t>
      </w:r>
      <w:r w:rsidRPr="00F41D2C">
        <w:t xml:space="preserve"> was calculated for each whisker using </w:t>
      </w:r>
      <w:r w:rsidRPr="00F41D2C">
        <w:rPr>
          <w:i/>
        </w:rPr>
        <w:t>k= -(</w:t>
      </w:r>
      <w:r w:rsidRPr="00F41D2C">
        <w:t>log</w:t>
      </w:r>
      <w:r w:rsidRPr="00F41D2C">
        <w:rPr>
          <w:i/>
        </w:rPr>
        <w:t>(1-(L/</w:t>
      </w:r>
      <w:r w:rsidRPr="00F41D2C">
        <w:rPr>
          <w:rFonts w:eastAsia="Times New Roman"/>
          <w:b/>
          <w:i/>
        </w:rPr>
        <w:t xml:space="preserve"> </w:t>
      </w:r>
      <w:r w:rsidRPr="00F41D2C">
        <w:rPr>
          <w:rFonts w:eastAsia="Times New Roman"/>
          <w:i/>
        </w:rPr>
        <w:t>L</w:t>
      </w:r>
      <w:r w:rsidRPr="00F41D2C">
        <w:rPr>
          <w:i/>
        </w:rPr>
        <w:t xml:space="preserve">∞))/T) </w:t>
      </w:r>
      <w:r w:rsidRPr="00F41D2C">
        <w:t xml:space="preserve">where </w:t>
      </w:r>
      <w:r w:rsidRPr="00F41D2C">
        <w:rPr>
          <w:i/>
        </w:rPr>
        <w:t>L</w:t>
      </w:r>
      <w:r w:rsidRPr="00F41D2C">
        <w:t xml:space="preserve"> is the total length of the whisker upon recovery (cm), </w:t>
      </w:r>
      <w:r w:rsidRPr="00F41D2C">
        <w:rPr>
          <w:i/>
        </w:rPr>
        <w:t>T</w:t>
      </w:r>
      <w:r w:rsidRPr="00F41D2C">
        <w:t xml:space="preserve"> is the duration of whisker growth (i.e. number of days between the first handling and recapture), and </w:t>
      </w:r>
      <w:r w:rsidRPr="00F41D2C">
        <w:rPr>
          <w:rFonts w:eastAsia="Times New Roman"/>
          <w:i/>
        </w:rPr>
        <w:t>L</w:t>
      </w:r>
      <w:r w:rsidRPr="00F41D2C">
        <w:rPr>
          <w:i/>
        </w:rPr>
        <w:t>∞</w:t>
      </w:r>
      <w:r w:rsidRPr="00F41D2C">
        <w:t xml:space="preserve"> is the asymptotic length of the whisker (cm), which was assumed to be the length of the first whisker from that follicle when it was plucked during the first handling in November/December. The ages of segments along each whisker were then calculated using </w:t>
      </w:r>
      <w:r w:rsidRPr="00F41D2C">
        <w:rPr>
          <w:i/>
        </w:rPr>
        <w:t>Age=(-1/k)*</w:t>
      </w:r>
      <w:r w:rsidRPr="00F41D2C">
        <w:t>log</w:t>
      </w:r>
      <w:r w:rsidRPr="00F41D2C">
        <w:rPr>
          <w:i/>
        </w:rPr>
        <w:t>(1-Distance/</w:t>
      </w:r>
      <w:r w:rsidRPr="00F41D2C">
        <w:rPr>
          <w:rFonts w:eastAsia="Times New Roman"/>
          <w:i/>
        </w:rPr>
        <w:t xml:space="preserve"> L</w:t>
      </w:r>
      <w:r w:rsidRPr="00F41D2C">
        <w:rPr>
          <w:i/>
        </w:rPr>
        <w:t xml:space="preserve">∞) </w:t>
      </w:r>
      <w:r w:rsidRPr="00F41D2C">
        <w:t xml:space="preserve">where </w:t>
      </w:r>
      <w:r w:rsidRPr="00F41D2C">
        <w:rPr>
          <w:i/>
        </w:rPr>
        <w:t>k</w:t>
      </w:r>
      <w:r w:rsidRPr="00F41D2C">
        <w:t xml:space="preserve"> is the previously determined curvature constant, </w:t>
      </w:r>
      <w:r w:rsidRPr="00F41D2C">
        <w:rPr>
          <w:i/>
        </w:rPr>
        <w:t>Distance</w:t>
      </w:r>
      <w:r w:rsidRPr="00F41D2C">
        <w:t xml:space="preserve"> is the distance of each regrown whisker segment from the tip of the whisker (cm), and </w:t>
      </w:r>
      <w:r w:rsidRPr="00F41D2C">
        <w:rPr>
          <w:rFonts w:eastAsia="Times New Roman"/>
          <w:i/>
        </w:rPr>
        <w:t>L</w:t>
      </w:r>
      <w:r w:rsidRPr="00F41D2C">
        <w:rPr>
          <w:i/>
        </w:rPr>
        <w:t>∞</w:t>
      </w:r>
      <w:r w:rsidRPr="00F41D2C">
        <w:t xml:space="preserve"> is the previously determined asymptotic length of each whisker (cm). The age of each whisker subsample was thus the number of days since the whisker had started growing (i.e., initiation date). The tip of the whisker (i.e., oldest growth) was treated as day zero, and the base of the whisker (i.e., newest growth) represented the maximum age of growth that also corresponded to the number of days between the first handling and recapture. The date of starting growth for each whisker was calculated by subtracting the age of the subsample closest to the base from the date of the recovery procedure. Finally, the starting date of growth for each whisker segment was calculated as the difference between the starting growth date of each whisker and the age of each subsample.</w:t>
      </w:r>
    </w:p>
    <w:p w14:paraId="062CA4BE" w14:textId="77777777" w:rsidR="00DC7E36" w:rsidRPr="00F41D2C" w:rsidRDefault="00DC7E36" w:rsidP="00F41D2C">
      <w:pPr>
        <w:pStyle w:val="DissertationTable1"/>
      </w:pPr>
    </w:p>
    <w:p w14:paraId="79B8BFD2" w14:textId="49714AF5" w:rsidR="00DC7E36" w:rsidRPr="00F41D2C" w:rsidRDefault="00DC7E36" w:rsidP="00F41D2C">
      <w:pPr>
        <w:pStyle w:val="DissertationTable1"/>
      </w:pPr>
      <w:r w:rsidRPr="00F41D2C">
        <w:rPr>
          <w:b/>
        </w:rPr>
        <w:br w:type="column"/>
      </w:r>
      <w:r w:rsidRPr="00F41D2C">
        <w:rPr>
          <w:b/>
        </w:rPr>
        <w:lastRenderedPageBreak/>
        <w:t>Table S1.</w:t>
      </w:r>
      <w:r w:rsidRPr="00F41D2C">
        <w:t xml:space="preserve"> Group of Weddell seal prey species from </w:t>
      </w:r>
      <w:r w:rsidRPr="00F41D2C">
        <w:fldChar w:fldCharType="begin"/>
      </w:r>
      <w:r w:rsidR="00F41D2C" w:rsidRPr="00F41D2C">
        <w:instrText xml:space="preserve"> ADDIN EN.CITE &lt;EndNote&gt;&lt;Cite&gt;&lt;Author&gt;Goetz&lt;/Author&gt;&lt;Year&gt;2017&lt;/Year&gt;&lt;RecNum&gt;1614&lt;/RecNum&gt;&lt;DisplayText&gt;(2)&lt;/DisplayText&gt;&lt;record&gt;&lt;rec-number&gt;1614&lt;/rec-number&gt;&lt;foreign-keys&gt;&lt;key app="EN" db-id="w2095pae4vfdxfe5e9fx2f2za5ft20axwfzz" timestamp="0"&gt;1614&lt;/key&gt;&lt;/foreign-keys&gt;&lt;ref-type name="Journal Article"&gt;17&lt;/ref-type&gt;&lt;contributors&gt;&lt;authors&gt;&lt;author&gt;Goetz, Kimberly T&lt;/author&gt;&lt;author&gt;Burns, Jennifer M&lt;/author&gt;&lt;author&gt;Hückstӓdt, Luis A&lt;/author&gt;&lt;author&gt;Shero, Michelle R&lt;/author&gt;&lt;author&gt;Costa, Daniel P&lt;/author&gt;&lt;/authors&gt;&lt;/contributors&gt;&lt;titles&gt;&lt;title&gt;Temporal variation in isotopic composition and diet of Weddell seals in the western Ross Sea&lt;/title&gt;&lt;secondary-title&gt;Deep Sea Research II&lt;/secondary-title&gt;&lt;/titles&gt;&lt;pages&gt;36-44&lt;/pages&gt;&lt;volume&gt;140&lt;/volume&gt;&lt;dates&gt;&lt;year&gt;2017&lt;/year&gt;&lt;/dates&gt;&lt;isbn&gt;0967-0645&lt;/isbn&gt;&lt;urls&gt;&lt;/urls&gt;&lt;/record&gt;&lt;/Cite&gt;&lt;/EndNote&gt;</w:instrText>
      </w:r>
      <w:r w:rsidRPr="00F41D2C">
        <w:fldChar w:fldCharType="separate"/>
      </w:r>
      <w:r w:rsidR="00F41D2C" w:rsidRPr="00F41D2C">
        <w:t>(2)</w:t>
      </w:r>
      <w:r w:rsidRPr="00F41D2C">
        <w:fldChar w:fldCharType="end"/>
      </w:r>
      <w:r w:rsidRPr="00F41D2C">
        <w:t xml:space="preserve"> along with the diet contribution estimated from a SIAR mixing model. Due to statistically indistinguishable isotopic values, prey species were combined into prey groups before using mixing models.</w:t>
      </w:r>
    </w:p>
    <w:p w14:paraId="3FA3E156" w14:textId="77777777" w:rsidR="00DC7E36" w:rsidRPr="00F41D2C" w:rsidRDefault="00DC7E36" w:rsidP="00F41D2C">
      <w:pPr>
        <w:pStyle w:val="DissertationTable1"/>
      </w:pPr>
    </w:p>
    <w:tbl>
      <w:tblPr>
        <w:tblW w:w="857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0"/>
        <w:gridCol w:w="4050"/>
      </w:tblGrid>
      <w:tr w:rsidR="00DC7E36" w:rsidRPr="00F41D2C" w14:paraId="60ABEAB9" w14:textId="77777777" w:rsidTr="003A213E">
        <w:trPr>
          <w:trHeight w:val="290"/>
        </w:trPr>
        <w:tc>
          <w:tcPr>
            <w:tcW w:w="1555" w:type="dxa"/>
            <w:vAlign w:val="center"/>
          </w:tcPr>
          <w:p w14:paraId="0D087870" w14:textId="77777777" w:rsidR="00DC7E36" w:rsidRPr="00F41D2C" w:rsidRDefault="00DC7E36" w:rsidP="00F41D2C">
            <w:pPr>
              <w:autoSpaceDE w:val="0"/>
              <w:autoSpaceDN w:val="0"/>
              <w:adjustRightInd w:val="0"/>
              <w:jc w:val="center"/>
              <w:rPr>
                <w:b/>
                <w:sz w:val="24"/>
                <w:szCs w:val="24"/>
              </w:rPr>
            </w:pPr>
            <w:r w:rsidRPr="00F41D2C">
              <w:rPr>
                <w:b/>
                <w:sz w:val="24"/>
                <w:szCs w:val="24"/>
              </w:rPr>
              <w:t>Prey Group</w:t>
            </w:r>
          </w:p>
        </w:tc>
        <w:tc>
          <w:tcPr>
            <w:tcW w:w="2970" w:type="dxa"/>
            <w:vAlign w:val="center"/>
          </w:tcPr>
          <w:p w14:paraId="19010C26" w14:textId="77777777" w:rsidR="00DC7E36" w:rsidRPr="00F41D2C" w:rsidRDefault="00DC7E36" w:rsidP="00F41D2C">
            <w:pPr>
              <w:autoSpaceDE w:val="0"/>
              <w:autoSpaceDN w:val="0"/>
              <w:adjustRightInd w:val="0"/>
              <w:jc w:val="center"/>
              <w:rPr>
                <w:b/>
                <w:sz w:val="24"/>
                <w:szCs w:val="24"/>
              </w:rPr>
            </w:pPr>
            <w:r w:rsidRPr="00F41D2C">
              <w:rPr>
                <w:b/>
                <w:sz w:val="24"/>
                <w:szCs w:val="24"/>
              </w:rPr>
              <w:t>Prey Species</w:t>
            </w:r>
          </w:p>
        </w:tc>
        <w:tc>
          <w:tcPr>
            <w:tcW w:w="4050" w:type="dxa"/>
            <w:vAlign w:val="center"/>
          </w:tcPr>
          <w:p w14:paraId="583BCEC4" w14:textId="77777777" w:rsidR="00DC7E36" w:rsidRPr="00F41D2C" w:rsidRDefault="00DC7E36" w:rsidP="00F41D2C">
            <w:pPr>
              <w:autoSpaceDE w:val="0"/>
              <w:autoSpaceDN w:val="0"/>
              <w:adjustRightInd w:val="0"/>
              <w:jc w:val="center"/>
              <w:rPr>
                <w:b/>
                <w:sz w:val="24"/>
                <w:szCs w:val="24"/>
              </w:rPr>
            </w:pPr>
            <w:r w:rsidRPr="00F41D2C">
              <w:rPr>
                <w:b/>
                <w:sz w:val="24"/>
                <w:szCs w:val="24"/>
              </w:rPr>
              <w:t>Diet Proportion</w:t>
            </w:r>
          </w:p>
          <w:p w14:paraId="0978218E" w14:textId="77777777" w:rsidR="00DC7E36" w:rsidRPr="00F41D2C" w:rsidRDefault="00DC7E36" w:rsidP="00F41D2C">
            <w:pPr>
              <w:autoSpaceDE w:val="0"/>
              <w:autoSpaceDN w:val="0"/>
              <w:adjustRightInd w:val="0"/>
              <w:jc w:val="center"/>
              <w:rPr>
                <w:b/>
                <w:sz w:val="24"/>
                <w:szCs w:val="24"/>
              </w:rPr>
            </w:pPr>
            <w:r w:rsidRPr="00F41D2C">
              <w:rPr>
                <w:b/>
                <w:sz w:val="24"/>
                <w:szCs w:val="24"/>
              </w:rPr>
              <w:t xml:space="preserve">mode (95% confidence intervals) </w:t>
            </w:r>
          </w:p>
        </w:tc>
      </w:tr>
      <w:tr w:rsidR="00DC7E36" w:rsidRPr="00F41D2C" w14:paraId="2BB28415" w14:textId="77777777" w:rsidTr="003A213E">
        <w:trPr>
          <w:trHeight w:val="290"/>
        </w:trPr>
        <w:tc>
          <w:tcPr>
            <w:tcW w:w="1555" w:type="dxa"/>
            <w:vAlign w:val="center"/>
          </w:tcPr>
          <w:p w14:paraId="3E58A681" w14:textId="77777777" w:rsidR="00DC7E36" w:rsidRPr="00F41D2C" w:rsidRDefault="00DC7E36" w:rsidP="00F41D2C">
            <w:pPr>
              <w:autoSpaceDE w:val="0"/>
              <w:autoSpaceDN w:val="0"/>
              <w:adjustRightInd w:val="0"/>
              <w:jc w:val="center"/>
              <w:rPr>
                <w:sz w:val="24"/>
                <w:szCs w:val="24"/>
              </w:rPr>
            </w:pPr>
            <w:r w:rsidRPr="00F41D2C">
              <w:rPr>
                <w:sz w:val="24"/>
                <w:szCs w:val="24"/>
              </w:rPr>
              <w:t>a</w:t>
            </w:r>
          </w:p>
        </w:tc>
        <w:tc>
          <w:tcPr>
            <w:tcW w:w="2970" w:type="dxa"/>
            <w:vAlign w:val="center"/>
          </w:tcPr>
          <w:p w14:paraId="69F880E5" w14:textId="77777777" w:rsidR="00DC7E36" w:rsidRPr="00F41D2C" w:rsidRDefault="00DC7E36" w:rsidP="00F41D2C">
            <w:pPr>
              <w:jc w:val="center"/>
              <w:rPr>
                <w:i/>
                <w:sz w:val="24"/>
                <w:szCs w:val="24"/>
              </w:rPr>
            </w:pPr>
            <w:proofErr w:type="spellStart"/>
            <w:r w:rsidRPr="00F41D2C">
              <w:rPr>
                <w:i/>
                <w:sz w:val="24"/>
                <w:szCs w:val="24"/>
              </w:rPr>
              <w:t>Dissostichus</w:t>
            </w:r>
            <w:proofErr w:type="spellEnd"/>
            <w:r w:rsidRPr="00F41D2C">
              <w:rPr>
                <w:i/>
                <w:sz w:val="24"/>
                <w:szCs w:val="24"/>
              </w:rPr>
              <w:t xml:space="preserve"> </w:t>
            </w:r>
            <w:proofErr w:type="spellStart"/>
            <w:r w:rsidRPr="00F41D2C">
              <w:rPr>
                <w:i/>
                <w:sz w:val="24"/>
                <w:szCs w:val="24"/>
              </w:rPr>
              <w:t>mawsoni</w:t>
            </w:r>
            <w:proofErr w:type="spellEnd"/>
          </w:p>
        </w:tc>
        <w:tc>
          <w:tcPr>
            <w:tcW w:w="4050" w:type="dxa"/>
            <w:vAlign w:val="center"/>
          </w:tcPr>
          <w:p w14:paraId="7D75CFD1" w14:textId="77777777" w:rsidR="00DC7E36" w:rsidRPr="00F41D2C" w:rsidRDefault="00DC7E36" w:rsidP="00F41D2C">
            <w:pPr>
              <w:autoSpaceDE w:val="0"/>
              <w:autoSpaceDN w:val="0"/>
              <w:adjustRightInd w:val="0"/>
              <w:jc w:val="center"/>
              <w:rPr>
                <w:sz w:val="24"/>
                <w:szCs w:val="24"/>
              </w:rPr>
            </w:pPr>
            <w:r w:rsidRPr="00F41D2C">
              <w:rPr>
                <w:sz w:val="24"/>
                <w:szCs w:val="24"/>
              </w:rPr>
              <w:t>0.01 (0.00-0.10)</w:t>
            </w:r>
          </w:p>
        </w:tc>
      </w:tr>
      <w:tr w:rsidR="00DC7E36" w:rsidRPr="00F41D2C" w14:paraId="13C3CEAE" w14:textId="77777777" w:rsidTr="003A213E">
        <w:trPr>
          <w:trHeight w:val="290"/>
        </w:trPr>
        <w:tc>
          <w:tcPr>
            <w:tcW w:w="1555" w:type="dxa"/>
            <w:vAlign w:val="center"/>
          </w:tcPr>
          <w:p w14:paraId="7A81D68B" w14:textId="77777777" w:rsidR="00DC7E36" w:rsidRPr="00F41D2C" w:rsidRDefault="00DC7E36" w:rsidP="00F41D2C">
            <w:pPr>
              <w:autoSpaceDE w:val="0"/>
              <w:autoSpaceDN w:val="0"/>
              <w:adjustRightInd w:val="0"/>
              <w:jc w:val="center"/>
              <w:rPr>
                <w:sz w:val="24"/>
                <w:szCs w:val="24"/>
              </w:rPr>
            </w:pPr>
            <w:r w:rsidRPr="00F41D2C">
              <w:rPr>
                <w:sz w:val="24"/>
                <w:szCs w:val="24"/>
              </w:rPr>
              <w:t>b</w:t>
            </w:r>
          </w:p>
        </w:tc>
        <w:tc>
          <w:tcPr>
            <w:tcW w:w="2970" w:type="dxa"/>
            <w:vAlign w:val="center"/>
          </w:tcPr>
          <w:p w14:paraId="6210862F" w14:textId="77777777" w:rsidR="00DC7E36" w:rsidRPr="00F41D2C" w:rsidRDefault="00DC7E36" w:rsidP="00F41D2C">
            <w:pPr>
              <w:jc w:val="center"/>
              <w:rPr>
                <w:i/>
                <w:sz w:val="24"/>
                <w:szCs w:val="24"/>
              </w:rPr>
            </w:pPr>
            <w:proofErr w:type="spellStart"/>
            <w:r w:rsidRPr="00F41D2C">
              <w:rPr>
                <w:i/>
                <w:sz w:val="24"/>
                <w:szCs w:val="24"/>
              </w:rPr>
              <w:t>Trematomus</w:t>
            </w:r>
            <w:proofErr w:type="spellEnd"/>
            <w:r w:rsidRPr="00F41D2C">
              <w:rPr>
                <w:i/>
                <w:sz w:val="24"/>
                <w:szCs w:val="24"/>
              </w:rPr>
              <w:t xml:space="preserve"> </w:t>
            </w:r>
            <w:proofErr w:type="spellStart"/>
            <w:r w:rsidRPr="00F41D2C">
              <w:rPr>
                <w:i/>
                <w:sz w:val="24"/>
                <w:szCs w:val="24"/>
              </w:rPr>
              <w:t>hansoni</w:t>
            </w:r>
            <w:proofErr w:type="spellEnd"/>
          </w:p>
        </w:tc>
        <w:tc>
          <w:tcPr>
            <w:tcW w:w="4050" w:type="dxa"/>
            <w:vAlign w:val="center"/>
          </w:tcPr>
          <w:p w14:paraId="2EF8A44C" w14:textId="77777777" w:rsidR="00DC7E36" w:rsidRPr="00F41D2C" w:rsidRDefault="00DC7E36" w:rsidP="00F41D2C">
            <w:pPr>
              <w:autoSpaceDE w:val="0"/>
              <w:autoSpaceDN w:val="0"/>
              <w:adjustRightInd w:val="0"/>
              <w:jc w:val="center"/>
              <w:rPr>
                <w:sz w:val="24"/>
                <w:szCs w:val="24"/>
              </w:rPr>
            </w:pPr>
            <w:r w:rsidRPr="00F41D2C">
              <w:rPr>
                <w:sz w:val="24"/>
                <w:szCs w:val="24"/>
              </w:rPr>
              <w:t>0.01 (0.00-0.13)</w:t>
            </w:r>
          </w:p>
        </w:tc>
      </w:tr>
      <w:tr w:rsidR="00DC7E36" w:rsidRPr="00F41D2C" w14:paraId="352B2AE3" w14:textId="77777777" w:rsidTr="003A213E">
        <w:trPr>
          <w:trHeight w:val="290"/>
        </w:trPr>
        <w:tc>
          <w:tcPr>
            <w:tcW w:w="1555" w:type="dxa"/>
            <w:vAlign w:val="center"/>
          </w:tcPr>
          <w:p w14:paraId="59DC9F3C" w14:textId="77777777" w:rsidR="00DC7E36" w:rsidRPr="00F41D2C" w:rsidRDefault="00DC7E36" w:rsidP="00F41D2C">
            <w:pPr>
              <w:autoSpaceDE w:val="0"/>
              <w:autoSpaceDN w:val="0"/>
              <w:adjustRightInd w:val="0"/>
              <w:jc w:val="center"/>
              <w:rPr>
                <w:sz w:val="24"/>
                <w:szCs w:val="24"/>
              </w:rPr>
            </w:pPr>
            <w:bookmarkStart w:id="1" w:name="_Hlk521408038"/>
            <w:r w:rsidRPr="00F41D2C">
              <w:rPr>
                <w:sz w:val="24"/>
                <w:szCs w:val="24"/>
              </w:rPr>
              <w:t>c</w:t>
            </w:r>
          </w:p>
        </w:tc>
        <w:tc>
          <w:tcPr>
            <w:tcW w:w="2970" w:type="dxa"/>
            <w:vAlign w:val="center"/>
          </w:tcPr>
          <w:p w14:paraId="7FD59935" w14:textId="77777777" w:rsidR="00DC7E36" w:rsidRPr="00F41D2C" w:rsidRDefault="00DC7E36" w:rsidP="00F41D2C">
            <w:pPr>
              <w:jc w:val="center"/>
              <w:rPr>
                <w:i/>
                <w:sz w:val="24"/>
                <w:szCs w:val="24"/>
              </w:rPr>
            </w:pPr>
            <w:proofErr w:type="spellStart"/>
            <w:r w:rsidRPr="00F41D2C">
              <w:rPr>
                <w:i/>
                <w:sz w:val="24"/>
                <w:szCs w:val="24"/>
              </w:rPr>
              <w:t>Pagothenia</w:t>
            </w:r>
            <w:proofErr w:type="spellEnd"/>
            <w:r w:rsidRPr="00F41D2C">
              <w:rPr>
                <w:i/>
                <w:sz w:val="24"/>
                <w:szCs w:val="24"/>
              </w:rPr>
              <w:t xml:space="preserve"> </w:t>
            </w:r>
            <w:proofErr w:type="spellStart"/>
            <w:r w:rsidRPr="00F41D2C">
              <w:rPr>
                <w:i/>
                <w:sz w:val="24"/>
                <w:szCs w:val="24"/>
              </w:rPr>
              <w:t>borchgrevinki</w:t>
            </w:r>
            <w:proofErr w:type="spellEnd"/>
          </w:p>
          <w:p w14:paraId="40639358" w14:textId="77777777" w:rsidR="00DC7E36" w:rsidRPr="00F41D2C" w:rsidRDefault="00DC7E36" w:rsidP="00F41D2C">
            <w:pPr>
              <w:jc w:val="center"/>
              <w:rPr>
                <w:i/>
                <w:sz w:val="24"/>
                <w:szCs w:val="24"/>
              </w:rPr>
            </w:pPr>
            <w:proofErr w:type="spellStart"/>
            <w:r w:rsidRPr="00F41D2C">
              <w:rPr>
                <w:i/>
                <w:sz w:val="24"/>
                <w:szCs w:val="24"/>
              </w:rPr>
              <w:t>Trematomus</w:t>
            </w:r>
            <w:proofErr w:type="spellEnd"/>
            <w:r w:rsidRPr="00F41D2C">
              <w:rPr>
                <w:i/>
                <w:sz w:val="24"/>
                <w:szCs w:val="24"/>
              </w:rPr>
              <w:t xml:space="preserve"> </w:t>
            </w:r>
            <w:proofErr w:type="spellStart"/>
            <w:r w:rsidRPr="00F41D2C">
              <w:rPr>
                <w:i/>
                <w:sz w:val="24"/>
                <w:szCs w:val="24"/>
              </w:rPr>
              <w:t>nicolai</w:t>
            </w:r>
            <w:proofErr w:type="spellEnd"/>
          </w:p>
          <w:p w14:paraId="47187202" w14:textId="77777777" w:rsidR="00DC7E36" w:rsidRPr="00F41D2C" w:rsidRDefault="00DC7E36" w:rsidP="00F41D2C">
            <w:pPr>
              <w:jc w:val="center"/>
              <w:rPr>
                <w:i/>
                <w:sz w:val="24"/>
                <w:szCs w:val="24"/>
              </w:rPr>
            </w:pPr>
            <w:proofErr w:type="spellStart"/>
            <w:r w:rsidRPr="00F41D2C">
              <w:rPr>
                <w:i/>
                <w:sz w:val="24"/>
                <w:szCs w:val="24"/>
              </w:rPr>
              <w:t>Trematomus</w:t>
            </w:r>
            <w:proofErr w:type="spellEnd"/>
            <w:r w:rsidRPr="00F41D2C">
              <w:rPr>
                <w:i/>
                <w:sz w:val="24"/>
                <w:szCs w:val="24"/>
              </w:rPr>
              <w:t xml:space="preserve"> </w:t>
            </w:r>
            <w:proofErr w:type="spellStart"/>
            <w:r w:rsidRPr="00F41D2C">
              <w:rPr>
                <w:i/>
                <w:sz w:val="24"/>
                <w:szCs w:val="24"/>
              </w:rPr>
              <w:t>bernacchii</w:t>
            </w:r>
            <w:proofErr w:type="spellEnd"/>
          </w:p>
          <w:p w14:paraId="0FDA84CE" w14:textId="77777777" w:rsidR="00DC7E36" w:rsidRPr="00F41D2C" w:rsidRDefault="00DC7E36" w:rsidP="00F41D2C">
            <w:pPr>
              <w:jc w:val="center"/>
              <w:rPr>
                <w:i/>
                <w:sz w:val="24"/>
                <w:szCs w:val="24"/>
              </w:rPr>
            </w:pPr>
            <w:proofErr w:type="spellStart"/>
            <w:r w:rsidRPr="00F41D2C">
              <w:rPr>
                <w:i/>
                <w:sz w:val="24"/>
                <w:szCs w:val="24"/>
              </w:rPr>
              <w:t>Trematomus</w:t>
            </w:r>
            <w:proofErr w:type="spellEnd"/>
            <w:r w:rsidRPr="00F41D2C">
              <w:rPr>
                <w:i/>
                <w:sz w:val="24"/>
                <w:szCs w:val="24"/>
              </w:rPr>
              <w:t xml:space="preserve"> </w:t>
            </w:r>
            <w:proofErr w:type="spellStart"/>
            <w:r w:rsidRPr="00F41D2C">
              <w:rPr>
                <w:i/>
                <w:sz w:val="24"/>
                <w:szCs w:val="24"/>
              </w:rPr>
              <w:t>pennellii</w:t>
            </w:r>
            <w:proofErr w:type="spellEnd"/>
          </w:p>
        </w:tc>
        <w:tc>
          <w:tcPr>
            <w:tcW w:w="4050" w:type="dxa"/>
            <w:vAlign w:val="center"/>
          </w:tcPr>
          <w:p w14:paraId="4D2590A7" w14:textId="77777777" w:rsidR="00DC7E36" w:rsidRPr="00F41D2C" w:rsidRDefault="00DC7E36" w:rsidP="00F41D2C">
            <w:pPr>
              <w:autoSpaceDE w:val="0"/>
              <w:autoSpaceDN w:val="0"/>
              <w:adjustRightInd w:val="0"/>
              <w:jc w:val="center"/>
              <w:rPr>
                <w:sz w:val="24"/>
                <w:szCs w:val="24"/>
              </w:rPr>
            </w:pPr>
            <w:r w:rsidRPr="00F41D2C">
              <w:rPr>
                <w:sz w:val="24"/>
                <w:szCs w:val="24"/>
              </w:rPr>
              <w:t>0.20 (0.06-0.39)</w:t>
            </w:r>
          </w:p>
        </w:tc>
      </w:tr>
      <w:bookmarkEnd w:id="1"/>
      <w:tr w:rsidR="00DC7E36" w:rsidRPr="00F41D2C" w14:paraId="793C1E27" w14:textId="77777777" w:rsidTr="003A213E">
        <w:trPr>
          <w:trHeight w:val="290"/>
        </w:trPr>
        <w:tc>
          <w:tcPr>
            <w:tcW w:w="1555" w:type="dxa"/>
            <w:vAlign w:val="center"/>
          </w:tcPr>
          <w:p w14:paraId="54192699" w14:textId="77777777" w:rsidR="00DC7E36" w:rsidRPr="00F41D2C" w:rsidRDefault="00DC7E36" w:rsidP="00F41D2C">
            <w:pPr>
              <w:autoSpaceDE w:val="0"/>
              <w:autoSpaceDN w:val="0"/>
              <w:adjustRightInd w:val="0"/>
              <w:jc w:val="center"/>
              <w:rPr>
                <w:sz w:val="24"/>
                <w:szCs w:val="24"/>
              </w:rPr>
            </w:pPr>
            <w:r w:rsidRPr="00F41D2C">
              <w:rPr>
                <w:sz w:val="24"/>
                <w:szCs w:val="24"/>
              </w:rPr>
              <w:t>d</w:t>
            </w:r>
          </w:p>
        </w:tc>
        <w:tc>
          <w:tcPr>
            <w:tcW w:w="2970" w:type="dxa"/>
            <w:vAlign w:val="center"/>
          </w:tcPr>
          <w:p w14:paraId="63EA9724" w14:textId="77777777" w:rsidR="00DC7E36" w:rsidRPr="00F41D2C" w:rsidRDefault="00DC7E36" w:rsidP="00F41D2C">
            <w:pPr>
              <w:jc w:val="center"/>
              <w:rPr>
                <w:i/>
                <w:sz w:val="24"/>
                <w:szCs w:val="24"/>
              </w:rPr>
            </w:pPr>
            <w:proofErr w:type="spellStart"/>
            <w:r w:rsidRPr="00F41D2C">
              <w:rPr>
                <w:i/>
                <w:sz w:val="24"/>
                <w:szCs w:val="24"/>
              </w:rPr>
              <w:t>Pleurogramma</w:t>
            </w:r>
            <w:proofErr w:type="spellEnd"/>
            <w:r w:rsidRPr="00F41D2C">
              <w:rPr>
                <w:i/>
                <w:sz w:val="24"/>
                <w:szCs w:val="24"/>
              </w:rPr>
              <w:t xml:space="preserve"> </w:t>
            </w:r>
            <w:proofErr w:type="spellStart"/>
            <w:r w:rsidRPr="00F41D2C">
              <w:rPr>
                <w:i/>
                <w:sz w:val="24"/>
                <w:szCs w:val="24"/>
              </w:rPr>
              <w:t>antarcticum</w:t>
            </w:r>
            <w:proofErr w:type="spellEnd"/>
            <w:r w:rsidRPr="00F41D2C">
              <w:rPr>
                <w:i/>
                <w:sz w:val="24"/>
                <w:szCs w:val="24"/>
              </w:rPr>
              <w:t xml:space="preserve"> </w:t>
            </w:r>
            <w:proofErr w:type="spellStart"/>
            <w:r w:rsidRPr="00F41D2C">
              <w:rPr>
                <w:i/>
                <w:sz w:val="24"/>
                <w:szCs w:val="24"/>
              </w:rPr>
              <w:t>Trematomus</w:t>
            </w:r>
            <w:proofErr w:type="spellEnd"/>
            <w:r w:rsidRPr="00F41D2C">
              <w:rPr>
                <w:i/>
                <w:sz w:val="24"/>
                <w:szCs w:val="24"/>
              </w:rPr>
              <w:t xml:space="preserve"> </w:t>
            </w:r>
            <w:proofErr w:type="spellStart"/>
            <w:r w:rsidRPr="00F41D2C">
              <w:rPr>
                <w:i/>
                <w:sz w:val="24"/>
                <w:szCs w:val="24"/>
              </w:rPr>
              <w:t>newnesi</w:t>
            </w:r>
            <w:proofErr w:type="spellEnd"/>
          </w:p>
        </w:tc>
        <w:tc>
          <w:tcPr>
            <w:tcW w:w="4050" w:type="dxa"/>
            <w:vAlign w:val="center"/>
          </w:tcPr>
          <w:p w14:paraId="39B53EEF" w14:textId="77777777" w:rsidR="00DC7E36" w:rsidRPr="00F41D2C" w:rsidRDefault="00DC7E36" w:rsidP="00F41D2C">
            <w:pPr>
              <w:autoSpaceDE w:val="0"/>
              <w:autoSpaceDN w:val="0"/>
              <w:adjustRightInd w:val="0"/>
              <w:jc w:val="center"/>
              <w:rPr>
                <w:sz w:val="24"/>
                <w:szCs w:val="24"/>
              </w:rPr>
            </w:pPr>
            <w:r w:rsidRPr="00F41D2C">
              <w:rPr>
                <w:sz w:val="24"/>
                <w:szCs w:val="24"/>
              </w:rPr>
              <w:t>0.72 (0.34-0.86)</w:t>
            </w:r>
          </w:p>
        </w:tc>
      </w:tr>
      <w:tr w:rsidR="00DC7E36" w:rsidRPr="00F41D2C" w14:paraId="35630D3D" w14:textId="77777777" w:rsidTr="003A213E">
        <w:trPr>
          <w:trHeight w:val="290"/>
        </w:trPr>
        <w:tc>
          <w:tcPr>
            <w:tcW w:w="1555" w:type="dxa"/>
            <w:vAlign w:val="center"/>
          </w:tcPr>
          <w:p w14:paraId="125DBB60" w14:textId="77777777" w:rsidR="00DC7E36" w:rsidRPr="00F41D2C" w:rsidRDefault="00DC7E36" w:rsidP="00F41D2C">
            <w:pPr>
              <w:autoSpaceDE w:val="0"/>
              <w:autoSpaceDN w:val="0"/>
              <w:adjustRightInd w:val="0"/>
              <w:jc w:val="center"/>
              <w:rPr>
                <w:sz w:val="24"/>
                <w:szCs w:val="24"/>
              </w:rPr>
            </w:pPr>
            <w:r w:rsidRPr="00F41D2C">
              <w:rPr>
                <w:sz w:val="24"/>
                <w:szCs w:val="24"/>
              </w:rPr>
              <w:t>e</w:t>
            </w:r>
          </w:p>
        </w:tc>
        <w:tc>
          <w:tcPr>
            <w:tcW w:w="2970" w:type="dxa"/>
            <w:vAlign w:val="center"/>
          </w:tcPr>
          <w:p w14:paraId="30EA196F" w14:textId="77777777" w:rsidR="00DC7E36" w:rsidRPr="00F41D2C" w:rsidRDefault="00DC7E36" w:rsidP="00F41D2C">
            <w:pPr>
              <w:jc w:val="center"/>
              <w:rPr>
                <w:i/>
                <w:sz w:val="24"/>
                <w:szCs w:val="24"/>
              </w:rPr>
            </w:pPr>
            <w:proofErr w:type="spellStart"/>
            <w:r w:rsidRPr="00F41D2C">
              <w:rPr>
                <w:i/>
                <w:sz w:val="24"/>
                <w:szCs w:val="24"/>
              </w:rPr>
              <w:t>Neopagetopsis</w:t>
            </w:r>
            <w:proofErr w:type="spellEnd"/>
            <w:r w:rsidRPr="00F41D2C">
              <w:rPr>
                <w:i/>
                <w:sz w:val="24"/>
                <w:szCs w:val="24"/>
              </w:rPr>
              <w:t xml:space="preserve"> </w:t>
            </w:r>
            <w:proofErr w:type="spellStart"/>
            <w:r w:rsidRPr="00F41D2C">
              <w:rPr>
                <w:i/>
                <w:sz w:val="24"/>
                <w:szCs w:val="24"/>
              </w:rPr>
              <w:t>ionaha</w:t>
            </w:r>
            <w:proofErr w:type="spellEnd"/>
          </w:p>
        </w:tc>
        <w:tc>
          <w:tcPr>
            <w:tcW w:w="4050" w:type="dxa"/>
            <w:vAlign w:val="center"/>
          </w:tcPr>
          <w:p w14:paraId="1FDE7CB6" w14:textId="77777777" w:rsidR="00DC7E36" w:rsidRPr="00F41D2C" w:rsidRDefault="00DC7E36" w:rsidP="00F41D2C">
            <w:pPr>
              <w:autoSpaceDE w:val="0"/>
              <w:autoSpaceDN w:val="0"/>
              <w:adjustRightInd w:val="0"/>
              <w:jc w:val="center"/>
              <w:rPr>
                <w:sz w:val="24"/>
                <w:szCs w:val="24"/>
              </w:rPr>
            </w:pPr>
            <w:r w:rsidRPr="00F41D2C">
              <w:rPr>
                <w:sz w:val="24"/>
                <w:szCs w:val="24"/>
              </w:rPr>
              <w:t>0.02 (0.00-0.16)</w:t>
            </w:r>
          </w:p>
        </w:tc>
      </w:tr>
    </w:tbl>
    <w:p w14:paraId="33FF9CB3" w14:textId="77777777" w:rsidR="00DC7E36" w:rsidRPr="00F41D2C" w:rsidRDefault="00DC7E36" w:rsidP="00F41D2C">
      <w:pPr>
        <w:pStyle w:val="DissertationTable1"/>
        <w:rPr>
          <w:b/>
        </w:rPr>
      </w:pPr>
    </w:p>
    <w:p w14:paraId="702B5A10" w14:textId="77777777" w:rsidR="00DC7E36" w:rsidRPr="00F41D2C" w:rsidRDefault="00DC7E36" w:rsidP="00F41D2C">
      <w:pPr>
        <w:pStyle w:val="DissertationTable1"/>
        <w:rPr>
          <w:b/>
        </w:rPr>
      </w:pPr>
    </w:p>
    <w:p w14:paraId="4A2B0C40" w14:textId="77777777" w:rsidR="00DC7E36" w:rsidRPr="00F41D2C" w:rsidRDefault="00DC7E36" w:rsidP="00F41D2C">
      <w:pPr>
        <w:rPr>
          <w:sz w:val="24"/>
          <w:szCs w:val="24"/>
        </w:rPr>
      </w:pPr>
    </w:p>
    <w:p w14:paraId="6A31DA60" w14:textId="0722366E" w:rsidR="00AE477C" w:rsidRPr="00F41D2C" w:rsidRDefault="00DC7E36" w:rsidP="00AE477C">
      <w:pPr>
        <w:jc w:val="center"/>
        <w:rPr>
          <w:sz w:val="24"/>
          <w:szCs w:val="24"/>
        </w:rPr>
      </w:pPr>
      <w:r w:rsidRPr="00F41D2C">
        <w:rPr>
          <w:sz w:val="24"/>
          <w:szCs w:val="24"/>
        </w:rPr>
        <w:br w:type="column"/>
      </w:r>
      <w:r w:rsidR="00551B9C">
        <w:rPr>
          <w:noProof/>
          <w:sz w:val="24"/>
          <w:szCs w:val="24"/>
        </w:rPr>
        <w:lastRenderedPageBreak/>
        <w:drawing>
          <wp:inline distT="0" distB="0" distL="0" distR="0" wp14:anchorId="5B19466C" wp14:editId="56463389">
            <wp:extent cx="3425861" cy="685172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25861" cy="6851720"/>
                    </a:xfrm>
                    <a:prstGeom prst="rect">
                      <a:avLst/>
                    </a:prstGeom>
                    <a:noFill/>
                    <a:ln>
                      <a:noFill/>
                    </a:ln>
                  </pic:spPr>
                </pic:pic>
              </a:graphicData>
            </a:graphic>
          </wp:inline>
        </w:drawing>
      </w:r>
    </w:p>
    <w:p w14:paraId="15938D10" w14:textId="77777777" w:rsidR="00AE477C" w:rsidRDefault="00AE477C" w:rsidP="00AE477C">
      <w:pPr>
        <w:pStyle w:val="DissertationFigure2"/>
        <w:rPr>
          <w:b/>
          <w:bCs/>
        </w:rPr>
      </w:pPr>
    </w:p>
    <w:p w14:paraId="3D852FD5" w14:textId="15B39624" w:rsidR="00551B9C" w:rsidRDefault="00AE477C" w:rsidP="00551B9C">
      <w:pPr>
        <w:pStyle w:val="DissertationFigure2"/>
      </w:pPr>
      <w:r w:rsidRPr="00F41D2C">
        <w:rPr>
          <w:b/>
          <w:bCs/>
        </w:rPr>
        <w:t>Fig</w:t>
      </w:r>
      <w:r>
        <w:rPr>
          <w:b/>
          <w:bCs/>
        </w:rPr>
        <w:t>ure</w:t>
      </w:r>
      <w:r w:rsidRPr="00F41D2C">
        <w:rPr>
          <w:b/>
          <w:bCs/>
        </w:rPr>
        <w:t xml:space="preserve"> S</w:t>
      </w:r>
      <w:r>
        <w:rPr>
          <w:b/>
          <w:bCs/>
        </w:rPr>
        <w:t>1</w:t>
      </w:r>
      <w:r w:rsidRPr="00F41D2C">
        <w:rPr>
          <w:b/>
          <w:bCs/>
        </w:rPr>
        <w:t xml:space="preserve">. </w:t>
      </w:r>
      <w:r w:rsidR="00551B9C" w:rsidRPr="00551B9C">
        <w:rPr>
          <w:b/>
          <w:bCs/>
        </w:rPr>
        <w:t>Seven-day running mean of percent ice cover for the four study years (line types) and five stations (panels/colors) around Ross Island, Antarctica.</w:t>
      </w:r>
      <w:r w:rsidR="00551B9C">
        <w:t xml:space="preserve"> S</w:t>
      </w:r>
      <w:r w:rsidR="00551B9C" w:rsidRPr="00566D03">
        <w:t>atellite-derived sea ice concentration courtesy of the US National Snow and Ice Data Center; NASA Bootstrap SMMR-SSM/I combined dataset). Ice break-out</w:t>
      </w:r>
      <w:r w:rsidR="00551B9C">
        <w:t xml:space="preserve"> in the manuscript</w:t>
      </w:r>
      <w:r w:rsidR="00551B9C" w:rsidRPr="00566D03">
        <w:t xml:space="preserve"> is defined as &lt;50% ice cover. </w:t>
      </w:r>
    </w:p>
    <w:p w14:paraId="424D8514" w14:textId="3988E209" w:rsidR="00AE477C" w:rsidRPr="00485B68" w:rsidRDefault="00AE477C" w:rsidP="00551B9C">
      <w:pPr>
        <w:pStyle w:val="DissertationFigure2"/>
      </w:pPr>
      <w:r>
        <w:br w:type="column"/>
      </w:r>
      <w:r>
        <w:lastRenderedPageBreak/>
        <w:drawing>
          <wp:inline distT="0" distB="0" distL="0" distR="0" wp14:anchorId="5A4B997A" wp14:editId="214BD25C">
            <wp:extent cx="54864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2F72A08" w14:textId="5A67521E" w:rsidR="00AE477C" w:rsidRPr="00566D03" w:rsidRDefault="00AE477C" w:rsidP="00AE477C">
      <w:r w:rsidRPr="00566D03">
        <w:rPr>
          <w:b/>
          <w:sz w:val="24"/>
          <w:szCs w:val="24"/>
        </w:rPr>
        <w:t>Figure S</w:t>
      </w:r>
      <w:r>
        <w:rPr>
          <w:b/>
          <w:sz w:val="24"/>
          <w:szCs w:val="24"/>
        </w:rPr>
        <w:t>2</w:t>
      </w:r>
      <w:r w:rsidRPr="00566D03">
        <w:rPr>
          <w:b/>
          <w:sz w:val="24"/>
          <w:szCs w:val="24"/>
        </w:rPr>
        <w:t>.</w:t>
      </w:r>
      <w:r w:rsidRPr="00566D03">
        <w:rPr>
          <w:sz w:val="24"/>
          <w:szCs w:val="24"/>
        </w:rPr>
        <w:t xml:space="preserve"> Phytoplankton </w:t>
      </w:r>
      <w:r w:rsidR="009F00CF">
        <w:rPr>
          <w:sz w:val="24"/>
          <w:szCs w:val="24"/>
        </w:rPr>
        <w:t>biomass</w:t>
      </w:r>
      <w:r w:rsidRPr="00566D03">
        <w:rPr>
          <w:sz w:val="24"/>
          <w:szCs w:val="24"/>
        </w:rPr>
        <w:t xml:space="preserve"> (green line) begins </w:t>
      </w:r>
      <w:r w:rsidR="009F00CF">
        <w:rPr>
          <w:sz w:val="24"/>
          <w:szCs w:val="24"/>
        </w:rPr>
        <w:t xml:space="preserve">to increase </w:t>
      </w:r>
      <w:r w:rsidRPr="00566D03">
        <w:rPr>
          <w:sz w:val="24"/>
          <w:szCs w:val="24"/>
        </w:rPr>
        <w:t xml:space="preserve">as percent ice cover (grey line) </w:t>
      </w:r>
      <w:r>
        <w:rPr>
          <w:sz w:val="24"/>
          <w:szCs w:val="24"/>
        </w:rPr>
        <w:t>breaks out (</w:t>
      </w:r>
      <w:r w:rsidRPr="00566D03">
        <w:rPr>
          <w:sz w:val="24"/>
          <w:szCs w:val="24"/>
        </w:rPr>
        <w:t>decreases below 50%</w:t>
      </w:r>
      <w:r>
        <w:rPr>
          <w:sz w:val="24"/>
          <w:szCs w:val="24"/>
        </w:rPr>
        <w:t>; d</w:t>
      </w:r>
      <w:r w:rsidRPr="00566D03">
        <w:rPr>
          <w:sz w:val="24"/>
          <w:szCs w:val="24"/>
        </w:rPr>
        <w:t xml:space="preserve">ashed black line) </w:t>
      </w:r>
      <w:r>
        <w:rPr>
          <w:sz w:val="24"/>
          <w:szCs w:val="24"/>
        </w:rPr>
        <w:t xml:space="preserve">in austral summer 2012 </w:t>
      </w:r>
      <w:r w:rsidRPr="00566D03">
        <w:rPr>
          <w:sz w:val="24"/>
          <w:szCs w:val="24"/>
        </w:rPr>
        <w:t xml:space="preserve">at Cape Crozier, 100km away from our study site. Average 0–50 m chlorophyll concentrations (green, redrawn from </w:t>
      </w:r>
      <w:r>
        <w:rPr>
          <w:sz w:val="24"/>
          <w:szCs w:val="24"/>
        </w:rPr>
        <w:fldChar w:fldCharType="begin"/>
      </w:r>
      <w:r w:rsidR="00551B9C">
        <w:rPr>
          <w:sz w:val="24"/>
          <w:szCs w:val="24"/>
        </w:rPr>
        <w:instrText xml:space="preserve"> ADDIN EN.CITE &lt;EndNote&gt;&lt;Cite AuthorYear="1"&gt;&lt;Author&gt;Jones&lt;/Author&gt;&lt;Year&gt;2017&lt;/Year&gt;&lt;RecNum&gt;1559&lt;/RecNum&gt;&lt;DisplayText&gt;Jones and Smith Jr. (4)&lt;/DisplayText&gt;&lt;record&gt;&lt;rec-number&gt;1559&lt;/rec-number&gt;&lt;foreign-keys&gt;&lt;key app="EN" db-id="w2095pae4vfdxfe5e9fx2f2za5ft20axwfzz" timestamp="0"&gt;1559&lt;/key&gt;&lt;/foreign-keys&gt;&lt;ref-type name="Journal Article"&gt;17&lt;/ref-type&gt;&lt;contributors&gt;&lt;authors&gt;&lt;author&gt;Jones, Randolph M&lt;/author&gt;&lt;author&gt;Smith Jr., Walker O&lt;/author&gt;&lt;/authors&gt;&lt;/contributors&gt;&lt;titles&gt;&lt;title&gt;The influence of short-term events on the hydrographic and biological structure of the southwestern Ross Sea&lt;/title&gt;&lt;secondary-title&gt;Journal of Marine Systems&lt;/secondary-title&gt;&lt;/titles&gt;&lt;periodical&gt;&lt;full-title&gt;Journal of Marine Systems&lt;/full-title&gt;&lt;/periodical&gt;&lt;pages&gt;184-195&lt;/pages&gt;&lt;volume&gt;166&lt;/volume&gt;&lt;dates&gt;&lt;year&gt;2017&lt;/year&gt;&lt;/dates&gt;&lt;isbn&gt;0924-7963&lt;/isbn&gt;&lt;urls&gt;&lt;/urls&gt;&lt;/record&gt;&lt;/Cite&gt;&lt;/EndNote&gt;</w:instrText>
      </w:r>
      <w:r>
        <w:rPr>
          <w:sz w:val="24"/>
          <w:szCs w:val="24"/>
        </w:rPr>
        <w:fldChar w:fldCharType="separate"/>
      </w:r>
      <w:r w:rsidR="00551B9C">
        <w:rPr>
          <w:noProof/>
          <w:sz w:val="24"/>
          <w:szCs w:val="24"/>
        </w:rPr>
        <w:t>Jones and Smith Jr. (4)</w:t>
      </w:r>
      <w:r>
        <w:rPr>
          <w:sz w:val="24"/>
          <w:szCs w:val="24"/>
        </w:rPr>
        <w:fldChar w:fldCharType="end"/>
      </w:r>
      <w:r w:rsidRPr="00566D03">
        <w:rPr>
          <w:sz w:val="24"/>
          <w:szCs w:val="24"/>
        </w:rPr>
        <w:t xml:space="preserve">) and 7-day running mean of  percent ice cover (grey).  Ocean currents result in phytoplankton bloom being advected into our study area occurring days to weeks earlier than </w:t>
      </w:r>
      <w:r>
        <w:rPr>
          <w:sz w:val="24"/>
          <w:szCs w:val="24"/>
        </w:rPr>
        <w:t xml:space="preserve">local sea </w:t>
      </w:r>
      <w:r w:rsidRPr="00566D03">
        <w:rPr>
          <w:sz w:val="24"/>
          <w:szCs w:val="24"/>
        </w:rPr>
        <w:t>ice break</w:t>
      </w:r>
      <w:r>
        <w:rPr>
          <w:sz w:val="24"/>
          <w:szCs w:val="24"/>
        </w:rPr>
        <w:t>-</w:t>
      </w:r>
      <w:r w:rsidRPr="00566D03">
        <w:rPr>
          <w:sz w:val="24"/>
          <w:szCs w:val="24"/>
        </w:rPr>
        <w:t>out.</w:t>
      </w:r>
    </w:p>
    <w:p w14:paraId="37B3A679" w14:textId="4F14569D" w:rsidR="00AE477C" w:rsidRPr="00F41D2C" w:rsidRDefault="00AE477C" w:rsidP="00AE477C">
      <w:pPr>
        <w:pStyle w:val="DissertationFigure2"/>
      </w:pPr>
    </w:p>
    <w:p w14:paraId="2446E711" w14:textId="42421B47" w:rsidR="009A1AB4" w:rsidRPr="00F41D2C" w:rsidRDefault="00AE477C" w:rsidP="00F41D2C">
      <w:pPr>
        <w:pStyle w:val="CommentText"/>
        <w:jc w:val="center"/>
        <w:rPr>
          <w:sz w:val="24"/>
          <w:szCs w:val="24"/>
        </w:rPr>
      </w:pPr>
      <w:r>
        <w:rPr>
          <w:sz w:val="24"/>
          <w:szCs w:val="24"/>
        </w:rPr>
        <w:br w:type="column"/>
      </w:r>
      <w:r w:rsidR="009A1AB4" w:rsidRPr="00F41D2C">
        <w:rPr>
          <w:noProof/>
          <w:sz w:val="24"/>
          <w:szCs w:val="24"/>
        </w:rPr>
        <w:lastRenderedPageBreak/>
        <w:drawing>
          <wp:inline distT="0" distB="0" distL="0" distR="0" wp14:anchorId="15876F40" wp14:editId="07C39603">
            <wp:extent cx="5930900" cy="3956050"/>
            <wp:effectExtent l="0" t="0" r="0" b="0"/>
            <wp:docPr id="1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0900" cy="3956050"/>
                    </a:xfrm>
                    <a:prstGeom prst="rect">
                      <a:avLst/>
                    </a:prstGeom>
                    <a:noFill/>
                    <a:ln>
                      <a:noFill/>
                    </a:ln>
                  </pic:spPr>
                </pic:pic>
              </a:graphicData>
            </a:graphic>
          </wp:inline>
        </w:drawing>
      </w:r>
    </w:p>
    <w:p w14:paraId="4F1B4EEB" w14:textId="32EFC761" w:rsidR="009A1AB4" w:rsidRPr="00F41D2C" w:rsidRDefault="009A1AB4" w:rsidP="00F41D2C">
      <w:pPr>
        <w:pStyle w:val="DissertationFigure2"/>
      </w:pPr>
      <w:bookmarkStart w:id="2" w:name="_Toc520285202"/>
      <w:r w:rsidRPr="00F41D2C">
        <w:rPr>
          <w:b/>
        </w:rPr>
        <w:t>Figure S</w:t>
      </w:r>
      <w:r w:rsidR="00AE477C">
        <w:rPr>
          <w:b/>
        </w:rPr>
        <w:t>3</w:t>
      </w:r>
      <w:r w:rsidRPr="00F41D2C">
        <w:rPr>
          <w:b/>
        </w:rPr>
        <w:t xml:space="preserve">. </w:t>
      </w:r>
      <w:r w:rsidRPr="00F41D2C">
        <w:t>Lower jaw acceleration (grey line) and resulting prey capture attempts (red points; &gt;0.3g amplitude in acceleration) overlayed on a dive depth profile (black line) for an individual seal. This 17-minute dive contained</w:t>
      </w:r>
      <w:bookmarkEnd w:id="2"/>
      <w:r w:rsidRPr="00F41D2C">
        <w:t xml:space="preserve"> 15 bottom wiggles (inflection points) and 35 jaw motion events. Raw acceleration surges during pre- and post-dive interval (left and right of dive) represent head movement associated with breathing. </w:t>
      </w:r>
    </w:p>
    <w:p w14:paraId="096C2293" w14:textId="65AF6A21" w:rsidR="00DC7E36" w:rsidRPr="00F41D2C" w:rsidRDefault="009A1AB4" w:rsidP="00F41D2C">
      <w:pPr>
        <w:jc w:val="center"/>
        <w:rPr>
          <w:sz w:val="24"/>
          <w:szCs w:val="24"/>
        </w:rPr>
      </w:pPr>
      <w:r w:rsidRPr="00F41D2C">
        <w:rPr>
          <w:sz w:val="24"/>
          <w:szCs w:val="24"/>
        </w:rPr>
        <w:br w:type="column"/>
      </w:r>
      <w:r w:rsidR="00DC7E36" w:rsidRPr="00F41D2C">
        <w:rPr>
          <w:noProof/>
          <w:sz w:val="24"/>
          <w:szCs w:val="24"/>
        </w:rPr>
        <w:lastRenderedPageBreak/>
        <w:drawing>
          <wp:inline distT="0" distB="0" distL="0" distR="0" wp14:anchorId="63351230" wp14:editId="76F7D616">
            <wp:extent cx="4572000" cy="3104526"/>
            <wp:effectExtent l="0" t="0" r="0" b="635"/>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361" b="2814"/>
                    <a:stretch/>
                  </pic:blipFill>
                  <pic:spPr bwMode="auto">
                    <a:xfrm>
                      <a:off x="0" y="0"/>
                      <a:ext cx="4572000" cy="3104526"/>
                    </a:xfrm>
                    <a:prstGeom prst="rect">
                      <a:avLst/>
                    </a:prstGeom>
                    <a:noFill/>
                    <a:ln>
                      <a:noFill/>
                    </a:ln>
                    <a:extLst>
                      <a:ext uri="{53640926-AAD7-44D8-BBD7-CCE9431645EC}">
                        <a14:shadowObscured xmlns:a14="http://schemas.microsoft.com/office/drawing/2010/main"/>
                      </a:ext>
                    </a:extLst>
                  </pic:spPr>
                </pic:pic>
              </a:graphicData>
            </a:graphic>
          </wp:inline>
        </w:drawing>
      </w:r>
    </w:p>
    <w:p w14:paraId="1477176E" w14:textId="77777777" w:rsidR="00DC7E36" w:rsidRPr="00F41D2C" w:rsidRDefault="00DC7E36" w:rsidP="00F41D2C">
      <w:pPr>
        <w:jc w:val="center"/>
        <w:rPr>
          <w:sz w:val="24"/>
          <w:szCs w:val="24"/>
        </w:rPr>
      </w:pPr>
    </w:p>
    <w:p w14:paraId="37CA8904" w14:textId="7D87B91D" w:rsidR="00DC7E36" w:rsidRPr="00F41D2C" w:rsidRDefault="00DC7E36" w:rsidP="00F41D2C">
      <w:pPr>
        <w:pStyle w:val="CommentText"/>
        <w:rPr>
          <w:sz w:val="24"/>
          <w:szCs w:val="24"/>
        </w:rPr>
      </w:pPr>
      <w:r w:rsidRPr="00F41D2C">
        <w:rPr>
          <w:b/>
          <w:sz w:val="24"/>
          <w:szCs w:val="24"/>
        </w:rPr>
        <w:t>Figure S</w:t>
      </w:r>
      <w:r w:rsidR="00AE477C">
        <w:rPr>
          <w:b/>
          <w:sz w:val="24"/>
          <w:szCs w:val="24"/>
        </w:rPr>
        <w:t>4.</w:t>
      </w:r>
      <w:r w:rsidRPr="00F41D2C">
        <w:rPr>
          <w:sz w:val="24"/>
          <w:szCs w:val="24"/>
        </w:rPr>
        <w:t xml:space="preserve"> (A) Maximum depth of each dive (grey points) for one seal across</w:t>
      </w:r>
      <w:r w:rsidR="003D2920" w:rsidRPr="00F41D2C">
        <w:rPr>
          <w:sz w:val="24"/>
          <w:szCs w:val="24"/>
        </w:rPr>
        <w:t xml:space="preserve"> austral summer 2014</w:t>
      </w:r>
      <w:r w:rsidRPr="00F41D2C">
        <w:rPr>
          <w:sz w:val="24"/>
          <w:szCs w:val="24"/>
        </w:rPr>
        <w:t>, and daily mean dive depth (black points). Black line and grey band show a Generalized Additive Mixed Model and 95% CI fit to the daily means</w:t>
      </w:r>
      <w:r w:rsidR="00FC061D" w:rsidRPr="00F41D2C">
        <w:rPr>
          <w:sz w:val="24"/>
          <w:szCs w:val="24"/>
        </w:rPr>
        <w:t xml:space="preserve"> </w:t>
      </w:r>
      <w:r w:rsidRPr="00F41D2C">
        <w:rPr>
          <w:sz w:val="24"/>
          <w:szCs w:val="24"/>
        </w:rPr>
        <w:t>and black dashed line represents the date of 50% ice cover.</w:t>
      </w:r>
    </w:p>
    <w:p w14:paraId="2CF73481" w14:textId="68CFA0F1" w:rsidR="00190997" w:rsidRPr="00F41D2C" w:rsidRDefault="00DC7E36" w:rsidP="00AE477C">
      <w:pPr>
        <w:jc w:val="center"/>
        <w:rPr>
          <w:sz w:val="24"/>
          <w:szCs w:val="24"/>
        </w:rPr>
      </w:pPr>
      <w:r w:rsidRPr="00F41D2C">
        <w:rPr>
          <w:sz w:val="24"/>
          <w:szCs w:val="24"/>
        </w:rPr>
        <w:br w:type="column"/>
      </w:r>
    </w:p>
    <w:p w14:paraId="14AA4200" w14:textId="77777777" w:rsidR="00DC7E36" w:rsidRPr="00F41D2C" w:rsidRDefault="00DC7E36" w:rsidP="00F41D2C">
      <w:pPr>
        <w:pStyle w:val="CommentText"/>
        <w:rPr>
          <w:sz w:val="24"/>
          <w:szCs w:val="24"/>
        </w:rPr>
      </w:pPr>
    </w:p>
    <w:p w14:paraId="62B2A3E2" w14:textId="7FC8A268" w:rsidR="00DC7E36" w:rsidRPr="00F41D2C" w:rsidRDefault="00DC7E36" w:rsidP="00F41D2C">
      <w:pPr>
        <w:pStyle w:val="DissertationTable1"/>
        <w:jc w:val="center"/>
      </w:pPr>
      <w:r w:rsidRPr="00F41D2C">
        <w:rPr>
          <w:shd w:val="clear" w:color="auto" w:fill="FFFFFF"/>
        </w:rPr>
        <w:drawing>
          <wp:inline distT="0" distB="0" distL="0" distR="0" wp14:anchorId="53E1D847" wp14:editId="1A330CCA">
            <wp:extent cx="5175250" cy="2990850"/>
            <wp:effectExtent l="0" t="0" r="0" b="0"/>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t="18230" r="5844"/>
                    <a:stretch>
                      <a:fillRect/>
                    </a:stretch>
                  </pic:blipFill>
                  <pic:spPr bwMode="auto">
                    <a:xfrm>
                      <a:off x="0" y="0"/>
                      <a:ext cx="5175250" cy="2990850"/>
                    </a:xfrm>
                    <a:prstGeom prst="rect">
                      <a:avLst/>
                    </a:prstGeom>
                    <a:noFill/>
                    <a:ln>
                      <a:noFill/>
                    </a:ln>
                  </pic:spPr>
                </pic:pic>
              </a:graphicData>
            </a:graphic>
          </wp:inline>
        </w:drawing>
      </w:r>
    </w:p>
    <w:p w14:paraId="7A46038B" w14:textId="77777777" w:rsidR="00DC7E36" w:rsidRPr="00F41D2C" w:rsidRDefault="00DC7E36" w:rsidP="00F41D2C">
      <w:pPr>
        <w:pStyle w:val="DissertationTable1"/>
        <w:jc w:val="center"/>
        <w:rPr>
          <w:shd w:val="clear" w:color="auto" w:fill="FFFFFF"/>
        </w:rPr>
      </w:pPr>
    </w:p>
    <w:p w14:paraId="6B02E1A8" w14:textId="77777777" w:rsidR="00DC7E36" w:rsidRPr="00F41D2C" w:rsidRDefault="00DC7E36" w:rsidP="00F41D2C">
      <w:pPr>
        <w:pStyle w:val="DissertationTable1"/>
        <w:jc w:val="center"/>
      </w:pPr>
      <w:r w:rsidRPr="00F41D2C">
        <w:drawing>
          <wp:inline distT="0" distB="0" distL="0" distR="0" wp14:anchorId="337E5190" wp14:editId="100BD34A">
            <wp:extent cx="5181600" cy="2946400"/>
            <wp:effectExtent l="0" t="0" r="0"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t="19180" r="5153"/>
                    <a:stretch>
                      <a:fillRect/>
                    </a:stretch>
                  </pic:blipFill>
                  <pic:spPr bwMode="auto">
                    <a:xfrm>
                      <a:off x="0" y="0"/>
                      <a:ext cx="5181600" cy="2946400"/>
                    </a:xfrm>
                    <a:prstGeom prst="rect">
                      <a:avLst/>
                    </a:prstGeom>
                    <a:noFill/>
                    <a:ln>
                      <a:noFill/>
                    </a:ln>
                  </pic:spPr>
                </pic:pic>
              </a:graphicData>
            </a:graphic>
          </wp:inline>
        </w:drawing>
      </w:r>
    </w:p>
    <w:p w14:paraId="6897D51A" w14:textId="77777777" w:rsidR="00DC7E36" w:rsidRPr="00F41D2C" w:rsidRDefault="00DC7E36" w:rsidP="00F41D2C">
      <w:pPr>
        <w:pStyle w:val="DissertationTable1"/>
        <w:jc w:val="center"/>
      </w:pPr>
    </w:p>
    <w:p w14:paraId="23D73604" w14:textId="7E0241CE" w:rsidR="00DC7E36" w:rsidRPr="00F41D2C" w:rsidRDefault="00DC7E36" w:rsidP="00F41D2C">
      <w:pPr>
        <w:pStyle w:val="DissertationTable1"/>
      </w:pPr>
      <w:r w:rsidRPr="00F41D2C">
        <w:rPr>
          <w:b/>
        </w:rPr>
        <w:t>Figure S</w:t>
      </w:r>
      <w:r w:rsidR="009A1AB4" w:rsidRPr="00F41D2C">
        <w:rPr>
          <w:b/>
        </w:rPr>
        <w:t>5</w:t>
      </w:r>
      <w:r w:rsidRPr="00F41D2C">
        <w:rPr>
          <w:b/>
        </w:rPr>
        <w:t xml:space="preserve">. </w:t>
      </w:r>
      <w:r w:rsidRPr="00F41D2C">
        <w:t>(A) Prey capture attempts per dive (measured with jaw accelerometers) plotted against bottom wiggles (measured with time-depth recorders). Points show data for individual dives, colors indicate different seals, and line and gray band shows the fitted relationship and 95% CI (</w:t>
      </w:r>
      <w:r w:rsidRPr="00F41D2C">
        <w:rPr>
          <w:i/>
        </w:rPr>
        <w:t xml:space="preserve">PreyCaptureAttempts </w:t>
      </w:r>
      <w:r w:rsidRPr="00F41D2C">
        <w:t xml:space="preserve">= 1.779 (± SE = 0.094) * </w:t>
      </w:r>
      <w:r w:rsidRPr="00F41D2C">
        <w:rPr>
          <w:i/>
        </w:rPr>
        <w:t xml:space="preserve">Wiggles </w:t>
      </w:r>
      <w:r w:rsidRPr="00F41D2C">
        <w:t>+ 7.377 , R</w:t>
      </w:r>
      <w:r w:rsidRPr="00F41D2C">
        <w:rPr>
          <w:vertAlign w:val="superscript"/>
        </w:rPr>
        <w:t xml:space="preserve">2 </w:t>
      </w:r>
      <w:r w:rsidRPr="00F41D2C">
        <w:t xml:space="preserve">= 0.42, </w:t>
      </w:r>
      <w:r w:rsidRPr="00F41D2C">
        <w:rPr>
          <w:i/>
        </w:rPr>
        <w:t xml:space="preserve">P </w:t>
      </w:r>
      <w:r w:rsidRPr="00F41D2C">
        <w:t xml:space="preserve">&lt; 0.0001, </w:t>
      </w:r>
      <w:r w:rsidRPr="00F41D2C">
        <w:rPr>
          <w:i/>
        </w:rPr>
        <w:t xml:space="preserve">n </w:t>
      </w:r>
      <w:r w:rsidRPr="00F41D2C">
        <w:t>= 495 dives from 4 seals). (B) Mass gain per hour diving plotted against bottom wiggles. Points show data for individual seals, and line and gray band shows the fitted relationship and 95% CI  (</w:t>
      </w:r>
      <w:r w:rsidRPr="00F41D2C">
        <w:rPr>
          <w:i/>
        </w:rPr>
        <w:t xml:space="preserve">MassGain </w:t>
      </w:r>
      <w:r w:rsidRPr="00F41D2C">
        <w:t xml:space="preserve">= 0.0020 (± SE = 0.0003 ) * </w:t>
      </w:r>
      <w:r w:rsidRPr="00F41D2C">
        <w:rPr>
          <w:i/>
        </w:rPr>
        <w:t xml:space="preserve">Wiggles </w:t>
      </w:r>
      <w:r w:rsidRPr="00F41D2C">
        <w:t>- 0.0100 , R</w:t>
      </w:r>
      <w:r w:rsidRPr="00F41D2C">
        <w:rPr>
          <w:vertAlign w:val="superscript"/>
        </w:rPr>
        <w:t xml:space="preserve">2 </w:t>
      </w:r>
      <w:r w:rsidRPr="00F41D2C">
        <w:t xml:space="preserve">= 0.43, </w:t>
      </w:r>
      <w:r w:rsidRPr="00F41D2C">
        <w:rPr>
          <w:i/>
        </w:rPr>
        <w:t xml:space="preserve">P </w:t>
      </w:r>
      <w:r w:rsidRPr="00F41D2C">
        <w:t xml:space="preserve">&lt; 0.0001, </w:t>
      </w:r>
      <w:r w:rsidRPr="00F41D2C">
        <w:rPr>
          <w:i/>
        </w:rPr>
        <w:t xml:space="preserve">n </w:t>
      </w:r>
      <w:r w:rsidRPr="00F41D2C">
        <w:t xml:space="preserve">= 51 seals).  </w:t>
      </w:r>
    </w:p>
    <w:p w14:paraId="123FFCB1" w14:textId="77777777" w:rsidR="00DC7E36" w:rsidRPr="00F41D2C" w:rsidRDefault="00DC7E36" w:rsidP="00F41D2C">
      <w:pPr>
        <w:pStyle w:val="CommentText"/>
        <w:rPr>
          <w:sz w:val="24"/>
          <w:szCs w:val="24"/>
        </w:rPr>
      </w:pPr>
    </w:p>
    <w:p w14:paraId="3BCDBF7C" w14:textId="77777777" w:rsidR="00DC7E36" w:rsidRPr="00F41D2C" w:rsidRDefault="00DC7E36" w:rsidP="00F41D2C">
      <w:pPr>
        <w:pStyle w:val="CommentText"/>
        <w:jc w:val="both"/>
        <w:rPr>
          <w:sz w:val="24"/>
          <w:szCs w:val="24"/>
        </w:rPr>
      </w:pPr>
      <w:r w:rsidRPr="00F41D2C">
        <w:rPr>
          <w:sz w:val="24"/>
          <w:szCs w:val="24"/>
        </w:rPr>
        <w:br w:type="column"/>
      </w:r>
      <w:r w:rsidRPr="00F41D2C">
        <w:rPr>
          <w:noProof/>
          <w:sz w:val="24"/>
          <w:szCs w:val="24"/>
        </w:rPr>
        <w:lastRenderedPageBreak/>
        <w:drawing>
          <wp:inline distT="0" distB="0" distL="0" distR="0" wp14:anchorId="30B5666C" wp14:editId="3A26FAFA">
            <wp:extent cx="5778500" cy="2584450"/>
            <wp:effectExtent l="0" t="0" r="0" b="0"/>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l="2597" t="10954" b="12923"/>
                    <a:stretch>
                      <a:fillRect/>
                    </a:stretch>
                  </pic:blipFill>
                  <pic:spPr bwMode="auto">
                    <a:xfrm>
                      <a:off x="0" y="0"/>
                      <a:ext cx="5778500" cy="2584450"/>
                    </a:xfrm>
                    <a:prstGeom prst="rect">
                      <a:avLst/>
                    </a:prstGeom>
                    <a:noFill/>
                    <a:ln>
                      <a:noFill/>
                    </a:ln>
                  </pic:spPr>
                </pic:pic>
              </a:graphicData>
            </a:graphic>
          </wp:inline>
        </w:drawing>
      </w:r>
    </w:p>
    <w:p w14:paraId="5F37BFD4" w14:textId="77777777" w:rsidR="00DC7E36" w:rsidRPr="00F41D2C" w:rsidRDefault="00DC7E36" w:rsidP="00F41D2C">
      <w:pPr>
        <w:pStyle w:val="CommentText"/>
        <w:jc w:val="center"/>
        <w:rPr>
          <w:b/>
          <w:sz w:val="24"/>
          <w:szCs w:val="24"/>
        </w:rPr>
      </w:pPr>
      <w:r w:rsidRPr="00F41D2C">
        <w:rPr>
          <w:noProof/>
          <w:sz w:val="24"/>
          <w:szCs w:val="24"/>
        </w:rPr>
        <w:drawing>
          <wp:inline distT="0" distB="0" distL="0" distR="0" wp14:anchorId="04771613" wp14:editId="679694CB">
            <wp:extent cx="5461000" cy="2400300"/>
            <wp:effectExtent l="0" t="0" r="0"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t="18539" b="4213"/>
                    <a:stretch>
                      <a:fillRect/>
                    </a:stretch>
                  </pic:blipFill>
                  <pic:spPr bwMode="auto">
                    <a:xfrm>
                      <a:off x="0" y="0"/>
                      <a:ext cx="5461000" cy="2400300"/>
                    </a:xfrm>
                    <a:prstGeom prst="rect">
                      <a:avLst/>
                    </a:prstGeom>
                    <a:noFill/>
                    <a:ln>
                      <a:noFill/>
                    </a:ln>
                  </pic:spPr>
                </pic:pic>
              </a:graphicData>
            </a:graphic>
          </wp:inline>
        </w:drawing>
      </w:r>
    </w:p>
    <w:p w14:paraId="78C7024D" w14:textId="15A69FB6" w:rsidR="00DC7E36" w:rsidRPr="00F41D2C" w:rsidRDefault="00DC7E36" w:rsidP="00F41D2C">
      <w:pPr>
        <w:pStyle w:val="CommentText"/>
        <w:rPr>
          <w:sz w:val="24"/>
          <w:szCs w:val="24"/>
        </w:rPr>
      </w:pPr>
      <w:r w:rsidRPr="00F41D2C">
        <w:rPr>
          <w:b/>
          <w:sz w:val="24"/>
          <w:szCs w:val="24"/>
        </w:rPr>
        <w:t>Figure S</w:t>
      </w:r>
      <w:r w:rsidR="009A1AB4" w:rsidRPr="00F41D2C">
        <w:rPr>
          <w:b/>
          <w:sz w:val="24"/>
          <w:szCs w:val="24"/>
        </w:rPr>
        <w:t>6</w:t>
      </w:r>
      <w:r w:rsidRPr="00F41D2C">
        <w:rPr>
          <w:b/>
          <w:sz w:val="24"/>
          <w:szCs w:val="24"/>
        </w:rPr>
        <w:t>.</w:t>
      </w:r>
      <w:r w:rsidRPr="00F41D2C">
        <w:rPr>
          <w:sz w:val="24"/>
          <w:szCs w:val="24"/>
        </w:rPr>
        <w:t xml:space="preserve"> (A) Proportion of benthic dives for each seal including mean (1%) as horizontal red line and (B) benthic dive depth across summer for all seals. Points show individual dives, and line and gray band shows the fitted GAMM relationship and 95% CI (</w:t>
      </w:r>
      <w:r w:rsidRPr="00F41D2C">
        <w:rPr>
          <w:i/>
          <w:sz w:val="24"/>
          <w:szCs w:val="24"/>
        </w:rPr>
        <w:t xml:space="preserve">n </w:t>
      </w:r>
      <w:r w:rsidRPr="00F41D2C">
        <w:rPr>
          <w:sz w:val="24"/>
          <w:szCs w:val="24"/>
        </w:rPr>
        <w:t>= 495 dives).</w:t>
      </w:r>
    </w:p>
    <w:p w14:paraId="05BF0D29" w14:textId="7DC52859" w:rsidR="003D2920" w:rsidRPr="00F41D2C" w:rsidRDefault="00F770EF" w:rsidP="00F41D2C">
      <w:pPr>
        <w:pStyle w:val="DissertationFigure2"/>
      </w:pPr>
      <w:r w:rsidRPr="00F41D2C">
        <w:br w:type="column"/>
      </w:r>
      <w:r w:rsidRPr="00F41D2C">
        <w:rPr>
          <w:b/>
          <w:bCs/>
        </w:rPr>
        <w:lastRenderedPageBreak/>
        <w:t>References Cited</w:t>
      </w:r>
    </w:p>
    <w:p w14:paraId="3AE1BF36" w14:textId="77777777" w:rsidR="00551B9C" w:rsidRPr="00551B9C" w:rsidRDefault="003D2920" w:rsidP="00551B9C">
      <w:pPr>
        <w:pStyle w:val="EndNoteBibliography"/>
        <w:spacing w:after="0"/>
        <w:ind w:left="0" w:firstLine="0"/>
      </w:pPr>
      <w:r w:rsidRPr="00F41D2C">
        <w:rPr>
          <w:szCs w:val="24"/>
        </w:rPr>
        <w:fldChar w:fldCharType="begin"/>
      </w:r>
      <w:r w:rsidRPr="00F41D2C">
        <w:rPr>
          <w:szCs w:val="24"/>
        </w:rPr>
        <w:instrText xml:space="preserve"> ADDIN EN.REFLIST </w:instrText>
      </w:r>
      <w:r w:rsidRPr="00F41D2C">
        <w:rPr>
          <w:szCs w:val="24"/>
        </w:rPr>
        <w:fldChar w:fldCharType="separate"/>
      </w:r>
      <w:r w:rsidR="00551B9C" w:rsidRPr="00551B9C">
        <w:t>1.</w:t>
      </w:r>
      <w:r w:rsidR="00551B9C" w:rsidRPr="00551B9C">
        <w:tab/>
        <w:t>Beltran RS, Sadou M, Condit R, Peterson S, Reichmuth C, Costa D. Fine-scale whisker growth measurements can reveal temporal foraging patterns from stable isotope signatures. Marine Ecology Progress Series. 2015;523:243-53.</w:t>
      </w:r>
    </w:p>
    <w:p w14:paraId="5BF3E0AC" w14:textId="77777777" w:rsidR="00551B9C" w:rsidRPr="00551B9C" w:rsidRDefault="00551B9C" w:rsidP="00551B9C">
      <w:pPr>
        <w:pStyle w:val="EndNoteBibliography"/>
        <w:spacing w:after="0"/>
        <w:ind w:left="0" w:firstLine="0"/>
      </w:pPr>
      <w:r w:rsidRPr="00551B9C">
        <w:t>2.</w:t>
      </w:r>
      <w:r w:rsidRPr="00551B9C">
        <w:tab/>
        <w:t>Goetz KT, Burns JM, Hückstӓdt LA, Shero MR, Costa DP. Temporal variation in isotopic composition and diet of Weddell seals in the western Ross Sea. Deep Sea Research II. 2017;140:36-44.</w:t>
      </w:r>
    </w:p>
    <w:p w14:paraId="06830BBC" w14:textId="77777777" w:rsidR="00551B9C" w:rsidRPr="00551B9C" w:rsidRDefault="00551B9C" w:rsidP="00551B9C">
      <w:pPr>
        <w:pStyle w:val="EndNoteBibliography"/>
        <w:spacing w:after="0"/>
        <w:ind w:left="0" w:firstLine="0"/>
      </w:pPr>
      <w:r w:rsidRPr="00551B9C">
        <w:t>3.</w:t>
      </w:r>
      <w:r w:rsidRPr="00551B9C">
        <w:tab/>
        <w:t>Beltran RS, Peterson SH, McHuron EA, Reichmuth C, Hückstädt LA, Costa DP. Seals and sea lions are what they eat, plus what? Determination of trophic discrimination factors for seven pinniped species. Rapid Communications in Mass Spectrometry. 2016;30(9):1115-22.</w:t>
      </w:r>
    </w:p>
    <w:p w14:paraId="4EE158CC" w14:textId="77777777" w:rsidR="00551B9C" w:rsidRPr="00551B9C" w:rsidRDefault="00551B9C" w:rsidP="00551B9C">
      <w:pPr>
        <w:pStyle w:val="EndNoteBibliography"/>
        <w:ind w:left="0" w:firstLine="0"/>
      </w:pPr>
      <w:r w:rsidRPr="00551B9C">
        <w:t>4.</w:t>
      </w:r>
      <w:r w:rsidRPr="00551B9C">
        <w:tab/>
        <w:t>Jones RM, Smith Jr. WO. The influence of short-term events on the hydrographic and biological structure of the southwestern Ross Sea. Journal of Marine Systems. 2017;166:184-95.</w:t>
      </w:r>
    </w:p>
    <w:p w14:paraId="2530FBB5" w14:textId="0496C7B8" w:rsidR="00DC7E36" w:rsidRPr="00F41D2C" w:rsidRDefault="003D2920" w:rsidP="00F41D2C">
      <w:pPr>
        <w:pStyle w:val="DissertationFigure2"/>
      </w:pPr>
      <w:r w:rsidRPr="00F41D2C">
        <w:fldChar w:fldCharType="end"/>
      </w:r>
    </w:p>
    <w:sectPr w:rsidR="00DC7E36" w:rsidRPr="00F41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095pae4vfdxfe5e9fx2f2za5ft20axwfzz&quot;&gt;BeltranEndNoteLibrary-Converted&lt;record-ids&gt;&lt;item&gt;1126&lt;/item&gt;&lt;item&gt;1559&lt;/item&gt;&lt;item&gt;1614&lt;/item&gt;&lt;item&gt;1617&lt;/item&gt;&lt;/record-ids&gt;&lt;/item&gt;&lt;/Libraries&gt;"/>
  </w:docVars>
  <w:rsids>
    <w:rsidRoot w:val="00DC7E36"/>
    <w:rsid w:val="00097ED6"/>
    <w:rsid w:val="000C0800"/>
    <w:rsid w:val="000F1B23"/>
    <w:rsid w:val="00173A79"/>
    <w:rsid w:val="00190997"/>
    <w:rsid w:val="001C095D"/>
    <w:rsid w:val="001D2665"/>
    <w:rsid w:val="00225B08"/>
    <w:rsid w:val="002A19CA"/>
    <w:rsid w:val="002E3C05"/>
    <w:rsid w:val="002F3A4E"/>
    <w:rsid w:val="003D2920"/>
    <w:rsid w:val="004608EB"/>
    <w:rsid w:val="004F6EBB"/>
    <w:rsid w:val="00513991"/>
    <w:rsid w:val="0054679D"/>
    <w:rsid w:val="00551B9C"/>
    <w:rsid w:val="005B2920"/>
    <w:rsid w:val="005D13E2"/>
    <w:rsid w:val="00680BC8"/>
    <w:rsid w:val="007D0540"/>
    <w:rsid w:val="007E6E53"/>
    <w:rsid w:val="00856AF3"/>
    <w:rsid w:val="008E11B3"/>
    <w:rsid w:val="008F48A0"/>
    <w:rsid w:val="00937F21"/>
    <w:rsid w:val="009A1AB4"/>
    <w:rsid w:val="009B079A"/>
    <w:rsid w:val="009F00CF"/>
    <w:rsid w:val="00AE477C"/>
    <w:rsid w:val="00C1662A"/>
    <w:rsid w:val="00C243AD"/>
    <w:rsid w:val="00C73B31"/>
    <w:rsid w:val="00C77CB9"/>
    <w:rsid w:val="00CB4D3E"/>
    <w:rsid w:val="00CD4A2D"/>
    <w:rsid w:val="00D4050A"/>
    <w:rsid w:val="00DC7E36"/>
    <w:rsid w:val="00E20AC9"/>
    <w:rsid w:val="00E81361"/>
    <w:rsid w:val="00ED50B6"/>
    <w:rsid w:val="00F23652"/>
    <w:rsid w:val="00F41D2C"/>
    <w:rsid w:val="00F770EF"/>
    <w:rsid w:val="00FC061D"/>
    <w:rsid w:val="00FC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58ED"/>
  <w15:chartTrackingRefBased/>
  <w15:docId w15:val="{ABAD10AA-D28C-47F0-AD47-5B9408B0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36"/>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autoRedefine/>
    <w:qFormat/>
    <w:rsid w:val="002E3C05"/>
    <w:pPr>
      <w:spacing w:after="160"/>
      <w:ind w:left="720" w:hanging="720"/>
    </w:pPr>
    <w:rPr>
      <w:rFonts w:eastAsiaTheme="minorHAnsi"/>
      <w:noProof/>
      <w:sz w:val="24"/>
      <w:szCs w:val="22"/>
    </w:rPr>
  </w:style>
  <w:style w:type="character" w:customStyle="1" w:styleId="EndNoteBibliographyChar">
    <w:name w:val="EndNote Bibliography Char"/>
    <w:basedOn w:val="DefaultParagraphFont"/>
    <w:link w:val="EndNoteBibliography"/>
    <w:rsid w:val="002E3C05"/>
    <w:rPr>
      <w:rFonts w:ascii="Times New Roman" w:hAnsi="Times New Roman" w:cs="Times New Roman"/>
      <w:noProof/>
      <w:sz w:val="24"/>
    </w:rPr>
  </w:style>
  <w:style w:type="paragraph" w:styleId="CommentText">
    <w:name w:val="annotation text"/>
    <w:basedOn w:val="Normal"/>
    <w:link w:val="CommentTextChar"/>
    <w:rsid w:val="00DC7E36"/>
    <w:rPr>
      <w:rFonts w:eastAsia="Times New Roman"/>
    </w:rPr>
  </w:style>
  <w:style w:type="character" w:customStyle="1" w:styleId="CommentTextChar">
    <w:name w:val="Comment Text Char"/>
    <w:basedOn w:val="DefaultParagraphFont"/>
    <w:link w:val="CommentText"/>
    <w:rsid w:val="00DC7E36"/>
    <w:rPr>
      <w:rFonts w:ascii="Times New Roman" w:eastAsia="Times New Roman" w:hAnsi="Times New Roman" w:cs="Times New Roman"/>
      <w:sz w:val="20"/>
      <w:szCs w:val="20"/>
    </w:rPr>
  </w:style>
  <w:style w:type="paragraph" w:customStyle="1" w:styleId="DissertationTable1">
    <w:name w:val="DissertationTable1"/>
    <w:basedOn w:val="Normal"/>
    <w:link w:val="DissertationTable1Char"/>
    <w:qFormat/>
    <w:rsid w:val="00DC7E36"/>
    <w:pPr>
      <w:tabs>
        <w:tab w:val="right" w:leader="dot" w:pos="9350"/>
      </w:tabs>
    </w:pPr>
    <w:rPr>
      <w:rFonts w:eastAsia="Yu Mincho"/>
      <w:noProof/>
      <w:sz w:val="24"/>
      <w:szCs w:val="24"/>
    </w:rPr>
  </w:style>
  <w:style w:type="paragraph" w:customStyle="1" w:styleId="DissertationFigure2">
    <w:name w:val="DissertationFigure2"/>
    <w:basedOn w:val="DissertationTable1"/>
    <w:link w:val="DissertationFigure2Char"/>
    <w:qFormat/>
    <w:rsid w:val="00DC7E36"/>
  </w:style>
  <w:style w:type="paragraph" w:styleId="BalloonText">
    <w:name w:val="Balloon Text"/>
    <w:basedOn w:val="Normal"/>
    <w:link w:val="BalloonTextChar"/>
    <w:uiPriority w:val="99"/>
    <w:semiHidden/>
    <w:unhideWhenUsed/>
    <w:rsid w:val="00DC7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36"/>
    <w:rPr>
      <w:rFonts w:ascii="Segoe UI" w:eastAsia="Calibri" w:hAnsi="Segoe UI" w:cs="Segoe UI"/>
      <w:sz w:val="18"/>
      <w:szCs w:val="18"/>
    </w:rPr>
  </w:style>
  <w:style w:type="paragraph" w:customStyle="1" w:styleId="Dissertation3">
    <w:name w:val="Dissertation3"/>
    <w:basedOn w:val="Normal"/>
    <w:qFormat/>
    <w:rsid w:val="00DC7E36"/>
    <w:rPr>
      <w:rFonts w:eastAsia="Yu Mincho"/>
      <w:b/>
      <w:sz w:val="24"/>
      <w:szCs w:val="24"/>
    </w:rPr>
  </w:style>
  <w:style w:type="character" w:customStyle="1" w:styleId="TextLucidaSansChar">
    <w:name w:val="Text (Lucida Sans) Char"/>
    <w:link w:val="TextLucidaSans"/>
    <w:rsid w:val="00DC7E36"/>
    <w:rPr>
      <w:rFonts w:ascii="Lucida Sans" w:eastAsia="MS Mincho" w:hAnsi="Lucida Sans" w:cs="Tahoma"/>
      <w:sz w:val="18"/>
      <w:lang w:val="en-GB"/>
    </w:rPr>
  </w:style>
  <w:style w:type="paragraph" w:customStyle="1" w:styleId="TextLucidaSans">
    <w:name w:val="Text (Lucida Sans)"/>
    <w:basedOn w:val="Normal"/>
    <w:link w:val="TextLucidaSansChar"/>
    <w:rsid w:val="00DC7E36"/>
    <w:pPr>
      <w:suppressAutoHyphens/>
      <w:jc w:val="both"/>
    </w:pPr>
    <w:rPr>
      <w:rFonts w:ascii="Lucida Sans" w:eastAsia="MS Mincho" w:hAnsi="Lucida Sans" w:cs="Tahoma"/>
      <w:sz w:val="18"/>
      <w:szCs w:val="22"/>
      <w:lang w:val="en-GB"/>
    </w:rPr>
  </w:style>
  <w:style w:type="paragraph" w:customStyle="1" w:styleId="EndNoteBibliographyTitle">
    <w:name w:val="EndNote Bibliography Title"/>
    <w:basedOn w:val="Normal"/>
    <w:link w:val="EndNoteBibliographyTitleChar"/>
    <w:rsid w:val="003D2920"/>
    <w:pPr>
      <w:jc w:val="center"/>
    </w:pPr>
    <w:rPr>
      <w:noProof/>
      <w:sz w:val="24"/>
    </w:rPr>
  </w:style>
  <w:style w:type="character" w:customStyle="1" w:styleId="DissertationTable1Char">
    <w:name w:val="DissertationTable1 Char"/>
    <w:basedOn w:val="DefaultParagraphFont"/>
    <w:link w:val="DissertationTable1"/>
    <w:rsid w:val="003D2920"/>
    <w:rPr>
      <w:rFonts w:ascii="Times New Roman" w:eastAsia="Yu Mincho" w:hAnsi="Times New Roman" w:cs="Times New Roman"/>
      <w:noProof/>
      <w:sz w:val="24"/>
      <w:szCs w:val="24"/>
    </w:rPr>
  </w:style>
  <w:style w:type="character" w:customStyle="1" w:styleId="DissertationFigure2Char">
    <w:name w:val="DissertationFigure2 Char"/>
    <w:basedOn w:val="DissertationTable1Char"/>
    <w:link w:val="DissertationFigure2"/>
    <w:rsid w:val="003D2920"/>
    <w:rPr>
      <w:rFonts w:ascii="Times New Roman" w:eastAsia="Yu Mincho" w:hAnsi="Times New Roman" w:cs="Times New Roman"/>
      <w:noProof/>
      <w:sz w:val="24"/>
      <w:szCs w:val="24"/>
    </w:rPr>
  </w:style>
  <w:style w:type="character" w:customStyle="1" w:styleId="EndNoteBibliographyTitleChar">
    <w:name w:val="EndNote Bibliography Title Char"/>
    <w:basedOn w:val="DissertationFigure2Char"/>
    <w:link w:val="EndNoteBibliographyTitle"/>
    <w:rsid w:val="003D2920"/>
    <w:rPr>
      <w:rFonts w:ascii="Times New Roman" w:eastAsia="Calibri" w:hAnsi="Times New Roman" w:cs="Times New Roman"/>
      <w:noProof/>
      <w:sz w:val="24"/>
      <w:szCs w:val="20"/>
    </w:rPr>
  </w:style>
  <w:style w:type="character" w:styleId="CommentReference">
    <w:name w:val="annotation reference"/>
    <w:basedOn w:val="DefaultParagraphFont"/>
    <w:uiPriority w:val="99"/>
    <w:semiHidden/>
    <w:unhideWhenUsed/>
    <w:rsid w:val="005B2920"/>
    <w:rPr>
      <w:sz w:val="16"/>
      <w:szCs w:val="16"/>
    </w:rPr>
  </w:style>
  <w:style w:type="paragraph" w:styleId="CommentSubject">
    <w:name w:val="annotation subject"/>
    <w:basedOn w:val="CommentText"/>
    <w:next w:val="CommentText"/>
    <w:link w:val="CommentSubjectChar"/>
    <w:uiPriority w:val="99"/>
    <w:semiHidden/>
    <w:unhideWhenUsed/>
    <w:rsid w:val="005B2920"/>
    <w:rPr>
      <w:rFonts w:eastAsia="Calibri"/>
      <w:b/>
      <w:bCs/>
    </w:rPr>
  </w:style>
  <w:style w:type="character" w:customStyle="1" w:styleId="CommentSubjectChar">
    <w:name w:val="Comment Subject Char"/>
    <w:basedOn w:val="CommentTextChar"/>
    <w:link w:val="CommentSubject"/>
    <w:uiPriority w:val="99"/>
    <w:semiHidden/>
    <w:rsid w:val="005B2920"/>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B1FD-3898-47BA-BCC0-C69F5571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Beltran</dc:creator>
  <cp:keywords/>
  <dc:description/>
  <cp:lastModifiedBy>Roxanne S. Beltran</cp:lastModifiedBy>
  <cp:revision>6</cp:revision>
  <dcterms:created xsi:type="dcterms:W3CDTF">2020-10-20T19:19:00Z</dcterms:created>
  <dcterms:modified xsi:type="dcterms:W3CDTF">2020-11-03T18:48:00Z</dcterms:modified>
</cp:coreProperties>
</file>