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061E4" w14:textId="77777777" w:rsidR="0032435E" w:rsidRDefault="0032435E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22"/>
          <w:szCs w:val="21"/>
          <w:lang w:val="en-GB"/>
        </w:rPr>
      </w:pPr>
    </w:p>
    <w:p w14:paraId="248BDB55" w14:textId="77777777" w:rsidR="0032435E" w:rsidRDefault="0032435E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22"/>
          <w:szCs w:val="21"/>
          <w:lang w:val="en-GB"/>
        </w:rPr>
      </w:pPr>
    </w:p>
    <w:p w14:paraId="23120807" w14:textId="72C5AD07" w:rsidR="0032435E" w:rsidRPr="001569FC" w:rsidRDefault="0032435E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32"/>
          <w:szCs w:val="32"/>
          <w:lang w:val="en-GB"/>
        </w:rPr>
      </w:pPr>
      <w:r w:rsidRPr="001569FC">
        <w:rPr>
          <w:rFonts w:ascii="Arial" w:hAnsi="Arial" w:cs="Arial"/>
          <w:b/>
          <w:sz w:val="32"/>
          <w:szCs w:val="32"/>
          <w:lang w:val="en-GB"/>
        </w:rPr>
        <w:t>Supplementary Material</w:t>
      </w:r>
    </w:p>
    <w:p w14:paraId="57195FE9" w14:textId="6AAEDC0E" w:rsidR="0032435E" w:rsidRDefault="0032435E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22"/>
          <w:szCs w:val="21"/>
          <w:lang w:val="en-GB"/>
        </w:rPr>
      </w:pPr>
    </w:p>
    <w:p w14:paraId="513D0583" w14:textId="77777777" w:rsidR="001569FC" w:rsidRDefault="001569FC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22"/>
          <w:szCs w:val="21"/>
          <w:lang w:val="en-GB"/>
        </w:rPr>
      </w:pPr>
    </w:p>
    <w:p w14:paraId="1ABFA8C1" w14:textId="28B53A03" w:rsidR="001911E6" w:rsidRPr="001569FC" w:rsidRDefault="00CE7998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34"/>
          <w:szCs w:val="34"/>
          <w:lang w:val="en-GB"/>
        </w:rPr>
      </w:pPr>
      <w:r w:rsidRPr="001569FC">
        <w:rPr>
          <w:rFonts w:ascii="Arial" w:hAnsi="Arial" w:cs="Arial"/>
          <w:b/>
          <w:sz w:val="34"/>
          <w:szCs w:val="34"/>
          <w:lang w:val="en-GB"/>
        </w:rPr>
        <w:t>Patient factors associated with new prescribing of potentially inappropriate medications in multimorbid US older adults using multiple medications</w:t>
      </w:r>
    </w:p>
    <w:p w14:paraId="4B7F4FF1" w14:textId="77777777" w:rsidR="00841AEC" w:rsidRDefault="00841AEC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30"/>
          <w:szCs w:val="30"/>
          <w:lang w:val="en-GB"/>
        </w:rPr>
      </w:pPr>
    </w:p>
    <w:p w14:paraId="0CEC3ACF" w14:textId="77777777" w:rsidR="00CE7998" w:rsidRDefault="00CE7998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22"/>
          <w:szCs w:val="21"/>
          <w:lang w:val="en-GB"/>
        </w:rPr>
      </w:pPr>
    </w:p>
    <w:p w14:paraId="7127AF44" w14:textId="77777777" w:rsidR="00841AEC" w:rsidRPr="00841AEC" w:rsidRDefault="00841AEC" w:rsidP="00841AEC">
      <w:pPr>
        <w:rPr>
          <w:rFonts w:ascii="Arial" w:hAnsi="Arial" w:cs="Arial"/>
          <w:vertAlign w:val="superscript"/>
        </w:rPr>
      </w:pPr>
      <w:r w:rsidRPr="00841AEC">
        <w:rPr>
          <w:rFonts w:ascii="Arial" w:hAnsi="Arial" w:cs="Arial"/>
        </w:rPr>
        <w:t>Katharina Tabea Jungo, MSc</w:t>
      </w:r>
      <w:r w:rsidRPr="00841AEC">
        <w:rPr>
          <w:rFonts w:ascii="Arial" w:hAnsi="Arial" w:cs="Arial"/>
          <w:vertAlign w:val="superscript"/>
        </w:rPr>
        <w:t>1,2,3,4</w:t>
      </w:r>
      <w:r w:rsidRPr="00841AEC">
        <w:rPr>
          <w:rFonts w:ascii="Arial" w:hAnsi="Arial" w:cs="Arial"/>
        </w:rPr>
        <w:t>, ORCID: 0000-0002-1782-1345</w:t>
      </w:r>
    </w:p>
    <w:p w14:paraId="1A7BA69C" w14:textId="77777777" w:rsidR="00841AEC" w:rsidRPr="00841AEC" w:rsidRDefault="00841AEC" w:rsidP="00841AEC">
      <w:pPr>
        <w:rPr>
          <w:rFonts w:ascii="Arial" w:hAnsi="Arial" w:cs="Arial"/>
          <w:lang w:val="de-CH"/>
        </w:rPr>
      </w:pPr>
      <w:r w:rsidRPr="00841AEC">
        <w:rPr>
          <w:rFonts w:ascii="Arial" w:hAnsi="Arial" w:cs="Arial"/>
          <w:lang w:val="de-CH"/>
        </w:rPr>
        <w:t>Sven Streit, MD, MSc, PhD</w:t>
      </w:r>
      <w:r w:rsidRPr="00841AEC">
        <w:rPr>
          <w:rFonts w:ascii="Arial" w:hAnsi="Arial" w:cs="Arial"/>
          <w:vertAlign w:val="superscript"/>
          <w:lang w:val="de-CH"/>
        </w:rPr>
        <w:t>1</w:t>
      </w:r>
      <w:r w:rsidRPr="00841AEC">
        <w:rPr>
          <w:rFonts w:ascii="Arial" w:hAnsi="Arial" w:cs="Arial"/>
          <w:lang w:val="de-CH"/>
        </w:rPr>
        <w:t xml:space="preserve">, ORCID: </w:t>
      </w:r>
      <w:r w:rsidRPr="00841AEC">
        <w:rPr>
          <w:rStyle w:val="orcid-id-https"/>
          <w:rFonts w:ascii="Arial" w:hAnsi="Arial" w:cs="Arial"/>
          <w:lang w:val="de-CH"/>
        </w:rPr>
        <w:t>0000-0002-3813-4616</w:t>
      </w:r>
    </w:p>
    <w:p w14:paraId="14B37F86" w14:textId="77777777" w:rsidR="00841AEC" w:rsidRPr="00841AEC" w:rsidRDefault="00841AEC" w:rsidP="00841AEC">
      <w:pPr>
        <w:rPr>
          <w:rFonts w:ascii="Arial" w:hAnsi="Arial" w:cs="Arial"/>
          <w:vertAlign w:val="superscript"/>
          <w:lang w:val="de-CH"/>
        </w:rPr>
      </w:pPr>
      <w:r w:rsidRPr="00841AEC">
        <w:rPr>
          <w:rFonts w:ascii="Arial" w:hAnsi="Arial" w:cs="Arial"/>
          <w:lang w:val="de-CH"/>
        </w:rPr>
        <w:t>Julie C Lauffenburger, PharmD, PhD</w:t>
      </w:r>
      <w:r w:rsidRPr="00841AEC">
        <w:rPr>
          <w:rFonts w:ascii="Arial" w:hAnsi="Arial" w:cs="Arial"/>
          <w:vertAlign w:val="superscript"/>
          <w:lang w:val="de-CH"/>
        </w:rPr>
        <w:t>3,5</w:t>
      </w:r>
      <w:r w:rsidRPr="00841AEC">
        <w:rPr>
          <w:rFonts w:ascii="Arial" w:hAnsi="Arial" w:cs="Arial"/>
          <w:lang w:val="de-CH"/>
        </w:rPr>
        <w:t xml:space="preserve">, ORCID: 0000-0002-4940-4140 </w:t>
      </w:r>
    </w:p>
    <w:p w14:paraId="452FEAC8" w14:textId="77777777" w:rsidR="00841AEC" w:rsidRPr="00841AEC" w:rsidRDefault="00841AEC" w:rsidP="00841AEC">
      <w:pPr>
        <w:rPr>
          <w:rFonts w:ascii="Arial" w:hAnsi="Arial" w:cs="Arial"/>
          <w:vertAlign w:val="superscript"/>
          <w:lang w:val="de-CH"/>
        </w:rPr>
      </w:pPr>
    </w:p>
    <w:p w14:paraId="5A4ECFD9" w14:textId="77777777" w:rsidR="00841AEC" w:rsidRPr="00841AEC" w:rsidRDefault="00841AEC" w:rsidP="00841AEC">
      <w:pPr>
        <w:rPr>
          <w:rFonts w:ascii="Arial" w:hAnsi="Arial" w:cs="Arial"/>
          <w:sz w:val="20"/>
        </w:rPr>
      </w:pPr>
      <w:r w:rsidRPr="00841AEC">
        <w:rPr>
          <w:rFonts w:ascii="Arial" w:hAnsi="Arial" w:cs="Arial"/>
          <w:sz w:val="20"/>
          <w:vertAlign w:val="superscript"/>
        </w:rPr>
        <w:t>1</w:t>
      </w:r>
      <w:r w:rsidRPr="00841AEC">
        <w:rPr>
          <w:rFonts w:ascii="Arial" w:hAnsi="Arial" w:cs="Arial"/>
          <w:sz w:val="20"/>
        </w:rPr>
        <w:t xml:space="preserve"> Institute of Primary Health Care (BIHAM), University of Bern, Bern, Switzerland.</w:t>
      </w:r>
    </w:p>
    <w:p w14:paraId="1C88A5D4" w14:textId="77777777" w:rsidR="00841AEC" w:rsidRPr="00841AEC" w:rsidRDefault="00841AEC" w:rsidP="00841AEC">
      <w:pPr>
        <w:rPr>
          <w:rFonts w:ascii="Arial" w:hAnsi="Arial" w:cs="Arial"/>
          <w:sz w:val="20"/>
        </w:rPr>
      </w:pPr>
      <w:r w:rsidRPr="00841AEC">
        <w:rPr>
          <w:rFonts w:ascii="Arial" w:hAnsi="Arial" w:cs="Arial"/>
          <w:sz w:val="20"/>
          <w:vertAlign w:val="superscript"/>
        </w:rPr>
        <w:t xml:space="preserve">2 </w:t>
      </w:r>
      <w:r w:rsidRPr="00841AEC">
        <w:rPr>
          <w:rFonts w:ascii="Arial" w:hAnsi="Arial" w:cs="Arial"/>
          <w:sz w:val="20"/>
        </w:rPr>
        <w:t>Department of Epidemiology, Harvard T.H. Chan School of Public Health, Boston, Massachusetts.</w:t>
      </w:r>
    </w:p>
    <w:p w14:paraId="414E825E" w14:textId="77777777" w:rsidR="00841AEC" w:rsidRPr="00841AEC" w:rsidRDefault="00841AEC" w:rsidP="00841AEC">
      <w:pPr>
        <w:rPr>
          <w:rFonts w:ascii="Arial" w:hAnsi="Arial" w:cs="Arial"/>
          <w:sz w:val="20"/>
        </w:rPr>
      </w:pPr>
      <w:r w:rsidRPr="00841AEC">
        <w:rPr>
          <w:rFonts w:ascii="Arial" w:hAnsi="Arial" w:cs="Arial"/>
          <w:sz w:val="20"/>
          <w:vertAlign w:val="superscript"/>
        </w:rPr>
        <w:t>3</w:t>
      </w:r>
      <w:r w:rsidRPr="00841AEC">
        <w:rPr>
          <w:rFonts w:ascii="Arial" w:hAnsi="Arial" w:cs="Arial"/>
          <w:sz w:val="20"/>
        </w:rPr>
        <w:t xml:space="preserve"> Division of Pharmacoepidemiology and Pharmacoeconomics, Department of Medicine, Brigham and Women's Hospital and Harvard Medical School, Boston, Massachusetts.</w:t>
      </w:r>
    </w:p>
    <w:p w14:paraId="7BEC2D81" w14:textId="77777777" w:rsidR="00841AEC" w:rsidRPr="00841AEC" w:rsidRDefault="00841AEC" w:rsidP="00841AEC">
      <w:pPr>
        <w:rPr>
          <w:rFonts w:ascii="Arial" w:hAnsi="Arial" w:cs="Arial"/>
          <w:sz w:val="20"/>
        </w:rPr>
      </w:pPr>
      <w:r w:rsidRPr="00841AEC">
        <w:rPr>
          <w:rFonts w:ascii="Arial" w:hAnsi="Arial" w:cs="Arial"/>
          <w:sz w:val="20"/>
          <w:vertAlign w:val="superscript"/>
        </w:rPr>
        <w:t xml:space="preserve">4 </w:t>
      </w:r>
      <w:r w:rsidRPr="00841AEC">
        <w:rPr>
          <w:rFonts w:ascii="Arial" w:hAnsi="Arial" w:cs="Arial"/>
          <w:sz w:val="20"/>
        </w:rPr>
        <w:t>Graduate School for Health Sciences, University of Bern, Switzerland</w:t>
      </w:r>
    </w:p>
    <w:p w14:paraId="2E9ABA81" w14:textId="64448E43" w:rsidR="00841AEC" w:rsidRDefault="00841AEC" w:rsidP="00841AEC">
      <w:pPr>
        <w:rPr>
          <w:rFonts w:ascii="Arial" w:hAnsi="Arial" w:cs="Arial"/>
          <w:sz w:val="20"/>
        </w:rPr>
      </w:pPr>
      <w:r w:rsidRPr="00841AEC">
        <w:rPr>
          <w:rFonts w:ascii="Arial" w:hAnsi="Arial" w:cs="Arial"/>
          <w:sz w:val="20"/>
          <w:vertAlign w:val="superscript"/>
        </w:rPr>
        <w:t>5</w:t>
      </w:r>
      <w:r w:rsidRPr="00841AEC">
        <w:rPr>
          <w:rFonts w:ascii="Arial" w:hAnsi="Arial" w:cs="Arial"/>
          <w:sz w:val="20"/>
        </w:rPr>
        <w:t xml:space="preserve"> Center for Healthcare Delivery Sciences, Department of Medicine, Brigham and Women's Hospital, Boston, Massachusetts.</w:t>
      </w:r>
    </w:p>
    <w:p w14:paraId="3CE95FD9" w14:textId="48689A1B" w:rsidR="00841AEC" w:rsidRPr="00841AEC" w:rsidRDefault="00841AEC" w:rsidP="00841A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60C2CD7" w14:textId="669EB52B" w:rsidR="004336A6" w:rsidRDefault="004336A6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i/>
          <w:sz w:val="22"/>
          <w:szCs w:val="21"/>
          <w:highlight w:val="yellow"/>
          <w:lang w:val="en-GB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GB"/>
        </w:rPr>
        <w:id w:val="66590557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0851A54" w14:textId="4B25695E" w:rsidR="004336A6" w:rsidRDefault="002259D6">
          <w:pPr>
            <w:pStyle w:val="TOCHeading"/>
            <w:rPr>
              <w:rFonts w:ascii="Arial" w:hAnsi="Arial" w:cs="Arial"/>
              <w:b/>
              <w:color w:val="auto"/>
            </w:rPr>
          </w:pPr>
          <w:r>
            <w:rPr>
              <w:rFonts w:ascii="Arial" w:hAnsi="Arial" w:cs="Arial"/>
              <w:b/>
              <w:color w:val="auto"/>
            </w:rPr>
            <w:t>Table of Content</w:t>
          </w:r>
          <w:bookmarkStart w:id="0" w:name="_GoBack"/>
          <w:bookmarkEnd w:id="0"/>
        </w:p>
        <w:p w14:paraId="04D6CE69" w14:textId="77777777" w:rsidR="009D1DA0" w:rsidRPr="00FE592B" w:rsidRDefault="009D1DA0" w:rsidP="009D1DA0">
          <w:pPr>
            <w:rPr>
              <w:rFonts w:ascii="Arial" w:hAnsi="Arial" w:cs="Arial"/>
              <w:lang w:val="en-US"/>
            </w:rPr>
          </w:pPr>
        </w:p>
        <w:p w14:paraId="01C9AA27" w14:textId="30D5E3F2" w:rsidR="00FE592B" w:rsidRPr="00FE592B" w:rsidRDefault="004336A6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r w:rsidRPr="00FE592B">
            <w:rPr>
              <w:rFonts w:ascii="Arial" w:hAnsi="Arial" w:cs="Arial"/>
            </w:rPr>
            <w:fldChar w:fldCharType="begin"/>
          </w:r>
          <w:r w:rsidRPr="00FE592B">
            <w:rPr>
              <w:rFonts w:ascii="Arial" w:hAnsi="Arial" w:cs="Arial"/>
            </w:rPr>
            <w:instrText xml:space="preserve"> TOC \o "1-3" \h \z \u </w:instrText>
          </w:r>
          <w:r w:rsidRPr="00FE592B">
            <w:rPr>
              <w:rFonts w:ascii="Arial" w:hAnsi="Arial" w:cs="Arial"/>
            </w:rPr>
            <w:fldChar w:fldCharType="separate"/>
          </w:r>
          <w:hyperlink w:anchor="_Toc58255218" w:history="1">
            <w:r w:rsidR="00FE592B" w:rsidRPr="00FE592B">
              <w:rPr>
                <w:rStyle w:val="Hyperlink"/>
                <w:rFonts w:ascii="Arial" w:hAnsi="Arial" w:cs="Arial"/>
                <w:noProof/>
              </w:rPr>
              <w:t>eTable 1. Beers criteria included in the analyses</w:t>
            </w:r>
            <w:r w:rsidR="00FE592B" w:rsidRPr="00FE592B">
              <w:rPr>
                <w:rFonts w:ascii="Arial" w:hAnsi="Arial" w:cs="Arial"/>
                <w:noProof/>
                <w:webHidden/>
              </w:rPr>
              <w:tab/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92B" w:rsidRPr="00FE592B">
              <w:rPr>
                <w:rFonts w:ascii="Arial" w:hAnsi="Arial" w:cs="Arial"/>
                <w:noProof/>
                <w:webHidden/>
              </w:rPr>
              <w:instrText xml:space="preserve"> PAGEREF _Toc58255218 \h </w:instrText>
            </w:r>
            <w:r w:rsidR="00FE592B" w:rsidRPr="00FE592B">
              <w:rPr>
                <w:rFonts w:ascii="Arial" w:hAnsi="Arial" w:cs="Arial"/>
                <w:noProof/>
                <w:webHidden/>
              </w:rPr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92B" w:rsidRPr="00FE592B">
              <w:rPr>
                <w:rFonts w:ascii="Arial" w:hAnsi="Arial" w:cs="Arial"/>
                <w:noProof/>
                <w:webHidden/>
              </w:rPr>
              <w:t>2</w:t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91415B" w14:textId="7440C4BD" w:rsidR="00FE592B" w:rsidRPr="00FE592B" w:rsidRDefault="002259D6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8255219" w:history="1">
            <w:r w:rsidR="00FE592B" w:rsidRPr="00FE592B">
              <w:rPr>
                <w:rStyle w:val="Hyperlink"/>
                <w:rFonts w:ascii="Arial" w:hAnsi="Arial" w:cs="Arial"/>
                <w:noProof/>
              </w:rPr>
              <w:t>eTable 2. Cohort with 365 days baseline period (N = 22,072): Multivariable associations between demographic and clinical factors and the prescribing of potentially inappropriate medications (PIMs)</w:t>
            </w:r>
            <w:r w:rsidR="00FE592B" w:rsidRPr="00FE592B">
              <w:rPr>
                <w:rFonts w:ascii="Arial" w:hAnsi="Arial" w:cs="Arial"/>
                <w:noProof/>
                <w:webHidden/>
              </w:rPr>
              <w:tab/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92B" w:rsidRPr="00FE592B">
              <w:rPr>
                <w:rFonts w:ascii="Arial" w:hAnsi="Arial" w:cs="Arial"/>
                <w:noProof/>
                <w:webHidden/>
              </w:rPr>
              <w:instrText xml:space="preserve"> PAGEREF _Toc58255219 \h </w:instrText>
            </w:r>
            <w:r w:rsidR="00FE592B" w:rsidRPr="00FE592B">
              <w:rPr>
                <w:rFonts w:ascii="Arial" w:hAnsi="Arial" w:cs="Arial"/>
                <w:noProof/>
                <w:webHidden/>
              </w:rPr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92B" w:rsidRPr="00FE592B">
              <w:rPr>
                <w:rFonts w:ascii="Arial" w:hAnsi="Arial" w:cs="Arial"/>
                <w:noProof/>
                <w:webHidden/>
              </w:rPr>
              <w:t>5</w:t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8519D3" w14:textId="0A53AAFC" w:rsidR="00FE592B" w:rsidRPr="00FE592B" w:rsidRDefault="002259D6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8255220" w:history="1">
            <w:r w:rsidR="00FE592B" w:rsidRPr="00FE592B">
              <w:rPr>
                <w:rStyle w:val="Hyperlink"/>
                <w:rFonts w:ascii="Arial" w:hAnsi="Arial" w:cs="Arial"/>
                <w:noProof/>
              </w:rPr>
              <w:t>eTable 3. Multivariable associations between demographic and clinical factors (continuous variables) and the prescribing of potentially inappropriate medications (PIMs)</w:t>
            </w:r>
            <w:r w:rsidR="00FE592B" w:rsidRPr="00FE592B">
              <w:rPr>
                <w:rFonts w:ascii="Arial" w:hAnsi="Arial" w:cs="Arial"/>
                <w:noProof/>
                <w:webHidden/>
              </w:rPr>
              <w:tab/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92B" w:rsidRPr="00FE592B">
              <w:rPr>
                <w:rFonts w:ascii="Arial" w:hAnsi="Arial" w:cs="Arial"/>
                <w:noProof/>
                <w:webHidden/>
              </w:rPr>
              <w:instrText xml:space="preserve"> PAGEREF _Toc58255220 \h </w:instrText>
            </w:r>
            <w:r w:rsidR="00FE592B" w:rsidRPr="00FE592B">
              <w:rPr>
                <w:rFonts w:ascii="Arial" w:hAnsi="Arial" w:cs="Arial"/>
                <w:noProof/>
                <w:webHidden/>
              </w:rPr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92B" w:rsidRPr="00FE592B">
              <w:rPr>
                <w:rFonts w:ascii="Arial" w:hAnsi="Arial" w:cs="Arial"/>
                <w:noProof/>
                <w:webHidden/>
              </w:rPr>
              <w:t>7</w:t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03C955C" w14:textId="5521272D" w:rsidR="00FE592B" w:rsidRPr="00FE592B" w:rsidRDefault="002259D6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8255221" w:history="1">
            <w:r w:rsidR="00FE592B" w:rsidRPr="00FE592B">
              <w:rPr>
                <w:rStyle w:val="Hyperlink"/>
                <w:rFonts w:ascii="Arial" w:hAnsi="Arial" w:cs="Arial"/>
                <w:noProof/>
              </w:rPr>
              <w:t>eTable 4. Unadjusted and multivariable associations between demographic and clinical factors and the prescribing of potentially inappropriate medications (logistic regression)</w:t>
            </w:r>
            <w:r w:rsidR="00FE592B" w:rsidRPr="00FE592B">
              <w:rPr>
                <w:rFonts w:ascii="Arial" w:hAnsi="Arial" w:cs="Arial"/>
                <w:noProof/>
                <w:webHidden/>
              </w:rPr>
              <w:tab/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92B" w:rsidRPr="00FE592B">
              <w:rPr>
                <w:rFonts w:ascii="Arial" w:hAnsi="Arial" w:cs="Arial"/>
                <w:noProof/>
                <w:webHidden/>
              </w:rPr>
              <w:instrText xml:space="preserve"> PAGEREF _Toc58255221 \h </w:instrText>
            </w:r>
            <w:r w:rsidR="00FE592B" w:rsidRPr="00FE592B">
              <w:rPr>
                <w:rFonts w:ascii="Arial" w:hAnsi="Arial" w:cs="Arial"/>
                <w:noProof/>
                <w:webHidden/>
              </w:rPr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92B" w:rsidRPr="00FE592B">
              <w:rPr>
                <w:rFonts w:ascii="Arial" w:hAnsi="Arial" w:cs="Arial"/>
                <w:noProof/>
                <w:webHidden/>
              </w:rPr>
              <w:t>9</w:t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3ABEDD" w14:textId="19D532AA" w:rsidR="00FE592B" w:rsidRPr="00FE592B" w:rsidRDefault="002259D6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8255222" w:history="1">
            <w:r w:rsidR="00FE592B" w:rsidRPr="00FE592B">
              <w:rPr>
                <w:rStyle w:val="Hyperlink"/>
                <w:rFonts w:ascii="Arial" w:hAnsi="Arial" w:cs="Arial"/>
                <w:noProof/>
              </w:rPr>
              <w:t>eTable 5. Multivariable associations between demographic and clinical factors and the prescribing of potentially inappropriate medications (PIMs) with moderate or high levels of evidence*</w:t>
            </w:r>
            <w:r w:rsidR="00FE592B" w:rsidRPr="00FE592B">
              <w:rPr>
                <w:rFonts w:ascii="Arial" w:hAnsi="Arial" w:cs="Arial"/>
                <w:noProof/>
                <w:webHidden/>
              </w:rPr>
              <w:tab/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92B" w:rsidRPr="00FE592B">
              <w:rPr>
                <w:rFonts w:ascii="Arial" w:hAnsi="Arial" w:cs="Arial"/>
                <w:noProof/>
                <w:webHidden/>
              </w:rPr>
              <w:instrText xml:space="preserve"> PAGEREF _Toc58255222 \h </w:instrText>
            </w:r>
            <w:r w:rsidR="00FE592B" w:rsidRPr="00FE592B">
              <w:rPr>
                <w:rFonts w:ascii="Arial" w:hAnsi="Arial" w:cs="Arial"/>
                <w:noProof/>
                <w:webHidden/>
              </w:rPr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92B" w:rsidRPr="00FE592B">
              <w:rPr>
                <w:rFonts w:ascii="Arial" w:hAnsi="Arial" w:cs="Arial"/>
                <w:noProof/>
                <w:webHidden/>
              </w:rPr>
              <w:t>11</w:t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B91953" w14:textId="59749A7A" w:rsidR="00FE592B" w:rsidRPr="00FE592B" w:rsidRDefault="002259D6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8255223" w:history="1">
            <w:r w:rsidR="00FE592B" w:rsidRPr="00FE592B">
              <w:rPr>
                <w:rStyle w:val="Hyperlink"/>
                <w:rFonts w:ascii="Arial" w:hAnsi="Arial" w:cs="Arial"/>
                <w:noProof/>
              </w:rPr>
              <w:t>eTable 6. Multivariable associations between demographic and clinical factors and the prescribing of potentially inappropriate medications in patients with ≥3 chronic conditions</w:t>
            </w:r>
            <w:r w:rsidR="00FE592B" w:rsidRPr="00FE592B">
              <w:rPr>
                <w:rFonts w:ascii="Arial" w:hAnsi="Arial" w:cs="Arial"/>
                <w:noProof/>
                <w:webHidden/>
              </w:rPr>
              <w:tab/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92B" w:rsidRPr="00FE592B">
              <w:rPr>
                <w:rFonts w:ascii="Arial" w:hAnsi="Arial" w:cs="Arial"/>
                <w:noProof/>
                <w:webHidden/>
              </w:rPr>
              <w:instrText xml:space="preserve"> PAGEREF _Toc58255223 \h </w:instrText>
            </w:r>
            <w:r w:rsidR="00FE592B" w:rsidRPr="00FE592B">
              <w:rPr>
                <w:rFonts w:ascii="Arial" w:hAnsi="Arial" w:cs="Arial"/>
                <w:noProof/>
                <w:webHidden/>
              </w:rPr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92B" w:rsidRPr="00FE592B">
              <w:rPr>
                <w:rFonts w:ascii="Arial" w:hAnsi="Arial" w:cs="Arial"/>
                <w:noProof/>
                <w:webHidden/>
              </w:rPr>
              <w:t>13</w:t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0D5480" w14:textId="4E42EF27" w:rsidR="00FE592B" w:rsidRPr="00FE592B" w:rsidRDefault="002259D6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8255224" w:history="1">
            <w:r w:rsidR="00FE592B" w:rsidRPr="00FE592B">
              <w:rPr>
                <w:rStyle w:val="Hyperlink"/>
                <w:rFonts w:ascii="Arial" w:hAnsi="Arial" w:cs="Arial"/>
                <w:noProof/>
              </w:rPr>
              <w:t>eTable 7. Multivariable associations between demographic and clinical factors and the prescribing of potentially inappropriate medications in patients with min. 2 ambulatory visits recorded in the electronic medical records during the baseline period</w:t>
            </w:r>
            <w:r w:rsidR="00FE592B" w:rsidRPr="00FE592B">
              <w:rPr>
                <w:rFonts w:ascii="Arial" w:hAnsi="Arial" w:cs="Arial"/>
                <w:noProof/>
                <w:webHidden/>
              </w:rPr>
              <w:tab/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92B" w:rsidRPr="00FE592B">
              <w:rPr>
                <w:rFonts w:ascii="Arial" w:hAnsi="Arial" w:cs="Arial"/>
                <w:noProof/>
                <w:webHidden/>
              </w:rPr>
              <w:instrText xml:space="preserve"> PAGEREF _Toc58255224 \h </w:instrText>
            </w:r>
            <w:r w:rsidR="00FE592B" w:rsidRPr="00FE592B">
              <w:rPr>
                <w:rFonts w:ascii="Arial" w:hAnsi="Arial" w:cs="Arial"/>
                <w:noProof/>
                <w:webHidden/>
              </w:rPr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92B" w:rsidRPr="00FE592B">
              <w:rPr>
                <w:rFonts w:ascii="Arial" w:hAnsi="Arial" w:cs="Arial"/>
                <w:noProof/>
                <w:webHidden/>
              </w:rPr>
              <w:t>15</w:t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6F9A0D" w14:textId="6DE14E52" w:rsidR="00FE592B" w:rsidRPr="00FE592B" w:rsidRDefault="002259D6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8255225" w:history="1">
            <w:r w:rsidR="00FE592B" w:rsidRPr="00FE592B">
              <w:rPr>
                <w:rStyle w:val="Hyperlink"/>
                <w:rFonts w:ascii="Arial" w:hAnsi="Arial" w:cs="Arial"/>
                <w:noProof/>
              </w:rPr>
              <w:t>eTable 8. Multivariable associations between demographic and clinical factors and the prescribing of potentially inappropriate medications in patients: Sensitivity analysis with claims-based frailty index</w:t>
            </w:r>
            <w:r w:rsidR="00FE592B" w:rsidRPr="00FE592B">
              <w:rPr>
                <w:rFonts w:ascii="Arial" w:hAnsi="Arial" w:cs="Arial"/>
                <w:noProof/>
                <w:webHidden/>
              </w:rPr>
              <w:tab/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92B" w:rsidRPr="00FE592B">
              <w:rPr>
                <w:rFonts w:ascii="Arial" w:hAnsi="Arial" w:cs="Arial"/>
                <w:noProof/>
                <w:webHidden/>
              </w:rPr>
              <w:instrText xml:space="preserve"> PAGEREF _Toc58255225 \h </w:instrText>
            </w:r>
            <w:r w:rsidR="00FE592B" w:rsidRPr="00FE592B">
              <w:rPr>
                <w:rFonts w:ascii="Arial" w:hAnsi="Arial" w:cs="Arial"/>
                <w:noProof/>
                <w:webHidden/>
              </w:rPr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92B" w:rsidRPr="00FE592B">
              <w:rPr>
                <w:rFonts w:ascii="Arial" w:hAnsi="Arial" w:cs="Arial"/>
                <w:noProof/>
                <w:webHidden/>
              </w:rPr>
              <w:t>17</w:t>
            </w:r>
            <w:r w:rsidR="00FE592B" w:rsidRPr="00FE592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4FB6E5" w14:textId="76F3CB42" w:rsidR="004336A6" w:rsidRDefault="004336A6">
          <w:r w:rsidRPr="00FE592B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C12B4BA" w14:textId="55CF6712" w:rsidR="0032435E" w:rsidRDefault="0032435E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22"/>
          <w:szCs w:val="21"/>
          <w:lang w:val="en-GB"/>
        </w:rPr>
      </w:pPr>
    </w:p>
    <w:p w14:paraId="60356D2F" w14:textId="21021C56" w:rsidR="00AE746F" w:rsidRDefault="00AE746F">
      <w:pPr>
        <w:rPr>
          <w:rFonts w:ascii="Arial" w:eastAsiaTheme="minorEastAsia" w:hAnsi="Arial" w:cs="Arial"/>
          <w:b/>
          <w:kern w:val="2"/>
          <w:szCs w:val="21"/>
          <w:lang w:eastAsia="zh-CN"/>
        </w:rPr>
      </w:pPr>
      <w:r>
        <w:rPr>
          <w:rFonts w:ascii="Arial" w:hAnsi="Arial" w:cs="Arial"/>
          <w:b/>
          <w:szCs w:val="21"/>
        </w:rPr>
        <w:br w:type="page"/>
      </w:r>
    </w:p>
    <w:p w14:paraId="787FBF2B" w14:textId="77777777" w:rsidR="00B248C1" w:rsidRDefault="00B248C1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22"/>
          <w:szCs w:val="21"/>
          <w:lang w:val="en-GB"/>
        </w:rPr>
        <w:sectPr w:rsidR="00B248C1" w:rsidSect="00B248C1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A361438" w14:textId="7BA55FEF" w:rsidR="00AE746F" w:rsidRPr="002276F2" w:rsidRDefault="002276F2" w:rsidP="002276F2">
      <w:pPr>
        <w:pStyle w:val="Heading1"/>
      </w:pPr>
      <w:bookmarkStart w:id="1" w:name="_Toc58255218"/>
      <w:r w:rsidRPr="002276F2">
        <w:lastRenderedPageBreak/>
        <w:t>eTable 1. Beers criteria included in the analyses</w:t>
      </w:r>
      <w:bookmarkEnd w:id="1"/>
    </w:p>
    <w:p w14:paraId="125E54B4" w14:textId="77777777" w:rsidR="002276F2" w:rsidRDefault="002276F2" w:rsidP="00A65947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22"/>
          <w:szCs w:val="2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0551"/>
      </w:tblGrid>
      <w:tr w:rsidR="00FF55FD" w14:paraId="717F4420" w14:textId="44457E8A" w:rsidTr="00A65947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5F471" w14:textId="69636DA1" w:rsidR="00FF55FD" w:rsidRPr="00FF55FD" w:rsidRDefault="00FF55FD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b/>
                <w:sz w:val="22"/>
                <w:szCs w:val="21"/>
                <w:lang w:val="en-GB"/>
              </w:rPr>
            </w:pPr>
            <w:r w:rsidRPr="00FF55FD">
              <w:rPr>
                <w:rFonts w:ascii="Arial" w:hAnsi="Arial" w:cs="Arial"/>
                <w:b/>
                <w:sz w:val="22"/>
                <w:szCs w:val="21"/>
                <w:lang w:val="en-GB"/>
              </w:rPr>
              <w:t>Medications</w:t>
            </w:r>
          </w:p>
        </w:tc>
        <w:tc>
          <w:tcPr>
            <w:tcW w:w="10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1443C8" w14:textId="000A80E5" w:rsidR="00FF55FD" w:rsidRPr="00FF55FD" w:rsidRDefault="007C6A88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b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1"/>
                <w:lang w:val="en-GB"/>
              </w:rPr>
              <w:t>Comments</w:t>
            </w:r>
          </w:p>
        </w:tc>
      </w:tr>
      <w:tr w:rsidR="00FF55FD" w14:paraId="583D1DD3" w14:textId="77777777" w:rsidTr="00A65947">
        <w:tc>
          <w:tcPr>
            <w:tcW w:w="13948" w:type="dxa"/>
            <w:gridSpan w:val="2"/>
            <w:tcBorders>
              <w:top w:val="single" w:sz="4" w:space="0" w:color="auto"/>
            </w:tcBorders>
          </w:tcPr>
          <w:p w14:paraId="4D307D20" w14:textId="13EE5D2C" w:rsidR="00FF55FD" w:rsidRPr="00FE0EDE" w:rsidRDefault="00FF55FD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i/>
                <w:sz w:val="22"/>
                <w:szCs w:val="21"/>
                <w:lang w:val="en-GB"/>
              </w:rPr>
            </w:pPr>
            <w:r w:rsidRPr="00FE0EDE">
              <w:rPr>
                <w:rFonts w:ascii="Arial" w:hAnsi="Arial" w:cs="Arial"/>
                <w:i/>
                <w:sz w:val="22"/>
                <w:szCs w:val="21"/>
                <w:lang w:val="en-GB"/>
              </w:rPr>
              <w:t>Anticholinergics</w:t>
            </w:r>
          </w:p>
        </w:tc>
      </w:tr>
      <w:tr w:rsidR="009A4971" w14:paraId="0EDEDA2C" w14:textId="77777777" w:rsidTr="00A65947">
        <w:tc>
          <w:tcPr>
            <w:tcW w:w="3397" w:type="dxa"/>
          </w:tcPr>
          <w:p w14:paraId="048459E2" w14:textId="4E96D4FC" w:rsidR="009A4971" w:rsidRPr="006369F5" w:rsidRDefault="00FE0EDE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 xml:space="preserve">First-generation antihistamines </w:t>
            </w:r>
          </w:p>
        </w:tc>
        <w:tc>
          <w:tcPr>
            <w:tcW w:w="10551" w:type="dxa"/>
          </w:tcPr>
          <w:p w14:paraId="6478F1BD" w14:textId="27BA35D4" w:rsidR="009A4971" w:rsidRPr="006369F5" w:rsidRDefault="00D21A51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 xml:space="preserve">medications flagged as potentially inappropriate </w:t>
            </w:r>
            <w:r w:rsidR="00FE0EDE">
              <w:rPr>
                <w:rFonts w:ascii="Arial" w:hAnsi="Arial" w:cs="Arial"/>
                <w:sz w:val="22"/>
                <w:szCs w:val="21"/>
                <w:lang w:val="en-GB"/>
              </w:rPr>
              <w:t>as listed in table 2 of the 2019 Beers criteria</w:t>
            </w:r>
          </w:p>
        </w:tc>
      </w:tr>
      <w:tr w:rsidR="00D21A51" w14:paraId="782E90BC" w14:textId="77777777" w:rsidTr="00A65947">
        <w:tc>
          <w:tcPr>
            <w:tcW w:w="3397" w:type="dxa"/>
          </w:tcPr>
          <w:p w14:paraId="1E384C60" w14:textId="11AEAD22" w:rsidR="00D21A51" w:rsidRPr="006369F5" w:rsidRDefault="00D21A51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Antiparkinsoinian agents</w:t>
            </w:r>
          </w:p>
        </w:tc>
        <w:tc>
          <w:tcPr>
            <w:tcW w:w="10551" w:type="dxa"/>
          </w:tcPr>
          <w:p w14:paraId="70D6B6C5" w14:textId="08A384D7" w:rsidR="00D21A51" w:rsidRPr="006369F5" w:rsidRDefault="00D21A51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medications flagged as potentially inappropriate as listed in table 2 of the 2019 Beers criteria</w:t>
            </w:r>
          </w:p>
        </w:tc>
      </w:tr>
      <w:tr w:rsidR="00D21A51" w14:paraId="59F8357F" w14:textId="77777777" w:rsidTr="00A65947">
        <w:tc>
          <w:tcPr>
            <w:tcW w:w="3397" w:type="dxa"/>
          </w:tcPr>
          <w:p w14:paraId="7F9D8792" w14:textId="05A7616B" w:rsidR="00D21A51" w:rsidRPr="006369F5" w:rsidRDefault="00D21A51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Antispasmodics</w:t>
            </w:r>
          </w:p>
        </w:tc>
        <w:tc>
          <w:tcPr>
            <w:tcW w:w="10551" w:type="dxa"/>
          </w:tcPr>
          <w:p w14:paraId="5966DB4E" w14:textId="29C76806" w:rsidR="00D21A51" w:rsidRPr="006369F5" w:rsidRDefault="00D21A51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medications flagged as potentially inappropriate as listed in table 2 of the 2019 Beers criteria</w:t>
            </w:r>
          </w:p>
        </w:tc>
      </w:tr>
      <w:tr w:rsidR="00FE0EDE" w14:paraId="45FE3AB9" w14:textId="77777777" w:rsidTr="00A65947">
        <w:tc>
          <w:tcPr>
            <w:tcW w:w="13948" w:type="dxa"/>
            <w:gridSpan w:val="2"/>
          </w:tcPr>
          <w:p w14:paraId="65032DBB" w14:textId="257568B2" w:rsidR="00FE0EDE" w:rsidRPr="00FE0EDE" w:rsidRDefault="00FE0EDE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i/>
                <w:sz w:val="22"/>
                <w:szCs w:val="21"/>
                <w:lang w:val="en-GB"/>
              </w:rPr>
            </w:pPr>
            <w:r w:rsidRPr="00FE0EDE">
              <w:rPr>
                <w:rFonts w:ascii="Arial" w:hAnsi="Arial" w:cs="Arial"/>
                <w:i/>
                <w:sz w:val="22"/>
                <w:szCs w:val="21"/>
                <w:lang w:val="en-GB"/>
              </w:rPr>
              <w:t>Antithrombotics</w:t>
            </w:r>
          </w:p>
        </w:tc>
      </w:tr>
      <w:tr w:rsidR="00D21A51" w14:paraId="5FB9C373" w14:textId="77777777" w:rsidTr="00A65947">
        <w:tc>
          <w:tcPr>
            <w:tcW w:w="3397" w:type="dxa"/>
          </w:tcPr>
          <w:p w14:paraId="30769B4F" w14:textId="54C349B5" w:rsidR="00D21A51" w:rsidRDefault="00D21A51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Dipyridamole</w:t>
            </w:r>
          </w:p>
        </w:tc>
        <w:tc>
          <w:tcPr>
            <w:tcW w:w="10551" w:type="dxa"/>
          </w:tcPr>
          <w:p w14:paraId="5130FF2A" w14:textId="2FB33101" w:rsidR="00D21A51" w:rsidRDefault="00D21A51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medications flagged as potentially inappropriate as listed in table 2 of the 2019 Beers criteria</w:t>
            </w:r>
          </w:p>
        </w:tc>
      </w:tr>
      <w:tr w:rsidR="007C6A88" w14:paraId="3FF2EA51" w14:textId="77777777" w:rsidTr="00A65947">
        <w:tc>
          <w:tcPr>
            <w:tcW w:w="13948" w:type="dxa"/>
            <w:gridSpan w:val="2"/>
          </w:tcPr>
          <w:p w14:paraId="719017EE" w14:textId="3A305E2C" w:rsidR="007C6A88" w:rsidRPr="007C6A88" w:rsidRDefault="007C6A88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i/>
                <w:sz w:val="22"/>
                <w:szCs w:val="21"/>
                <w:lang w:val="en-GB"/>
              </w:rPr>
            </w:pPr>
            <w:r w:rsidRPr="007C6A88">
              <w:rPr>
                <w:rFonts w:ascii="Arial" w:hAnsi="Arial" w:cs="Arial"/>
                <w:i/>
                <w:sz w:val="22"/>
                <w:szCs w:val="21"/>
                <w:lang w:val="en-GB"/>
              </w:rPr>
              <w:t>Anti-infective</w:t>
            </w:r>
          </w:p>
        </w:tc>
      </w:tr>
      <w:tr w:rsidR="00FE0EDE" w14:paraId="010A6A9F" w14:textId="77777777" w:rsidTr="00A65947">
        <w:tc>
          <w:tcPr>
            <w:tcW w:w="3397" w:type="dxa"/>
          </w:tcPr>
          <w:p w14:paraId="6D9DA18A" w14:textId="6C298F4A" w:rsidR="00FE0EDE" w:rsidRDefault="007C6A88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Nitrofurantoin</w:t>
            </w:r>
          </w:p>
        </w:tc>
        <w:tc>
          <w:tcPr>
            <w:tcW w:w="10551" w:type="dxa"/>
          </w:tcPr>
          <w:p w14:paraId="534B0BA4" w14:textId="4CF321F4" w:rsidR="00FE0EDE" w:rsidRDefault="009E6FBC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 xml:space="preserve">flagged as potentially inappropriate when </w:t>
            </w:r>
            <w:r w:rsidR="00306690">
              <w:rPr>
                <w:rFonts w:ascii="Arial" w:hAnsi="Arial" w:cs="Arial"/>
                <w:sz w:val="22"/>
                <w:szCs w:val="21"/>
                <w:lang w:val="en-GB"/>
              </w:rPr>
              <w:t xml:space="preserve">Nitrofurantoin used for ≥90days or </w:t>
            </w:r>
            <w:r w:rsidR="007254B0">
              <w:rPr>
                <w:rFonts w:ascii="Arial" w:hAnsi="Arial" w:cs="Arial"/>
                <w:sz w:val="22"/>
                <w:szCs w:val="21"/>
                <w:lang w:val="en-GB"/>
              </w:rPr>
              <w:t>with min. 2 refills or in individuals with creatinine clearance &lt;30mL/min</w:t>
            </w:r>
          </w:p>
        </w:tc>
      </w:tr>
      <w:tr w:rsidR="007254B0" w14:paraId="21748F89" w14:textId="77777777" w:rsidTr="00A65947">
        <w:tc>
          <w:tcPr>
            <w:tcW w:w="13948" w:type="dxa"/>
            <w:gridSpan w:val="2"/>
          </w:tcPr>
          <w:p w14:paraId="638932F3" w14:textId="06F24060" w:rsidR="007254B0" w:rsidRPr="007254B0" w:rsidRDefault="007254B0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i/>
                <w:sz w:val="22"/>
                <w:szCs w:val="21"/>
                <w:lang w:val="en-GB"/>
              </w:rPr>
            </w:pPr>
            <w:r w:rsidRPr="007254B0">
              <w:rPr>
                <w:rFonts w:ascii="Arial" w:hAnsi="Arial" w:cs="Arial"/>
                <w:i/>
                <w:sz w:val="22"/>
                <w:szCs w:val="21"/>
                <w:lang w:val="en-GB"/>
              </w:rPr>
              <w:t>Cardiovascular</w:t>
            </w:r>
          </w:p>
        </w:tc>
      </w:tr>
      <w:tr w:rsidR="00FE0EDE" w14:paraId="1E3800FC" w14:textId="77777777" w:rsidTr="00A65947">
        <w:tc>
          <w:tcPr>
            <w:tcW w:w="3397" w:type="dxa"/>
          </w:tcPr>
          <w:p w14:paraId="2EC864F5" w14:textId="384C7753" w:rsidR="00FE0EDE" w:rsidRDefault="007254B0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Peripheral alpha-1 blockers for treatment of hypertension</w:t>
            </w:r>
          </w:p>
        </w:tc>
        <w:tc>
          <w:tcPr>
            <w:tcW w:w="10551" w:type="dxa"/>
          </w:tcPr>
          <w:p w14:paraId="58D5D422" w14:textId="0929041C" w:rsidR="00FE0EDE" w:rsidRDefault="00283DD5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 xml:space="preserve">flagged as </w:t>
            </w:r>
            <w:r w:rsidR="009E6FBC">
              <w:rPr>
                <w:rFonts w:ascii="Arial" w:hAnsi="Arial" w:cs="Arial"/>
                <w:sz w:val="22"/>
                <w:szCs w:val="21"/>
                <w:lang w:val="en-GB"/>
              </w:rPr>
              <w:t xml:space="preserve">potentially </w:t>
            </w:r>
            <w:r>
              <w:rPr>
                <w:rFonts w:ascii="Arial" w:hAnsi="Arial" w:cs="Arial"/>
                <w:sz w:val="22"/>
                <w:szCs w:val="21"/>
                <w:lang w:val="en-GB"/>
              </w:rPr>
              <w:t>inappropriate when preceded by hypertension diagnosis</w:t>
            </w:r>
          </w:p>
        </w:tc>
      </w:tr>
      <w:tr w:rsidR="00FE0EDE" w14:paraId="4C3BD850" w14:textId="77777777" w:rsidTr="00A65947">
        <w:tc>
          <w:tcPr>
            <w:tcW w:w="3397" w:type="dxa"/>
          </w:tcPr>
          <w:p w14:paraId="111234AB" w14:textId="6233FF01" w:rsidR="00FE0EDE" w:rsidRDefault="00283DD5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Central alpha agonists, other CNS alpha-agonists</w:t>
            </w:r>
          </w:p>
        </w:tc>
        <w:tc>
          <w:tcPr>
            <w:tcW w:w="10551" w:type="dxa"/>
          </w:tcPr>
          <w:p w14:paraId="027B38BA" w14:textId="3BDC051F" w:rsidR="00FE0EDE" w:rsidRDefault="00283DD5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Clonidine flagged as</w:t>
            </w:r>
            <w:r w:rsidR="00DC5817">
              <w:rPr>
                <w:rFonts w:ascii="Arial" w:hAnsi="Arial" w:cs="Arial"/>
                <w:sz w:val="22"/>
                <w:szCs w:val="21"/>
                <w:lang w:val="en-GB"/>
              </w:rPr>
              <w:t xml:space="preserve"> potentially</w:t>
            </w:r>
            <w:r>
              <w:rPr>
                <w:rFonts w:ascii="Arial" w:hAnsi="Arial" w:cs="Arial"/>
                <w:sz w:val="22"/>
                <w:szCs w:val="21"/>
                <w:lang w:val="en-GB"/>
              </w:rPr>
              <w:t xml:space="preserve"> inappropriate when preceded by hypertension diagnosis, </w:t>
            </w:r>
            <w:r w:rsidR="00DC5817">
              <w:rPr>
                <w:rFonts w:ascii="Arial" w:hAnsi="Arial" w:cs="Arial"/>
                <w:sz w:val="22"/>
                <w:szCs w:val="21"/>
                <w:lang w:val="en-GB"/>
              </w:rPr>
              <w:t>other CNS alpha-agonists as listed in table 2 flagged as potentially inappropriate</w:t>
            </w:r>
          </w:p>
        </w:tc>
      </w:tr>
      <w:tr w:rsidR="00D21A51" w14:paraId="08E49126" w14:textId="77777777" w:rsidTr="00A65947">
        <w:tc>
          <w:tcPr>
            <w:tcW w:w="3397" w:type="dxa"/>
          </w:tcPr>
          <w:p w14:paraId="00114D99" w14:textId="49F3CC04" w:rsidR="00D21A51" w:rsidRPr="006369F5" w:rsidRDefault="00D21A51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Disopyramide</w:t>
            </w:r>
          </w:p>
        </w:tc>
        <w:tc>
          <w:tcPr>
            <w:tcW w:w="10551" w:type="dxa"/>
          </w:tcPr>
          <w:p w14:paraId="32DAA479" w14:textId="63D0C74B" w:rsidR="00D21A51" w:rsidRPr="006369F5" w:rsidRDefault="00D21A51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 flagged as potentially inappropriate as listed in table 2 of the 2019 Beers criteria</w:t>
            </w:r>
          </w:p>
        </w:tc>
      </w:tr>
      <w:tr w:rsidR="009E6FBC" w14:paraId="061D6420" w14:textId="77777777" w:rsidTr="00A65947">
        <w:tc>
          <w:tcPr>
            <w:tcW w:w="3397" w:type="dxa"/>
          </w:tcPr>
          <w:p w14:paraId="485E2EC9" w14:textId="4639C5D4" w:rsidR="009E6FBC" w:rsidRPr="006369F5" w:rsidRDefault="009E6FBC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Dronedarone</w:t>
            </w:r>
          </w:p>
        </w:tc>
        <w:tc>
          <w:tcPr>
            <w:tcW w:w="10551" w:type="dxa"/>
          </w:tcPr>
          <w:p w14:paraId="6035AC3C" w14:textId="4A7DE285" w:rsidR="009E6FBC" w:rsidRPr="006369F5" w:rsidRDefault="009E6FBC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 xml:space="preserve">Flagged as potentially </w:t>
            </w:r>
          </w:p>
        </w:tc>
      </w:tr>
      <w:tr w:rsidR="00264BCD" w14:paraId="6A39047F" w14:textId="77777777" w:rsidTr="00A65947">
        <w:tc>
          <w:tcPr>
            <w:tcW w:w="3397" w:type="dxa"/>
          </w:tcPr>
          <w:p w14:paraId="094BD0A2" w14:textId="37784E4C" w:rsidR="00264BCD" w:rsidRDefault="00264BCD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 xml:space="preserve"> Digoxin</w:t>
            </w:r>
          </w:p>
        </w:tc>
        <w:tc>
          <w:tcPr>
            <w:tcW w:w="10551" w:type="dxa"/>
          </w:tcPr>
          <w:p w14:paraId="3C8F8DA0" w14:textId="1D6080CB" w:rsidR="00264BCD" w:rsidRDefault="00264BCD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Flagged as potentially inappropriate medication when used after previous hypertension diagnosis, when used after heart failure diagnosis</w:t>
            </w:r>
          </w:p>
        </w:tc>
      </w:tr>
      <w:tr w:rsidR="00264BCD" w14:paraId="22BD1108" w14:textId="77777777" w:rsidTr="00A65947">
        <w:tc>
          <w:tcPr>
            <w:tcW w:w="3397" w:type="dxa"/>
          </w:tcPr>
          <w:p w14:paraId="49A0D794" w14:textId="1A39B4A7" w:rsidR="00264BCD" w:rsidRDefault="00264BCD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 xml:space="preserve"> Nifedipine</w:t>
            </w:r>
          </w:p>
        </w:tc>
        <w:tc>
          <w:tcPr>
            <w:tcW w:w="10551" w:type="dxa"/>
          </w:tcPr>
          <w:p w14:paraId="3A7B2EBE" w14:textId="32D43A65" w:rsidR="00264BCD" w:rsidRDefault="00264BCD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 flagged as potentially inappropriate as listed in table 2 of the 2019 Beers criteria</w:t>
            </w:r>
          </w:p>
        </w:tc>
      </w:tr>
      <w:tr w:rsidR="00264BCD" w14:paraId="5A4E9AE3" w14:textId="77777777" w:rsidTr="00A65947">
        <w:tc>
          <w:tcPr>
            <w:tcW w:w="3397" w:type="dxa"/>
            <w:tcBorders>
              <w:bottom w:val="single" w:sz="4" w:space="0" w:color="auto"/>
            </w:tcBorders>
          </w:tcPr>
          <w:p w14:paraId="39DAEFFB" w14:textId="12D0F25C" w:rsidR="00264BCD" w:rsidRDefault="00264BCD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 xml:space="preserve">Amiodarone </w:t>
            </w:r>
          </w:p>
        </w:tc>
        <w:tc>
          <w:tcPr>
            <w:tcW w:w="10551" w:type="dxa"/>
            <w:tcBorders>
              <w:bottom w:val="single" w:sz="4" w:space="0" w:color="auto"/>
            </w:tcBorders>
          </w:tcPr>
          <w:p w14:paraId="1F35496D" w14:textId="74EE79B4" w:rsidR="00264BCD" w:rsidRDefault="00264BCD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Flagged as potentially inappropriate medication when used after atrial fibrillation therapy, unless patient has heart failure or substantial left ventricular hypertrophy</w:t>
            </w:r>
          </w:p>
        </w:tc>
      </w:tr>
      <w:tr w:rsidR="009E6FBC" w14:paraId="37EC8218" w14:textId="77777777" w:rsidTr="00A65947">
        <w:tc>
          <w:tcPr>
            <w:tcW w:w="13948" w:type="dxa"/>
            <w:gridSpan w:val="2"/>
            <w:tcBorders>
              <w:top w:val="single" w:sz="4" w:space="0" w:color="auto"/>
            </w:tcBorders>
          </w:tcPr>
          <w:p w14:paraId="3303E81D" w14:textId="79B470C7" w:rsidR="009E6FBC" w:rsidRPr="00D21A51" w:rsidRDefault="00D21A51" w:rsidP="00A65947">
            <w:pPr>
              <w:pStyle w:val="ListParagraph"/>
              <w:keepNext/>
              <w:widowControl/>
              <w:spacing w:before="40" w:after="40"/>
              <w:ind w:firstLineChars="0" w:firstLine="0"/>
              <w:jc w:val="right"/>
              <w:rPr>
                <w:rFonts w:ascii="Arial" w:hAnsi="Arial" w:cs="Arial"/>
                <w:i/>
                <w:sz w:val="22"/>
                <w:szCs w:val="21"/>
                <w:lang w:val="en-GB"/>
              </w:rPr>
            </w:pPr>
            <w:r w:rsidRPr="00D21A51">
              <w:rPr>
                <w:rFonts w:ascii="Arial" w:hAnsi="Arial" w:cs="Arial"/>
                <w:i/>
                <w:sz w:val="22"/>
                <w:szCs w:val="21"/>
                <w:lang w:val="en-GB"/>
              </w:rPr>
              <w:t>continued</w:t>
            </w:r>
          </w:p>
        </w:tc>
      </w:tr>
    </w:tbl>
    <w:p w14:paraId="4240990E" w14:textId="77777777" w:rsidR="00AE746F" w:rsidRDefault="00AE746F" w:rsidP="00C8127F">
      <w:pPr>
        <w:pStyle w:val="ListParagraph"/>
        <w:keepNext/>
        <w:widowControl/>
        <w:spacing w:before="40" w:after="40"/>
        <w:ind w:firstLineChars="0" w:firstLine="0"/>
        <w:rPr>
          <w:rFonts w:ascii="Arial" w:hAnsi="Arial" w:cs="Arial"/>
          <w:b/>
          <w:sz w:val="22"/>
          <w:szCs w:val="2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0551"/>
      </w:tblGrid>
      <w:tr w:rsidR="00D21A51" w:rsidRPr="00FF55FD" w14:paraId="5317308F" w14:textId="77777777" w:rsidTr="005F2071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0E5112" w14:textId="77777777" w:rsidR="00D21A51" w:rsidRPr="00FF55FD" w:rsidRDefault="00D21A51" w:rsidP="0011018A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b/>
                <w:sz w:val="22"/>
                <w:szCs w:val="21"/>
                <w:lang w:val="en-GB"/>
              </w:rPr>
            </w:pPr>
            <w:r w:rsidRPr="00FF55FD">
              <w:rPr>
                <w:rFonts w:ascii="Arial" w:hAnsi="Arial" w:cs="Arial"/>
                <w:b/>
                <w:sz w:val="22"/>
                <w:szCs w:val="21"/>
                <w:lang w:val="en-GB"/>
              </w:rPr>
              <w:lastRenderedPageBreak/>
              <w:t>Medications</w:t>
            </w:r>
          </w:p>
        </w:tc>
        <w:tc>
          <w:tcPr>
            <w:tcW w:w="10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91E2C" w14:textId="77777777" w:rsidR="00D21A51" w:rsidRPr="00FF55FD" w:rsidRDefault="00D21A51" w:rsidP="0011018A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b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1"/>
                <w:lang w:val="en-GB"/>
              </w:rPr>
              <w:t>Comments</w:t>
            </w:r>
          </w:p>
        </w:tc>
      </w:tr>
      <w:tr w:rsidR="00094100" w:rsidRPr="00FE0EDE" w14:paraId="053A88E1" w14:textId="77777777" w:rsidTr="005F2071">
        <w:tc>
          <w:tcPr>
            <w:tcW w:w="13948" w:type="dxa"/>
            <w:gridSpan w:val="2"/>
            <w:tcBorders>
              <w:top w:val="single" w:sz="4" w:space="0" w:color="auto"/>
            </w:tcBorders>
          </w:tcPr>
          <w:p w14:paraId="6655D0DD" w14:textId="27579248" w:rsidR="00094100" w:rsidRPr="00FE0EDE" w:rsidRDefault="00866F78" w:rsidP="00094100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i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1"/>
                <w:lang w:val="en-GB"/>
              </w:rPr>
              <w:t>Central nervous system</w:t>
            </w:r>
          </w:p>
        </w:tc>
      </w:tr>
      <w:tr w:rsidR="00866F78" w14:paraId="7E060640" w14:textId="77777777" w:rsidTr="005F2071">
        <w:tc>
          <w:tcPr>
            <w:tcW w:w="3397" w:type="dxa"/>
          </w:tcPr>
          <w:p w14:paraId="31A1C401" w14:textId="2CED466C" w:rsidR="00866F78" w:rsidRDefault="00866F78" w:rsidP="00866F78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 xml:space="preserve"> Antidepressants, alone or in combination</w:t>
            </w:r>
          </w:p>
        </w:tc>
        <w:tc>
          <w:tcPr>
            <w:tcW w:w="10551" w:type="dxa"/>
          </w:tcPr>
          <w:p w14:paraId="25E930E8" w14:textId="54CC9CCE" w:rsidR="00866F78" w:rsidRDefault="00616F6B" w:rsidP="00866F7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</w:t>
            </w:r>
            <w:r w:rsidR="00866F78">
              <w:rPr>
                <w:rFonts w:ascii="Arial" w:hAnsi="Arial" w:cs="Arial"/>
                <w:sz w:val="22"/>
                <w:szCs w:val="21"/>
                <w:lang w:val="en-GB"/>
              </w:rPr>
              <w:t>edication flagged as potentially inappropriate as listed in table 2 of the 2019 Beers criteria</w:t>
            </w:r>
          </w:p>
        </w:tc>
      </w:tr>
      <w:tr w:rsidR="00866F78" w14:paraId="69D2B28E" w14:textId="77777777" w:rsidTr="005F2071">
        <w:tc>
          <w:tcPr>
            <w:tcW w:w="3397" w:type="dxa"/>
          </w:tcPr>
          <w:p w14:paraId="1514B720" w14:textId="01307774" w:rsidR="00866F78" w:rsidRDefault="00866F78" w:rsidP="00866F78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A</w:t>
            </w:r>
            <w:r w:rsidR="00677C06">
              <w:rPr>
                <w:rFonts w:ascii="Arial" w:hAnsi="Arial" w:cs="Arial"/>
                <w:sz w:val="22"/>
                <w:szCs w:val="21"/>
                <w:lang w:val="en-GB"/>
              </w:rPr>
              <w:t>ntipsychotics, first and second generation</w:t>
            </w:r>
          </w:p>
        </w:tc>
        <w:tc>
          <w:tcPr>
            <w:tcW w:w="10551" w:type="dxa"/>
          </w:tcPr>
          <w:p w14:paraId="56C1F4A1" w14:textId="7F736F07" w:rsidR="00866F78" w:rsidRDefault="0055328D" w:rsidP="00866F7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Flag as potentially inappropriate, unless patient has schizophrenia, bipolar disorder, or for short-term use as antiemetic during chemotherapy</w:t>
            </w:r>
          </w:p>
        </w:tc>
      </w:tr>
      <w:tr w:rsidR="007C2A8A" w14:paraId="13411935" w14:textId="77777777" w:rsidTr="005F2071">
        <w:tc>
          <w:tcPr>
            <w:tcW w:w="3397" w:type="dxa"/>
          </w:tcPr>
          <w:p w14:paraId="4140FC59" w14:textId="66861E38" w:rsidR="007C2A8A" w:rsidRDefault="007C2A8A" w:rsidP="007C2A8A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Barbiturates</w:t>
            </w:r>
          </w:p>
        </w:tc>
        <w:tc>
          <w:tcPr>
            <w:tcW w:w="10551" w:type="dxa"/>
          </w:tcPr>
          <w:p w14:paraId="751DCCA7" w14:textId="1B433AA9" w:rsidR="007C2A8A" w:rsidRDefault="00616F6B" w:rsidP="007C2A8A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</w:t>
            </w:r>
            <w:r w:rsidR="007C2A8A">
              <w:rPr>
                <w:rFonts w:ascii="Arial" w:hAnsi="Arial" w:cs="Arial"/>
                <w:sz w:val="22"/>
                <w:szCs w:val="21"/>
                <w:lang w:val="en-GB"/>
              </w:rPr>
              <w:t>edications flagged as potentially inappropriate as listed in table 2 of the 2019 Beers criteria</w:t>
            </w:r>
          </w:p>
        </w:tc>
      </w:tr>
      <w:tr w:rsidR="007C2A8A" w14:paraId="415040B6" w14:textId="77777777" w:rsidTr="005F2071">
        <w:tc>
          <w:tcPr>
            <w:tcW w:w="3397" w:type="dxa"/>
          </w:tcPr>
          <w:p w14:paraId="5D44257B" w14:textId="44196A37" w:rsidR="007C2A8A" w:rsidRDefault="007C2A8A" w:rsidP="007C2A8A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Benzodiazepines</w:t>
            </w:r>
          </w:p>
        </w:tc>
        <w:tc>
          <w:tcPr>
            <w:tcW w:w="10551" w:type="dxa"/>
          </w:tcPr>
          <w:p w14:paraId="1A5EC8F6" w14:textId="046A9B29" w:rsidR="007C2A8A" w:rsidRDefault="00616F6B" w:rsidP="007C2A8A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</w:t>
            </w:r>
            <w:r w:rsidR="007C2A8A">
              <w:rPr>
                <w:rFonts w:ascii="Arial" w:hAnsi="Arial" w:cs="Arial"/>
                <w:sz w:val="22"/>
                <w:szCs w:val="21"/>
                <w:lang w:val="en-GB"/>
              </w:rPr>
              <w:t>edications flagged as potentially inappropriate as listed in table 2 of the 2019 Beers criteria</w:t>
            </w:r>
          </w:p>
        </w:tc>
      </w:tr>
      <w:tr w:rsidR="007C2A8A" w14:paraId="7611ADCE" w14:textId="77777777" w:rsidTr="005F2071">
        <w:tc>
          <w:tcPr>
            <w:tcW w:w="3397" w:type="dxa"/>
          </w:tcPr>
          <w:p w14:paraId="0ECDA6EE" w14:textId="458B2548" w:rsidR="007C2A8A" w:rsidRDefault="007C2A8A" w:rsidP="007C2A8A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Meprobamate</w:t>
            </w:r>
          </w:p>
        </w:tc>
        <w:tc>
          <w:tcPr>
            <w:tcW w:w="10551" w:type="dxa"/>
          </w:tcPr>
          <w:p w14:paraId="0289A87E" w14:textId="70F5C91C" w:rsidR="007C2A8A" w:rsidRDefault="00616F6B" w:rsidP="007C2A8A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</w:t>
            </w:r>
            <w:r w:rsidR="007C2A8A">
              <w:rPr>
                <w:rFonts w:ascii="Arial" w:hAnsi="Arial" w:cs="Arial"/>
                <w:sz w:val="22"/>
                <w:szCs w:val="21"/>
                <w:lang w:val="en-GB"/>
              </w:rPr>
              <w:t>edication flagged as potentially inappropriate as listed in table 2 of the 2019 Beers criteria</w:t>
            </w:r>
          </w:p>
        </w:tc>
      </w:tr>
      <w:tr w:rsidR="00080F8C" w14:paraId="5ACDF17C" w14:textId="77777777" w:rsidTr="005F2071">
        <w:tc>
          <w:tcPr>
            <w:tcW w:w="3397" w:type="dxa"/>
          </w:tcPr>
          <w:p w14:paraId="33861F3F" w14:textId="5AA3C270" w:rsidR="00080F8C" w:rsidRDefault="00080F8C" w:rsidP="00080F8C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Z-drugs</w:t>
            </w:r>
          </w:p>
        </w:tc>
        <w:tc>
          <w:tcPr>
            <w:tcW w:w="10551" w:type="dxa"/>
          </w:tcPr>
          <w:p w14:paraId="3B698988" w14:textId="3D7287FA" w:rsidR="00080F8C" w:rsidRDefault="00616F6B" w:rsidP="00080F8C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</w:t>
            </w:r>
            <w:r w:rsidR="00080F8C">
              <w:rPr>
                <w:rFonts w:ascii="Arial" w:hAnsi="Arial" w:cs="Arial"/>
                <w:sz w:val="22"/>
                <w:szCs w:val="21"/>
                <w:lang w:val="en-GB"/>
              </w:rPr>
              <w:t>edications flagged as potentially inappropriate as listed in table 2 of the 2019 Beers criteria</w:t>
            </w:r>
          </w:p>
        </w:tc>
      </w:tr>
      <w:tr w:rsidR="00616F6B" w14:paraId="7DDBA6F0" w14:textId="77777777" w:rsidTr="005F2071">
        <w:tc>
          <w:tcPr>
            <w:tcW w:w="3397" w:type="dxa"/>
          </w:tcPr>
          <w:p w14:paraId="7BF25B2C" w14:textId="14C54E17" w:rsidR="00616F6B" w:rsidRDefault="00616F6B" w:rsidP="00616F6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Ergoloid mesylates</w:t>
            </w:r>
          </w:p>
        </w:tc>
        <w:tc>
          <w:tcPr>
            <w:tcW w:w="10551" w:type="dxa"/>
          </w:tcPr>
          <w:p w14:paraId="1BA0AB63" w14:textId="296846B5" w:rsidR="00616F6B" w:rsidRDefault="00616F6B" w:rsidP="00616F6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 flagged as potentially inappropriate as listed in table 2 of the 2019 Beers criteria</w:t>
            </w:r>
          </w:p>
        </w:tc>
      </w:tr>
      <w:tr w:rsidR="00264BCD" w14:paraId="3330A068" w14:textId="77777777" w:rsidTr="005F2071">
        <w:tc>
          <w:tcPr>
            <w:tcW w:w="13948" w:type="dxa"/>
            <w:gridSpan w:val="2"/>
          </w:tcPr>
          <w:p w14:paraId="59587FEE" w14:textId="116E45B1" w:rsidR="00264BCD" w:rsidRDefault="00264BCD" w:rsidP="00616F6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 w:rsidRPr="00616F6B">
              <w:rPr>
                <w:rFonts w:ascii="Arial" w:hAnsi="Arial" w:cs="Arial"/>
                <w:i/>
                <w:sz w:val="22"/>
                <w:szCs w:val="21"/>
                <w:lang w:val="en-GB"/>
              </w:rPr>
              <w:t>Endocrine</w:t>
            </w:r>
          </w:p>
        </w:tc>
      </w:tr>
      <w:tr w:rsidR="00264BCD" w14:paraId="5CF2D41D" w14:textId="77777777" w:rsidTr="005F2071">
        <w:tc>
          <w:tcPr>
            <w:tcW w:w="3397" w:type="dxa"/>
          </w:tcPr>
          <w:p w14:paraId="2CBB8721" w14:textId="030AE9CC" w:rsidR="00264BCD" w:rsidRDefault="00264BCD" w:rsidP="00264BCD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Androgens</w:t>
            </w:r>
          </w:p>
        </w:tc>
        <w:tc>
          <w:tcPr>
            <w:tcW w:w="10551" w:type="dxa"/>
          </w:tcPr>
          <w:p w14:paraId="313BC49F" w14:textId="54B7D754" w:rsidR="00264BCD" w:rsidRDefault="00264BCD" w:rsidP="00264BCD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Flagged as potentially inappropriate unless there is a hypogonadism diagnosis</w:t>
            </w:r>
          </w:p>
        </w:tc>
      </w:tr>
      <w:tr w:rsidR="00264BCD" w14:paraId="0EC17305" w14:textId="77777777" w:rsidTr="005F2071">
        <w:tc>
          <w:tcPr>
            <w:tcW w:w="3397" w:type="dxa"/>
          </w:tcPr>
          <w:p w14:paraId="5E9F4EA1" w14:textId="2BCC8F68" w:rsidR="00264BCD" w:rsidRDefault="00264BCD" w:rsidP="00264BCD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Desiccated thyroid</w:t>
            </w:r>
          </w:p>
        </w:tc>
        <w:tc>
          <w:tcPr>
            <w:tcW w:w="10551" w:type="dxa"/>
          </w:tcPr>
          <w:p w14:paraId="20985354" w14:textId="61A643C0" w:rsidR="00264BCD" w:rsidRDefault="00264BCD" w:rsidP="00264BCD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 flagged as potentially inappropriate as listed in table 2 of the 2019 Beers criteria</w:t>
            </w:r>
          </w:p>
        </w:tc>
      </w:tr>
      <w:tr w:rsidR="00264BCD" w14:paraId="08F9F908" w14:textId="77777777" w:rsidTr="005F2071">
        <w:tc>
          <w:tcPr>
            <w:tcW w:w="3397" w:type="dxa"/>
          </w:tcPr>
          <w:p w14:paraId="2612310E" w14:textId="4281F4B7" w:rsidR="00264BCD" w:rsidRDefault="00264BCD" w:rsidP="00264BCD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Estrogens</w:t>
            </w:r>
          </w:p>
        </w:tc>
        <w:tc>
          <w:tcPr>
            <w:tcW w:w="10551" w:type="dxa"/>
          </w:tcPr>
          <w:p w14:paraId="22F0BFC7" w14:textId="0E95F3C4" w:rsidR="00264BCD" w:rsidRDefault="00264BCD" w:rsidP="00264BCD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Flagged as potentially inappropriate when oral or topical patch, vaginal cream and vaginal tablets not flagged as potentially inappropriate</w:t>
            </w:r>
          </w:p>
        </w:tc>
      </w:tr>
      <w:tr w:rsidR="00264BCD" w14:paraId="4DC71F5E" w14:textId="77777777" w:rsidTr="005F2071">
        <w:tc>
          <w:tcPr>
            <w:tcW w:w="3397" w:type="dxa"/>
          </w:tcPr>
          <w:p w14:paraId="75E3063A" w14:textId="3DF43E36" w:rsidR="00264BCD" w:rsidRDefault="00264BCD" w:rsidP="00616F6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Growth hormone</w:t>
            </w:r>
          </w:p>
        </w:tc>
        <w:tc>
          <w:tcPr>
            <w:tcW w:w="10551" w:type="dxa"/>
          </w:tcPr>
          <w:p w14:paraId="2172D7A2" w14:textId="18830E6D" w:rsidR="00264BCD" w:rsidRDefault="00264BCD" w:rsidP="00616F6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Flagged as potentially inappropriate</w:t>
            </w:r>
          </w:p>
        </w:tc>
      </w:tr>
      <w:tr w:rsidR="00264BCD" w14:paraId="6421FDC4" w14:textId="77777777" w:rsidTr="005F2071">
        <w:tc>
          <w:tcPr>
            <w:tcW w:w="3397" w:type="dxa"/>
          </w:tcPr>
          <w:p w14:paraId="0F19F791" w14:textId="138EE85A" w:rsidR="00264BCD" w:rsidRDefault="00264BCD" w:rsidP="00616F6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Insulin</w:t>
            </w:r>
          </w:p>
        </w:tc>
        <w:tc>
          <w:tcPr>
            <w:tcW w:w="10551" w:type="dxa"/>
          </w:tcPr>
          <w:p w14:paraId="723B330A" w14:textId="3ED64552" w:rsidR="00264BCD" w:rsidRDefault="00247F62" w:rsidP="00616F6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Flagged as potentially inappropriate when only short- or rapid-acting insulins without combination with long-acting insulins</w:t>
            </w:r>
          </w:p>
        </w:tc>
      </w:tr>
      <w:tr w:rsidR="00D258C8" w14:paraId="5535AABD" w14:textId="77777777" w:rsidTr="005F2071">
        <w:tc>
          <w:tcPr>
            <w:tcW w:w="3397" w:type="dxa"/>
          </w:tcPr>
          <w:p w14:paraId="4DEEA8A8" w14:textId="290175E7" w:rsidR="00D258C8" w:rsidRDefault="00D258C8" w:rsidP="00D258C8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Megesterol</w:t>
            </w:r>
          </w:p>
        </w:tc>
        <w:tc>
          <w:tcPr>
            <w:tcW w:w="10551" w:type="dxa"/>
          </w:tcPr>
          <w:p w14:paraId="57C900EF" w14:textId="0A908052" w:rsidR="00D258C8" w:rsidRDefault="00D258C8" w:rsidP="00D258C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 flagged as potentially inappropriate as listed in table 2 of the 2019 Beers criteria</w:t>
            </w:r>
          </w:p>
        </w:tc>
      </w:tr>
      <w:tr w:rsidR="00D258C8" w14:paraId="46E15D3A" w14:textId="77777777" w:rsidTr="005F2071">
        <w:tc>
          <w:tcPr>
            <w:tcW w:w="3397" w:type="dxa"/>
          </w:tcPr>
          <w:p w14:paraId="5F9A4821" w14:textId="48A1E166" w:rsidR="00D258C8" w:rsidRDefault="00D258C8" w:rsidP="00D258C8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Sulfonylureas</w:t>
            </w:r>
          </w:p>
        </w:tc>
        <w:tc>
          <w:tcPr>
            <w:tcW w:w="10551" w:type="dxa"/>
          </w:tcPr>
          <w:p w14:paraId="3CCE06A3" w14:textId="178424CB" w:rsidR="00D258C8" w:rsidRDefault="00D258C8" w:rsidP="00D258C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Medications flagged as potentially inappropriate as listed in table 2 of the 2019 Beers criteria</w:t>
            </w:r>
          </w:p>
        </w:tc>
      </w:tr>
      <w:tr w:rsidR="00D258C8" w14:paraId="3140CFB1" w14:textId="77777777" w:rsidTr="005F2071">
        <w:tc>
          <w:tcPr>
            <w:tcW w:w="13948" w:type="dxa"/>
            <w:gridSpan w:val="2"/>
          </w:tcPr>
          <w:p w14:paraId="1CA99834" w14:textId="754CF899" w:rsidR="00D258C8" w:rsidRPr="00D258C8" w:rsidRDefault="00D258C8" w:rsidP="00D258C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i/>
                <w:sz w:val="22"/>
                <w:szCs w:val="21"/>
                <w:lang w:val="en-GB"/>
              </w:rPr>
            </w:pPr>
            <w:r w:rsidRPr="00D258C8">
              <w:rPr>
                <w:rFonts w:ascii="Arial" w:hAnsi="Arial" w:cs="Arial"/>
                <w:i/>
                <w:sz w:val="22"/>
                <w:szCs w:val="21"/>
                <w:lang w:val="en-GB"/>
              </w:rPr>
              <w:t>Gastrointestinal</w:t>
            </w:r>
          </w:p>
        </w:tc>
      </w:tr>
      <w:tr w:rsidR="00D258C8" w14:paraId="3DE743AE" w14:textId="77777777" w:rsidTr="005F2071">
        <w:tc>
          <w:tcPr>
            <w:tcW w:w="3397" w:type="dxa"/>
            <w:tcBorders>
              <w:bottom w:val="single" w:sz="4" w:space="0" w:color="auto"/>
            </w:tcBorders>
          </w:tcPr>
          <w:p w14:paraId="61831911" w14:textId="0DD87938" w:rsidR="00D258C8" w:rsidRDefault="00D258C8" w:rsidP="00D258C8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Metoclopramide</w:t>
            </w:r>
          </w:p>
        </w:tc>
        <w:tc>
          <w:tcPr>
            <w:tcW w:w="10551" w:type="dxa"/>
            <w:tcBorders>
              <w:bottom w:val="single" w:sz="4" w:space="0" w:color="auto"/>
            </w:tcBorders>
          </w:tcPr>
          <w:p w14:paraId="7D659A8E" w14:textId="79D50C28" w:rsidR="00D258C8" w:rsidRDefault="00CE3CD7" w:rsidP="00D258C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Flagged as potentially inappropriate unless there is a diagnosis of gastroparesis</w:t>
            </w:r>
            <w:r w:rsidR="000641AC">
              <w:rPr>
                <w:rFonts w:ascii="Arial" w:hAnsi="Arial" w:cs="Arial"/>
                <w:sz w:val="22"/>
                <w:szCs w:val="21"/>
                <w:lang w:val="en-GB"/>
              </w:rPr>
              <w:t xml:space="preserve"> and not used for longer than 84 days</w:t>
            </w:r>
            <w:r w:rsidR="008B062D">
              <w:rPr>
                <w:rFonts w:ascii="Arial" w:hAnsi="Arial" w:cs="Arial"/>
                <w:sz w:val="22"/>
                <w:szCs w:val="21"/>
                <w:lang w:val="en-GB"/>
              </w:rPr>
              <w:t xml:space="preserve"> or min. 2 refills</w:t>
            </w:r>
          </w:p>
        </w:tc>
      </w:tr>
      <w:tr w:rsidR="00D258C8" w:rsidRPr="007254B0" w14:paraId="14433CEF" w14:textId="77777777" w:rsidTr="005F2071">
        <w:tc>
          <w:tcPr>
            <w:tcW w:w="13948" w:type="dxa"/>
            <w:gridSpan w:val="2"/>
            <w:tcBorders>
              <w:top w:val="single" w:sz="4" w:space="0" w:color="auto"/>
            </w:tcBorders>
          </w:tcPr>
          <w:p w14:paraId="7B1CA06C" w14:textId="32477993" w:rsidR="00D258C8" w:rsidRPr="007254B0" w:rsidRDefault="00B248C1" w:rsidP="00D258C8">
            <w:pPr>
              <w:pStyle w:val="ListParagraph"/>
              <w:keepNext/>
              <w:widowControl/>
              <w:spacing w:before="40" w:after="40"/>
              <w:ind w:firstLineChars="0" w:firstLine="0"/>
              <w:jc w:val="right"/>
              <w:rPr>
                <w:rFonts w:ascii="Arial" w:hAnsi="Arial" w:cs="Arial"/>
                <w:i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1"/>
                <w:lang w:val="en-GB"/>
              </w:rPr>
              <w:t>c</w:t>
            </w:r>
            <w:r w:rsidR="00D258C8">
              <w:rPr>
                <w:rFonts w:ascii="Arial" w:hAnsi="Arial" w:cs="Arial"/>
                <w:i/>
                <w:sz w:val="22"/>
                <w:szCs w:val="21"/>
                <w:lang w:val="en-GB"/>
              </w:rPr>
              <w:t>ontinued</w:t>
            </w:r>
          </w:p>
        </w:tc>
      </w:tr>
    </w:tbl>
    <w:p w14:paraId="720B3F84" w14:textId="77777777" w:rsidR="00616F6B" w:rsidRDefault="00616F6B">
      <w:pPr>
        <w:rPr>
          <w:lang w:eastAsia="zh-CN"/>
        </w:rPr>
      </w:pPr>
    </w:p>
    <w:p w14:paraId="2B83C6CE" w14:textId="77777777" w:rsidR="00CE6375" w:rsidRDefault="00CE6375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0551"/>
      </w:tblGrid>
      <w:tr w:rsidR="00CE6375" w:rsidRPr="00FF55FD" w14:paraId="30784D36" w14:textId="77777777" w:rsidTr="005F2071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D05EC8" w14:textId="77777777" w:rsidR="00CE6375" w:rsidRPr="00FF55FD" w:rsidRDefault="00CE6375" w:rsidP="0011018A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b/>
                <w:sz w:val="22"/>
                <w:szCs w:val="21"/>
                <w:lang w:val="en-GB"/>
              </w:rPr>
            </w:pPr>
            <w:r w:rsidRPr="00FF55FD">
              <w:rPr>
                <w:rFonts w:ascii="Arial" w:hAnsi="Arial" w:cs="Arial"/>
                <w:b/>
                <w:sz w:val="22"/>
                <w:szCs w:val="21"/>
                <w:lang w:val="en-GB"/>
              </w:rPr>
              <w:lastRenderedPageBreak/>
              <w:t>Medications</w:t>
            </w:r>
          </w:p>
        </w:tc>
        <w:tc>
          <w:tcPr>
            <w:tcW w:w="10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0F5F4" w14:textId="77777777" w:rsidR="00CE6375" w:rsidRPr="00FF55FD" w:rsidRDefault="00CE6375" w:rsidP="0011018A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b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1"/>
                <w:lang w:val="en-GB"/>
              </w:rPr>
              <w:t>Comments</w:t>
            </w:r>
          </w:p>
        </w:tc>
      </w:tr>
      <w:tr w:rsidR="00CE6375" w:rsidRPr="00FE0EDE" w14:paraId="5C60A39E" w14:textId="77777777" w:rsidTr="005F2071">
        <w:tc>
          <w:tcPr>
            <w:tcW w:w="13948" w:type="dxa"/>
            <w:gridSpan w:val="2"/>
            <w:tcBorders>
              <w:top w:val="single" w:sz="4" w:space="0" w:color="auto"/>
            </w:tcBorders>
          </w:tcPr>
          <w:p w14:paraId="1236D39B" w14:textId="5767A2CC" w:rsidR="00CE6375" w:rsidRPr="00FE0EDE" w:rsidRDefault="00CE6375" w:rsidP="0011018A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i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1"/>
                <w:lang w:val="en-GB"/>
              </w:rPr>
              <w:t>Gastrointestinal (continued)</w:t>
            </w:r>
          </w:p>
        </w:tc>
      </w:tr>
      <w:tr w:rsidR="00CE6375" w14:paraId="32FE33AD" w14:textId="77777777" w:rsidTr="005F2071">
        <w:tc>
          <w:tcPr>
            <w:tcW w:w="3397" w:type="dxa"/>
          </w:tcPr>
          <w:p w14:paraId="0271DB17" w14:textId="49457B28" w:rsidR="00CE6375" w:rsidRDefault="00CE6375" w:rsidP="0011018A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Mineral oil</w:t>
            </w:r>
          </w:p>
        </w:tc>
        <w:tc>
          <w:tcPr>
            <w:tcW w:w="10551" w:type="dxa"/>
          </w:tcPr>
          <w:p w14:paraId="64EEAA0A" w14:textId="60798A24" w:rsidR="00CE6375" w:rsidRDefault="00CE6375" w:rsidP="00CE6375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Flagged as potentially inappropriate when given orally</w:t>
            </w:r>
          </w:p>
        </w:tc>
      </w:tr>
      <w:tr w:rsidR="00CE6375" w14:paraId="1C73B3F2" w14:textId="77777777" w:rsidTr="005F2071">
        <w:tc>
          <w:tcPr>
            <w:tcW w:w="3397" w:type="dxa"/>
          </w:tcPr>
          <w:p w14:paraId="6ABCA35C" w14:textId="4D98D742" w:rsidR="00CE6375" w:rsidRDefault="00CE6375" w:rsidP="0011018A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Proton-pumps inhibitors</w:t>
            </w:r>
          </w:p>
        </w:tc>
        <w:tc>
          <w:tcPr>
            <w:tcW w:w="10551" w:type="dxa"/>
          </w:tcPr>
          <w:p w14:paraId="61D3FBE7" w14:textId="18040960" w:rsidR="00CE6375" w:rsidRDefault="00CE6375" w:rsidP="00A45DFC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Flagged as potentially inappropriate</w:t>
            </w:r>
            <w:r w:rsidR="008B062D">
              <w:rPr>
                <w:rFonts w:ascii="Arial" w:hAnsi="Arial" w:cs="Arial"/>
                <w:sz w:val="22"/>
                <w:szCs w:val="21"/>
                <w:lang w:val="en-GB"/>
              </w:rPr>
              <w:t xml:space="preserve"> </w:t>
            </w:r>
            <w:r w:rsidR="004F1440">
              <w:rPr>
                <w:rFonts w:ascii="Arial" w:hAnsi="Arial" w:cs="Arial"/>
                <w:sz w:val="22"/>
                <w:szCs w:val="21"/>
                <w:lang w:val="en-GB"/>
              </w:rPr>
              <w:t xml:space="preserve">when used for </w:t>
            </w:r>
            <w:r w:rsidR="00533F19">
              <w:rPr>
                <w:rFonts w:ascii="Arial" w:hAnsi="Arial" w:cs="Arial"/>
                <w:sz w:val="22"/>
                <w:szCs w:val="21"/>
                <w:lang w:val="en-GB"/>
              </w:rPr>
              <w:t>≥</w:t>
            </w:r>
            <w:r w:rsidR="004F1440">
              <w:rPr>
                <w:rFonts w:ascii="Arial" w:hAnsi="Arial" w:cs="Arial"/>
                <w:sz w:val="22"/>
                <w:szCs w:val="21"/>
                <w:lang w:val="en-GB"/>
              </w:rPr>
              <w:t xml:space="preserve"> 56 days or min. 2 refills without any of the mentioned diagnoses</w:t>
            </w:r>
            <w:r w:rsidR="00A45DFC">
              <w:rPr>
                <w:rFonts w:ascii="Arial" w:hAnsi="Arial" w:cs="Arial"/>
                <w:sz w:val="22"/>
                <w:szCs w:val="21"/>
                <w:lang w:val="en-GB"/>
              </w:rPr>
              <w:t xml:space="preserve"> (e.g., esophagitis, hypersecretory condition)</w:t>
            </w:r>
            <w:r w:rsidR="004F1440">
              <w:rPr>
                <w:rFonts w:ascii="Arial" w:hAnsi="Arial" w:cs="Arial"/>
                <w:sz w:val="22"/>
                <w:szCs w:val="21"/>
                <w:lang w:val="en-GB"/>
              </w:rPr>
              <w:t xml:space="preserve">, </w:t>
            </w:r>
            <w:r w:rsidR="00A45DFC">
              <w:rPr>
                <w:rFonts w:ascii="Arial" w:hAnsi="Arial" w:cs="Arial"/>
                <w:sz w:val="22"/>
                <w:szCs w:val="21"/>
                <w:lang w:val="en-GB"/>
              </w:rPr>
              <w:t xml:space="preserve">or </w:t>
            </w:r>
            <w:r w:rsidR="004F1440">
              <w:rPr>
                <w:rFonts w:ascii="Arial" w:hAnsi="Arial" w:cs="Arial"/>
                <w:sz w:val="22"/>
                <w:szCs w:val="21"/>
                <w:lang w:val="en-GB"/>
              </w:rPr>
              <w:t xml:space="preserve">when used for </w:t>
            </w:r>
            <w:r w:rsidR="00376E3B">
              <w:rPr>
                <w:rFonts w:ascii="Arial" w:hAnsi="Arial" w:cs="Arial"/>
                <w:sz w:val="22"/>
                <w:szCs w:val="21"/>
                <w:lang w:val="en-GB"/>
              </w:rPr>
              <w:t>≥</w:t>
            </w:r>
            <w:r w:rsidR="004F1440">
              <w:rPr>
                <w:rFonts w:ascii="Arial" w:hAnsi="Arial" w:cs="Arial"/>
                <w:sz w:val="22"/>
                <w:szCs w:val="21"/>
                <w:lang w:val="en-GB"/>
              </w:rPr>
              <w:t xml:space="preserve">56 days or min. 2 refills </w:t>
            </w:r>
            <w:r w:rsidR="00533F19">
              <w:rPr>
                <w:rFonts w:ascii="Arial" w:hAnsi="Arial" w:cs="Arial"/>
                <w:sz w:val="22"/>
                <w:szCs w:val="21"/>
                <w:lang w:val="en-GB"/>
              </w:rPr>
              <w:t>not preceded by chronic</w:t>
            </w:r>
            <w:r w:rsidR="00832971">
              <w:rPr>
                <w:rFonts w:ascii="Arial" w:hAnsi="Arial" w:cs="Arial"/>
                <w:sz w:val="22"/>
                <w:szCs w:val="21"/>
                <w:lang w:val="en-GB"/>
              </w:rPr>
              <w:t xml:space="preserve"> corticosteroid or</w:t>
            </w:r>
            <w:r w:rsidR="00533F19">
              <w:rPr>
                <w:rFonts w:ascii="Arial" w:hAnsi="Arial" w:cs="Arial"/>
                <w:sz w:val="22"/>
                <w:szCs w:val="21"/>
                <w:lang w:val="en-GB"/>
              </w:rPr>
              <w:t xml:space="preserve"> NSAID use (≥</w:t>
            </w:r>
            <w:r w:rsidR="00BC0B86">
              <w:rPr>
                <w:rFonts w:ascii="Arial" w:hAnsi="Arial" w:cs="Arial"/>
                <w:sz w:val="22"/>
                <w:szCs w:val="21"/>
                <w:lang w:val="en-GB"/>
              </w:rPr>
              <w:t>90 days or min. 2 refills</w:t>
            </w:r>
            <w:r w:rsidR="00A45DFC">
              <w:rPr>
                <w:rFonts w:ascii="Arial" w:hAnsi="Arial" w:cs="Arial"/>
                <w:sz w:val="22"/>
                <w:szCs w:val="21"/>
                <w:lang w:val="en-GB"/>
              </w:rPr>
              <w:t>)</w:t>
            </w:r>
            <w:r w:rsidR="00BC0B86">
              <w:rPr>
                <w:rFonts w:ascii="Arial" w:hAnsi="Arial" w:cs="Arial"/>
                <w:sz w:val="22"/>
                <w:szCs w:val="21"/>
                <w:lang w:val="en-GB"/>
              </w:rPr>
              <w:t xml:space="preserve"> </w:t>
            </w:r>
          </w:p>
        </w:tc>
      </w:tr>
      <w:tr w:rsidR="005D23C4" w14:paraId="73D067F2" w14:textId="77777777" w:rsidTr="005F2071">
        <w:tc>
          <w:tcPr>
            <w:tcW w:w="13948" w:type="dxa"/>
            <w:gridSpan w:val="2"/>
          </w:tcPr>
          <w:p w14:paraId="54985A63" w14:textId="7037F65A" w:rsidR="005D23C4" w:rsidRPr="005D23C4" w:rsidRDefault="005D23C4" w:rsidP="00CE6375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i/>
                <w:sz w:val="22"/>
                <w:szCs w:val="21"/>
                <w:lang w:val="en-GB"/>
              </w:rPr>
            </w:pPr>
            <w:r w:rsidRPr="005D23C4">
              <w:rPr>
                <w:rFonts w:ascii="Arial" w:hAnsi="Arial" w:cs="Arial"/>
                <w:i/>
                <w:sz w:val="22"/>
                <w:szCs w:val="21"/>
                <w:lang w:val="en-GB"/>
              </w:rPr>
              <w:t>Pain medications</w:t>
            </w:r>
          </w:p>
        </w:tc>
      </w:tr>
      <w:tr w:rsidR="000E3FCC" w14:paraId="32290938" w14:textId="77777777" w:rsidTr="005F2071">
        <w:tc>
          <w:tcPr>
            <w:tcW w:w="3397" w:type="dxa"/>
          </w:tcPr>
          <w:p w14:paraId="77C8033E" w14:textId="23F7C9EC" w:rsidR="000E3FCC" w:rsidRDefault="000E3FCC" w:rsidP="000E3FCC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Meperidine</w:t>
            </w:r>
          </w:p>
        </w:tc>
        <w:tc>
          <w:tcPr>
            <w:tcW w:w="10551" w:type="dxa"/>
          </w:tcPr>
          <w:p w14:paraId="4F315224" w14:textId="065BF4C6" w:rsidR="000E3FCC" w:rsidRDefault="000E3FCC" w:rsidP="000E3FCC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 flagged as potentially inappropriate as listed in table 2 of the 2019 Beers criteria</w:t>
            </w:r>
          </w:p>
        </w:tc>
      </w:tr>
      <w:tr w:rsidR="000E3FCC" w14:paraId="704E5851" w14:textId="77777777" w:rsidTr="005F2071">
        <w:tc>
          <w:tcPr>
            <w:tcW w:w="3397" w:type="dxa"/>
          </w:tcPr>
          <w:p w14:paraId="78EBE2EF" w14:textId="54F38F1B" w:rsidR="000E3FCC" w:rsidRDefault="008B6BD9" w:rsidP="000E3FCC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non-</w:t>
            </w:r>
            <w:r w:rsidR="00BB7B0C">
              <w:rPr>
                <w:rFonts w:ascii="Arial" w:hAnsi="Arial" w:cs="Arial"/>
                <w:sz w:val="22"/>
                <w:szCs w:val="21"/>
                <w:lang w:val="en-GB"/>
              </w:rPr>
              <w:t>cyclooxygenase</w:t>
            </w:r>
            <w:r>
              <w:rPr>
                <w:rFonts w:ascii="Arial" w:hAnsi="Arial" w:cs="Arial"/>
                <w:sz w:val="22"/>
                <w:szCs w:val="21"/>
                <w:lang w:val="en-GB"/>
              </w:rPr>
              <w:t xml:space="preserve">-selective </w:t>
            </w:r>
            <w:r w:rsidR="000E3FCC">
              <w:rPr>
                <w:rFonts w:ascii="Arial" w:hAnsi="Arial" w:cs="Arial"/>
                <w:sz w:val="22"/>
                <w:szCs w:val="21"/>
                <w:lang w:val="en-GB"/>
              </w:rPr>
              <w:t>NSAIDs</w:t>
            </w:r>
          </w:p>
        </w:tc>
        <w:tc>
          <w:tcPr>
            <w:tcW w:w="10551" w:type="dxa"/>
          </w:tcPr>
          <w:p w14:paraId="0C6DEDF4" w14:textId="034050E5" w:rsidR="000E3FCC" w:rsidRDefault="000E3FCC" w:rsidP="00CA509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Medications flagged as potentially inappropriate as listed in table 2 of the 2019 Beers criteria.</w:t>
            </w:r>
            <w:r w:rsidR="00CA5098">
              <w:rPr>
                <w:rFonts w:ascii="Arial" w:hAnsi="Arial" w:cs="Arial"/>
                <w:sz w:val="22"/>
                <w:szCs w:val="21"/>
                <w:lang w:val="en-GB"/>
              </w:rPr>
              <w:t xml:space="preserve"> Flagged as potentially inappropriate when used for  ≥ 90 days or min. 2 refills and when there is no overlapping PPI or misoprostol use</w:t>
            </w:r>
          </w:p>
        </w:tc>
      </w:tr>
      <w:tr w:rsidR="00CA5098" w14:paraId="364E895B" w14:textId="77777777" w:rsidTr="005F2071">
        <w:tc>
          <w:tcPr>
            <w:tcW w:w="3397" w:type="dxa"/>
          </w:tcPr>
          <w:p w14:paraId="31A08AAF" w14:textId="69F59B90" w:rsidR="00CA5098" w:rsidRDefault="00CA5098" w:rsidP="00CA5098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Indomethacin, Ketorolac</w:t>
            </w:r>
          </w:p>
        </w:tc>
        <w:tc>
          <w:tcPr>
            <w:tcW w:w="10551" w:type="dxa"/>
          </w:tcPr>
          <w:p w14:paraId="76F529B9" w14:textId="016CC09E" w:rsidR="00CA5098" w:rsidRDefault="00CA5098" w:rsidP="00CA509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Medications flagged as potentially inappropriate as listed in table 2 of the 2019 Beers criteria</w:t>
            </w:r>
          </w:p>
        </w:tc>
      </w:tr>
      <w:tr w:rsidR="00CA5098" w14:paraId="067F1BC6" w14:textId="77777777" w:rsidTr="005F2071">
        <w:tc>
          <w:tcPr>
            <w:tcW w:w="3397" w:type="dxa"/>
          </w:tcPr>
          <w:p w14:paraId="446F4BED" w14:textId="623E30BC" w:rsidR="00CA5098" w:rsidRDefault="00CA5098" w:rsidP="00CA5098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Skeletal muscle relaxants</w:t>
            </w:r>
          </w:p>
        </w:tc>
        <w:tc>
          <w:tcPr>
            <w:tcW w:w="10551" w:type="dxa"/>
          </w:tcPr>
          <w:p w14:paraId="7CC0AB78" w14:textId="21F34138" w:rsidR="00CA5098" w:rsidRDefault="00CA5098" w:rsidP="00CA509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Medications flagged as potentially inappropriate as listed in table 2 of the 2019 Beers criteria</w:t>
            </w:r>
          </w:p>
        </w:tc>
      </w:tr>
      <w:tr w:rsidR="00CA5098" w14:paraId="78BDB07B" w14:textId="77777777" w:rsidTr="005F2071">
        <w:tc>
          <w:tcPr>
            <w:tcW w:w="13948" w:type="dxa"/>
            <w:gridSpan w:val="2"/>
          </w:tcPr>
          <w:p w14:paraId="0351EB54" w14:textId="050527D8" w:rsidR="00CA5098" w:rsidRPr="00CA5098" w:rsidRDefault="00CA5098" w:rsidP="00CA509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i/>
                <w:sz w:val="22"/>
                <w:szCs w:val="21"/>
                <w:lang w:val="en-GB"/>
              </w:rPr>
            </w:pPr>
            <w:r w:rsidRPr="00CA5098">
              <w:rPr>
                <w:rFonts w:ascii="Arial" w:hAnsi="Arial" w:cs="Arial"/>
                <w:i/>
                <w:sz w:val="22"/>
                <w:szCs w:val="21"/>
                <w:lang w:val="en-GB"/>
              </w:rPr>
              <w:t>Genitourinary</w:t>
            </w:r>
          </w:p>
        </w:tc>
      </w:tr>
      <w:tr w:rsidR="00CA5098" w14:paraId="04587F47" w14:textId="77777777" w:rsidTr="005F2071">
        <w:tc>
          <w:tcPr>
            <w:tcW w:w="3397" w:type="dxa"/>
            <w:tcBorders>
              <w:bottom w:val="single" w:sz="4" w:space="0" w:color="auto"/>
            </w:tcBorders>
          </w:tcPr>
          <w:p w14:paraId="1A2FB596" w14:textId="7011E991" w:rsidR="00CA5098" w:rsidRDefault="00CA5098" w:rsidP="00CA5098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Desmopressin</w:t>
            </w:r>
          </w:p>
        </w:tc>
        <w:tc>
          <w:tcPr>
            <w:tcW w:w="10551" w:type="dxa"/>
            <w:tcBorders>
              <w:bottom w:val="single" w:sz="4" w:space="0" w:color="auto"/>
            </w:tcBorders>
          </w:tcPr>
          <w:p w14:paraId="3355F9AF" w14:textId="4A69896C" w:rsidR="00CA5098" w:rsidRDefault="00CA5098" w:rsidP="00CA509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22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1"/>
                <w:lang w:val="en-GB"/>
              </w:rPr>
              <w:t>Medications flagged as potentially inappropriate as listed in table 2 of the 2019 Beers criteria</w:t>
            </w:r>
          </w:p>
        </w:tc>
      </w:tr>
      <w:tr w:rsidR="00CA5098" w14:paraId="19244B97" w14:textId="77777777" w:rsidTr="005F2071">
        <w:tc>
          <w:tcPr>
            <w:tcW w:w="13948" w:type="dxa"/>
            <w:gridSpan w:val="2"/>
            <w:tcBorders>
              <w:top w:val="single" w:sz="4" w:space="0" w:color="auto"/>
            </w:tcBorders>
          </w:tcPr>
          <w:p w14:paraId="2A9E620D" w14:textId="3111E5D4" w:rsidR="00CA5098" w:rsidRPr="00280C87" w:rsidRDefault="00CA5098" w:rsidP="00CA5098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280C87">
              <w:rPr>
                <w:rFonts w:ascii="Arial" w:hAnsi="Arial" w:cs="Arial"/>
                <w:sz w:val="19"/>
                <w:szCs w:val="19"/>
                <w:lang w:val="en-GB"/>
              </w:rPr>
              <w:t>Reference: (2019), American Geriatrics Society 2019 Updated AGS Beers Criteria® for Potentially Inappropriate Medication Use in Older Adults. J Am Geriatr Soc, 67: 674-694. doi:10.1111/jgs.15767 – table 2.</w:t>
            </w:r>
          </w:p>
        </w:tc>
      </w:tr>
    </w:tbl>
    <w:p w14:paraId="491D8BD3" w14:textId="47D402FF" w:rsidR="0032435E" w:rsidRDefault="0032435E">
      <w:pPr>
        <w:rPr>
          <w:lang w:eastAsia="zh-CN"/>
        </w:rPr>
      </w:pPr>
      <w:r>
        <w:rPr>
          <w:lang w:eastAsia="zh-CN"/>
        </w:rPr>
        <w:br w:type="page"/>
      </w:r>
    </w:p>
    <w:p w14:paraId="25D055C9" w14:textId="7F1222A6" w:rsidR="00AA652A" w:rsidRPr="00AA652A" w:rsidRDefault="00AA652A" w:rsidP="00AA652A">
      <w:pPr>
        <w:pStyle w:val="Heading1"/>
        <w:rPr>
          <w:color w:val="auto"/>
        </w:rPr>
      </w:pPr>
      <w:bookmarkStart w:id="2" w:name="_Toc58255219"/>
      <w:r>
        <w:rPr>
          <w:color w:val="auto"/>
        </w:rPr>
        <w:lastRenderedPageBreak/>
        <w:t>eTable</w:t>
      </w:r>
      <w:r w:rsidR="006A127E">
        <w:rPr>
          <w:color w:val="auto"/>
        </w:rPr>
        <w:t xml:space="preserve"> 2</w:t>
      </w:r>
      <w:r w:rsidRPr="00AA652A">
        <w:rPr>
          <w:color w:val="auto"/>
        </w:rPr>
        <w:t>. Cohort with 365 days baseline period (N = 22,072): Multivariable associations between demographic and clinical factors and the prescribing of potentially inappropriate medications (PIMs)</w:t>
      </w:r>
      <w:bookmarkEnd w:id="2"/>
    </w:p>
    <w:tbl>
      <w:tblPr>
        <w:tblStyle w:val="TableGrid"/>
        <w:tblW w:w="13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5"/>
        <w:gridCol w:w="31"/>
        <w:gridCol w:w="4325"/>
        <w:gridCol w:w="2551"/>
        <w:gridCol w:w="2477"/>
        <w:gridCol w:w="1972"/>
        <w:gridCol w:w="1925"/>
      </w:tblGrid>
      <w:tr w:rsidR="00AA652A" w:rsidRPr="00AA652A" w14:paraId="68DFCA26" w14:textId="77777777" w:rsidTr="00926B2B">
        <w:trPr>
          <w:cantSplit/>
          <w:trHeight w:val="250"/>
        </w:trPr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4477B55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>Demographics and clinical characteristics</w:t>
            </w:r>
          </w:p>
        </w:tc>
        <w:tc>
          <w:tcPr>
            <w:tcW w:w="5028" w:type="dxa"/>
            <w:gridSpan w:val="2"/>
            <w:shd w:val="clear" w:color="auto" w:fill="D9D9D9" w:themeFill="background1" w:themeFillShade="D9"/>
            <w:vAlign w:val="center"/>
          </w:tcPr>
          <w:p w14:paraId="3F75BD9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>Model 1: Demographic and healthcare utilization variables</w:t>
            </w:r>
          </w:p>
        </w:tc>
        <w:tc>
          <w:tcPr>
            <w:tcW w:w="3897" w:type="dxa"/>
            <w:gridSpan w:val="2"/>
            <w:shd w:val="clear" w:color="auto" w:fill="D9D9D9" w:themeFill="background1" w:themeFillShade="D9"/>
            <w:vAlign w:val="center"/>
          </w:tcPr>
          <w:p w14:paraId="22F695D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>Model 2: Model 1 + chronic conditions</w:t>
            </w:r>
          </w:p>
        </w:tc>
      </w:tr>
      <w:tr w:rsidR="00AA652A" w:rsidRPr="00AA652A" w14:paraId="3DE313AB" w14:textId="77777777" w:rsidTr="00926B2B">
        <w:trPr>
          <w:cantSplit/>
          <w:trHeight w:val="126"/>
        </w:trPr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6C5AFA9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6"/>
                <w:szCs w:val="15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94CEE3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 xml:space="preserve">Adjusted hazard ratio 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175C839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>95% CI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5330DAD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 xml:space="preserve">Adjusted hazard ratio 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4488A0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>95% CI</w:t>
            </w:r>
          </w:p>
        </w:tc>
      </w:tr>
      <w:tr w:rsidR="00AA652A" w:rsidRPr="00AA652A" w14:paraId="4422F191" w14:textId="77777777" w:rsidTr="00926B2B">
        <w:trPr>
          <w:cantSplit/>
          <w:trHeight w:val="295"/>
        </w:trPr>
        <w:tc>
          <w:tcPr>
            <w:tcW w:w="4820" w:type="dxa"/>
            <w:gridSpan w:val="4"/>
            <w:shd w:val="clear" w:color="auto" w:fill="auto"/>
            <w:vAlign w:val="center"/>
          </w:tcPr>
          <w:p w14:paraId="4B764FA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14:paraId="14DA8CE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652A">
              <w:rPr>
                <w:rFonts w:ascii="Arial" w:hAnsi="Arial" w:cs="Arial"/>
                <w:sz w:val="16"/>
                <w:szCs w:val="18"/>
              </w:rPr>
              <w:t>(n = 22,071)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1F5CBF4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652A">
              <w:rPr>
                <w:rFonts w:ascii="Arial" w:hAnsi="Arial" w:cs="Arial"/>
                <w:sz w:val="16"/>
                <w:szCs w:val="18"/>
              </w:rPr>
              <w:t>(n = 22,071)</w:t>
            </w:r>
          </w:p>
        </w:tc>
      </w:tr>
      <w:tr w:rsidR="00AA652A" w:rsidRPr="00AA652A" w14:paraId="113EFC98" w14:textId="77777777" w:rsidTr="00926B2B">
        <w:trPr>
          <w:cantSplit/>
          <w:trHeight w:val="282"/>
        </w:trPr>
        <w:tc>
          <w:tcPr>
            <w:tcW w:w="4820" w:type="dxa"/>
            <w:gridSpan w:val="4"/>
            <w:shd w:val="clear" w:color="auto" w:fill="auto"/>
          </w:tcPr>
          <w:p w14:paraId="0B9A1B4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Age (reference: 65-74)</w:t>
            </w:r>
          </w:p>
        </w:tc>
        <w:tc>
          <w:tcPr>
            <w:tcW w:w="8925" w:type="dxa"/>
            <w:gridSpan w:val="4"/>
            <w:shd w:val="clear" w:color="auto" w:fill="auto"/>
          </w:tcPr>
          <w:p w14:paraId="3216015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A" w:rsidRPr="00AA652A" w14:paraId="33AFC6AC" w14:textId="77777777" w:rsidTr="00926B2B">
        <w:trPr>
          <w:cantSplit/>
          <w:trHeight w:val="282"/>
        </w:trPr>
        <w:tc>
          <w:tcPr>
            <w:tcW w:w="429" w:type="dxa"/>
            <w:shd w:val="clear" w:color="auto" w:fill="auto"/>
          </w:tcPr>
          <w:p w14:paraId="386D025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1" w:type="dxa"/>
            <w:gridSpan w:val="3"/>
            <w:shd w:val="clear" w:color="auto" w:fill="auto"/>
          </w:tcPr>
          <w:p w14:paraId="48FFF3D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75-84</w:t>
            </w:r>
          </w:p>
        </w:tc>
        <w:tc>
          <w:tcPr>
            <w:tcW w:w="2551" w:type="dxa"/>
            <w:shd w:val="clear" w:color="auto" w:fill="auto"/>
          </w:tcPr>
          <w:p w14:paraId="1E3A3AF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2477" w:type="dxa"/>
            <w:shd w:val="clear" w:color="auto" w:fill="auto"/>
          </w:tcPr>
          <w:p w14:paraId="3AF5415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0.70-1.05</w:t>
            </w:r>
          </w:p>
        </w:tc>
        <w:tc>
          <w:tcPr>
            <w:tcW w:w="1972" w:type="dxa"/>
            <w:shd w:val="clear" w:color="auto" w:fill="auto"/>
          </w:tcPr>
          <w:p w14:paraId="6DD7989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1925" w:type="dxa"/>
            <w:shd w:val="clear" w:color="auto" w:fill="auto"/>
          </w:tcPr>
          <w:p w14:paraId="0306B73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0.72-1.07</w:t>
            </w:r>
          </w:p>
        </w:tc>
      </w:tr>
      <w:tr w:rsidR="00AA652A" w:rsidRPr="00AA652A" w14:paraId="09A7B1B3" w14:textId="77777777" w:rsidTr="00926B2B">
        <w:trPr>
          <w:cantSplit/>
          <w:trHeight w:val="282"/>
        </w:trPr>
        <w:tc>
          <w:tcPr>
            <w:tcW w:w="429" w:type="dxa"/>
            <w:shd w:val="clear" w:color="auto" w:fill="auto"/>
          </w:tcPr>
          <w:p w14:paraId="79657A7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1" w:type="dxa"/>
            <w:gridSpan w:val="3"/>
            <w:shd w:val="clear" w:color="auto" w:fill="auto"/>
          </w:tcPr>
          <w:p w14:paraId="4518311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85 and above</w:t>
            </w:r>
          </w:p>
        </w:tc>
        <w:tc>
          <w:tcPr>
            <w:tcW w:w="2551" w:type="dxa"/>
            <w:shd w:val="clear" w:color="auto" w:fill="auto"/>
          </w:tcPr>
          <w:p w14:paraId="4C206E5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2477" w:type="dxa"/>
            <w:shd w:val="clear" w:color="auto" w:fill="auto"/>
          </w:tcPr>
          <w:p w14:paraId="1334D1E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0.62-1.03</w:t>
            </w:r>
          </w:p>
        </w:tc>
        <w:tc>
          <w:tcPr>
            <w:tcW w:w="1972" w:type="dxa"/>
            <w:shd w:val="clear" w:color="auto" w:fill="auto"/>
          </w:tcPr>
          <w:p w14:paraId="6C6622E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1925" w:type="dxa"/>
            <w:shd w:val="clear" w:color="auto" w:fill="auto"/>
          </w:tcPr>
          <w:p w14:paraId="2556AFE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0.64-1.07</w:t>
            </w:r>
          </w:p>
        </w:tc>
      </w:tr>
      <w:tr w:rsidR="00AA652A" w:rsidRPr="00AA652A" w14:paraId="1D585698" w14:textId="77777777" w:rsidTr="00926B2B">
        <w:trPr>
          <w:cantSplit/>
          <w:trHeight w:val="171"/>
        </w:trPr>
        <w:tc>
          <w:tcPr>
            <w:tcW w:w="4820" w:type="dxa"/>
            <w:gridSpan w:val="4"/>
            <w:shd w:val="clear" w:color="auto" w:fill="auto"/>
          </w:tcPr>
          <w:p w14:paraId="0158E60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Male sex (reference: female sex)</w:t>
            </w:r>
          </w:p>
        </w:tc>
        <w:tc>
          <w:tcPr>
            <w:tcW w:w="2551" w:type="dxa"/>
            <w:shd w:val="clear" w:color="auto" w:fill="auto"/>
          </w:tcPr>
          <w:p w14:paraId="4A7CCD9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2477" w:type="dxa"/>
            <w:shd w:val="clear" w:color="auto" w:fill="auto"/>
          </w:tcPr>
          <w:p w14:paraId="30E8052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1.08-1.55**</w:t>
            </w:r>
          </w:p>
        </w:tc>
        <w:tc>
          <w:tcPr>
            <w:tcW w:w="1972" w:type="dxa"/>
            <w:shd w:val="clear" w:color="auto" w:fill="auto"/>
          </w:tcPr>
          <w:p w14:paraId="501A92A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1925" w:type="dxa"/>
            <w:shd w:val="clear" w:color="auto" w:fill="auto"/>
          </w:tcPr>
          <w:p w14:paraId="26797A5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1.06-1.53**</w:t>
            </w:r>
          </w:p>
        </w:tc>
      </w:tr>
      <w:tr w:rsidR="00AA652A" w:rsidRPr="00AA652A" w14:paraId="5ACA746D" w14:textId="77777777" w:rsidTr="00926B2B">
        <w:trPr>
          <w:cantSplit/>
          <w:trHeight w:val="282"/>
        </w:trPr>
        <w:tc>
          <w:tcPr>
            <w:tcW w:w="4820" w:type="dxa"/>
            <w:gridSpan w:val="4"/>
            <w:shd w:val="clear" w:color="auto" w:fill="auto"/>
          </w:tcPr>
          <w:p w14:paraId="60FED50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Hispanic ethnicity (reference: non-hispanic) </w:t>
            </w:r>
          </w:p>
        </w:tc>
        <w:tc>
          <w:tcPr>
            <w:tcW w:w="2551" w:type="dxa"/>
            <w:shd w:val="clear" w:color="auto" w:fill="auto"/>
          </w:tcPr>
          <w:p w14:paraId="2B3EE57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2477" w:type="dxa"/>
            <w:shd w:val="clear" w:color="auto" w:fill="auto"/>
          </w:tcPr>
          <w:p w14:paraId="26F5554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0.51-3.00</w:t>
            </w:r>
          </w:p>
        </w:tc>
        <w:tc>
          <w:tcPr>
            <w:tcW w:w="1972" w:type="dxa"/>
            <w:shd w:val="clear" w:color="auto" w:fill="auto"/>
          </w:tcPr>
          <w:p w14:paraId="2CD653B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925" w:type="dxa"/>
            <w:shd w:val="clear" w:color="auto" w:fill="auto"/>
          </w:tcPr>
          <w:p w14:paraId="3556B78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0.51-2.99</w:t>
            </w:r>
          </w:p>
        </w:tc>
      </w:tr>
      <w:tr w:rsidR="00AA652A" w:rsidRPr="00AA652A" w14:paraId="17206BF4" w14:textId="77777777" w:rsidTr="00926B2B">
        <w:trPr>
          <w:cantSplit/>
          <w:trHeight w:val="282"/>
        </w:trPr>
        <w:tc>
          <w:tcPr>
            <w:tcW w:w="4820" w:type="dxa"/>
            <w:gridSpan w:val="4"/>
            <w:shd w:val="clear" w:color="auto" w:fill="auto"/>
          </w:tcPr>
          <w:p w14:paraId="23E16C0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18"/>
              </w:rPr>
              <w:t xml:space="preserve">Race (reference: White) </w:t>
            </w:r>
          </w:p>
        </w:tc>
        <w:tc>
          <w:tcPr>
            <w:tcW w:w="8925" w:type="dxa"/>
            <w:gridSpan w:val="4"/>
            <w:shd w:val="clear" w:color="auto" w:fill="auto"/>
          </w:tcPr>
          <w:p w14:paraId="19F996F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A" w:rsidRPr="00AA652A" w14:paraId="7662F830" w14:textId="77777777" w:rsidTr="00926B2B">
        <w:trPr>
          <w:cantSplit/>
          <w:trHeight w:val="282"/>
        </w:trPr>
        <w:tc>
          <w:tcPr>
            <w:tcW w:w="495" w:type="dxa"/>
            <w:gridSpan w:val="3"/>
            <w:shd w:val="clear" w:color="auto" w:fill="auto"/>
          </w:tcPr>
          <w:p w14:paraId="51DA1F4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4325" w:type="dxa"/>
            <w:shd w:val="clear" w:color="auto" w:fill="auto"/>
          </w:tcPr>
          <w:p w14:paraId="37EF6E2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Asian</w:t>
            </w:r>
          </w:p>
        </w:tc>
        <w:tc>
          <w:tcPr>
            <w:tcW w:w="2551" w:type="dxa"/>
            <w:shd w:val="clear" w:color="auto" w:fill="auto"/>
          </w:tcPr>
          <w:p w14:paraId="77622D0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2.02</w:t>
            </w:r>
          </w:p>
        </w:tc>
        <w:tc>
          <w:tcPr>
            <w:tcW w:w="2477" w:type="dxa"/>
            <w:shd w:val="clear" w:color="auto" w:fill="auto"/>
          </w:tcPr>
          <w:p w14:paraId="0C6560D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1.00-4.06**</w:t>
            </w:r>
          </w:p>
        </w:tc>
        <w:tc>
          <w:tcPr>
            <w:tcW w:w="1972" w:type="dxa"/>
            <w:shd w:val="clear" w:color="auto" w:fill="auto"/>
          </w:tcPr>
          <w:p w14:paraId="2841247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  <w:tc>
          <w:tcPr>
            <w:tcW w:w="1925" w:type="dxa"/>
            <w:shd w:val="clear" w:color="auto" w:fill="auto"/>
          </w:tcPr>
          <w:p w14:paraId="66200B6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0.93-3.80</w:t>
            </w:r>
          </w:p>
        </w:tc>
      </w:tr>
      <w:tr w:rsidR="00AA652A" w:rsidRPr="00AA652A" w14:paraId="2277A67D" w14:textId="77777777" w:rsidTr="00926B2B">
        <w:trPr>
          <w:cantSplit/>
          <w:trHeight w:val="295"/>
        </w:trPr>
        <w:tc>
          <w:tcPr>
            <w:tcW w:w="495" w:type="dxa"/>
            <w:gridSpan w:val="3"/>
            <w:shd w:val="clear" w:color="auto" w:fill="auto"/>
          </w:tcPr>
          <w:p w14:paraId="4DD82DF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4325" w:type="dxa"/>
            <w:shd w:val="clear" w:color="auto" w:fill="auto"/>
          </w:tcPr>
          <w:p w14:paraId="79693A1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2551" w:type="dxa"/>
            <w:shd w:val="clear" w:color="auto" w:fill="auto"/>
          </w:tcPr>
          <w:p w14:paraId="54E790B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2477" w:type="dxa"/>
            <w:shd w:val="clear" w:color="auto" w:fill="auto"/>
          </w:tcPr>
          <w:p w14:paraId="52A804E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1.02-2.27**</w:t>
            </w:r>
          </w:p>
        </w:tc>
        <w:tc>
          <w:tcPr>
            <w:tcW w:w="1972" w:type="dxa"/>
            <w:shd w:val="clear" w:color="auto" w:fill="auto"/>
          </w:tcPr>
          <w:p w14:paraId="12D15A9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1925" w:type="dxa"/>
            <w:shd w:val="clear" w:color="auto" w:fill="auto"/>
          </w:tcPr>
          <w:p w14:paraId="048CA3E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0.95-2.11</w:t>
            </w:r>
          </w:p>
        </w:tc>
      </w:tr>
      <w:tr w:rsidR="00AA652A" w:rsidRPr="00AA652A" w14:paraId="39CCF5AF" w14:textId="77777777" w:rsidTr="00926B2B">
        <w:trPr>
          <w:cantSplit/>
          <w:trHeight w:val="282"/>
        </w:trPr>
        <w:tc>
          <w:tcPr>
            <w:tcW w:w="495" w:type="dxa"/>
            <w:gridSpan w:val="3"/>
            <w:shd w:val="clear" w:color="auto" w:fill="auto"/>
          </w:tcPr>
          <w:p w14:paraId="633AC24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4325" w:type="dxa"/>
            <w:shd w:val="clear" w:color="auto" w:fill="auto"/>
          </w:tcPr>
          <w:p w14:paraId="603C18D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2551" w:type="dxa"/>
            <w:shd w:val="clear" w:color="auto" w:fill="auto"/>
          </w:tcPr>
          <w:p w14:paraId="7C913A3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2477" w:type="dxa"/>
            <w:shd w:val="clear" w:color="auto" w:fill="auto"/>
          </w:tcPr>
          <w:p w14:paraId="6A73D2A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0.87-2.65</w:t>
            </w:r>
          </w:p>
        </w:tc>
        <w:tc>
          <w:tcPr>
            <w:tcW w:w="1972" w:type="dxa"/>
            <w:shd w:val="clear" w:color="auto" w:fill="auto"/>
          </w:tcPr>
          <w:p w14:paraId="78646B9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1925" w:type="dxa"/>
            <w:shd w:val="clear" w:color="auto" w:fill="auto"/>
          </w:tcPr>
          <w:p w14:paraId="3F80586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0.82-2.51</w:t>
            </w:r>
          </w:p>
        </w:tc>
      </w:tr>
      <w:tr w:rsidR="00AA652A" w:rsidRPr="00AA652A" w14:paraId="715E7A26" w14:textId="77777777" w:rsidTr="00926B2B">
        <w:trPr>
          <w:cantSplit/>
          <w:trHeight w:val="282"/>
        </w:trPr>
        <w:tc>
          <w:tcPr>
            <w:tcW w:w="4820" w:type="dxa"/>
            <w:gridSpan w:val="4"/>
            <w:shd w:val="clear" w:color="auto" w:fill="auto"/>
          </w:tcPr>
          <w:p w14:paraId="06FA1B3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inpatient stays (reference: 0)</w:t>
            </w:r>
          </w:p>
        </w:tc>
        <w:tc>
          <w:tcPr>
            <w:tcW w:w="8925" w:type="dxa"/>
            <w:gridSpan w:val="4"/>
            <w:shd w:val="clear" w:color="auto" w:fill="auto"/>
          </w:tcPr>
          <w:p w14:paraId="43F38C6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A" w:rsidRPr="00AA652A" w14:paraId="6CAFB640" w14:textId="77777777" w:rsidTr="00926B2B">
        <w:trPr>
          <w:cantSplit/>
          <w:trHeight w:val="295"/>
        </w:trPr>
        <w:tc>
          <w:tcPr>
            <w:tcW w:w="464" w:type="dxa"/>
            <w:gridSpan w:val="2"/>
            <w:shd w:val="clear" w:color="auto" w:fill="auto"/>
          </w:tcPr>
          <w:p w14:paraId="5080F41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56" w:type="dxa"/>
            <w:gridSpan w:val="2"/>
            <w:shd w:val="clear" w:color="auto" w:fill="auto"/>
          </w:tcPr>
          <w:p w14:paraId="7E222DE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551" w:type="dxa"/>
            <w:shd w:val="clear" w:color="auto" w:fill="auto"/>
          </w:tcPr>
          <w:p w14:paraId="00475B8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2477" w:type="dxa"/>
            <w:shd w:val="clear" w:color="auto" w:fill="auto"/>
          </w:tcPr>
          <w:p w14:paraId="4C8DDEB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0.83-1.42</w:t>
            </w:r>
          </w:p>
        </w:tc>
        <w:tc>
          <w:tcPr>
            <w:tcW w:w="1972" w:type="dxa"/>
            <w:shd w:val="clear" w:color="auto" w:fill="auto"/>
          </w:tcPr>
          <w:p w14:paraId="79A5180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1925" w:type="dxa"/>
            <w:shd w:val="clear" w:color="auto" w:fill="auto"/>
          </w:tcPr>
          <w:p w14:paraId="4D98743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0.81-1.42</w:t>
            </w:r>
          </w:p>
        </w:tc>
      </w:tr>
      <w:tr w:rsidR="00AA652A" w:rsidRPr="00AA652A" w14:paraId="0F836206" w14:textId="77777777" w:rsidTr="00926B2B">
        <w:trPr>
          <w:cantSplit/>
          <w:trHeight w:val="282"/>
        </w:trPr>
        <w:tc>
          <w:tcPr>
            <w:tcW w:w="4820" w:type="dxa"/>
            <w:gridSpan w:val="4"/>
            <w:shd w:val="clear" w:color="auto" w:fill="auto"/>
          </w:tcPr>
          <w:p w14:paraId="2BEFA5A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emergency department visits (reference: 0)</w:t>
            </w:r>
          </w:p>
        </w:tc>
        <w:tc>
          <w:tcPr>
            <w:tcW w:w="8925" w:type="dxa"/>
            <w:gridSpan w:val="4"/>
            <w:shd w:val="clear" w:color="auto" w:fill="auto"/>
          </w:tcPr>
          <w:p w14:paraId="23B2701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A" w:rsidRPr="00AA652A" w14:paraId="1EBC25E1" w14:textId="77777777" w:rsidTr="00926B2B">
        <w:trPr>
          <w:cantSplit/>
          <w:trHeight w:val="282"/>
        </w:trPr>
        <w:tc>
          <w:tcPr>
            <w:tcW w:w="495" w:type="dxa"/>
            <w:gridSpan w:val="3"/>
            <w:shd w:val="clear" w:color="auto" w:fill="auto"/>
          </w:tcPr>
          <w:p w14:paraId="3E544C1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25" w:type="dxa"/>
            <w:shd w:val="clear" w:color="auto" w:fill="auto"/>
          </w:tcPr>
          <w:p w14:paraId="42F79B8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1 or above  </w:t>
            </w:r>
          </w:p>
        </w:tc>
        <w:tc>
          <w:tcPr>
            <w:tcW w:w="2551" w:type="dxa"/>
            <w:shd w:val="clear" w:color="auto" w:fill="auto"/>
          </w:tcPr>
          <w:p w14:paraId="3016FC2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2477" w:type="dxa"/>
            <w:shd w:val="clear" w:color="auto" w:fill="auto"/>
          </w:tcPr>
          <w:p w14:paraId="7CD39FF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0.83-1.34</w:t>
            </w:r>
          </w:p>
        </w:tc>
        <w:tc>
          <w:tcPr>
            <w:tcW w:w="1972" w:type="dxa"/>
            <w:shd w:val="clear" w:color="auto" w:fill="auto"/>
          </w:tcPr>
          <w:p w14:paraId="5DAD552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925" w:type="dxa"/>
            <w:shd w:val="clear" w:color="auto" w:fill="auto"/>
          </w:tcPr>
          <w:p w14:paraId="5DA85B1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0.82-1.32</w:t>
            </w:r>
          </w:p>
        </w:tc>
      </w:tr>
      <w:tr w:rsidR="00AA652A" w:rsidRPr="00AA652A" w14:paraId="0395F361" w14:textId="77777777" w:rsidTr="00926B2B">
        <w:trPr>
          <w:cantSplit/>
          <w:trHeight w:val="282"/>
        </w:trPr>
        <w:tc>
          <w:tcPr>
            <w:tcW w:w="13745" w:type="dxa"/>
            <w:gridSpan w:val="8"/>
            <w:shd w:val="clear" w:color="auto" w:fill="auto"/>
          </w:tcPr>
          <w:p w14:paraId="3305E10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Number of ambulatory visits (reference: ≤11) </w:t>
            </w:r>
          </w:p>
        </w:tc>
      </w:tr>
      <w:tr w:rsidR="00AA652A" w:rsidRPr="00AA652A" w14:paraId="45E11E13" w14:textId="77777777" w:rsidTr="00926B2B">
        <w:trPr>
          <w:cantSplit/>
          <w:trHeight w:val="295"/>
        </w:trPr>
        <w:tc>
          <w:tcPr>
            <w:tcW w:w="429" w:type="dxa"/>
            <w:shd w:val="clear" w:color="auto" w:fill="auto"/>
          </w:tcPr>
          <w:p w14:paraId="2AA6881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1" w:type="dxa"/>
            <w:gridSpan w:val="3"/>
            <w:shd w:val="clear" w:color="auto" w:fill="auto"/>
          </w:tcPr>
          <w:p w14:paraId="51BE8DA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12-20 </w:t>
            </w:r>
          </w:p>
        </w:tc>
        <w:tc>
          <w:tcPr>
            <w:tcW w:w="2551" w:type="dxa"/>
            <w:shd w:val="clear" w:color="auto" w:fill="auto"/>
          </w:tcPr>
          <w:p w14:paraId="164D103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2477" w:type="dxa"/>
            <w:shd w:val="clear" w:color="auto" w:fill="auto"/>
          </w:tcPr>
          <w:p w14:paraId="2573F1F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0.75-1.33</w:t>
            </w:r>
          </w:p>
        </w:tc>
        <w:tc>
          <w:tcPr>
            <w:tcW w:w="1972" w:type="dxa"/>
            <w:shd w:val="clear" w:color="auto" w:fill="auto"/>
          </w:tcPr>
          <w:p w14:paraId="6C15438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925" w:type="dxa"/>
            <w:shd w:val="clear" w:color="auto" w:fill="auto"/>
          </w:tcPr>
          <w:p w14:paraId="06CB720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0.75-1.34</w:t>
            </w:r>
          </w:p>
        </w:tc>
      </w:tr>
      <w:tr w:rsidR="00AA652A" w:rsidRPr="00AA652A" w14:paraId="2CFDA5CD" w14:textId="77777777" w:rsidTr="00926B2B">
        <w:trPr>
          <w:cantSplit/>
          <w:trHeight w:val="282"/>
        </w:trPr>
        <w:tc>
          <w:tcPr>
            <w:tcW w:w="429" w:type="dxa"/>
            <w:shd w:val="clear" w:color="auto" w:fill="auto"/>
          </w:tcPr>
          <w:p w14:paraId="684BA1F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1" w:type="dxa"/>
            <w:gridSpan w:val="3"/>
            <w:shd w:val="clear" w:color="auto" w:fill="auto"/>
          </w:tcPr>
          <w:p w14:paraId="389112C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21-36</w:t>
            </w:r>
          </w:p>
        </w:tc>
        <w:tc>
          <w:tcPr>
            <w:tcW w:w="2551" w:type="dxa"/>
            <w:shd w:val="clear" w:color="auto" w:fill="auto"/>
          </w:tcPr>
          <w:p w14:paraId="308AA09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2477" w:type="dxa"/>
            <w:shd w:val="clear" w:color="auto" w:fill="auto"/>
          </w:tcPr>
          <w:p w14:paraId="5140304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1.12-1.92””</w:t>
            </w:r>
          </w:p>
        </w:tc>
        <w:tc>
          <w:tcPr>
            <w:tcW w:w="1972" w:type="dxa"/>
            <w:shd w:val="clear" w:color="auto" w:fill="auto"/>
          </w:tcPr>
          <w:p w14:paraId="2687EE3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1925" w:type="dxa"/>
            <w:shd w:val="clear" w:color="auto" w:fill="auto"/>
          </w:tcPr>
          <w:p w14:paraId="47CA0A6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1.14-1.97**</w:t>
            </w:r>
          </w:p>
        </w:tc>
      </w:tr>
      <w:tr w:rsidR="00AA652A" w:rsidRPr="00AA652A" w14:paraId="4B9AAC41" w14:textId="77777777" w:rsidTr="00926B2B">
        <w:trPr>
          <w:cantSplit/>
          <w:trHeight w:val="282"/>
        </w:trPr>
        <w:tc>
          <w:tcPr>
            <w:tcW w:w="429" w:type="dxa"/>
            <w:shd w:val="clear" w:color="auto" w:fill="auto"/>
          </w:tcPr>
          <w:p w14:paraId="19CE6C8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1" w:type="dxa"/>
            <w:gridSpan w:val="3"/>
            <w:shd w:val="clear" w:color="auto" w:fill="auto"/>
          </w:tcPr>
          <w:p w14:paraId="1F268D0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≥37  </w:t>
            </w:r>
          </w:p>
        </w:tc>
        <w:tc>
          <w:tcPr>
            <w:tcW w:w="2551" w:type="dxa"/>
            <w:shd w:val="clear" w:color="auto" w:fill="auto"/>
          </w:tcPr>
          <w:p w14:paraId="24FDF7E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1.81</w:t>
            </w:r>
          </w:p>
        </w:tc>
        <w:tc>
          <w:tcPr>
            <w:tcW w:w="2477" w:type="dxa"/>
            <w:shd w:val="clear" w:color="auto" w:fill="auto"/>
          </w:tcPr>
          <w:p w14:paraId="3E1D0E8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1.33-2.47***</w:t>
            </w:r>
          </w:p>
        </w:tc>
        <w:tc>
          <w:tcPr>
            <w:tcW w:w="1972" w:type="dxa"/>
            <w:shd w:val="clear" w:color="auto" w:fill="auto"/>
          </w:tcPr>
          <w:p w14:paraId="7BC2F2D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1.86</w:t>
            </w:r>
          </w:p>
        </w:tc>
        <w:tc>
          <w:tcPr>
            <w:tcW w:w="1925" w:type="dxa"/>
            <w:shd w:val="clear" w:color="auto" w:fill="auto"/>
          </w:tcPr>
          <w:p w14:paraId="00EAD28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1.36-2.55***</w:t>
            </w:r>
          </w:p>
        </w:tc>
      </w:tr>
      <w:tr w:rsidR="00AA652A" w:rsidRPr="00AA652A" w14:paraId="2CC2D672" w14:textId="77777777" w:rsidTr="00926B2B">
        <w:trPr>
          <w:cantSplit/>
          <w:trHeight w:val="282"/>
        </w:trPr>
        <w:tc>
          <w:tcPr>
            <w:tcW w:w="13745" w:type="dxa"/>
            <w:gridSpan w:val="8"/>
            <w:shd w:val="clear" w:color="auto" w:fill="auto"/>
          </w:tcPr>
          <w:p w14:paraId="07CF0A1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Number of non-acute institutional stays (reference: 0) </w:t>
            </w:r>
          </w:p>
        </w:tc>
      </w:tr>
      <w:tr w:rsidR="00AA652A" w:rsidRPr="00AA652A" w14:paraId="5608E4C1" w14:textId="77777777" w:rsidTr="00926B2B">
        <w:trPr>
          <w:cantSplit/>
          <w:trHeight w:val="295"/>
        </w:trPr>
        <w:tc>
          <w:tcPr>
            <w:tcW w:w="429" w:type="dxa"/>
            <w:shd w:val="clear" w:color="auto" w:fill="auto"/>
          </w:tcPr>
          <w:p w14:paraId="49A98ED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1" w:type="dxa"/>
            <w:gridSpan w:val="3"/>
            <w:shd w:val="clear" w:color="auto" w:fill="auto"/>
          </w:tcPr>
          <w:p w14:paraId="08D95CCC" w14:textId="77777777" w:rsidR="00AA652A" w:rsidRPr="00AA652A" w:rsidRDefault="00AA652A" w:rsidP="00926B2B">
            <w:pPr>
              <w:keepNext/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551" w:type="dxa"/>
            <w:shd w:val="clear" w:color="auto" w:fill="auto"/>
          </w:tcPr>
          <w:p w14:paraId="15C9A24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2477" w:type="dxa"/>
            <w:shd w:val="clear" w:color="auto" w:fill="auto"/>
          </w:tcPr>
          <w:p w14:paraId="7364338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0.65-1.21</w:t>
            </w:r>
          </w:p>
        </w:tc>
        <w:tc>
          <w:tcPr>
            <w:tcW w:w="1972" w:type="dxa"/>
            <w:shd w:val="clear" w:color="auto" w:fill="auto"/>
          </w:tcPr>
          <w:p w14:paraId="661A57F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1925" w:type="dxa"/>
            <w:shd w:val="clear" w:color="auto" w:fill="auto"/>
          </w:tcPr>
          <w:p w14:paraId="1BACFA3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0.64-1.20</w:t>
            </w:r>
          </w:p>
        </w:tc>
      </w:tr>
      <w:tr w:rsidR="00AA652A" w:rsidRPr="00AA652A" w14:paraId="66807096" w14:textId="77777777" w:rsidTr="00926B2B">
        <w:trPr>
          <w:cantSplit/>
          <w:trHeight w:val="282"/>
        </w:trPr>
        <w:tc>
          <w:tcPr>
            <w:tcW w:w="13745" w:type="dxa"/>
            <w:gridSpan w:val="8"/>
            <w:shd w:val="clear" w:color="auto" w:fill="auto"/>
          </w:tcPr>
          <w:p w14:paraId="2E3C9DD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Level of polypharmacy (reference: 5-9 medications)</w:t>
            </w:r>
          </w:p>
        </w:tc>
      </w:tr>
      <w:tr w:rsidR="00AA652A" w:rsidRPr="00AA652A" w14:paraId="28C3043D" w14:textId="77777777" w:rsidTr="00926B2B">
        <w:trPr>
          <w:cantSplit/>
          <w:trHeight w:val="282"/>
        </w:trPr>
        <w:tc>
          <w:tcPr>
            <w:tcW w:w="429" w:type="dxa"/>
            <w:shd w:val="clear" w:color="auto" w:fill="auto"/>
          </w:tcPr>
          <w:p w14:paraId="686C13C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1" w:type="dxa"/>
            <w:gridSpan w:val="3"/>
            <w:shd w:val="clear" w:color="auto" w:fill="auto"/>
          </w:tcPr>
          <w:p w14:paraId="153F27E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10 and above</w:t>
            </w:r>
          </w:p>
        </w:tc>
        <w:tc>
          <w:tcPr>
            <w:tcW w:w="2551" w:type="dxa"/>
            <w:shd w:val="clear" w:color="auto" w:fill="auto"/>
          </w:tcPr>
          <w:p w14:paraId="32EAEA1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2477" w:type="dxa"/>
            <w:shd w:val="clear" w:color="auto" w:fill="auto"/>
          </w:tcPr>
          <w:p w14:paraId="7923430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1.01-2.31</w:t>
            </w:r>
          </w:p>
        </w:tc>
        <w:tc>
          <w:tcPr>
            <w:tcW w:w="1972" w:type="dxa"/>
            <w:shd w:val="clear" w:color="auto" w:fill="auto"/>
          </w:tcPr>
          <w:p w14:paraId="58CF591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1925" w:type="dxa"/>
            <w:shd w:val="clear" w:color="auto" w:fill="auto"/>
          </w:tcPr>
          <w:p w14:paraId="259A3A8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0.94-2.17</w:t>
            </w:r>
          </w:p>
        </w:tc>
      </w:tr>
      <w:tr w:rsidR="00AA652A" w:rsidRPr="00AA652A" w14:paraId="5A90DD2D" w14:textId="77777777" w:rsidTr="00926B2B">
        <w:trPr>
          <w:cantSplit/>
          <w:trHeight w:val="255"/>
        </w:trPr>
        <w:tc>
          <w:tcPr>
            <w:tcW w:w="4820" w:type="dxa"/>
            <w:gridSpan w:val="4"/>
            <w:shd w:val="clear" w:color="auto" w:fill="auto"/>
          </w:tcPr>
          <w:p w14:paraId="5C86536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chronic conditions (1-unit increase)</w:t>
            </w:r>
          </w:p>
        </w:tc>
        <w:tc>
          <w:tcPr>
            <w:tcW w:w="2551" w:type="dxa"/>
            <w:shd w:val="clear" w:color="auto" w:fill="auto"/>
          </w:tcPr>
          <w:p w14:paraId="283B707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2477" w:type="dxa"/>
            <w:shd w:val="clear" w:color="auto" w:fill="auto"/>
          </w:tcPr>
          <w:p w14:paraId="0B554B7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0.91-0.99**</w:t>
            </w:r>
          </w:p>
        </w:tc>
        <w:tc>
          <w:tcPr>
            <w:tcW w:w="1972" w:type="dxa"/>
            <w:shd w:val="clear" w:color="auto" w:fill="auto"/>
          </w:tcPr>
          <w:p w14:paraId="623DA2D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925" w:type="dxa"/>
            <w:shd w:val="clear" w:color="auto" w:fill="auto"/>
          </w:tcPr>
          <w:p w14:paraId="719E222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0.89-0.99**</w:t>
            </w:r>
          </w:p>
        </w:tc>
      </w:tr>
      <w:tr w:rsidR="00AA652A" w:rsidRPr="00AA652A" w14:paraId="045D364E" w14:textId="77777777" w:rsidTr="00926B2B">
        <w:trPr>
          <w:cantSplit/>
          <w:trHeight w:val="255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81EB6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prescribing orders (1-unit increase)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D2FAE8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39470CB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1.01-1.02***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14:paraId="75BED41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14:paraId="34DC595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1.01-1.02***</w:t>
            </w:r>
          </w:p>
        </w:tc>
      </w:tr>
      <w:tr w:rsidR="00AA652A" w:rsidRPr="00AA652A" w14:paraId="1AD86DF3" w14:textId="77777777" w:rsidTr="00926B2B">
        <w:trPr>
          <w:cantSplit/>
          <w:trHeight w:val="255"/>
        </w:trPr>
        <w:tc>
          <w:tcPr>
            <w:tcW w:w="137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6F908E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continued</w:t>
            </w:r>
          </w:p>
        </w:tc>
      </w:tr>
    </w:tbl>
    <w:p w14:paraId="7BFED4CC" w14:textId="77777777" w:rsidR="00AA652A" w:rsidRPr="00AA652A" w:rsidRDefault="00AA652A" w:rsidP="00AA652A">
      <w:pPr>
        <w:tabs>
          <w:tab w:val="left" w:pos="1080"/>
        </w:tabs>
        <w:rPr>
          <w:rFonts w:ascii="Arial" w:hAnsi="Arial" w:cs="Arial"/>
        </w:rPr>
      </w:pPr>
    </w:p>
    <w:tbl>
      <w:tblPr>
        <w:tblStyle w:val="TableGrid"/>
        <w:tblW w:w="1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288"/>
        <w:gridCol w:w="2551"/>
        <w:gridCol w:w="2477"/>
        <w:gridCol w:w="1971"/>
        <w:gridCol w:w="1980"/>
      </w:tblGrid>
      <w:tr w:rsidR="00AA652A" w:rsidRPr="00AA652A" w14:paraId="77A9CDFD" w14:textId="77777777" w:rsidTr="00926B2B">
        <w:trPr>
          <w:cantSplit/>
          <w:trHeight w:val="300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14:paraId="7A3687E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lastRenderedPageBreak/>
              <w:t>Demographics and clinical characteristics</w:t>
            </w:r>
          </w:p>
        </w:tc>
        <w:tc>
          <w:tcPr>
            <w:tcW w:w="5028" w:type="dxa"/>
            <w:gridSpan w:val="2"/>
            <w:shd w:val="clear" w:color="auto" w:fill="D9D9D9" w:themeFill="background1" w:themeFillShade="D9"/>
            <w:vAlign w:val="center"/>
          </w:tcPr>
          <w:p w14:paraId="190965A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>Model 1: Demographic and healthcare utilization variables</w:t>
            </w:r>
          </w:p>
        </w:tc>
        <w:tc>
          <w:tcPr>
            <w:tcW w:w="3951" w:type="dxa"/>
            <w:gridSpan w:val="2"/>
            <w:shd w:val="clear" w:color="auto" w:fill="D9D9D9" w:themeFill="background1" w:themeFillShade="D9"/>
            <w:vAlign w:val="center"/>
          </w:tcPr>
          <w:p w14:paraId="188D16A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>Model 2: Model 1 + chronic conditions</w:t>
            </w:r>
          </w:p>
        </w:tc>
      </w:tr>
      <w:tr w:rsidR="00AA652A" w:rsidRPr="00AA652A" w14:paraId="4AA9488D" w14:textId="77777777" w:rsidTr="00926B2B">
        <w:trPr>
          <w:cantSplit/>
          <w:trHeight w:val="291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0694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6"/>
                <w:szCs w:val="1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2D6A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 xml:space="preserve">Adjusted hazard ratio 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2928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>95% CI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CEDB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 xml:space="preserve">Adjusted hazard ratio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730D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A652A">
              <w:rPr>
                <w:rFonts w:ascii="Arial" w:hAnsi="Arial" w:cs="Arial"/>
                <w:sz w:val="16"/>
                <w:szCs w:val="15"/>
              </w:rPr>
              <w:t>95% CI</w:t>
            </w:r>
          </w:p>
        </w:tc>
      </w:tr>
      <w:tr w:rsidR="00AA652A" w:rsidRPr="00AA652A" w14:paraId="4D1FDA02" w14:textId="77777777" w:rsidTr="00926B2B">
        <w:trPr>
          <w:cantSplit/>
          <w:trHeight w:val="206"/>
        </w:trPr>
        <w:tc>
          <w:tcPr>
            <w:tcW w:w="48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5115A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18"/>
              </w:rPr>
              <w:t>Types of comorbidities</w:t>
            </w:r>
            <w:r w:rsidRPr="00AA652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B865A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A" w:rsidRPr="00AA652A" w14:paraId="3C90DA56" w14:textId="77777777" w:rsidTr="00926B2B">
        <w:trPr>
          <w:cantSplit/>
          <w:trHeight w:val="197"/>
        </w:trPr>
        <w:tc>
          <w:tcPr>
            <w:tcW w:w="527" w:type="dxa"/>
            <w:shd w:val="clear" w:color="auto" w:fill="auto"/>
          </w:tcPr>
          <w:p w14:paraId="59FB569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  <w:shd w:val="clear" w:color="auto" w:fill="auto"/>
          </w:tcPr>
          <w:p w14:paraId="1A36C7B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Congestive heart failure</w:t>
            </w:r>
          </w:p>
        </w:tc>
        <w:tc>
          <w:tcPr>
            <w:tcW w:w="2551" w:type="dxa"/>
            <w:shd w:val="clear" w:color="auto" w:fill="auto"/>
          </w:tcPr>
          <w:p w14:paraId="4298629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  <w:shd w:val="clear" w:color="auto" w:fill="auto"/>
          </w:tcPr>
          <w:p w14:paraId="6B0A192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7D74147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980" w:type="dxa"/>
            <w:shd w:val="clear" w:color="auto" w:fill="auto"/>
          </w:tcPr>
          <w:p w14:paraId="6942A3C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0.81-1.35</w:t>
            </w:r>
          </w:p>
        </w:tc>
      </w:tr>
      <w:tr w:rsidR="00AA652A" w:rsidRPr="00AA652A" w14:paraId="279A26F3" w14:textId="77777777" w:rsidTr="00926B2B">
        <w:trPr>
          <w:cantSplit/>
          <w:trHeight w:val="197"/>
        </w:trPr>
        <w:tc>
          <w:tcPr>
            <w:tcW w:w="527" w:type="dxa"/>
            <w:shd w:val="clear" w:color="auto" w:fill="auto"/>
          </w:tcPr>
          <w:p w14:paraId="1C14EA1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  <w:shd w:val="clear" w:color="auto" w:fill="auto"/>
          </w:tcPr>
          <w:p w14:paraId="696432F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Cardiac arrhythmias</w:t>
            </w:r>
          </w:p>
        </w:tc>
        <w:tc>
          <w:tcPr>
            <w:tcW w:w="2551" w:type="dxa"/>
            <w:shd w:val="clear" w:color="auto" w:fill="auto"/>
          </w:tcPr>
          <w:p w14:paraId="44040EB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  <w:shd w:val="clear" w:color="auto" w:fill="auto"/>
          </w:tcPr>
          <w:p w14:paraId="6AB4516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22A4941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980" w:type="dxa"/>
            <w:shd w:val="clear" w:color="auto" w:fill="auto"/>
          </w:tcPr>
          <w:p w14:paraId="1ED334B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0.76-1.46</w:t>
            </w:r>
          </w:p>
        </w:tc>
      </w:tr>
      <w:tr w:rsidR="00AA652A" w:rsidRPr="00AA652A" w14:paraId="45E66E77" w14:textId="77777777" w:rsidTr="00926B2B">
        <w:trPr>
          <w:cantSplit/>
          <w:trHeight w:val="197"/>
        </w:trPr>
        <w:tc>
          <w:tcPr>
            <w:tcW w:w="527" w:type="dxa"/>
            <w:shd w:val="clear" w:color="auto" w:fill="auto"/>
          </w:tcPr>
          <w:p w14:paraId="5FD5034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  <w:shd w:val="clear" w:color="auto" w:fill="auto"/>
          </w:tcPr>
          <w:p w14:paraId="09EBB42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Valvular disease</w:t>
            </w:r>
          </w:p>
        </w:tc>
        <w:tc>
          <w:tcPr>
            <w:tcW w:w="2551" w:type="dxa"/>
            <w:shd w:val="clear" w:color="auto" w:fill="auto"/>
          </w:tcPr>
          <w:p w14:paraId="326C061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  <w:shd w:val="clear" w:color="auto" w:fill="auto"/>
          </w:tcPr>
          <w:p w14:paraId="7531FE0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19EB982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980" w:type="dxa"/>
            <w:shd w:val="clear" w:color="auto" w:fill="auto"/>
          </w:tcPr>
          <w:p w14:paraId="7E38036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0.74-1.27</w:t>
            </w:r>
          </w:p>
        </w:tc>
      </w:tr>
      <w:tr w:rsidR="00AA652A" w:rsidRPr="00AA652A" w14:paraId="0106A9F8" w14:textId="77777777" w:rsidTr="00926B2B">
        <w:trPr>
          <w:cantSplit/>
          <w:trHeight w:val="206"/>
        </w:trPr>
        <w:tc>
          <w:tcPr>
            <w:tcW w:w="527" w:type="dxa"/>
            <w:shd w:val="clear" w:color="auto" w:fill="auto"/>
          </w:tcPr>
          <w:p w14:paraId="342896F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  <w:shd w:val="clear" w:color="auto" w:fill="auto"/>
          </w:tcPr>
          <w:p w14:paraId="14350D8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Pulmonary circulation disorders</w:t>
            </w:r>
          </w:p>
        </w:tc>
        <w:tc>
          <w:tcPr>
            <w:tcW w:w="2551" w:type="dxa"/>
            <w:shd w:val="clear" w:color="auto" w:fill="auto"/>
          </w:tcPr>
          <w:p w14:paraId="5254AE9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  <w:shd w:val="clear" w:color="auto" w:fill="auto"/>
          </w:tcPr>
          <w:p w14:paraId="15B99ED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0D0F270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1980" w:type="dxa"/>
            <w:shd w:val="clear" w:color="auto" w:fill="auto"/>
          </w:tcPr>
          <w:p w14:paraId="1958DC4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1.04-2.56</w:t>
            </w:r>
          </w:p>
        </w:tc>
      </w:tr>
      <w:tr w:rsidR="00AA652A" w:rsidRPr="00AA652A" w14:paraId="78E83A75" w14:textId="77777777" w:rsidTr="00926B2B">
        <w:trPr>
          <w:cantSplit/>
          <w:trHeight w:val="197"/>
        </w:trPr>
        <w:tc>
          <w:tcPr>
            <w:tcW w:w="527" w:type="dxa"/>
            <w:shd w:val="clear" w:color="auto" w:fill="auto"/>
          </w:tcPr>
          <w:p w14:paraId="77B3485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  <w:shd w:val="clear" w:color="auto" w:fill="auto"/>
          </w:tcPr>
          <w:p w14:paraId="33EB02C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Peripheral vascular disorders</w:t>
            </w:r>
          </w:p>
        </w:tc>
        <w:tc>
          <w:tcPr>
            <w:tcW w:w="2551" w:type="dxa"/>
            <w:shd w:val="clear" w:color="auto" w:fill="auto"/>
          </w:tcPr>
          <w:p w14:paraId="59D580B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  <w:shd w:val="clear" w:color="auto" w:fill="auto"/>
          </w:tcPr>
          <w:p w14:paraId="6EB7440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07B94A5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980" w:type="dxa"/>
            <w:shd w:val="clear" w:color="auto" w:fill="auto"/>
          </w:tcPr>
          <w:p w14:paraId="6A667D7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0.78-1.27</w:t>
            </w:r>
          </w:p>
        </w:tc>
      </w:tr>
      <w:tr w:rsidR="00AA652A" w:rsidRPr="00AA652A" w14:paraId="052A0867" w14:textId="77777777" w:rsidTr="00926B2B">
        <w:trPr>
          <w:cantSplit/>
          <w:trHeight w:val="197"/>
        </w:trPr>
        <w:tc>
          <w:tcPr>
            <w:tcW w:w="527" w:type="dxa"/>
            <w:shd w:val="clear" w:color="auto" w:fill="auto"/>
          </w:tcPr>
          <w:p w14:paraId="0017A0D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  <w:shd w:val="clear" w:color="auto" w:fill="auto"/>
          </w:tcPr>
          <w:p w14:paraId="258298E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2551" w:type="dxa"/>
            <w:shd w:val="clear" w:color="auto" w:fill="auto"/>
          </w:tcPr>
          <w:p w14:paraId="1E3070E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  <w:shd w:val="clear" w:color="auto" w:fill="auto"/>
          </w:tcPr>
          <w:p w14:paraId="4367D14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00D4E46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980" w:type="dxa"/>
            <w:shd w:val="clear" w:color="auto" w:fill="auto"/>
          </w:tcPr>
          <w:p w14:paraId="024AA85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9,,78-1.21</w:t>
            </w:r>
          </w:p>
        </w:tc>
      </w:tr>
      <w:tr w:rsidR="00AA652A" w:rsidRPr="00AA652A" w14:paraId="36592F58" w14:textId="77777777" w:rsidTr="00926B2B">
        <w:trPr>
          <w:cantSplit/>
          <w:trHeight w:val="197"/>
        </w:trPr>
        <w:tc>
          <w:tcPr>
            <w:tcW w:w="527" w:type="dxa"/>
            <w:shd w:val="clear" w:color="auto" w:fill="auto"/>
          </w:tcPr>
          <w:p w14:paraId="389105C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  <w:shd w:val="clear" w:color="auto" w:fill="auto"/>
          </w:tcPr>
          <w:p w14:paraId="2E96C6B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Chronic pulmonary disorders</w:t>
            </w:r>
          </w:p>
        </w:tc>
        <w:tc>
          <w:tcPr>
            <w:tcW w:w="2551" w:type="dxa"/>
            <w:shd w:val="clear" w:color="auto" w:fill="auto"/>
          </w:tcPr>
          <w:p w14:paraId="6952B9D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  <w:shd w:val="clear" w:color="auto" w:fill="auto"/>
          </w:tcPr>
          <w:p w14:paraId="25B0590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7953446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980" w:type="dxa"/>
            <w:shd w:val="clear" w:color="auto" w:fill="auto"/>
          </w:tcPr>
          <w:p w14:paraId="0A749A8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0.85-1.38</w:t>
            </w:r>
          </w:p>
        </w:tc>
      </w:tr>
      <w:tr w:rsidR="00AA652A" w:rsidRPr="00AA652A" w14:paraId="406E3E6C" w14:textId="77777777" w:rsidTr="00926B2B">
        <w:trPr>
          <w:cantSplit/>
          <w:trHeight w:val="206"/>
        </w:trPr>
        <w:tc>
          <w:tcPr>
            <w:tcW w:w="527" w:type="dxa"/>
            <w:shd w:val="clear" w:color="auto" w:fill="auto"/>
          </w:tcPr>
          <w:p w14:paraId="167A17F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  <w:shd w:val="clear" w:color="auto" w:fill="auto"/>
          </w:tcPr>
          <w:p w14:paraId="64F52B4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Diabetes</w:t>
            </w:r>
          </w:p>
        </w:tc>
        <w:tc>
          <w:tcPr>
            <w:tcW w:w="2551" w:type="dxa"/>
            <w:shd w:val="clear" w:color="auto" w:fill="auto"/>
          </w:tcPr>
          <w:p w14:paraId="2C8A1B8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  <w:shd w:val="clear" w:color="auto" w:fill="auto"/>
          </w:tcPr>
          <w:p w14:paraId="494E267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56266DB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1980" w:type="dxa"/>
            <w:shd w:val="clear" w:color="auto" w:fill="auto"/>
          </w:tcPr>
          <w:p w14:paraId="1B4BA7B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1.05-1.55**</w:t>
            </w:r>
          </w:p>
        </w:tc>
      </w:tr>
      <w:tr w:rsidR="00AA652A" w:rsidRPr="00AA652A" w14:paraId="0302131A" w14:textId="77777777" w:rsidTr="00926B2B">
        <w:trPr>
          <w:cantSplit/>
          <w:trHeight w:val="197"/>
        </w:trPr>
        <w:tc>
          <w:tcPr>
            <w:tcW w:w="527" w:type="dxa"/>
            <w:shd w:val="clear" w:color="auto" w:fill="auto"/>
          </w:tcPr>
          <w:p w14:paraId="605D836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  <w:shd w:val="clear" w:color="auto" w:fill="auto"/>
          </w:tcPr>
          <w:p w14:paraId="7E8631B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Hypothyroidism</w:t>
            </w:r>
          </w:p>
        </w:tc>
        <w:tc>
          <w:tcPr>
            <w:tcW w:w="2551" w:type="dxa"/>
            <w:shd w:val="clear" w:color="auto" w:fill="auto"/>
          </w:tcPr>
          <w:p w14:paraId="7D2F62D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  <w:shd w:val="clear" w:color="auto" w:fill="auto"/>
          </w:tcPr>
          <w:p w14:paraId="1DEFFF6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1B26649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980" w:type="dxa"/>
            <w:shd w:val="clear" w:color="auto" w:fill="auto"/>
          </w:tcPr>
          <w:p w14:paraId="2AEDE1F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0.67-1.16</w:t>
            </w:r>
          </w:p>
        </w:tc>
      </w:tr>
      <w:tr w:rsidR="00AA652A" w:rsidRPr="00AA652A" w14:paraId="04629F2D" w14:textId="77777777" w:rsidTr="00926B2B">
        <w:trPr>
          <w:trHeight w:val="197"/>
        </w:trPr>
        <w:tc>
          <w:tcPr>
            <w:tcW w:w="527" w:type="dxa"/>
          </w:tcPr>
          <w:p w14:paraId="01A38E8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</w:tcPr>
          <w:p w14:paraId="7A9FD93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Renal failure</w:t>
            </w:r>
          </w:p>
        </w:tc>
        <w:tc>
          <w:tcPr>
            <w:tcW w:w="2551" w:type="dxa"/>
          </w:tcPr>
          <w:p w14:paraId="615BF8D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</w:tcPr>
          <w:p w14:paraId="2066719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</w:tcPr>
          <w:p w14:paraId="151FFEF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980" w:type="dxa"/>
          </w:tcPr>
          <w:p w14:paraId="0784955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0.75-1.37</w:t>
            </w:r>
          </w:p>
        </w:tc>
      </w:tr>
      <w:tr w:rsidR="00AA652A" w:rsidRPr="00AA652A" w14:paraId="69CB96F7" w14:textId="77777777" w:rsidTr="00926B2B">
        <w:trPr>
          <w:trHeight w:val="206"/>
        </w:trPr>
        <w:tc>
          <w:tcPr>
            <w:tcW w:w="527" w:type="dxa"/>
          </w:tcPr>
          <w:p w14:paraId="5681300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</w:tcPr>
          <w:p w14:paraId="351C5C9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Cancer</w:t>
            </w:r>
          </w:p>
        </w:tc>
        <w:tc>
          <w:tcPr>
            <w:tcW w:w="2551" w:type="dxa"/>
          </w:tcPr>
          <w:p w14:paraId="1C19548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</w:tcPr>
          <w:p w14:paraId="12CD0EB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</w:tcPr>
          <w:p w14:paraId="5FBB7C5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1980" w:type="dxa"/>
          </w:tcPr>
          <w:p w14:paraId="369E165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0.64-1.10</w:t>
            </w:r>
          </w:p>
        </w:tc>
      </w:tr>
      <w:tr w:rsidR="00AA652A" w:rsidRPr="00AA652A" w14:paraId="7A5E6C30" w14:textId="77777777" w:rsidTr="00926B2B">
        <w:trPr>
          <w:trHeight w:val="197"/>
        </w:trPr>
        <w:tc>
          <w:tcPr>
            <w:tcW w:w="527" w:type="dxa"/>
          </w:tcPr>
          <w:p w14:paraId="426B64A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</w:tcPr>
          <w:p w14:paraId="2D00921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Rheumatoid arthritis/collagen vascular diseases</w:t>
            </w:r>
          </w:p>
        </w:tc>
        <w:tc>
          <w:tcPr>
            <w:tcW w:w="2551" w:type="dxa"/>
          </w:tcPr>
          <w:p w14:paraId="09F0494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</w:tcPr>
          <w:p w14:paraId="6237FDF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</w:tcPr>
          <w:p w14:paraId="19179A8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980" w:type="dxa"/>
          </w:tcPr>
          <w:p w14:paraId="399092D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0.66-1.45</w:t>
            </w:r>
          </w:p>
        </w:tc>
      </w:tr>
      <w:tr w:rsidR="00AA652A" w:rsidRPr="00AA652A" w14:paraId="668943B2" w14:textId="77777777" w:rsidTr="00926B2B">
        <w:trPr>
          <w:trHeight w:val="197"/>
        </w:trPr>
        <w:tc>
          <w:tcPr>
            <w:tcW w:w="527" w:type="dxa"/>
          </w:tcPr>
          <w:p w14:paraId="13697A1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</w:tcPr>
          <w:p w14:paraId="507D28D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Coagulopathy</w:t>
            </w:r>
          </w:p>
        </w:tc>
        <w:tc>
          <w:tcPr>
            <w:tcW w:w="2551" w:type="dxa"/>
          </w:tcPr>
          <w:p w14:paraId="6C95405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</w:tcPr>
          <w:p w14:paraId="34D2EB5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</w:tcPr>
          <w:p w14:paraId="1A9BC51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980" w:type="dxa"/>
          </w:tcPr>
          <w:p w14:paraId="64E5FF8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0.60-1.52</w:t>
            </w:r>
          </w:p>
        </w:tc>
      </w:tr>
      <w:tr w:rsidR="00AA652A" w:rsidRPr="00AA652A" w14:paraId="37287375" w14:textId="77777777" w:rsidTr="00926B2B">
        <w:trPr>
          <w:trHeight w:val="197"/>
        </w:trPr>
        <w:tc>
          <w:tcPr>
            <w:tcW w:w="527" w:type="dxa"/>
          </w:tcPr>
          <w:p w14:paraId="3AF6F97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</w:tcPr>
          <w:p w14:paraId="2FCC9F4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Fluid and electrolyte disorders</w:t>
            </w:r>
          </w:p>
        </w:tc>
        <w:tc>
          <w:tcPr>
            <w:tcW w:w="2551" w:type="dxa"/>
          </w:tcPr>
          <w:p w14:paraId="5807FD6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</w:tcPr>
          <w:p w14:paraId="459032C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</w:tcPr>
          <w:p w14:paraId="47F7D8A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980" w:type="dxa"/>
          </w:tcPr>
          <w:p w14:paraId="0A3F3D8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0.75-1.45</w:t>
            </w:r>
          </w:p>
        </w:tc>
      </w:tr>
      <w:tr w:rsidR="00AA652A" w:rsidRPr="00AA652A" w14:paraId="166A472B" w14:textId="77777777" w:rsidTr="00926B2B">
        <w:trPr>
          <w:trHeight w:val="206"/>
        </w:trPr>
        <w:tc>
          <w:tcPr>
            <w:tcW w:w="527" w:type="dxa"/>
          </w:tcPr>
          <w:p w14:paraId="25E21C4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</w:tcPr>
          <w:p w14:paraId="6E64BD2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2551" w:type="dxa"/>
          </w:tcPr>
          <w:p w14:paraId="29B901F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</w:tcPr>
          <w:p w14:paraId="398E471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</w:tcPr>
          <w:p w14:paraId="224AF53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980" w:type="dxa"/>
          </w:tcPr>
          <w:p w14:paraId="30ADCBA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0.79-1.49</w:t>
            </w:r>
          </w:p>
        </w:tc>
      </w:tr>
      <w:tr w:rsidR="00AA652A" w:rsidRPr="00AA652A" w14:paraId="79B6FCBA" w14:textId="77777777" w:rsidTr="00926B2B">
        <w:trPr>
          <w:trHeight w:val="197"/>
        </w:trPr>
        <w:tc>
          <w:tcPr>
            <w:tcW w:w="527" w:type="dxa"/>
            <w:tcBorders>
              <w:bottom w:val="single" w:sz="4" w:space="0" w:color="auto"/>
            </w:tcBorders>
          </w:tcPr>
          <w:p w14:paraId="0639086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14:paraId="550316D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Liver disease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908A1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2E0DF5C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689AF5A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CF45D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0.70-2.23</w:t>
            </w:r>
          </w:p>
        </w:tc>
      </w:tr>
      <w:tr w:rsidR="00AA652A" w:rsidRPr="00AA652A" w14:paraId="00BD05F5" w14:textId="77777777" w:rsidTr="00926B2B">
        <w:trPr>
          <w:trHeight w:val="799"/>
        </w:trPr>
        <w:tc>
          <w:tcPr>
            <w:tcW w:w="13794" w:type="dxa"/>
            <w:gridSpan w:val="6"/>
            <w:tcBorders>
              <w:top w:val="single" w:sz="4" w:space="0" w:color="auto"/>
            </w:tcBorders>
          </w:tcPr>
          <w:p w14:paraId="7C0A718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  <w:vertAlign w:val="superscript"/>
                <w:lang w:val="en-GB"/>
              </w:rPr>
              <w:t>1</w:t>
            </w:r>
            <w:r w:rsidRPr="00AA652A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Pr="00AA652A">
              <w:rPr>
                <w:rFonts w:ascii="Arial" w:hAnsi="Arial" w:cs="Arial"/>
                <w:sz w:val="17"/>
                <w:szCs w:val="17"/>
              </w:rPr>
              <w:t>comorbidities defined with coding algorithms for defining Elixhauser comorbidities in ICD-9 administrative data (Quan et al. 2005), ≥2 ICD-9 codes per category, hypertension categories merged, diabetes categories merged, different cancer categories merged, drug abuse, alcohol abuse, obesity, weight loss, HIV/AIDS, paralysis, other neurological disorders, blood loss anemia and deficiency anemia not included;</w:t>
            </w:r>
          </w:p>
          <w:p w14:paraId="37B2B2A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*PIMs with low level of evidence excluded.</w:t>
            </w:r>
          </w:p>
          <w:p w14:paraId="5D7C32F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** p&lt;0.05; *** p&lt;0.001</w:t>
            </w:r>
          </w:p>
        </w:tc>
      </w:tr>
    </w:tbl>
    <w:p w14:paraId="6E9A26A6" w14:textId="77777777" w:rsidR="00AA652A" w:rsidRPr="00AA652A" w:rsidRDefault="00AA652A" w:rsidP="00AA652A">
      <w:pPr>
        <w:rPr>
          <w:rFonts w:ascii="Arial" w:hAnsi="Arial" w:cs="Arial"/>
        </w:rPr>
      </w:pPr>
    </w:p>
    <w:p w14:paraId="2AC99350" w14:textId="77777777" w:rsidR="00AA652A" w:rsidRPr="00AA652A" w:rsidRDefault="00AA652A" w:rsidP="00AA652A">
      <w:pPr>
        <w:rPr>
          <w:rFonts w:ascii="Arial" w:hAnsi="Arial" w:cs="Arial"/>
        </w:rPr>
      </w:pPr>
    </w:p>
    <w:p w14:paraId="1C0DF019" w14:textId="33783A2B" w:rsidR="00AA652A" w:rsidRDefault="00AA652A">
      <w:pPr>
        <w:rPr>
          <w:rFonts w:ascii="Arial" w:eastAsiaTheme="majorEastAsia" w:hAnsi="Arial" w:cstheme="majorBidi"/>
          <w:b/>
          <w:color w:val="000000" w:themeColor="text1"/>
          <w:sz w:val="24"/>
          <w:szCs w:val="32"/>
        </w:rPr>
      </w:pPr>
      <w:r>
        <w:br w:type="page"/>
      </w:r>
    </w:p>
    <w:p w14:paraId="4A48D49E" w14:textId="10431957" w:rsidR="00AA652A" w:rsidRPr="00AA652A" w:rsidRDefault="00AA652A" w:rsidP="00AA652A">
      <w:pPr>
        <w:pStyle w:val="Heading1"/>
        <w:rPr>
          <w:color w:val="auto"/>
        </w:rPr>
      </w:pPr>
      <w:bookmarkStart w:id="3" w:name="_Toc58255220"/>
      <w:r>
        <w:rPr>
          <w:color w:val="auto"/>
        </w:rPr>
        <w:lastRenderedPageBreak/>
        <w:t xml:space="preserve">eTable </w:t>
      </w:r>
      <w:r w:rsidR="006A127E">
        <w:rPr>
          <w:color w:val="auto"/>
        </w:rPr>
        <w:t>3</w:t>
      </w:r>
      <w:r w:rsidRPr="00AA652A">
        <w:rPr>
          <w:color w:val="auto"/>
        </w:rPr>
        <w:t>. Multivariable associations between demographic and clinical factors (continuous variables) and the prescribing of potentially inappropriate medications (PIMs)</w:t>
      </w:r>
      <w:bookmarkEnd w:id="3"/>
    </w:p>
    <w:tbl>
      <w:tblPr>
        <w:tblStyle w:val="TableGrid"/>
        <w:tblpPr w:leftFromText="180" w:rightFromText="180" w:vertAnchor="page" w:horzAnchor="margin" w:tblpY="2473"/>
        <w:tblW w:w="13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717"/>
        <w:gridCol w:w="1838"/>
        <w:gridCol w:w="2173"/>
        <w:gridCol w:w="1671"/>
        <w:gridCol w:w="2006"/>
      </w:tblGrid>
      <w:tr w:rsidR="00C06BF6" w:rsidRPr="00AA652A" w14:paraId="0052005F" w14:textId="77777777" w:rsidTr="00C06BF6">
        <w:trPr>
          <w:cantSplit/>
          <w:trHeight w:val="410"/>
        </w:trPr>
        <w:tc>
          <w:tcPr>
            <w:tcW w:w="6178" w:type="dxa"/>
            <w:gridSpan w:val="2"/>
            <w:shd w:val="clear" w:color="auto" w:fill="D9D9D9" w:themeFill="background1" w:themeFillShade="D9"/>
            <w:vAlign w:val="center"/>
          </w:tcPr>
          <w:p w14:paraId="728CFDD7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Demographics and clinical characteristics</w:t>
            </w:r>
          </w:p>
        </w:tc>
        <w:tc>
          <w:tcPr>
            <w:tcW w:w="4011" w:type="dxa"/>
            <w:gridSpan w:val="2"/>
            <w:shd w:val="clear" w:color="auto" w:fill="D9D9D9" w:themeFill="background1" w:themeFillShade="D9"/>
            <w:vAlign w:val="center"/>
          </w:tcPr>
          <w:p w14:paraId="25F322F5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Model 1: Demographic and healthcare utilization variables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  <w:vAlign w:val="center"/>
          </w:tcPr>
          <w:p w14:paraId="7B90E299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Model 2: Model 1 + chronic conditions</w:t>
            </w:r>
          </w:p>
        </w:tc>
      </w:tr>
      <w:tr w:rsidR="00C06BF6" w:rsidRPr="00AA652A" w14:paraId="71CBF283" w14:textId="77777777" w:rsidTr="00C06BF6">
        <w:trPr>
          <w:cantSplit/>
          <w:trHeight w:val="397"/>
        </w:trPr>
        <w:tc>
          <w:tcPr>
            <w:tcW w:w="61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4E87E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81B84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474D6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32670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6515B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C06BF6" w:rsidRPr="00AA652A" w14:paraId="41C99734" w14:textId="77777777" w:rsidTr="00C06BF6">
        <w:trPr>
          <w:cantSplit/>
          <w:trHeight w:val="281"/>
        </w:trPr>
        <w:tc>
          <w:tcPr>
            <w:tcW w:w="61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37F81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F51B4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652A">
              <w:rPr>
                <w:rFonts w:ascii="Arial" w:hAnsi="Arial" w:cs="Arial"/>
                <w:sz w:val="16"/>
                <w:szCs w:val="18"/>
              </w:rPr>
              <w:t>(n = 17,911)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4E3810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652A">
              <w:rPr>
                <w:rFonts w:ascii="Arial" w:hAnsi="Arial" w:cs="Arial"/>
                <w:sz w:val="16"/>
                <w:szCs w:val="18"/>
              </w:rPr>
              <w:t>(n = 17,911)</w:t>
            </w:r>
          </w:p>
        </w:tc>
      </w:tr>
      <w:tr w:rsidR="00C06BF6" w:rsidRPr="00AA652A" w14:paraId="624D56D4" w14:textId="77777777" w:rsidTr="00C06BF6">
        <w:trPr>
          <w:cantSplit/>
          <w:trHeight w:val="269"/>
        </w:trPr>
        <w:tc>
          <w:tcPr>
            <w:tcW w:w="6178" w:type="dxa"/>
            <w:gridSpan w:val="2"/>
            <w:shd w:val="clear" w:color="auto" w:fill="auto"/>
          </w:tcPr>
          <w:p w14:paraId="6DBA741D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Age (per 10-year increase)</w:t>
            </w:r>
          </w:p>
        </w:tc>
        <w:tc>
          <w:tcPr>
            <w:tcW w:w="1838" w:type="dxa"/>
            <w:shd w:val="clear" w:color="auto" w:fill="auto"/>
          </w:tcPr>
          <w:p w14:paraId="25056EA7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2173" w:type="dxa"/>
            <w:shd w:val="clear" w:color="auto" w:fill="auto"/>
          </w:tcPr>
          <w:p w14:paraId="5C72C8B8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0.78-1.02</w:t>
            </w:r>
          </w:p>
        </w:tc>
        <w:tc>
          <w:tcPr>
            <w:tcW w:w="1671" w:type="dxa"/>
            <w:shd w:val="clear" w:color="auto" w:fill="auto"/>
          </w:tcPr>
          <w:p w14:paraId="3A8B22B2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2006" w:type="dxa"/>
            <w:shd w:val="clear" w:color="auto" w:fill="auto"/>
          </w:tcPr>
          <w:p w14:paraId="06BED711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0.77-1.01</w:t>
            </w:r>
          </w:p>
        </w:tc>
      </w:tr>
      <w:tr w:rsidR="00C06BF6" w:rsidRPr="00AA652A" w14:paraId="46A94AC0" w14:textId="77777777" w:rsidTr="00C06BF6">
        <w:trPr>
          <w:cantSplit/>
          <w:trHeight w:val="163"/>
        </w:trPr>
        <w:tc>
          <w:tcPr>
            <w:tcW w:w="6178" w:type="dxa"/>
            <w:gridSpan w:val="2"/>
            <w:shd w:val="clear" w:color="auto" w:fill="auto"/>
          </w:tcPr>
          <w:p w14:paraId="4C08F0EF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Male sex (reference: female sex)</w:t>
            </w:r>
          </w:p>
        </w:tc>
        <w:tc>
          <w:tcPr>
            <w:tcW w:w="1838" w:type="dxa"/>
            <w:shd w:val="clear" w:color="auto" w:fill="auto"/>
          </w:tcPr>
          <w:p w14:paraId="0E0FEC93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2173" w:type="dxa"/>
            <w:shd w:val="clear" w:color="auto" w:fill="auto"/>
          </w:tcPr>
          <w:p w14:paraId="13F37E86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1.08-1.58**</w:t>
            </w:r>
          </w:p>
        </w:tc>
        <w:tc>
          <w:tcPr>
            <w:tcW w:w="1671" w:type="dxa"/>
            <w:shd w:val="clear" w:color="auto" w:fill="auto"/>
          </w:tcPr>
          <w:p w14:paraId="7F499A37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2006" w:type="dxa"/>
            <w:shd w:val="clear" w:color="auto" w:fill="auto"/>
          </w:tcPr>
          <w:p w14:paraId="45AE3162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1.06-1.57**</w:t>
            </w:r>
          </w:p>
        </w:tc>
      </w:tr>
      <w:tr w:rsidR="00C06BF6" w:rsidRPr="00AA652A" w14:paraId="1CA83130" w14:textId="77777777" w:rsidTr="00C06BF6">
        <w:trPr>
          <w:cantSplit/>
          <w:trHeight w:val="269"/>
        </w:trPr>
        <w:tc>
          <w:tcPr>
            <w:tcW w:w="6178" w:type="dxa"/>
            <w:gridSpan w:val="2"/>
            <w:shd w:val="clear" w:color="auto" w:fill="auto"/>
          </w:tcPr>
          <w:p w14:paraId="67A592E5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Hispanic ethnicity (reference: non-hispanic) </w:t>
            </w:r>
          </w:p>
        </w:tc>
        <w:tc>
          <w:tcPr>
            <w:tcW w:w="1838" w:type="dxa"/>
            <w:shd w:val="clear" w:color="auto" w:fill="auto"/>
          </w:tcPr>
          <w:p w14:paraId="560151A7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2173" w:type="dxa"/>
            <w:shd w:val="clear" w:color="auto" w:fill="auto"/>
          </w:tcPr>
          <w:p w14:paraId="0BA6542E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0.37-2.72</w:t>
            </w:r>
          </w:p>
        </w:tc>
        <w:tc>
          <w:tcPr>
            <w:tcW w:w="1671" w:type="dxa"/>
            <w:shd w:val="clear" w:color="auto" w:fill="auto"/>
          </w:tcPr>
          <w:p w14:paraId="06F81A64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2006" w:type="dxa"/>
            <w:shd w:val="clear" w:color="auto" w:fill="auto"/>
          </w:tcPr>
          <w:p w14:paraId="77193236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0.362.67</w:t>
            </w:r>
          </w:p>
        </w:tc>
      </w:tr>
      <w:tr w:rsidR="00C06BF6" w:rsidRPr="00AA652A" w14:paraId="03117195" w14:textId="77777777" w:rsidTr="00C06BF6">
        <w:trPr>
          <w:cantSplit/>
          <w:trHeight w:val="281"/>
        </w:trPr>
        <w:tc>
          <w:tcPr>
            <w:tcW w:w="6178" w:type="dxa"/>
            <w:gridSpan w:val="2"/>
            <w:shd w:val="clear" w:color="auto" w:fill="auto"/>
          </w:tcPr>
          <w:p w14:paraId="7B73C3BE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18"/>
              </w:rPr>
              <w:t xml:space="preserve">Race (reference: White) </w:t>
            </w:r>
          </w:p>
        </w:tc>
        <w:tc>
          <w:tcPr>
            <w:tcW w:w="7688" w:type="dxa"/>
            <w:gridSpan w:val="4"/>
            <w:shd w:val="clear" w:color="auto" w:fill="auto"/>
          </w:tcPr>
          <w:p w14:paraId="232950E7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BF6" w:rsidRPr="00AA652A" w14:paraId="1F07835E" w14:textId="77777777" w:rsidTr="00C06BF6">
        <w:trPr>
          <w:cantSplit/>
          <w:trHeight w:val="269"/>
        </w:trPr>
        <w:tc>
          <w:tcPr>
            <w:tcW w:w="461" w:type="dxa"/>
            <w:shd w:val="clear" w:color="auto" w:fill="auto"/>
          </w:tcPr>
          <w:p w14:paraId="4F3F156E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5717" w:type="dxa"/>
            <w:shd w:val="clear" w:color="auto" w:fill="auto"/>
          </w:tcPr>
          <w:p w14:paraId="4225EE8F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Asian</w:t>
            </w:r>
          </w:p>
        </w:tc>
        <w:tc>
          <w:tcPr>
            <w:tcW w:w="1838" w:type="dxa"/>
            <w:shd w:val="clear" w:color="auto" w:fill="auto"/>
          </w:tcPr>
          <w:p w14:paraId="443DCD60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2173" w:type="dxa"/>
            <w:shd w:val="clear" w:color="auto" w:fill="auto"/>
          </w:tcPr>
          <w:p w14:paraId="11FCA528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0.56-3.25</w:t>
            </w:r>
          </w:p>
        </w:tc>
        <w:tc>
          <w:tcPr>
            <w:tcW w:w="1671" w:type="dxa"/>
            <w:shd w:val="clear" w:color="auto" w:fill="auto"/>
          </w:tcPr>
          <w:p w14:paraId="2458BBBC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2006" w:type="dxa"/>
            <w:shd w:val="clear" w:color="auto" w:fill="auto"/>
          </w:tcPr>
          <w:p w14:paraId="7B26EAB8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0.53-3.13</w:t>
            </w:r>
          </w:p>
        </w:tc>
      </w:tr>
      <w:tr w:rsidR="00C06BF6" w:rsidRPr="00AA652A" w14:paraId="0471206F" w14:textId="77777777" w:rsidTr="00C06BF6">
        <w:trPr>
          <w:cantSplit/>
          <w:trHeight w:val="269"/>
        </w:trPr>
        <w:tc>
          <w:tcPr>
            <w:tcW w:w="461" w:type="dxa"/>
            <w:shd w:val="clear" w:color="auto" w:fill="auto"/>
          </w:tcPr>
          <w:p w14:paraId="7E475DA0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5717" w:type="dxa"/>
            <w:shd w:val="clear" w:color="auto" w:fill="auto"/>
          </w:tcPr>
          <w:p w14:paraId="12DFB0F9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1838" w:type="dxa"/>
            <w:shd w:val="clear" w:color="auto" w:fill="auto"/>
          </w:tcPr>
          <w:p w14:paraId="2A94FF06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1.58</w:t>
            </w:r>
          </w:p>
        </w:tc>
        <w:tc>
          <w:tcPr>
            <w:tcW w:w="2173" w:type="dxa"/>
            <w:shd w:val="clear" w:color="auto" w:fill="auto"/>
          </w:tcPr>
          <w:p w14:paraId="3108565B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1.04-2.39**</w:t>
            </w:r>
          </w:p>
        </w:tc>
        <w:tc>
          <w:tcPr>
            <w:tcW w:w="1671" w:type="dxa"/>
            <w:shd w:val="clear" w:color="auto" w:fill="auto"/>
          </w:tcPr>
          <w:p w14:paraId="27E5BE59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2006" w:type="dxa"/>
            <w:shd w:val="clear" w:color="auto" w:fill="auto"/>
          </w:tcPr>
          <w:p w14:paraId="33C41547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1.01-2.33**</w:t>
            </w:r>
          </w:p>
        </w:tc>
      </w:tr>
      <w:tr w:rsidR="00C06BF6" w:rsidRPr="00AA652A" w14:paraId="3D34E6E1" w14:textId="77777777" w:rsidTr="00C06BF6">
        <w:trPr>
          <w:cantSplit/>
          <w:trHeight w:val="269"/>
        </w:trPr>
        <w:tc>
          <w:tcPr>
            <w:tcW w:w="461" w:type="dxa"/>
            <w:shd w:val="clear" w:color="auto" w:fill="auto"/>
          </w:tcPr>
          <w:p w14:paraId="02F5FB6C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5717" w:type="dxa"/>
            <w:shd w:val="clear" w:color="auto" w:fill="auto"/>
          </w:tcPr>
          <w:p w14:paraId="31BB2172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1838" w:type="dxa"/>
            <w:shd w:val="clear" w:color="auto" w:fill="auto"/>
          </w:tcPr>
          <w:p w14:paraId="72FEE9A1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  <w:tc>
          <w:tcPr>
            <w:tcW w:w="2173" w:type="dxa"/>
            <w:shd w:val="clear" w:color="auto" w:fill="auto"/>
          </w:tcPr>
          <w:p w14:paraId="3855C6D1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0.84-2.82</w:t>
            </w:r>
          </w:p>
        </w:tc>
        <w:tc>
          <w:tcPr>
            <w:tcW w:w="1671" w:type="dxa"/>
            <w:shd w:val="clear" w:color="auto" w:fill="auto"/>
          </w:tcPr>
          <w:p w14:paraId="4DB9072F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2006" w:type="dxa"/>
            <w:shd w:val="clear" w:color="auto" w:fill="auto"/>
          </w:tcPr>
          <w:p w14:paraId="4E5565F2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0.83-2.79</w:t>
            </w:r>
          </w:p>
        </w:tc>
      </w:tr>
      <w:tr w:rsidR="00C06BF6" w:rsidRPr="00AA652A" w14:paraId="1456BAD5" w14:textId="77777777" w:rsidTr="00C06BF6">
        <w:trPr>
          <w:cantSplit/>
          <w:trHeight w:val="281"/>
        </w:trPr>
        <w:tc>
          <w:tcPr>
            <w:tcW w:w="6178" w:type="dxa"/>
            <w:gridSpan w:val="2"/>
            <w:shd w:val="clear" w:color="auto" w:fill="auto"/>
          </w:tcPr>
          <w:p w14:paraId="318A2A25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inpatient stays (1-unit increase)</w:t>
            </w:r>
          </w:p>
        </w:tc>
        <w:tc>
          <w:tcPr>
            <w:tcW w:w="1838" w:type="dxa"/>
            <w:shd w:val="clear" w:color="auto" w:fill="auto"/>
          </w:tcPr>
          <w:p w14:paraId="1C7F9034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2173" w:type="dxa"/>
            <w:shd w:val="clear" w:color="auto" w:fill="auto"/>
          </w:tcPr>
          <w:p w14:paraId="64CBEEA9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0.76-1.00</w:t>
            </w:r>
          </w:p>
        </w:tc>
        <w:tc>
          <w:tcPr>
            <w:tcW w:w="1671" w:type="dxa"/>
            <w:shd w:val="clear" w:color="auto" w:fill="auto"/>
          </w:tcPr>
          <w:p w14:paraId="7E8FA614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2006" w:type="dxa"/>
            <w:shd w:val="clear" w:color="auto" w:fill="auto"/>
          </w:tcPr>
          <w:p w14:paraId="67E3418D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0.74-0.99**</w:t>
            </w:r>
          </w:p>
        </w:tc>
      </w:tr>
      <w:tr w:rsidR="00C06BF6" w:rsidRPr="00AA652A" w14:paraId="59C40958" w14:textId="77777777" w:rsidTr="00C06BF6">
        <w:trPr>
          <w:cantSplit/>
          <w:trHeight w:val="269"/>
        </w:trPr>
        <w:tc>
          <w:tcPr>
            <w:tcW w:w="6178" w:type="dxa"/>
            <w:gridSpan w:val="2"/>
            <w:shd w:val="clear" w:color="auto" w:fill="auto"/>
          </w:tcPr>
          <w:p w14:paraId="5E4A337A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emergency department visits (1-unit increase)</w:t>
            </w:r>
          </w:p>
        </w:tc>
        <w:tc>
          <w:tcPr>
            <w:tcW w:w="1838" w:type="dxa"/>
            <w:shd w:val="clear" w:color="auto" w:fill="auto"/>
          </w:tcPr>
          <w:p w14:paraId="5FA5AEB4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2173" w:type="dxa"/>
            <w:shd w:val="clear" w:color="auto" w:fill="auto"/>
          </w:tcPr>
          <w:p w14:paraId="722C11FE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0.98-1.02</w:t>
            </w:r>
          </w:p>
        </w:tc>
        <w:tc>
          <w:tcPr>
            <w:tcW w:w="1671" w:type="dxa"/>
            <w:shd w:val="clear" w:color="auto" w:fill="auto"/>
          </w:tcPr>
          <w:p w14:paraId="1FBB3EFA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2006" w:type="dxa"/>
            <w:shd w:val="clear" w:color="auto" w:fill="auto"/>
          </w:tcPr>
          <w:p w14:paraId="6D6BC07A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0.97-1.02</w:t>
            </w:r>
          </w:p>
        </w:tc>
      </w:tr>
      <w:tr w:rsidR="00C06BF6" w:rsidRPr="00AA652A" w14:paraId="473384EB" w14:textId="77777777" w:rsidTr="00C06BF6">
        <w:trPr>
          <w:cantSplit/>
          <w:trHeight w:val="269"/>
        </w:trPr>
        <w:tc>
          <w:tcPr>
            <w:tcW w:w="6178" w:type="dxa"/>
            <w:gridSpan w:val="2"/>
            <w:shd w:val="clear" w:color="auto" w:fill="auto"/>
          </w:tcPr>
          <w:p w14:paraId="50A76D14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ambulatory visits (10-unit increase)</w:t>
            </w:r>
          </w:p>
        </w:tc>
        <w:tc>
          <w:tcPr>
            <w:tcW w:w="1838" w:type="dxa"/>
            <w:shd w:val="clear" w:color="auto" w:fill="auto"/>
          </w:tcPr>
          <w:p w14:paraId="421078A0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2173" w:type="dxa"/>
            <w:shd w:val="clear" w:color="auto" w:fill="auto"/>
          </w:tcPr>
          <w:p w14:paraId="0CF05C3C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1.00-1.02***</w:t>
            </w:r>
          </w:p>
        </w:tc>
        <w:tc>
          <w:tcPr>
            <w:tcW w:w="1671" w:type="dxa"/>
            <w:shd w:val="clear" w:color="auto" w:fill="auto"/>
          </w:tcPr>
          <w:p w14:paraId="7C0F0F8F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2006" w:type="dxa"/>
            <w:shd w:val="clear" w:color="auto" w:fill="auto"/>
          </w:tcPr>
          <w:p w14:paraId="68D4CFC4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1.00-1.02</w:t>
            </w:r>
          </w:p>
        </w:tc>
      </w:tr>
      <w:tr w:rsidR="00C06BF6" w:rsidRPr="00AA652A" w14:paraId="6C41B899" w14:textId="77777777" w:rsidTr="00C06BF6">
        <w:trPr>
          <w:cantSplit/>
          <w:trHeight w:val="281"/>
        </w:trPr>
        <w:tc>
          <w:tcPr>
            <w:tcW w:w="6178" w:type="dxa"/>
            <w:gridSpan w:val="2"/>
            <w:shd w:val="clear" w:color="auto" w:fill="auto"/>
          </w:tcPr>
          <w:p w14:paraId="1E7F08BC" w14:textId="77777777" w:rsidR="00C06BF6" w:rsidRPr="00AA652A" w:rsidRDefault="00C06BF6" w:rsidP="00C06BF6">
            <w:pPr>
              <w:keepNext/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non-acute institutional stays (1-unit increase)</w:t>
            </w:r>
          </w:p>
        </w:tc>
        <w:tc>
          <w:tcPr>
            <w:tcW w:w="1838" w:type="dxa"/>
            <w:shd w:val="clear" w:color="auto" w:fill="auto"/>
          </w:tcPr>
          <w:p w14:paraId="0A7ED437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2173" w:type="dxa"/>
            <w:shd w:val="clear" w:color="auto" w:fill="auto"/>
          </w:tcPr>
          <w:p w14:paraId="3E9FF322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0.98-1.01</w:t>
            </w:r>
          </w:p>
        </w:tc>
        <w:tc>
          <w:tcPr>
            <w:tcW w:w="1671" w:type="dxa"/>
            <w:shd w:val="clear" w:color="auto" w:fill="auto"/>
          </w:tcPr>
          <w:p w14:paraId="193F3F30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2006" w:type="dxa"/>
            <w:shd w:val="clear" w:color="auto" w:fill="auto"/>
          </w:tcPr>
          <w:p w14:paraId="2A67D421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0.97-1.01</w:t>
            </w:r>
          </w:p>
        </w:tc>
      </w:tr>
      <w:tr w:rsidR="00C06BF6" w:rsidRPr="00AA652A" w14:paraId="151FE412" w14:textId="77777777" w:rsidTr="00C06BF6">
        <w:trPr>
          <w:cantSplit/>
          <w:trHeight w:val="269"/>
        </w:trPr>
        <w:tc>
          <w:tcPr>
            <w:tcW w:w="6178" w:type="dxa"/>
            <w:gridSpan w:val="2"/>
            <w:shd w:val="clear" w:color="auto" w:fill="auto"/>
          </w:tcPr>
          <w:p w14:paraId="3053B1C8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chronic medications (1-unit increase)</w:t>
            </w:r>
          </w:p>
        </w:tc>
        <w:tc>
          <w:tcPr>
            <w:tcW w:w="1838" w:type="dxa"/>
            <w:shd w:val="clear" w:color="auto" w:fill="auto"/>
          </w:tcPr>
          <w:p w14:paraId="15D80439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2173" w:type="dxa"/>
            <w:shd w:val="clear" w:color="auto" w:fill="auto"/>
          </w:tcPr>
          <w:p w14:paraId="1B26CBE3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0.97-1.11</w:t>
            </w:r>
          </w:p>
        </w:tc>
        <w:tc>
          <w:tcPr>
            <w:tcW w:w="1671" w:type="dxa"/>
            <w:shd w:val="clear" w:color="auto" w:fill="auto"/>
          </w:tcPr>
          <w:p w14:paraId="3A687A63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2006" w:type="dxa"/>
            <w:shd w:val="clear" w:color="auto" w:fill="auto"/>
          </w:tcPr>
          <w:p w14:paraId="552C0746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0.94-1.09</w:t>
            </w:r>
          </w:p>
        </w:tc>
      </w:tr>
      <w:tr w:rsidR="00C06BF6" w:rsidRPr="00AA652A" w14:paraId="379334B1" w14:textId="77777777" w:rsidTr="00C06BF6">
        <w:trPr>
          <w:cantSplit/>
          <w:trHeight w:val="243"/>
        </w:trPr>
        <w:tc>
          <w:tcPr>
            <w:tcW w:w="6178" w:type="dxa"/>
            <w:gridSpan w:val="2"/>
            <w:shd w:val="clear" w:color="auto" w:fill="auto"/>
          </w:tcPr>
          <w:p w14:paraId="037D3FA3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chronic conditions (1-unit increase)</w:t>
            </w:r>
          </w:p>
        </w:tc>
        <w:tc>
          <w:tcPr>
            <w:tcW w:w="1838" w:type="dxa"/>
            <w:shd w:val="clear" w:color="auto" w:fill="auto"/>
          </w:tcPr>
          <w:p w14:paraId="76FF136C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2173" w:type="dxa"/>
            <w:shd w:val="clear" w:color="auto" w:fill="auto"/>
          </w:tcPr>
          <w:p w14:paraId="329913D1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0.94-1.04</w:t>
            </w:r>
          </w:p>
        </w:tc>
        <w:tc>
          <w:tcPr>
            <w:tcW w:w="1671" w:type="dxa"/>
            <w:shd w:val="clear" w:color="auto" w:fill="auto"/>
          </w:tcPr>
          <w:p w14:paraId="3599FCE3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2006" w:type="dxa"/>
            <w:shd w:val="clear" w:color="auto" w:fill="auto"/>
          </w:tcPr>
          <w:p w14:paraId="6F8760A3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0.90-1.04</w:t>
            </w:r>
          </w:p>
        </w:tc>
      </w:tr>
      <w:tr w:rsidR="00C06BF6" w:rsidRPr="00AA652A" w14:paraId="52A08D06" w14:textId="77777777" w:rsidTr="00C06BF6">
        <w:trPr>
          <w:cantSplit/>
          <w:trHeight w:val="243"/>
        </w:trPr>
        <w:tc>
          <w:tcPr>
            <w:tcW w:w="6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593E4C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prescribing orders (1-unit increase)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6BB7B4D6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14:paraId="01A15DAC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1.01-1.02***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26934090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14:paraId="7A20AD2D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1.01-1.02***</w:t>
            </w:r>
          </w:p>
        </w:tc>
      </w:tr>
      <w:tr w:rsidR="00C06BF6" w:rsidRPr="00AA652A" w14:paraId="309B53AD" w14:textId="77777777" w:rsidTr="00C06BF6">
        <w:trPr>
          <w:cantSplit/>
          <w:trHeight w:val="243"/>
        </w:trPr>
        <w:tc>
          <w:tcPr>
            <w:tcW w:w="61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4EF02D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1360D5C0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</w:tcPr>
          <w:p w14:paraId="04F4F3B5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14:paraId="443608C5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</w:tcPr>
          <w:p w14:paraId="67FB593C" w14:textId="77777777" w:rsidR="00C06BF6" w:rsidRPr="00AA652A" w:rsidRDefault="00C06BF6" w:rsidP="00C06BF6">
            <w:pPr>
              <w:pStyle w:val="ListParagraph"/>
              <w:keepNext/>
              <w:widowControl/>
              <w:spacing w:before="40" w:after="40"/>
              <w:ind w:firstLineChars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continued</w:t>
            </w:r>
          </w:p>
        </w:tc>
      </w:tr>
    </w:tbl>
    <w:p w14:paraId="11594802" w14:textId="77777777" w:rsidR="00AA652A" w:rsidRPr="00AA652A" w:rsidRDefault="00AA652A" w:rsidP="00AA652A"/>
    <w:tbl>
      <w:tblPr>
        <w:tblStyle w:val="TableGrid"/>
        <w:tblW w:w="13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741"/>
        <w:gridCol w:w="1855"/>
        <w:gridCol w:w="2194"/>
        <w:gridCol w:w="1688"/>
        <w:gridCol w:w="1857"/>
      </w:tblGrid>
      <w:tr w:rsidR="00AA652A" w:rsidRPr="00AA652A" w14:paraId="20EDE242" w14:textId="77777777" w:rsidTr="00926B2B">
        <w:trPr>
          <w:cantSplit/>
          <w:trHeight w:val="424"/>
        </w:trPr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292C3EF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lastRenderedPageBreak/>
              <w:t>Demographics and clinical characteristics</w:t>
            </w:r>
          </w:p>
        </w:tc>
        <w:tc>
          <w:tcPr>
            <w:tcW w:w="4049" w:type="dxa"/>
            <w:gridSpan w:val="2"/>
            <w:shd w:val="clear" w:color="auto" w:fill="D9D9D9" w:themeFill="background1" w:themeFillShade="D9"/>
            <w:vAlign w:val="center"/>
          </w:tcPr>
          <w:p w14:paraId="2178FD4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Model 1: Demographic and healthcare utilization variables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3998407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Model 2: Model 1 + chronic conditions</w:t>
            </w:r>
          </w:p>
        </w:tc>
      </w:tr>
      <w:tr w:rsidR="00AA652A" w:rsidRPr="00AA652A" w14:paraId="0ACBA6AB" w14:textId="77777777" w:rsidTr="00926B2B">
        <w:trPr>
          <w:cantSplit/>
          <w:trHeight w:val="410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DCD5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AD0B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5644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4DE4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0CFA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AA652A" w:rsidRPr="00AA652A" w14:paraId="2CFF7B60" w14:textId="77777777" w:rsidTr="00926B2B">
        <w:trPr>
          <w:cantSplit/>
          <w:trHeight w:val="291"/>
        </w:trPr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5B5E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18"/>
              </w:rPr>
              <w:t>Types of comorbidities</w:t>
            </w:r>
            <w:r w:rsidRPr="00AA652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5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8E0393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A" w:rsidRPr="00AA652A" w14:paraId="4E91895E" w14:textId="77777777" w:rsidTr="00926B2B">
        <w:trPr>
          <w:cantSplit/>
          <w:trHeight w:val="278"/>
        </w:trPr>
        <w:tc>
          <w:tcPr>
            <w:tcW w:w="496" w:type="dxa"/>
            <w:shd w:val="clear" w:color="auto" w:fill="auto"/>
          </w:tcPr>
          <w:p w14:paraId="602CD28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  <w:shd w:val="clear" w:color="auto" w:fill="auto"/>
          </w:tcPr>
          <w:p w14:paraId="3295C89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Congestive heart failure</w:t>
            </w:r>
          </w:p>
        </w:tc>
        <w:tc>
          <w:tcPr>
            <w:tcW w:w="1855" w:type="dxa"/>
            <w:shd w:val="clear" w:color="auto" w:fill="auto"/>
          </w:tcPr>
          <w:p w14:paraId="373DBF4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56E08A0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  <w:shd w:val="clear" w:color="auto" w:fill="auto"/>
          </w:tcPr>
          <w:p w14:paraId="7F1CB41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1855" w:type="dxa"/>
            <w:shd w:val="clear" w:color="auto" w:fill="auto"/>
          </w:tcPr>
          <w:p w14:paraId="0B36C0D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1.10-1.83**</w:t>
            </w:r>
          </w:p>
        </w:tc>
      </w:tr>
      <w:tr w:rsidR="00AA652A" w:rsidRPr="00AA652A" w14:paraId="6BC711E7" w14:textId="77777777" w:rsidTr="00926B2B">
        <w:trPr>
          <w:cantSplit/>
          <w:trHeight w:val="278"/>
        </w:trPr>
        <w:tc>
          <w:tcPr>
            <w:tcW w:w="496" w:type="dxa"/>
            <w:shd w:val="clear" w:color="auto" w:fill="auto"/>
          </w:tcPr>
          <w:p w14:paraId="404FC5F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  <w:shd w:val="clear" w:color="auto" w:fill="auto"/>
          </w:tcPr>
          <w:p w14:paraId="4F6BA23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Cardiac arrhythmias</w:t>
            </w:r>
          </w:p>
        </w:tc>
        <w:tc>
          <w:tcPr>
            <w:tcW w:w="1855" w:type="dxa"/>
            <w:shd w:val="clear" w:color="auto" w:fill="auto"/>
          </w:tcPr>
          <w:p w14:paraId="6F3B55B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52538A9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  <w:shd w:val="clear" w:color="auto" w:fill="auto"/>
          </w:tcPr>
          <w:p w14:paraId="69F7D51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1855" w:type="dxa"/>
            <w:shd w:val="clear" w:color="auto" w:fill="auto"/>
          </w:tcPr>
          <w:p w14:paraId="63B682D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0.76-1.56</w:t>
            </w:r>
          </w:p>
        </w:tc>
      </w:tr>
      <w:tr w:rsidR="00AA652A" w:rsidRPr="00AA652A" w14:paraId="456AB519" w14:textId="77777777" w:rsidTr="00926B2B">
        <w:trPr>
          <w:cantSplit/>
          <w:trHeight w:val="278"/>
        </w:trPr>
        <w:tc>
          <w:tcPr>
            <w:tcW w:w="496" w:type="dxa"/>
            <w:shd w:val="clear" w:color="auto" w:fill="auto"/>
          </w:tcPr>
          <w:p w14:paraId="4F06BEE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  <w:shd w:val="clear" w:color="auto" w:fill="auto"/>
          </w:tcPr>
          <w:p w14:paraId="50D6AB0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Valvular disease</w:t>
            </w:r>
          </w:p>
        </w:tc>
        <w:tc>
          <w:tcPr>
            <w:tcW w:w="1855" w:type="dxa"/>
            <w:shd w:val="clear" w:color="auto" w:fill="auto"/>
          </w:tcPr>
          <w:p w14:paraId="566B7F0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74F55A2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  <w:shd w:val="clear" w:color="auto" w:fill="auto"/>
          </w:tcPr>
          <w:p w14:paraId="03907AD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1855" w:type="dxa"/>
            <w:shd w:val="clear" w:color="auto" w:fill="auto"/>
          </w:tcPr>
          <w:p w14:paraId="58C62AF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0.64-1.17</w:t>
            </w:r>
          </w:p>
        </w:tc>
      </w:tr>
      <w:tr w:rsidR="00AA652A" w:rsidRPr="00AA652A" w14:paraId="7C01CA95" w14:textId="77777777" w:rsidTr="00926B2B">
        <w:trPr>
          <w:cantSplit/>
          <w:trHeight w:val="291"/>
        </w:trPr>
        <w:tc>
          <w:tcPr>
            <w:tcW w:w="496" w:type="dxa"/>
            <w:shd w:val="clear" w:color="auto" w:fill="auto"/>
          </w:tcPr>
          <w:p w14:paraId="29B24D7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  <w:shd w:val="clear" w:color="auto" w:fill="auto"/>
          </w:tcPr>
          <w:p w14:paraId="385359E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Pulmonary circulation disorders</w:t>
            </w:r>
          </w:p>
        </w:tc>
        <w:tc>
          <w:tcPr>
            <w:tcW w:w="1855" w:type="dxa"/>
            <w:shd w:val="clear" w:color="auto" w:fill="auto"/>
          </w:tcPr>
          <w:p w14:paraId="70ABB95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06F15B8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  <w:shd w:val="clear" w:color="auto" w:fill="auto"/>
          </w:tcPr>
          <w:p w14:paraId="7452054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1855" w:type="dxa"/>
            <w:shd w:val="clear" w:color="auto" w:fill="auto"/>
          </w:tcPr>
          <w:p w14:paraId="09A0E1C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0.86-2.44</w:t>
            </w:r>
          </w:p>
        </w:tc>
      </w:tr>
      <w:tr w:rsidR="00AA652A" w:rsidRPr="00AA652A" w14:paraId="71705716" w14:textId="77777777" w:rsidTr="00926B2B">
        <w:trPr>
          <w:cantSplit/>
          <w:trHeight w:val="278"/>
        </w:trPr>
        <w:tc>
          <w:tcPr>
            <w:tcW w:w="496" w:type="dxa"/>
            <w:shd w:val="clear" w:color="auto" w:fill="auto"/>
          </w:tcPr>
          <w:p w14:paraId="6BC5A0A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  <w:shd w:val="clear" w:color="auto" w:fill="auto"/>
          </w:tcPr>
          <w:p w14:paraId="17B1F21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Peripheral vascular disorders</w:t>
            </w:r>
          </w:p>
        </w:tc>
        <w:tc>
          <w:tcPr>
            <w:tcW w:w="1855" w:type="dxa"/>
            <w:shd w:val="clear" w:color="auto" w:fill="auto"/>
          </w:tcPr>
          <w:p w14:paraId="20A0AC0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4EF45C5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  <w:shd w:val="clear" w:color="auto" w:fill="auto"/>
          </w:tcPr>
          <w:p w14:paraId="0F8645C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855" w:type="dxa"/>
            <w:shd w:val="clear" w:color="auto" w:fill="auto"/>
          </w:tcPr>
          <w:p w14:paraId="2D2EA4A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0.86-1.46</w:t>
            </w:r>
          </w:p>
        </w:tc>
      </w:tr>
      <w:tr w:rsidR="00AA652A" w:rsidRPr="00AA652A" w14:paraId="60A0DEB7" w14:textId="77777777" w:rsidTr="00926B2B">
        <w:trPr>
          <w:cantSplit/>
          <w:trHeight w:val="278"/>
        </w:trPr>
        <w:tc>
          <w:tcPr>
            <w:tcW w:w="496" w:type="dxa"/>
            <w:shd w:val="clear" w:color="auto" w:fill="auto"/>
          </w:tcPr>
          <w:p w14:paraId="7DC9E9D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  <w:shd w:val="clear" w:color="auto" w:fill="auto"/>
          </w:tcPr>
          <w:p w14:paraId="461BD67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1855" w:type="dxa"/>
            <w:shd w:val="clear" w:color="auto" w:fill="auto"/>
          </w:tcPr>
          <w:p w14:paraId="34FF371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3DF27A5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  <w:shd w:val="clear" w:color="auto" w:fill="auto"/>
          </w:tcPr>
          <w:p w14:paraId="1A4BA8B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855" w:type="dxa"/>
            <w:shd w:val="clear" w:color="auto" w:fill="auto"/>
          </w:tcPr>
          <w:p w14:paraId="6394DAF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0.79-1.23</w:t>
            </w:r>
          </w:p>
        </w:tc>
      </w:tr>
      <w:tr w:rsidR="00AA652A" w:rsidRPr="00AA652A" w14:paraId="7A081884" w14:textId="77777777" w:rsidTr="00926B2B">
        <w:trPr>
          <w:cantSplit/>
          <w:trHeight w:val="278"/>
        </w:trPr>
        <w:tc>
          <w:tcPr>
            <w:tcW w:w="496" w:type="dxa"/>
            <w:shd w:val="clear" w:color="auto" w:fill="auto"/>
          </w:tcPr>
          <w:p w14:paraId="168CFA0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  <w:shd w:val="clear" w:color="auto" w:fill="auto"/>
          </w:tcPr>
          <w:p w14:paraId="3960DFC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Chronic pulmonary disorders</w:t>
            </w:r>
          </w:p>
        </w:tc>
        <w:tc>
          <w:tcPr>
            <w:tcW w:w="1855" w:type="dxa"/>
            <w:shd w:val="clear" w:color="auto" w:fill="auto"/>
          </w:tcPr>
          <w:p w14:paraId="5476553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5AB13E4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  <w:shd w:val="clear" w:color="auto" w:fill="auto"/>
          </w:tcPr>
          <w:p w14:paraId="5CB0302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855" w:type="dxa"/>
            <w:shd w:val="clear" w:color="auto" w:fill="auto"/>
          </w:tcPr>
          <w:p w14:paraId="6E34C8C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0.86-1.46</w:t>
            </w:r>
          </w:p>
        </w:tc>
      </w:tr>
      <w:tr w:rsidR="00AA652A" w:rsidRPr="00AA652A" w14:paraId="6A64448E" w14:textId="77777777" w:rsidTr="00926B2B">
        <w:trPr>
          <w:cantSplit/>
          <w:trHeight w:val="291"/>
        </w:trPr>
        <w:tc>
          <w:tcPr>
            <w:tcW w:w="496" w:type="dxa"/>
            <w:shd w:val="clear" w:color="auto" w:fill="auto"/>
          </w:tcPr>
          <w:p w14:paraId="23A17B1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  <w:shd w:val="clear" w:color="auto" w:fill="auto"/>
          </w:tcPr>
          <w:p w14:paraId="04FAD91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Diabetes</w:t>
            </w:r>
          </w:p>
        </w:tc>
        <w:tc>
          <w:tcPr>
            <w:tcW w:w="1855" w:type="dxa"/>
            <w:shd w:val="clear" w:color="auto" w:fill="auto"/>
          </w:tcPr>
          <w:p w14:paraId="2666739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436D187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  <w:shd w:val="clear" w:color="auto" w:fill="auto"/>
          </w:tcPr>
          <w:p w14:paraId="4B51227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1855" w:type="dxa"/>
            <w:shd w:val="clear" w:color="auto" w:fill="auto"/>
          </w:tcPr>
          <w:p w14:paraId="02A40BC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0.91-1.40</w:t>
            </w:r>
          </w:p>
        </w:tc>
      </w:tr>
      <w:tr w:rsidR="00AA652A" w:rsidRPr="00AA652A" w14:paraId="13D035BF" w14:textId="77777777" w:rsidTr="00926B2B">
        <w:trPr>
          <w:cantSplit/>
          <w:trHeight w:val="278"/>
        </w:trPr>
        <w:tc>
          <w:tcPr>
            <w:tcW w:w="496" w:type="dxa"/>
            <w:shd w:val="clear" w:color="auto" w:fill="auto"/>
          </w:tcPr>
          <w:p w14:paraId="23A6DA1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  <w:shd w:val="clear" w:color="auto" w:fill="auto"/>
          </w:tcPr>
          <w:p w14:paraId="5308D74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Hypothyroidism</w:t>
            </w:r>
          </w:p>
        </w:tc>
        <w:tc>
          <w:tcPr>
            <w:tcW w:w="1855" w:type="dxa"/>
            <w:shd w:val="clear" w:color="auto" w:fill="auto"/>
          </w:tcPr>
          <w:p w14:paraId="1536B5F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6EEFF7B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  <w:shd w:val="clear" w:color="auto" w:fill="auto"/>
          </w:tcPr>
          <w:p w14:paraId="06FFBED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1855" w:type="dxa"/>
            <w:shd w:val="clear" w:color="auto" w:fill="auto"/>
          </w:tcPr>
          <w:p w14:paraId="1C48116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0.80-1.43</w:t>
            </w:r>
          </w:p>
        </w:tc>
      </w:tr>
      <w:tr w:rsidR="00AA652A" w:rsidRPr="00AA652A" w14:paraId="1121B80D" w14:textId="77777777" w:rsidTr="00926B2B">
        <w:trPr>
          <w:trHeight w:val="278"/>
        </w:trPr>
        <w:tc>
          <w:tcPr>
            <w:tcW w:w="496" w:type="dxa"/>
          </w:tcPr>
          <w:p w14:paraId="35AAA30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</w:tcPr>
          <w:p w14:paraId="6E3BFCD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Renal failure</w:t>
            </w:r>
          </w:p>
        </w:tc>
        <w:tc>
          <w:tcPr>
            <w:tcW w:w="1855" w:type="dxa"/>
          </w:tcPr>
          <w:p w14:paraId="0E5F5C5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</w:tcPr>
          <w:p w14:paraId="7B650FF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</w:tcPr>
          <w:p w14:paraId="6F21C18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855" w:type="dxa"/>
          </w:tcPr>
          <w:p w14:paraId="7D0A59B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0.66-1.28</w:t>
            </w:r>
          </w:p>
        </w:tc>
      </w:tr>
      <w:tr w:rsidR="00AA652A" w:rsidRPr="00AA652A" w14:paraId="484ECD14" w14:textId="77777777" w:rsidTr="00926B2B">
        <w:trPr>
          <w:trHeight w:val="291"/>
        </w:trPr>
        <w:tc>
          <w:tcPr>
            <w:tcW w:w="496" w:type="dxa"/>
          </w:tcPr>
          <w:p w14:paraId="559E7F1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</w:tcPr>
          <w:p w14:paraId="3C7EBAA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Cancer</w:t>
            </w:r>
          </w:p>
        </w:tc>
        <w:tc>
          <w:tcPr>
            <w:tcW w:w="1855" w:type="dxa"/>
          </w:tcPr>
          <w:p w14:paraId="64CB409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</w:tcPr>
          <w:p w14:paraId="647A4D0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</w:tcPr>
          <w:p w14:paraId="42E9F3C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1855" w:type="dxa"/>
          </w:tcPr>
          <w:p w14:paraId="2439611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0.66-1.17</w:t>
            </w:r>
          </w:p>
        </w:tc>
      </w:tr>
      <w:tr w:rsidR="00AA652A" w:rsidRPr="00AA652A" w14:paraId="4531D8D7" w14:textId="77777777" w:rsidTr="00926B2B">
        <w:trPr>
          <w:trHeight w:val="278"/>
        </w:trPr>
        <w:tc>
          <w:tcPr>
            <w:tcW w:w="496" w:type="dxa"/>
          </w:tcPr>
          <w:p w14:paraId="121E5FA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</w:tcPr>
          <w:p w14:paraId="3248F01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Rheumatoid arthritis/collagen vascular diseases</w:t>
            </w:r>
          </w:p>
        </w:tc>
        <w:tc>
          <w:tcPr>
            <w:tcW w:w="1855" w:type="dxa"/>
          </w:tcPr>
          <w:p w14:paraId="332ED14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</w:tcPr>
          <w:p w14:paraId="261FA2D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</w:tcPr>
          <w:p w14:paraId="26B6798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1855" w:type="dxa"/>
          </w:tcPr>
          <w:p w14:paraId="41611A1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0.51-1.29</w:t>
            </w:r>
          </w:p>
        </w:tc>
      </w:tr>
      <w:tr w:rsidR="00AA652A" w:rsidRPr="00AA652A" w14:paraId="4D60AC74" w14:textId="77777777" w:rsidTr="00926B2B">
        <w:trPr>
          <w:trHeight w:val="278"/>
        </w:trPr>
        <w:tc>
          <w:tcPr>
            <w:tcW w:w="496" w:type="dxa"/>
          </w:tcPr>
          <w:p w14:paraId="245881B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</w:tcPr>
          <w:p w14:paraId="7274A8C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Coagulopathy</w:t>
            </w:r>
          </w:p>
        </w:tc>
        <w:tc>
          <w:tcPr>
            <w:tcW w:w="1855" w:type="dxa"/>
          </w:tcPr>
          <w:p w14:paraId="007D05E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</w:tcPr>
          <w:p w14:paraId="5758871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</w:tcPr>
          <w:p w14:paraId="7A43A08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855" w:type="dxa"/>
          </w:tcPr>
          <w:p w14:paraId="0F7317B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0.61-1.62</w:t>
            </w:r>
          </w:p>
        </w:tc>
      </w:tr>
      <w:tr w:rsidR="00AA652A" w:rsidRPr="00AA652A" w14:paraId="6AA4FE3F" w14:textId="77777777" w:rsidTr="00926B2B">
        <w:trPr>
          <w:trHeight w:val="278"/>
        </w:trPr>
        <w:tc>
          <w:tcPr>
            <w:tcW w:w="496" w:type="dxa"/>
          </w:tcPr>
          <w:p w14:paraId="10C4BF1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</w:tcPr>
          <w:p w14:paraId="66E3FD9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Fluid and electrolyte disorders</w:t>
            </w:r>
          </w:p>
        </w:tc>
        <w:tc>
          <w:tcPr>
            <w:tcW w:w="1855" w:type="dxa"/>
          </w:tcPr>
          <w:p w14:paraId="53839B8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</w:tcPr>
          <w:p w14:paraId="7AF3AEC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</w:tcPr>
          <w:p w14:paraId="71846BA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855" w:type="dxa"/>
          </w:tcPr>
          <w:p w14:paraId="002370A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0.75-1.73</w:t>
            </w:r>
          </w:p>
        </w:tc>
      </w:tr>
      <w:tr w:rsidR="00AA652A" w:rsidRPr="00AA652A" w14:paraId="394E89F3" w14:textId="77777777" w:rsidTr="00926B2B">
        <w:trPr>
          <w:trHeight w:val="291"/>
        </w:trPr>
        <w:tc>
          <w:tcPr>
            <w:tcW w:w="496" w:type="dxa"/>
          </w:tcPr>
          <w:p w14:paraId="56BA995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</w:tcPr>
          <w:p w14:paraId="4F99A0C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1855" w:type="dxa"/>
          </w:tcPr>
          <w:p w14:paraId="53B8F98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</w:tcPr>
          <w:p w14:paraId="7A48D18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</w:tcPr>
          <w:p w14:paraId="569C32E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855" w:type="dxa"/>
          </w:tcPr>
          <w:p w14:paraId="415A1E7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0.72-1.47</w:t>
            </w:r>
          </w:p>
        </w:tc>
      </w:tr>
      <w:tr w:rsidR="00AA652A" w:rsidRPr="00AA652A" w14:paraId="417EEEF7" w14:textId="77777777" w:rsidTr="00926B2B">
        <w:trPr>
          <w:trHeight w:val="278"/>
        </w:trPr>
        <w:tc>
          <w:tcPr>
            <w:tcW w:w="496" w:type="dxa"/>
            <w:tcBorders>
              <w:bottom w:val="single" w:sz="4" w:space="0" w:color="auto"/>
            </w:tcBorders>
          </w:tcPr>
          <w:p w14:paraId="150F124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14:paraId="7E3C45C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Liver disease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694E521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CB011F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09AF551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265FBA6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0.89-2.86</w:t>
            </w:r>
          </w:p>
        </w:tc>
      </w:tr>
      <w:tr w:rsidR="00AA652A" w:rsidRPr="00AA652A" w14:paraId="2B9A1FA1" w14:textId="77777777" w:rsidTr="00926B2B">
        <w:trPr>
          <w:trHeight w:val="1126"/>
        </w:trPr>
        <w:tc>
          <w:tcPr>
            <w:tcW w:w="13831" w:type="dxa"/>
            <w:gridSpan w:val="6"/>
            <w:tcBorders>
              <w:top w:val="single" w:sz="4" w:space="0" w:color="auto"/>
            </w:tcBorders>
          </w:tcPr>
          <w:p w14:paraId="3DA242A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  <w:vertAlign w:val="superscript"/>
                <w:lang w:val="en-GB"/>
              </w:rPr>
              <w:t>1</w:t>
            </w:r>
            <w:r w:rsidRPr="00AA652A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Pr="00AA652A">
              <w:rPr>
                <w:rFonts w:ascii="Arial" w:hAnsi="Arial" w:cs="Arial"/>
                <w:sz w:val="17"/>
                <w:szCs w:val="17"/>
              </w:rPr>
              <w:t>comorbidities defined with coding algorithms for defining Elixhauser comorbidities in ICD-9 administrative data (Quan et al. 2005), ≥2 ICD-9 codes per category, hypertension categories merged, diabetes categories merged, different cancer categories merged, drug abuse, alcohol abuse, obesity, weight loss, HIV/AIDS, paralysis, other neurological disorders, blood loss anemia and deficiency anemia not included;</w:t>
            </w:r>
          </w:p>
          <w:p w14:paraId="14E336F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*PIMs with low level of evidence excluded.</w:t>
            </w:r>
          </w:p>
          <w:p w14:paraId="6BBF793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** p&lt;0.05; *** p&lt;0.001</w:t>
            </w:r>
          </w:p>
        </w:tc>
      </w:tr>
    </w:tbl>
    <w:p w14:paraId="52BC25A6" w14:textId="77777777" w:rsidR="00AA652A" w:rsidRPr="00AA652A" w:rsidRDefault="00AA652A" w:rsidP="00AA652A">
      <w:pPr>
        <w:rPr>
          <w:rFonts w:ascii="Arial" w:hAnsi="Arial" w:cs="Arial"/>
        </w:rPr>
      </w:pPr>
    </w:p>
    <w:p w14:paraId="265C426A" w14:textId="54E10F6D" w:rsidR="00AA652A" w:rsidRPr="00AA652A" w:rsidRDefault="00AA652A">
      <w:pPr>
        <w:rPr>
          <w:rFonts w:ascii="Arial" w:eastAsiaTheme="majorEastAsia" w:hAnsi="Arial" w:cstheme="majorBidi"/>
          <w:b/>
          <w:sz w:val="24"/>
          <w:szCs w:val="32"/>
        </w:rPr>
      </w:pPr>
      <w:r w:rsidRPr="00AA652A">
        <w:br w:type="page"/>
      </w:r>
    </w:p>
    <w:p w14:paraId="6878B034" w14:textId="0100644A" w:rsidR="00AA652A" w:rsidRPr="00AA652A" w:rsidRDefault="00AA652A" w:rsidP="00AA652A">
      <w:pPr>
        <w:pStyle w:val="Heading1"/>
        <w:rPr>
          <w:color w:val="auto"/>
        </w:rPr>
      </w:pPr>
      <w:bookmarkStart w:id="4" w:name="_Toc58255221"/>
      <w:r>
        <w:rPr>
          <w:color w:val="auto"/>
        </w:rPr>
        <w:lastRenderedPageBreak/>
        <w:t xml:space="preserve">eTable </w:t>
      </w:r>
      <w:r w:rsidR="006A127E">
        <w:rPr>
          <w:color w:val="auto"/>
        </w:rPr>
        <w:t>4</w:t>
      </w:r>
      <w:r w:rsidRPr="00AA652A">
        <w:rPr>
          <w:color w:val="auto"/>
        </w:rPr>
        <w:t>. Unadjusted and multivariable associations between demographic and clinical factors and the prescribing of potentially inappropriate medications (logistic regression)</w:t>
      </w:r>
      <w:bookmarkEnd w:id="4"/>
    </w:p>
    <w:p w14:paraId="790CB09A" w14:textId="77777777" w:rsidR="00AA652A" w:rsidRPr="00AA652A" w:rsidRDefault="00AA652A" w:rsidP="00AA652A"/>
    <w:tbl>
      <w:tblPr>
        <w:tblStyle w:val="TableGrid"/>
        <w:tblW w:w="13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1"/>
        <w:gridCol w:w="11"/>
        <w:gridCol w:w="33"/>
        <w:gridCol w:w="28"/>
        <w:gridCol w:w="3543"/>
        <w:gridCol w:w="1843"/>
        <w:gridCol w:w="1276"/>
        <w:gridCol w:w="1701"/>
        <w:gridCol w:w="1559"/>
        <w:gridCol w:w="1988"/>
        <w:gridCol w:w="1559"/>
      </w:tblGrid>
      <w:tr w:rsidR="00AA652A" w:rsidRPr="00AA652A" w14:paraId="66CD3D9E" w14:textId="77777777" w:rsidTr="00926B2B">
        <w:trPr>
          <w:cantSplit/>
        </w:trPr>
        <w:tc>
          <w:tcPr>
            <w:tcW w:w="3964" w:type="dxa"/>
            <w:gridSpan w:val="6"/>
            <w:shd w:val="clear" w:color="auto" w:fill="D9D9D9" w:themeFill="background1" w:themeFillShade="D9"/>
            <w:vAlign w:val="center"/>
          </w:tcPr>
          <w:p w14:paraId="76DFEB7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AA652A">
              <w:rPr>
                <w:rFonts w:ascii="Arial" w:hAnsi="Arial" w:cs="Arial"/>
                <w:i/>
                <w:sz w:val="17"/>
                <w:szCs w:val="17"/>
              </w:rPr>
              <w:t>Demographics and clinical characteristics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75A422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AA652A">
              <w:rPr>
                <w:rFonts w:ascii="Arial" w:hAnsi="Arial" w:cs="Arial"/>
                <w:i/>
                <w:sz w:val="17"/>
                <w:szCs w:val="17"/>
              </w:rPr>
              <w:t>Unadjusted associations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CA9868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AA652A">
              <w:rPr>
                <w:rFonts w:ascii="Arial" w:hAnsi="Arial" w:cs="Arial"/>
                <w:i/>
                <w:sz w:val="17"/>
                <w:szCs w:val="17"/>
              </w:rPr>
              <w:t>Model 1: Demographic and healthcare utilization variables</w:t>
            </w:r>
          </w:p>
        </w:tc>
        <w:tc>
          <w:tcPr>
            <w:tcW w:w="3547" w:type="dxa"/>
            <w:gridSpan w:val="2"/>
            <w:shd w:val="clear" w:color="auto" w:fill="D9D9D9" w:themeFill="background1" w:themeFillShade="D9"/>
            <w:vAlign w:val="center"/>
          </w:tcPr>
          <w:p w14:paraId="7E99A14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AA652A">
              <w:rPr>
                <w:rFonts w:ascii="Arial" w:hAnsi="Arial" w:cs="Arial"/>
                <w:i/>
                <w:sz w:val="17"/>
                <w:szCs w:val="17"/>
              </w:rPr>
              <w:t>Model 2: Model 1 + chronic conditions</w:t>
            </w:r>
          </w:p>
        </w:tc>
      </w:tr>
      <w:tr w:rsidR="00AA652A" w:rsidRPr="00AA652A" w14:paraId="2839407E" w14:textId="77777777" w:rsidTr="00926B2B">
        <w:trPr>
          <w:cantSplit/>
        </w:trPr>
        <w:tc>
          <w:tcPr>
            <w:tcW w:w="396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1B6F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59A3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Odds ratio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92FE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0870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Odds ratio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72B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26F0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Odds ratio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B5C1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AA652A" w:rsidRPr="00AA652A" w14:paraId="13BC9A1D" w14:textId="77777777" w:rsidTr="00926B2B">
        <w:trPr>
          <w:cantSplit/>
        </w:trPr>
        <w:tc>
          <w:tcPr>
            <w:tcW w:w="396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BDC9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A7D4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652A">
              <w:rPr>
                <w:rFonts w:ascii="Arial" w:hAnsi="Arial" w:cs="Arial"/>
                <w:i/>
                <w:sz w:val="16"/>
                <w:szCs w:val="20"/>
              </w:rPr>
              <w:t>(N = 17,912)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56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652A">
              <w:rPr>
                <w:rFonts w:ascii="Arial" w:hAnsi="Arial" w:cs="Arial"/>
                <w:sz w:val="16"/>
                <w:szCs w:val="18"/>
              </w:rPr>
              <w:t>(n = 17,911)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D919B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652A">
              <w:rPr>
                <w:rFonts w:ascii="Arial" w:hAnsi="Arial" w:cs="Arial"/>
                <w:sz w:val="16"/>
                <w:szCs w:val="18"/>
              </w:rPr>
              <w:t>(n = 17,911)</w:t>
            </w:r>
          </w:p>
        </w:tc>
      </w:tr>
      <w:tr w:rsidR="00AA652A" w:rsidRPr="00AA652A" w14:paraId="1AD06AA3" w14:textId="77777777" w:rsidTr="00926B2B">
        <w:trPr>
          <w:cantSplit/>
        </w:trPr>
        <w:tc>
          <w:tcPr>
            <w:tcW w:w="13890" w:type="dxa"/>
            <w:gridSpan w:val="12"/>
            <w:shd w:val="clear" w:color="auto" w:fill="auto"/>
          </w:tcPr>
          <w:p w14:paraId="4570FE1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Age (reference: 65-74)</w:t>
            </w:r>
          </w:p>
        </w:tc>
      </w:tr>
      <w:tr w:rsidR="00AA652A" w:rsidRPr="00AA652A" w14:paraId="3713AC13" w14:textId="77777777" w:rsidTr="00926B2B">
        <w:trPr>
          <w:cantSplit/>
        </w:trPr>
        <w:tc>
          <w:tcPr>
            <w:tcW w:w="338" w:type="dxa"/>
            <w:shd w:val="clear" w:color="auto" w:fill="auto"/>
          </w:tcPr>
          <w:p w14:paraId="48979E1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6" w:type="dxa"/>
            <w:gridSpan w:val="5"/>
            <w:shd w:val="clear" w:color="auto" w:fill="auto"/>
          </w:tcPr>
          <w:p w14:paraId="7B99D9D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75-84</w:t>
            </w:r>
          </w:p>
        </w:tc>
        <w:tc>
          <w:tcPr>
            <w:tcW w:w="1843" w:type="dxa"/>
            <w:shd w:val="clear" w:color="auto" w:fill="auto"/>
          </w:tcPr>
          <w:p w14:paraId="5847BB8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0.85</w:t>
            </w:r>
          </w:p>
        </w:tc>
        <w:tc>
          <w:tcPr>
            <w:tcW w:w="1276" w:type="dxa"/>
            <w:shd w:val="clear" w:color="auto" w:fill="auto"/>
          </w:tcPr>
          <w:p w14:paraId="52F194B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0.69-.1.04</w:t>
            </w:r>
          </w:p>
        </w:tc>
        <w:tc>
          <w:tcPr>
            <w:tcW w:w="1701" w:type="dxa"/>
            <w:shd w:val="clear" w:color="auto" w:fill="auto"/>
          </w:tcPr>
          <w:p w14:paraId="18E206B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0.87</w:t>
            </w:r>
          </w:p>
        </w:tc>
        <w:tc>
          <w:tcPr>
            <w:tcW w:w="1559" w:type="dxa"/>
            <w:shd w:val="clear" w:color="auto" w:fill="auto"/>
          </w:tcPr>
          <w:p w14:paraId="32279D9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0.70-1.07</w:t>
            </w:r>
          </w:p>
        </w:tc>
        <w:tc>
          <w:tcPr>
            <w:tcW w:w="1988" w:type="dxa"/>
            <w:shd w:val="clear" w:color="auto" w:fill="auto"/>
          </w:tcPr>
          <w:p w14:paraId="34D4F21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0.88</w:t>
            </w:r>
          </w:p>
        </w:tc>
        <w:tc>
          <w:tcPr>
            <w:tcW w:w="1559" w:type="dxa"/>
            <w:shd w:val="clear" w:color="auto" w:fill="auto"/>
          </w:tcPr>
          <w:p w14:paraId="6858F09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0.71-1.08</w:t>
            </w:r>
          </w:p>
        </w:tc>
      </w:tr>
      <w:tr w:rsidR="00AA652A" w:rsidRPr="00AA652A" w14:paraId="4AFC02A0" w14:textId="77777777" w:rsidTr="00926B2B">
        <w:trPr>
          <w:cantSplit/>
        </w:trPr>
        <w:tc>
          <w:tcPr>
            <w:tcW w:w="338" w:type="dxa"/>
            <w:shd w:val="clear" w:color="auto" w:fill="auto"/>
          </w:tcPr>
          <w:p w14:paraId="08BD241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6" w:type="dxa"/>
            <w:gridSpan w:val="5"/>
            <w:shd w:val="clear" w:color="auto" w:fill="auto"/>
          </w:tcPr>
          <w:p w14:paraId="5B1ED30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85 and above</w:t>
            </w:r>
          </w:p>
        </w:tc>
        <w:tc>
          <w:tcPr>
            <w:tcW w:w="1843" w:type="dxa"/>
            <w:shd w:val="clear" w:color="auto" w:fill="auto"/>
          </w:tcPr>
          <w:p w14:paraId="4893C99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0.66</w:t>
            </w:r>
          </w:p>
        </w:tc>
        <w:tc>
          <w:tcPr>
            <w:tcW w:w="1276" w:type="dxa"/>
            <w:shd w:val="clear" w:color="auto" w:fill="auto"/>
          </w:tcPr>
          <w:p w14:paraId="68A9188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0.51-0.78**</w:t>
            </w:r>
          </w:p>
        </w:tc>
        <w:tc>
          <w:tcPr>
            <w:tcW w:w="1701" w:type="dxa"/>
            <w:shd w:val="clear" w:color="auto" w:fill="auto"/>
          </w:tcPr>
          <w:p w14:paraId="3A1E736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0.75</w:t>
            </w:r>
          </w:p>
        </w:tc>
        <w:tc>
          <w:tcPr>
            <w:tcW w:w="1559" w:type="dxa"/>
            <w:shd w:val="clear" w:color="auto" w:fill="auto"/>
          </w:tcPr>
          <w:p w14:paraId="3D3EA63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0.57-0.99**</w:t>
            </w:r>
          </w:p>
        </w:tc>
        <w:tc>
          <w:tcPr>
            <w:tcW w:w="1988" w:type="dxa"/>
            <w:shd w:val="clear" w:color="auto" w:fill="auto"/>
          </w:tcPr>
          <w:p w14:paraId="277A62D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0.74</w:t>
            </w:r>
          </w:p>
        </w:tc>
        <w:tc>
          <w:tcPr>
            <w:tcW w:w="1559" w:type="dxa"/>
            <w:shd w:val="clear" w:color="auto" w:fill="auto"/>
          </w:tcPr>
          <w:p w14:paraId="1D2FB9E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0.56-0.98**</w:t>
            </w:r>
          </w:p>
        </w:tc>
      </w:tr>
      <w:tr w:rsidR="00AA652A" w:rsidRPr="00AA652A" w14:paraId="0D64CEBF" w14:textId="77777777" w:rsidTr="00926B2B">
        <w:trPr>
          <w:cantSplit/>
        </w:trPr>
        <w:tc>
          <w:tcPr>
            <w:tcW w:w="3964" w:type="dxa"/>
            <w:gridSpan w:val="6"/>
            <w:shd w:val="clear" w:color="auto" w:fill="auto"/>
          </w:tcPr>
          <w:p w14:paraId="40FD8BF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 xml:space="preserve">Male sex (reference: female sex) </w:t>
            </w:r>
          </w:p>
        </w:tc>
        <w:tc>
          <w:tcPr>
            <w:tcW w:w="1843" w:type="dxa"/>
            <w:shd w:val="clear" w:color="auto" w:fill="auto"/>
          </w:tcPr>
          <w:p w14:paraId="59EE71E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1.41</w:t>
            </w:r>
          </w:p>
        </w:tc>
        <w:tc>
          <w:tcPr>
            <w:tcW w:w="1276" w:type="dxa"/>
            <w:shd w:val="clear" w:color="auto" w:fill="auto"/>
          </w:tcPr>
          <w:p w14:paraId="2B9433C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1.17-1.70***</w:t>
            </w:r>
          </w:p>
        </w:tc>
        <w:tc>
          <w:tcPr>
            <w:tcW w:w="1701" w:type="dxa"/>
            <w:shd w:val="clear" w:color="auto" w:fill="auto"/>
          </w:tcPr>
          <w:p w14:paraId="6F9283F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1.30</w:t>
            </w:r>
          </w:p>
        </w:tc>
        <w:tc>
          <w:tcPr>
            <w:tcW w:w="1559" w:type="dxa"/>
            <w:shd w:val="clear" w:color="auto" w:fill="auto"/>
          </w:tcPr>
          <w:p w14:paraId="62DCDF6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0.08-1.58**</w:t>
            </w:r>
          </w:p>
        </w:tc>
        <w:tc>
          <w:tcPr>
            <w:tcW w:w="1988" w:type="dxa"/>
            <w:shd w:val="clear" w:color="auto" w:fill="auto"/>
          </w:tcPr>
          <w:p w14:paraId="4E72B83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1.29</w:t>
            </w:r>
          </w:p>
        </w:tc>
        <w:tc>
          <w:tcPr>
            <w:tcW w:w="1559" w:type="dxa"/>
            <w:shd w:val="clear" w:color="auto" w:fill="auto"/>
          </w:tcPr>
          <w:p w14:paraId="2211513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1.06-1.58**</w:t>
            </w:r>
          </w:p>
        </w:tc>
      </w:tr>
      <w:tr w:rsidR="00AA652A" w:rsidRPr="00AA652A" w14:paraId="2B281716" w14:textId="77777777" w:rsidTr="00926B2B">
        <w:trPr>
          <w:cantSplit/>
        </w:trPr>
        <w:tc>
          <w:tcPr>
            <w:tcW w:w="3964" w:type="dxa"/>
            <w:gridSpan w:val="6"/>
            <w:shd w:val="clear" w:color="auto" w:fill="auto"/>
          </w:tcPr>
          <w:p w14:paraId="6F5C383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 xml:space="preserve">Hispanic ethnicity (reference: non-hispanic) </w:t>
            </w:r>
          </w:p>
        </w:tc>
        <w:tc>
          <w:tcPr>
            <w:tcW w:w="1843" w:type="dxa"/>
            <w:shd w:val="clear" w:color="auto" w:fill="auto"/>
          </w:tcPr>
          <w:p w14:paraId="3FE5BD7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1.52</w:t>
            </w:r>
          </w:p>
        </w:tc>
        <w:tc>
          <w:tcPr>
            <w:tcW w:w="1276" w:type="dxa"/>
            <w:shd w:val="clear" w:color="auto" w:fill="auto"/>
          </w:tcPr>
          <w:p w14:paraId="6BA1970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9,67-3.45</w:t>
            </w:r>
          </w:p>
        </w:tc>
        <w:tc>
          <w:tcPr>
            <w:tcW w:w="1701" w:type="dxa"/>
            <w:shd w:val="clear" w:color="auto" w:fill="auto"/>
          </w:tcPr>
          <w:p w14:paraId="312CC95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0.99</w:t>
            </w:r>
          </w:p>
        </w:tc>
        <w:tc>
          <w:tcPr>
            <w:tcW w:w="1559" w:type="dxa"/>
            <w:shd w:val="clear" w:color="auto" w:fill="auto"/>
          </w:tcPr>
          <w:p w14:paraId="1E3576D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0.35-2.78</w:t>
            </w:r>
          </w:p>
        </w:tc>
        <w:tc>
          <w:tcPr>
            <w:tcW w:w="1988" w:type="dxa"/>
            <w:shd w:val="clear" w:color="auto" w:fill="auto"/>
          </w:tcPr>
          <w:p w14:paraId="041BB95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0.96</w:t>
            </w:r>
          </w:p>
        </w:tc>
        <w:tc>
          <w:tcPr>
            <w:tcW w:w="1559" w:type="dxa"/>
            <w:shd w:val="clear" w:color="auto" w:fill="auto"/>
          </w:tcPr>
          <w:p w14:paraId="36A320A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0.34-2.72</w:t>
            </w:r>
          </w:p>
        </w:tc>
      </w:tr>
      <w:tr w:rsidR="00AA652A" w:rsidRPr="00AA652A" w14:paraId="757F70C7" w14:textId="77777777" w:rsidTr="00926B2B">
        <w:trPr>
          <w:cantSplit/>
        </w:trPr>
        <w:tc>
          <w:tcPr>
            <w:tcW w:w="13890" w:type="dxa"/>
            <w:gridSpan w:val="12"/>
            <w:shd w:val="clear" w:color="auto" w:fill="auto"/>
          </w:tcPr>
          <w:p w14:paraId="3C0A62DC" w14:textId="77777777" w:rsidR="00AA652A" w:rsidRPr="00AA652A" w:rsidRDefault="00AA652A" w:rsidP="00926B2B">
            <w:pPr>
              <w:pStyle w:val="ListParagraph"/>
              <w:keepNext/>
              <w:widowControl/>
              <w:tabs>
                <w:tab w:val="left" w:pos="2440"/>
              </w:tabs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 xml:space="preserve">Race (reference: White) </w:t>
            </w:r>
            <w:r w:rsidRPr="00AA652A"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  <w:tr w:rsidR="00AA652A" w:rsidRPr="00AA652A" w14:paraId="2134A1A1" w14:textId="77777777" w:rsidTr="00926B2B">
        <w:trPr>
          <w:cantSplit/>
        </w:trPr>
        <w:tc>
          <w:tcPr>
            <w:tcW w:w="421" w:type="dxa"/>
            <w:gridSpan w:val="5"/>
            <w:shd w:val="clear" w:color="auto" w:fill="auto"/>
          </w:tcPr>
          <w:p w14:paraId="351680D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543" w:type="dxa"/>
            <w:shd w:val="clear" w:color="auto" w:fill="auto"/>
          </w:tcPr>
          <w:p w14:paraId="3B59D6B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Asian</w:t>
            </w:r>
          </w:p>
        </w:tc>
        <w:tc>
          <w:tcPr>
            <w:tcW w:w="1843" w:type="dxa"/>
            <w:shd w:val="clear" w:color="auto" w:fill="auto"/>
          </w:tcPr>
          <w:p w14:paraId="008F8BD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1.27</w:t>
            </w:r>
          </w:p>
        </w:tc>
        <w:tc>
          <w:tcPr>
            <w:tcW w:w="1276" w:type="dxa"/>
            <w:shd w:val="clear" w:color="auto" w:fill="auto"/>
          </w:tcPr>
          <w:p w14:paraId="1DF5858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9,52-3.11</w:t>
            </w:r>
          </w:p>
        </w:tc>
        <w:tc>
          <w:tcPr>
            <w:tcW w:w="1701" w:type="dxa"/>
            <w:shd w:val="clear" w:color="auto" w:fill="auto"/>
          </w:tcPr>
          <w:p w14:paraId="6F0FBF7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1.41</w:t>
            </w:r>
          </w:p>
        </w:tc>
        <w:tc>
          <w:tcPr>
            <w:tcW w:w="1559" w:type="dxa"/>
            <w:shd w:val="clear" w:color="auto" w:fill="auto"/>
          </w:tcPr>
          <w:p w14:paraId="4A312B8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0.57-3.46</w:t>
            </w:r>
          </w:p>
        </w:tc>
        <w:tc>
          <w:tcPr>
            <w:tcW w:w="1988" w:type="dxa"/>
            <w:shd w:val="clear" w:color="auto" w:fill="auto"/>
          </w:tcPr>
          <w:p w14:paraId="5B5EF26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1.34</w:t>
            </w:r>
          </w:p>
        </w:tc>
        <w:tc>
          <w:tcPr>
            <w:tcW w:w="1559" w:type="dxa"/>
            <w:shd w:val="clear" w:color="auto" w:fill="auto"/>
          </w:tcPr>
          <w:p w14:paraId="6486C4B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0.55-3.32</w:t>
            </w:r>
          </w:p>
        </w:tc>
      </w:tr>
      <w:tr w:rsidR="00AA652A" w:rsidRPr="00AA652A" w14:paraId="1352D2F7" w14:textId="77777777" w:rsidTr="00926B2B">
        <w:trPr>
          <w:cantSplit/>
        </w:trPr>
        <w:tc>
          <w:tcPr>
            <w:tcW w:w="421" w:type="dxa"/>
            <w:gridSpan w:val="5"/>
            <w:shd w:val="clear" w:color="auto" w:fill="auto"/>
          </w:tcPr>
          <w:p w14:paraId="7B29637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543" w:type="dxa"/>
            <w:shd w:val="clear" w:color="auto" w:fill="auto"/>
          </w:tcPr>
          <w:p w14:paraId="7DD9E57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1843" w:type="dxa"/>
            <w:shd w:val="clear" w:color="auto" w:fill="auto"/>
          </w:tcPr>
          <w:p w14:paraId="2B44A4E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1.56</w:t>
            </w:r>
          </w:p>
        </w:tc>
        <w:tc>
          <w:tcPr>
            <w:tcW w:w="1276" w:type="dxa"/>
            <w:shd w:val="clear" w:color="auto" w:fill="auto"/>
          </w:tcPr>
          <w:p w14:paraId="03760A7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1.02-2.36**</w:t>
            </w:r>
          </w:p>
        </w:tc>
        <w:tc>
          <w:tcPr>
            <w:tcW w:w="1701" w:type="dxa"/>
            <w:shd w:val="clear" w:color="auto" w:fill="auto"/>
          </w:tcPr>
          <w:p w14:paraId="627BDF4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1.55</w:t>
            </w:r>
          </w:p>
        </w:tc>
        <w:tc>
          <w:tcPr>
            <w:tcW w:w="1559" w:type="dxa"/>
            <w:shd w:val="clear" w:color="auto" w:fill="auto"/>
          </w:tcPr>
          <w:p w14:paraId="453095A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1.02-2.37</w:t>
            </w:r>
          </w:p>
        </w:tc>
        <w:tc>
          <w:tcPr>
            <w:tcW w:w="1988" w:type="dxa"/>
            <w:shd w:val="clear" w:color="auto" w:fill="auto"/>
          </w:tcPr>
          <w:p w14:paraId="73EA2E1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1.51</w:t>
            </w:r>
          </w:p>
        </w:tc>
        <w:tc>
          <w:tcPr>
            <w:tcW w:w="1559" w:type="dxa"/>
            <w:shd w:val="clear" w:color="auto" w:fill="auto"/>
          </w:tcPr>
          <w:p w14:paraId="79F6FCF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0.98-2.32</w:t>
            </w:r>
          </w:p>
        </w:tc>
      </w:tr>
      <w:tr w:rsidR="00AA652A" w:rsidRPr="00AA652A" w14:paraId="69E9E322" w14:textId="77777777" w:rsidTr="00926B2B">
        <w:trPr>
          <w:cantSplit/>
        </w:trPr>
        <w:tc>
          <w:tcPr>
            <w:tcW w:w="421" w:type="dxa"/>
            <w:gridSpan w:val="5"/>
            <w:shd w:val="clear" w:color="auto" w:fill="auto"/>
          </w:tcPr>
          <w:p w14:paraId="6B741BB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543" w:type="dxa"/>
            <w:shd w:val="clear" w:color="auto" w:fill="auto"/>
          </w:tcPr>
          <w:p w14:paraId="6058B22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Other</w:t>
            </w:r>
          </w:p>
        </w:tc>
        <w:tc>
          <w:tcPr>
            <w:tcW w:w="1843" w:type="dxa"/>
            <w:shd w:val="clear" w:color="auto" w:fill="auto"/>
          </w:tcPr>
          <w:p w14:paraId="45B70DC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1.72</w:t>
            </w:r>
          </w:p>
        </w:tc>
        <w:tc>
          <w:tcPr>
            <w:tcW w:w="1276" w:type="dxa"/>
            <w:shd w:val="clear" w:color="auto" w:fill="auto"/>
          </w:tcPr>
          <w:p w14:paraId="1A98916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1.05-2.84**</w:t>
            </w:r>
          </w:p>
        </w:tc>
        <w:tc>
          <w:tcPr>
            <w:tcW w:w="1701" w:type="dxa"/>
            <w:shd w:val="clear" w:color="auto" w:fill="auto"/>
          </w:tcPr>
          <w:p w14:paraId="6A0F6E9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1.52</w:t>
            </w:r>
          </w:p>
        </w:tc>
        <w:tc>
          <w:tcPr>
            <w:tcW w:w="1559" w:type="dxa"/>
            <w:shd w:val="clear" w:color="auto" w:fill="auto"/>
          </w:tcPr>
          <w:p w14:paraId="6D1283F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0.80-2.89</w:t>
            </w:r>
          </w:p>
        </w:tc>
        <w:tc>
          <w:tcPr>
            <w:tcW w:w="1988" w:type="dxa"/>
            <w:shd w:val="clear" w:color="auto" w:fill="auto"/>
          </w:tcPr>
          <w:p w14:paraId="7A5CED1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1.49</w:t>
            </w:r>
          </w:p>
        </w:tc>
        <w:tc>
          <w:tcPr>
            <w:tcW w:w="1559" w:type="dxa"/>
            <w:shd w:val="clear" w:color="auto" w:fill="auto"/>
          </w:tcPr>
          <w:p w14:paraId="5A00C09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0.78-2.84</w:t>
            </w:r>
          </w:p>
        </w:tc>
      </w:tr>
      <w:tr w:rsidR="00AA652A" w:rsidRPr="00AA652A" w14:paraId="4D68E6D8" w14:textId="77777777" w:rsidTr="00926B2B">
        <w:trPr>
          <w:cantSplit/>
        </w:trPr>
        <w:tc>
          <w:tcPr>
            <w:tcW w:w="13890" w:type="dxa"/>
            <w:gridSpan w:val="12"/>
            <w:shd w:val="clear" w:color="auto" w:fill="auto"/>
          </w:tcPr>
          <w:p w14:paraId="4CBB6D9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Number of inpatient stays (reference: 0)</w:t>
            </w:r>
          </w:p>
        </w:tc>
      </w:tr>
      <w:tr w:rsidR="00AA652A" w:rsidRPr="00AA652A" w14:paraId="4729CA85" w14:textId="77777777" w:rsidTr="00926B2B">
        <w:trPr>
          <w:cantSplit/>
        </w:trPr>
        <w:tc>
          <w:tcPr>
            <w:tcW w:w="393" w:type="dxa"/>
            <w:gridSpan w:val="4"/>
            <w:shd w:val="clear" w:color="auto" w:fill="auto"/>
          </w:tcPr>
          <w:p w14:paraId="4C6CB8E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1" w:type="dxa"/>
            <w:gridSpan w:val="2"/>
            <w:shd w:val="clear" w:color="auto" w:fill="auto"/>
          </w:tcPr>
          <w:p w14:paraId="01FE0D8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 xml:space="preserve">At least 1 </w:t>
            </w:r>
          </w:p>
        </w:tc>
        <w:tc>
          <w:tcPr>
            <w:tcW w:w="1843" w:type="dxa"/>
            <w:shd w:val="clear" w:color="auto" w:fill="auto"/>
          </w:tcPr>
          <w:p w14:paraId="0A59897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1.39</w:t>
            </w:r>
          </w:p>
        </w:tc>
        <w:tc>
          <w:tcPr>
            <w:tcW w:w="1276" w:type="dxa"/>
            <w:shd w:val="clear" w:color="auto" w:fill="auto"/>
          </w:tcPr>
          <w:p w14:paraId="27FBBED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1.11-1.75</w:t>
            </w:r>
          </w:p>
        </w:tc>
        <w:tc>
          <w:tcPr>
            <w:tcW w:w="1701" w:type="dxa"/>
            <w:shd w:val="clear" w:color="auto" w:fill="auto"/>
          </w:tcPr>
          <w:p w14:paraId="7FD57E2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0.94</w:t>
            </w:r>
          </w:p>
        </w:tc>
        <w:tc>
          <w:tcPr>
            <w:tcW w:w="1559" w:type="dxa"/>
            <w:shd w:val="clear" w:color="auto" w:fill="auto"/>
          </w:tcPr>
          <w:p w14:paraId="3C54E43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0.70-1.29</w:t>
            </w:r>
          </w:p>
        </w:tc>
        <w:tc>
          <w:tcPr>
            <w:tcW w:w="1988" w:type="dxa"/>
            <w:shd w:val="clear" w:color="auto" w:fill="auto"/>
          </w:tcPr>
          <w:p w14:paraId="1FC3C59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0.91</w:t>
            </w:r>
          </w:p>
        </w:tc>
        <w:tc>
          <w:tcPr>
            <w:tcW w:w="1559" w:type="dxa"/>
            <w:shd w:val="clear" w:color="auto" w:fill="auto"/>
          </w:tcPr>
          <w:p w14:paraId="3480AAE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0.66-1.25</w:t>
            </w:r>
          </w:p>
        </w:tc>
      </w:tr>
      <w:tr w:rsidR="00AA652A" w:rsidRPr="00AA652A" w14:paraId="41FC44F5" w14:textId="77777777" w:rsidTr="00926B2B">
        <w:trPr>
          <w:cantSplit/>
        </w:trPr>
        <w:tc>
          <w:tcPr>
            <w:tcW w:w="13890" w:type="dxa"/>
            <w:gridSpan w:val="12"/>
            <w:shd w:val="clear" w:color="auto" w:fill="auto"/>
          </w:tcPr>
          <w:p w14:paraId="294B1F4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Number of emergency department visits (reference: 0)</w:t>
            </w:r>
          </w:p>
        </w:tc>
      </w:tr>
      <w:tr w:rsidR="00AA652A" w:rsidRPr="00AA652A" w14:paraId="17C6FAE0" w14:textId="77777777" w:rsidTr="00926B2B">
        <w:trPr>
          <w:cantSplit/>
        </w:trPr>
        <w:tc>
          <w:tcPr>
            <w:tcW w:w="421" w:type="dxa"/>
            <w:gridSpan w:val="5"/>
            <w:shd w:val="clear" w:color="auto" w:fill="auto"/>
          </w:tcPr>
          <w:p w14:paraId="05EE342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3" w:type="dxa"/>
            <w:shd w:val="clear" w:color="auto" w:fill="auto"/>
          </w:tcPr>
          <w:p w14:paraId="1E52E0F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 xml:space="preserve">At least 1 </w:t>
            </w:r>
          </w:p>
        </w:tc>
        <w:tc>
          <w:tcPr>
            <w:tcW w:w="1843" w:type="dxa"/>
            <w:shd w:val="clear" w:color="auto" w:fill="auto"/>
          </w:tcPr>
          <w:p w14:paraId="6C8DD4D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1.33</w:t>
            </w:r>
          </w:p>
        </w:tc>
        <w:tc>
          <w:tcPr>
            <w:tcW w:w="1276" w:type="dxa"/>
            <w:shd w:val="clear" w:color="auto" w:fill="auto"/>
          </w:tcPr>
          <w:p w14:paraId="182B769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1.09-1.62</w:t>
            </w:r>
          </w:p>
        </w:tc>
        <w:tc>
          <w:tcPr>
            <w:tcW w:w="1701" w:type="dxa"/>
            <w:shd w:val="clear" w:color="auto" w:fill="auto"/>
          </w:tcPr>
          <w:p w14:paraId="5671CFD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1.10</w:t>
            </w:r>
          </w:p>
        </w:tc>
        <w:tc>
          <w:tcPr>
            <w:tcW w:w="1559" w:type="dxa"/>
            <w:shd w:val="clear" w:color="auto" w:fill="auto"/>
          </w:tcPr>
          <w:p w14:paraId="673EE8B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0.85-1.43</w:t>
            </w:r>
          </w:p>
        </w:tc>
        <w:tc>
          <w:tcPr>
            <w:tcW w:w="1988" w:type="dxa"/>
            <w:shd w:val="clear" w:color="auto" w:fill="auto"/>
          </w:tcPr>
          <w:p w14:paraId="737248C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1.08</w:t>
            </w:r>
          </w:p>
        </w:tc>
        <w:tc>
          <w:tcPr>
            <w:tcW w:w="1559" w:type="dxa"/>
            <w:shd w:val="clear" w:color="auto" w:fill="auto"/>
          </w:tcPr>
          <w:p w14:paraId="025F297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0.82-1.40</w:t>
            </w:r>
          </w:p>
        </w:tc>
      </w:tr>
      <w:tr w:rsidR="00AA652A" w:rsidRPr="00AA652A" w14:paraId="70DDB1FF" w14:textId="77777777" w:rsidTr="00926B2B">
        <w:trPr>
          <w:cantSplit/>
        </w:trPr>
        <w:tc>
          <w:tcPr>
            <w:tcW w:w="13890" w:type="dxa"/>
            <w:gridSpan w:val="12"/>
            <w:shd w:val="clear" w:color="auto" w:fill="auto"/>
          </w:tcPr>
          <w:p w14:paraId="479316C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Number of ambulatory visits (reference: ≤9; categories based on quartiles)</w:t>
            </w:r>
          </w:p>
        </w:tc>
      </w:tr>
      <w:tr w:rsidR="00AA652A" w:rsidRPr="00AA652A" w14:paraId="7357A7EE" w14:textId="77777777" w:rsidTr="00926B2B">
        <w:trPr>
          <w:cantSplit/>
        </w:trPr>
        <w:tc>
          <w:tcPr>
            <w:tcW w:w="360" w:type="dxa"/>
            <w:gridSpan w:val="3"/>
            <w:shd w:val="clear" w:color="auto" w:fill="auto"/>
          </w:tcPr>
          <w:p w14:paraId="04027E7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4" w:type="dxa"/>
            <w:gridSpan w:val="3"/>
            <w:shd w:val="clear" w:color="auto" w:fill="auto"/>
          </w:tcPr>
          <w:p w14:paraId="6EB9AA2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 xml:space="preserve">10-17 </w:t>
            </w:r>
          </w:p>
        </w:tc>
        <w:tc>
          <w:tcPr>
            <w:tcW w:w="1843" w:type="dxa"/>
            <w:shd w:val="clear" w:color="auto" w:fill="auto"/>
          </w:tcPr>
          <w:p w14:paraId="63C1E36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0.94</w:t>
            </w:r>
          </w:p>
        </w:tc>
        <w:tc>
          <w:tcPr>
            <w:tcW w:w="1276" w:type="dxa"/>
            <w:shd w:val="clear" w:color="auto" w:fill="auto"/>
          </w:tcPr>
          <w:p w14:paraId="203EA23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0.69-1.28</w:t>
            </w:r>
          </w:p>
        </w:tc>
        <w:tc>
          <w:tcPr>
            <w:tcW w:w="1701" w:type="dxa"/>
            <w:shd w:val="clear" w:color="auto" w:fill="auto"/>
          </w:tcPr>
          <w:p w14:paraId="1DE2EF9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0.95</w:t>
            </w:r>
          </w:p>
        </w:tc>
        <w:tc>
          <w:tcPr>
            <w:tcW w:w="1559" w:type="dxa"/>
            <w:shd w:val="clear" w:color="auto" w:fill="auto"/>
          </w:tcPr>
          <w:p w14:paraId="260EC0F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0.69-1.29</w:t>
            </w:r>
          </w:p>
        </w:tc>
        <w:tc>
          <w:tcPr>
            <w:tcW w:w="1988" w:type="dxa"/>
            <w:shd w:val="clear" w:color="auto" w:fill="auto"/>
          </w:tcPr>
          <w:p w14:paraId="1F0C706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0.95</w:t>
            </w:r>
          </w:p>
        </w:tc>
        <w:tc>
          <w:tcPr>
            <w:tcW w:w="1559" w:type="dxa"/>
            <w:shd w:val="clear" w:color="auto" w:fill="auto"/>
          </w:tcPr>
          <w:p w14:paraId="3B42237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0.69-1.30</w:t>
            </w:r>
          </w:p>
        </w:tc>
      </w:tr>
      <w:tr w:rsidR="00AA652A" w:rsidRPr="00AA652A" w14:paraId="416E9E46" w14:textId="77777777" w:rsidTr="00926B2B">
        <w:trPr>
          <w:cantSplit/>
        </w:trPr>
        <w:tc>
          <w:tcPr>
            <w:tcW w:w="360" w:type="dxa"/>
            <w:gridSpan w:val="3"/>
            <w:shd w:val="clear" w:color="auto" w:fill="auto"/>
          </w:tcPr>
          <w:p w14:paraId="04D2408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4" w:type="dxa"/>
            <w:gridSpan w:val="3"/>
            <w:shd w:val="clear" w:color="auto" w:fill="auto"/>
          </w:tcPr>
          <w:p w14:paraId="110290F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 xml:space="preserve">18-29 </w:t>
            </w:r>
          </w:p>
        </w:tc>
        <w:tc>
          <w:tcPr>
            <w:tcW w:w="1843" w:type="dxa"/>
            <w:shd w:val="clear" w:color="auto" w:fill="auto"/>
          </w:tcPr>
          <w:p w14:paraId="2A808C0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1.39</w:t>
            </w:r>
          </w:p>
        </w:tc>
        <w:tc>
          <w:tcPr>
            <w:tcW w:w="1276" w:type="dxa"/>
            <w:shd w:val="clear" w:color="auto" w:fill="auto"/>
          </w:tcPr>
          <w:p w14:paraId="2089C8A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1.05-1.85**</w:t>
            </w:r>
          </w:p>
        </w:tc>
        <w:tc>
          <w:tcPr>
            <w:tcW w:w="1701" w:type="dxa"/>
            <w:shd w:val="clear" w:color="auto" w:fill="auto"/>
          </w:tcPr>
          <w:p w14:paraId="60E2B6A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1.37</w:t>
            </w:r>
          </w:p>
        </w:tc>
        <w:tc>
          <w:tcPr>
            <w:tcW w:w="1559" w:type="dxa"/>
            <w:shd w:val="clear" w:color="auto" w:fill="auto"/>
          </w:tcPr>
          <w:p w14:paraId="74853F2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1.02-1.86**</w:t>
            </w:r>
          </w:p>
        </w:tc>
        <w:tc>
          <w:tcPr>
            <w:tcW w:w="1988" w:type="dxa"/>
            <w:shd w:val="clear" w:color="auto" w:fill="auto"/>
          </w:tcPr>
          <w:p w14:paraId="36D41D3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1.38</w:t>
            </w:r>
          </w:p>
        </w:tc>
        <w:tc>
          <w:tcPr>
            <w:tcW w:w="1559" w:type="dxa"/>
            <w:shd w:val="clear" w:color="auto" w:fill="auto"/>
          </w:tcPr>
          <w:p w14:paraId="0270EE3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1.02-1.88**</w:t>
            </w:r>
          </w:p>
        </w:tc>
      </w:tr>
      <w:tr w:rsidR="00AA652A" w:rsidRPr="00AA652A" w14:paraId="493517B8" w14:textId="77777777" w:rsidTr="00926B2B">
        <w:trPr>
          <w:cantSplit/>
        </w:trPr>
        <w:tc>
          <w:tcPr>
            <w:tcW w:w="360" w:type="dxa"/>
            <w:gridSpan w:val="3"/>
            <w:shd w:val="clear" w:color="auto" w:fill="auto"/>
          </w:tcPr>
          <w:p w14:paraId="4BBAC06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4" w:type="dxa"/>
            <w:gridSpan w:val="3"/>
            <w:shd w:val="clear" w:color="auto" w:fill="auto"/>
          </w:tcPr>
          <w:p w14:paraId="5674A34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 xml:space="preserve">≥30 </w:t>
            </w:r>
          </w:p>
        </w:tc>
        <w:tc>
          <w:tcPr>
            <w:tcW w:w="1843" w:type="dxa"/>
            <w:shd w:val="clear" w:color="auto" w:fill="auto"/>
          </w:tcPr>
          <w:p w14:paraId="53A9F0C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2.14</w:t>
            </w:r>
          </w:p>
        </w:tc>
        <w:tc>
          <w:tcPr>
            <w:tcW w:w="1276" w:type="dxa"/>
            <w:shd w:val="clear" w:color="auto" w:fill="auto"/>
          </w:tcPr>
          <w:p w14:paraId="3985FAE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1.64-2.79***</w:t>
            </w:r>
          </w:p>
        </w:tc>
        <w:tc>
          <w:tcPr>
            <w:tcW w:w="1701" w:type="dxa"/>
            <w:shd w:val="clear" w:color="auto" w:fill="auto"/>
          </w:tcPr>
          <w:p w14:paraId="63F71AC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2.01</w:t>
            </w:r>
          </w:p>
        </w:tc>
        <w:tc>
          <w:tcPr>
            <w:tcW w:w="1559" w:type="dxa"/>
            <w:shd w:val="clear" w:color="auto" w:fill="auto"/>
          </w:tcPr>
          <w:p w14:paraId="19CB1A3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1.45-2.78***</w:t>
            </w:r>
          </w:p>
        </w:tc>
        <w:tc>
          <w:tcPr>
            <w:tcW w:w="1988" w:type="dxa"/>
            <w:shd w:val="clear" w:color="auto" w:fill="auto"/>
          </w:tcPr>
          <w:p w14:paraId="1FBA56C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2.02</w:t>
            </w:r>
          </w:p>
        </w:tc>
        <w:tc>
          <w:tcPr>
            <w:tcW w:w="1559" w:type="dxa"/>
            <w:shd w:val="clear" w:color="auto" w:fill="auto"/>
          </w:tcPr>
          <w:p w14:paraId="4A9ECD4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1.44-2.82***</w:t>
            </w:r>
          </w:p>
        </w:tc>
      </w:tr>
      <w:tr w:rsidR="00AA652A" w:rsidRPr="00AA652A" w14:paraId="50DE3B58" w14:textId="77777777" w:rsidTr="00926B2B">
        <w:trPr>
          <w:cantSplit/>
        </w:trPr>
        <w:tc>
          <w:tcPr>
            <w:tcW w:w="13890" w:type="dxa"/>
            <w:gridSpan w:val="12"/>
            <w:shd w:val="clear" w:color="auto" w:fill="auto"/>
          </w:tcPr>
          <w:p w14:paraId="14DBD74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Number of non-acute institutional stays (reference: 0)</w:t>
            </w:r>
          </w:p>
        </w:tc>
      </w:tr>
      <w:tr w:rsidR="00AA652A" w:rsidRPr="00AA652A" w14:paraId="0BF39FE5" w14:textId="77777777" w:rsidTr="00926B2B">
        <w:trPr>
          <w:cantSplit/>
        </w:trPr>
        <w:tc>
          <w:tcPr>
            <w:tcW w:w="349" w:type="dxa"/>
            <w:gridSpan w:val="2"/>
            <w:shd w:val="clear" w:color="auto" w:fill="auto"/>
          </w:tcPr>
          <w:p w14:paraId="7897918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15" w:type="dxa"/>
            <w:gridSpan w:val="4"/>
            <w:shd w:val="clear" w:color="auto" w:fill="auto"/>
          </w:tcPr>
          <w:p w14:paraId="69B70431" w14:textId="77777777" w:rsidR="00AA652A" w:rsidRPr="00AA652A" w:rsidRDefault="00AA652A" w:rsidP="00926B2B">
            <w:pPr>
              <w:keepNext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 xml:space="preserve">1 or above </w:t>
            </w:r>
          </w:p>
        </w:tc>
        <w:tc>
          <w:tcPr>
            <w:tcW w:w="1843" w:type="dxa"/>
            <w:shd w:val="clear" w:color="auto" w:fill="auto"/>
          </w:tcPr>
          <w:p w14:paraId="2D28BA5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0.73</w:t>
            </w:r>
          </w:p>
        </w:tc>
        <w:tc>
          <w:tcPr>
            <w:tcW w:w="1276" w:type="dxa"/>
            <w:shd w:val="clear" w:color="auto" w:fill="auto"/>
          </w:tcPr>
          <w:p w14:paraId="0E80B28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0.54-0.99**</w:t>
            </w:r>
          </w:p>
        </w:tc>
        <w:tc>
          <w:tcPr>
            <w:tcW w:w="1701" w:type="dxa"/>
            <w:shd w:val="clear" w:color="auto" w:fill="auto"/>
          </w:tcPr>
          <w:p w14:paraId="7A4ED87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0.78</w:t>
            </w:r>
          </w:p>
        </w:tc>
        <w:tc>
          <w:tcPr>
            <w:tcW w:w="1559" w:type="dxa"/>
            <w:shd w:val="clear" w:color="auto" w:fill="auto"/>
          </w:tcPr>
          <w:p w14:paraId="3DD30FC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0.55-1.10</w:t>
            </w:r>
          </w:p>
        </w:tc>
        <w:tc>
          <w:tcPr>
            <w:tcW w:w="1988" w:type="dxa"/>
            <w:shd w:val="clear" w:color="auto" w:fill="auto"/>
          </w:tcPr>
          <w:p w14:paraId="6510B76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0.74</w:t>
            </w:r>
          </w:p>
        </w:tc>
        <w:tc>
          <w:tcPr>
            <w:tcW w:w="1559" w:type="dxa"/>
            <w:shd w:val="clear" w:color="auto" w:fill="auto"/>
          </w:tcPr>
          <w:p w14:paraId="4D59E00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0.52-1.05</w:t>
            </w:r>
          </w:p>
        </w:tc>
      </w:tr>
      <w:tr w:rsidR="00AA652A" w:rsidRPr="00AA652A" w14:paraId="568910C4" w14:textId="77777777" w:rsidTr="00926B2B">
        <w:trPr>
          <w:cantSplit/>
        </w:trPr>
        <w:tc>
          <w:tcPr>
            <w:tcW w:w="13890" w:type="dxa"/>
            <w:gridSpan w:val="12"/>
            <w:shd w:val="clear" w:color="auto" w:fill="auto"/>
          </w:tcPr>
          <w:p w14:paraId="1C49CEA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Level of polypharmacy (reference: 5-9 medications)</w:t>
            </w:r>
          </w:p>
        </w:tc>
      </w:tr>
      <w:tr w:rsidR="00AA652A" w:rsidRPr="00AA652A" w14:paraId="079CD6A0" w14:textId="77777777" w:rsidTr="00926B2B">
        <w:trPr>
          <w:cantSplit/>
        </w:trPr>
        <w:tc>
          <w:tcPr>
            <w:tcW w:w="338" w:type="dxa"/>
            <w:shd w:val="clear" w:color="auto" w:fill="auto"/>
          </w:tcPr>
          <w:p w14:paraId="635508F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626" w:type="dxa"/>
            <w:gridSpan w:val="5"/>
            <w:shd w:val="clear" w:color="auto" w:fill="auto"/>
          </w:tcPr>
          <w:p w14:paraId="5045DCC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10 and above</w:t>
            </w:r>
          </w:p>
        </w:tc>
        <w:tc>
          <w:tcPr>
            <w:tcW w:w="1843" w:type="dxa"/>
            <w:shd w:val="clear" w:color="auto" w:fill="auto"/>
          </w:tcPr>
          <w:p w14:paraId="23345B9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1.26</w:t>
            </w:r>
          </w:p>
        </w:tc>
        <w:tc>
          <w:tcPr>
            <w:tcW w:w="1276" w:type="dxa"/>
            <w:shd w:val="clear" w:color="auto" w:fill="auto"/>
          </w:tcPr>
          <w:p w14:paraId="2AABB09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0.76-2.10</w:t>
            </w:r>
          </w:p>
        </w:tc>
        <w:tc>
          <w:tcPr>
            <w:tcW w:w="1701" w:type="dxa"/>
            <w:shd w:val="clear" w:color="auto" w:fill="auto"/>
          </w:tcPr>
          <w:p w14:paraId="17A3465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1.15</w:t>
            </w:r>
          </w:p>
        </w:tc>
        <w:tc>
          <w:tcPr>
            <w:tcW w:w="1559" w:type="dxa"/>
            <w:shd w:val="clear" w:color="auto" w:fill="auto"/>
          </w:tcPr>
          <w:p w14:paraId="6DCD254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0.68-1.92</w:t>
            </w:r>
          </w:p>
        </w:tc>
        <w:tc>
          <w:tcPr>
            <w:tcW w:w="1988" w:type="dxa"/>
            <w:shd w:val="clear" w:color="auto" w:fill="auto"/>
          </w:tcPr>
          <w:p w14:paraId="721C1A2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1.06</w:t>
            </w:r>
          </w:p>
        </w:tc>
        <w:tc>
          <w:tcPr>
            <w:tcW w:w="1559" w:type="dxa"/>
            <w:shd w:val="clear" w:color="auto" w:fill="auto"/>
          </w:tcPr>
          <w:p w14:paraId="3B24A36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0.63-1.79</w:t>
            </w:r>
          </w:p>
        </w:tc>
      </w:tr>
      <w:tr w:rsidR="00AA652A" w:rsidRPr="00AA652A" w14:paraId="183EAB6F" w14:textId="77777777" w:rsidTr="00926B2B">
        <w:trPr>
          <w:cantSplit/>
          <w:trHeight w:val="253"/>
        </w:trPr>
        <w:tc>
          <w:tcPr>
            <w:tcW w:w="3964" w:type="dxa"/>
            <w:gridSpan w:val="6"/>
            <w:shd w:val="clear" w:color="auto" w:fill="auto"/>
          </w:tcPr>
          <w:p w14:paraId="26E25A7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Number of chronic conditions (1-unit increase)</w:t>
            </w:r>
          </w:p>
        </w:tc>
        <w:tc>
          <w:tcPr>
            <w:tcW w:w="1843" w:type="dxa"/>
            <w:shd w:val="clear" w:color="auto" w:fill="auto"/>
          </w:tcPr>
          <w:p w14:paraId="54B4823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1.05</w:t>
            </w:r>
          </w:p>
        </w:tc>
        <w:tc>
          <w:tcPr>
            <w:tcW w:w="1276" w:type="dxa"/>
            <w:shd w:val="clear" w:color="auto" w:fill="auto"/>
          </w:tcPr>
          <w:p w14:paraId="2BF501D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1.01-1.02**</w:t>
            </w:r>
          </w:p>
        </w:tc>
        <w:tc>
          <w:tcPr>
            <w:tcW w:w="1701" w:type="dxa"/>
            <w:shd w:val="clear" w:color="auto" w:fill="auto"/>
          </w:tcPr>
          <w:p w14:paraId="7153E72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0.96</w:t>
            </w:r>
          </w:p>
        </w:tc>
        <w:tc>
          <w:tcPr>
            <w:tcW w:w="1559" w:type="dxa"/>
            <w:shd w:val="clear" w:color="auto" w:fill="auto"/>
          </w:tcPr>
          <w:p w14:paraId="3AD875E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0.91-1.02</w:t>
            </w:r>
          </w:p>
        </w:tc>
        <w:tc>
          <w:tcPr>
            <w:tcW w:w="1988" w:type="dxa"/>
            <w:shd w:val="clear" w:color="auto" w:fill="auto"/>
          </w:tcPr>
          <w:p w14:paraId="1D30D12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0.95</w:t>
            </w:r>
          </w:p>
        </w:tc>
        <w:tc>
          <w:tcPr>
            <w:tcW w:w="1559" w:type="dxa"/>
            <w:shd w:val="clear" w:color="auto" w:fill="auto"/>
          </w:tcPr>
          <w:p w14:paraId="74D486A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0.88-1.02</w:t>
            </w:r>
          </w:p>
        </w:tc>
      </w:tr>
      <w:tr w:rsidR="00AA652A" w:rsidRPr="00AA652A" w14:paraId="45F43F11" w14:textId="77777777" w:rsidTr="00926B2B">
        <w:trPr>
          <w:cantSplit/>
          <w:trHeight w:val="253"/>
        </w:trPr>
        <w:tc>
          <w:tcPr>
            <w:tcW w:w="39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743710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Number of prescribing orders (1-unit increase)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154F49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38EC4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1.02-1.04***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9CE017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F1B149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1.02-1.03***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14:paraId="5CF2917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C3788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1.02-1.03</w:t>
            </w:r>
          </w:p>
        </w:tc>
      </w:tr>
      <w:tr w:rsidR="00AA652A" w:rsidRPr="00AA652A" w14:paraId="3157557E" w14:textId="77777777" w:rsidTr="00926B2B">
        <w:trPr>
          <w:cantSplit/>
          <w:trHeight w:val="253"/>
        </w:trPr>
        <w:tc>
          <w:tcPr>
            <w:tcW w:w="39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6244F7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A09250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BDD679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7DCBA3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9DFC09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57EB618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C0A471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continued</w:t>
            </w:r>
          </w:p>
        </w:tc>
      </w:tr>
    </w:tbl>
    <w:p w14:paraId="7E778588" w14:textId="77777777" w:rsidR="00AA652A" w:rsidRPr="00AA652A" w:rsidRDefault="00AA652A" w:rsidP="00AA652A">
      <w:pPr>
        <w:rPr>
          <w:rFonts w:ascii="Arial" w:hAnsi="Arial" w:cs="Arial"/>
          <w:b/>
        </w:rPr>
      </w:pPr>
    </w:p>
    <w:tbl>
      <w:tblPr>
        <w:tblStyle w:val="TableGrid"/>
        <w:tblW w:w="13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5"/>
        <w:gridCol w:w="1559"/>
        <w:gridCol w:w="1418"/>
        <w:gridCol w:w="1417"/>
        <w:gridCol w:w="1701"/>
        <w:gridCol w:w="1560"/>
        <w:gridCol w:w="1559"/>
      </w:tblGrid>
      <w:tr w:rsidR="00AA652A" w:rsidRPr="00AA652A" w14:paraId="04615F94" w14:textId="77777777" w:rsidTr="00926B2B">
        <w:trPr>
          <w:cantSplit/>
        </w:trPr>
        <w:tc>
          <w:tcPr>
            <w:tcW w:w="4676" w:type="dxa"/>
            <w:gridSpan w:val="2"/>
            <w:shd w:val="clear" w:color="auto" w:fill="D9D9D9" w:themeFill="background1" w:themeFillShade="D9"/>
            <w:vAlign w:val="center"/>
          </w:tcPr>
          <w:p w14:paraId="4A4AAC8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AA652A">
              <w:rPr>
                <w:rFonts w:ascii="Arial" w:hAnsi="Arial" w:cs="Arial"/>
                <w:i/>
                <w:sz w:val="17"/>
                <w:szCs w:val="17"/>
              </w:rPr>
              <w:lastRenderedPageBreak/>
              <w:t>Demographics and clinical characteristics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DCA06F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AA652A">
              <w:rPr>
                <w:rFonts w:ascii="Arial" w:hAnsi="Arial" w:cs="Arial"/>
                <w:i/>
                <w:sz w:val="17"/>
                <w:szCs w:val="17"/>
              </w:rPr>
              <w:t>Unadjusted associations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3A7A33F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AA652A">
              <w:rPr>
                <w:rFonts w:ascii="Arial" w:hAnsi="Arial" w:cs="Arial"/>
                <w:i/>
                <w:sz w:val="17"/>
                <w:szCs w:val="17"/>
              </w:rPr>
              <w:t>Model 1: Demographic and healthcare utilization variables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D280C0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AA652A">
              <w:rPr>
                <w:rFonts w:ascii="Arial" w:hAnsi="Arial" w:cs="Arial"/>
                <w:i/>
                <w:sz w:val="17"/>
                <w:szCs w:val="17"/>
              </w:rPr>
              <w:t>Model 2: Model 1 + chronic conditions</w:t>
            </w:r>
          </w:p>
        </w:tc>
      </w:tr>
      <w:tr w:rsidR="00AA652A" w:rsidRPr="00AA652A" w14:paraId="777A0607" w14:textId="77777777" w:rsidTr="00926B2B">
        <w:trPr>
          <w:cantSplit/>
        </w:trPr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62B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4F2C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Un-adjusted hazard ratio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2C1B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F5CC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643F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9104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22F3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AA652A" w:rsidRPr="00AA652A" w14:paraId="61FE1D84" w14:textId="77777777" w:rsidTr="00926B2B">
        <w:trPr>
          <w:cantSplit/>
        </w:trPr>
        <w:tc>
          <w:tcPr>
            <w:tcW w:w="1389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F462B7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18"/>
              </w:rPr>
              <w:t>Types of comorbidities</w:t>
            </w:r>
            <w:r w:rsidRPr="00AA652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AA652A" w:rsidRPr="00AA652A" w14:paraId="6F089275" w14:textId="77777777" w:rsidTr="00926B2B">
        <w:trPr>
          <w:cantSplit/>
        </w:trPr>
        <w:tc>
          <w:tcPr>
            <w:tcW w:w="421" w:type="dxa"/>
            <w:shd w:val="clear" w:color="auto" w:fill="auto"/>
          </w:tcPr>
          <w:p w14:paraId="6CBF2E0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  <w:shd w:val="clear" w:color="auto" w:fill="auto"/>
          </w:tcPr>
          <w:p w14:paraId="7D5519D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Congestive heart failure</w:t>
            </w:r>
          </w:p>
        </w:tc>
        <w:tc>
          <w:tcPr>
            <w:tcW w:w="1559" w:type="dxa"/>
            <w:shd w:val="clear" w:color="auto" w:fill="auto"/>
          </w:tcPr>
          <w:p w14:paraId="44CDCEA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1418" w:type="dxa"/>
            <w:shd w:val="clear" w:color="auto" w:fill="auto"/>
          </w:tcPr>
          <w:p w14:paraId="267D023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1.24-1.94***</w:t>
            </w:r>
          </w:p>
        </w:tc>
        <w:tc>
          <w:tcPr>
            <w:tcW w:w="1417" w:type="dxa"/>
            <w:shd w:val="clear" w:color="auto" w:fill="auto"/>
          </w:tcPr>
          <w:p w14:paraId="24CB620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97D9E0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323944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1559" w:type="dxa"/>
            <w:shd w:val="clear" w:color="auto" w:fill="auto"/>
          </w:tcPr>
          <w:p w14:paraId="16FC7B0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1.06-1.78**</w:t>
            </w:r>
          </w:p>
        </w:tc>
      </w:tr>
      <w:tr w:rsidR="00AA652A" w:rsidRPr="00AA652A" w14:paraId="30B85918" w14:textId="77777777" w:rsidTr="00926B2B">
        <w:trPr>
          <w:cantSplit/>
        </w:trPr>
        <w:tc>
          <w:tcPr>
            <w:tcW w:w="421" w:type="dxa"/>
            <w:shd w:val="clear" w:color="auto" w:fill="auto"/>
          </w:tcPr>
          <w:p w14:paraId="36E7875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  <w:shd w:val="clear" w:color="auto" w:fill="auto"/>
          </w:tcPr>
          <w:p w14:paraId="6B3F0F2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Cardiac arrhythmias</w:t>
            </w:r>
          </w:p>
        </w:tc>
        <w:tc>
          <w:tcPr>
            <w:tcW w:w="1559" w:type="dxa"/>
            <w:shd w:val="clear" w:color="auto" w:fill="auto"/>
          </w:tcPr>
          <w:p w14:paraId="6D355E7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1418" w:type="dxa"/>
            <w:shd w:val="clear" w:color="auto" w:fill="auto"/>
          </w:tcPr>
          <w:p w14:paraId="33764C5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1.03-2.04**</w:t>
            </w:r>
          </w:p>
        </w:tc>
        <w:tc>
          <w:tcPr>
            <w:tcW w:w="1417" w:type="dxa"/>
            <w:shd w:val="clear" w:color="auto" w:fill="auto"/>
          </w:tcPr>
          <w:p w14:paraId="5C5C176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3FA83D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C9FA1A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1559" w:type="dxa"/>
            <w:shd w:val="clear" w:color="auto" w:fill="auto"/>
          </w:tcPr>
          <w:p w14:paraId="2309240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0.70-1.47</w:t>
            </w:r>
          </w:p>
        </w:tc>
      </w:tr>
      <w:tr w:rsidR="00AA652A" w:rsidRPr="00AA652A" w14:paraId="1F955F73" w14:textId="77777777" w:rsidTr="00926B2B">
        <w:trPr>
          <w:cantSplit/>
        </w:trPr>
        <w:tc>
          <w:tcPr>
            <w:tcW w:w="421" w:type="dxa"/>
            <w:shd w:val="clear" w:color="auto" w:fill="auto"/>
          </w:tcPr>
          <w:p w14:paraId="2B3EAFC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  <w:shd w:val="clear" w:color="auto" w:fill="auto"/>
          </w:tcPr>
          <w:p w14:paraId="1EEB539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Valvular disease</w:t>
            </w:r>
          </w:p>
        </w:tc>
        <w:tc>
          <w:tcPr>
            <w:tcW w:w="1559" w:type="dxa"/>
            <w:shd w:val="clear" w:color="auto" w:fill="auto"/>
          </w:tcPr>
          <w:p w14:paraId="44F3AFD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418" w:type="dxa"/>
            <w:shd w:val="clear" w:color="auto" w:fill="auto"/>
          </w:tcPr>
          <w:p w14:paraId="53AC891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0.81-1.43</w:t>
            </w:r>
          </w:p>
        </w:tc>
        <w:tc>
          <w:tcPr>
            <w:tcW w:w="1417" w:type="dxa"/>
            <w:shd w:val="clear" w:color="auto" w:fill="auto"/>
          </w:tcPr>
          <w:p w14:paraId="1D15137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C98DF0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FB1C44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1559" w:type="dxa"/>
            <w:shd w:val="clear" w:color="auto" w:fill="auto"/>
          </w:tcPr>
          <w:p w14:paraId="01C28C8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0.61-1.12</w:t>
            </w:r>
          </w:p>
        </w:tc>
      </w:tr>
      <w:tr w:rsidR="00AA652A" w:rsidRPr="00AA652A" w14:paraId="18D82BA7" w14:textId="77777777" w:rsidTr="00926B2B">
        <w:trPr>
          <w:cantSplit/>
        </w:trPr>
        <w:tc>
          <w:tcPr>
            <w:tcW w:w="421" w:type="dxa"/>
            <w:shd w:val="clear" w:color="auto" w:fill="auto"/>
          </w:tcPr>
          <w:p w14:paraId="407B7AC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  <w:shd w:val="clear" w:color="auto" w:fill="auto"/>
          </w:tcPr>
          <w:p w14:paraId="5C22C18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Pulmonary circulation disorders</w:t>
            </w:r>
          </w:p>
        </w:tc>
        <w:tc>
          <w:tcPr>
            <w:tcW w:w="1559" w:type="dxa"/>
            <w:shd w:val="clear" w:color="auto" w:fill="auto"/>
          </w:tcPr>
          <w:p w14:paraId="3C67DEB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1418" w:type="dxa"/>
            <w:shd w:val="clear" w:color="auto" w:fill="auto"/>
          </w:tcPr>
          <w:p w14:paraId="77D8F26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0.99-2.75</w:t>
            </w:r>
          </w:p>
        </w:tc>
        <w:tc>
          <w:tcPr>
            <w:tcW w:w="1417" w:type="dxa"/>
            <w:shd w:val="clear" w:color="auto" w:fill="auto"/>
          </w:tcPr>
          <w:p w14:paraId="58D8D31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12688C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E5ACE7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1559" w:type="dxa"/>
            <w:shd w:val="clear" w:color="auto" w:fill="auto"/>
          </w:tcPr>
          <w:p w14:paraId="4CB00C6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0.83-2.43</w:t>
            </w:r>
          </w:p>
        </w:tc>
      </w:tr>
      <w:tr w:rsidR="00AA652A" w:rsidRPr="00AA652A" w14:paraId="58DEDE4F" w14:textId="77777777" w:rsidTr="00926B2B">
        <w:trPr>
          <w:cantSplit/>
        </w:trPr>
        <w:tc>
          <w:tcPr>
            <w:tcW w:w="421" w:type="dxa"/>
            <w:shd w:val="clear" w:color="auto" w:fill="auto"/>
          </w:tcPr>
          <w:p w14:paraId="380F588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  <w:shd w:val="clear" w:color="auto" w:fill="auto"/>
          </w:tcPr>
          <w:p w14:paraId="3FC4B32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Peripheral vascular disorders</w:t>
            </w:r>
          </w:p>
        </w:tc>
        <w:tc>
          <w:tcPr>
            <w:tcW w:w="1559" w:type="dxa"/>
            <w:shd w:val="clear" w:color="auto" w:fill="auto"/>
          </w:tcPr>
          <w:p w14:paraId="78198CC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418" w:type="dxa"/>
            <w:shd w:val="clear" w:color="auto" w:fill="auto"/>
          </w:tcPr>
          <w:p w14:paraId="073B5FB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0.88-1.47</w:t>
            </w:r>
          </w:p>
        </w:tc>
        <w:tc>
          <w:tcPr>
            <w:tcW w:w="1417" w:type="dxa"/>
            <w:shd w:val="clear" w:color="auto" w:fill="auto"/>
          </w:tcPr>
          <w:p w14:paraId="0BD33DF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1FC910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153CBA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1559" w:type="dxa"/>
            <w:shd w:val="clear" w:color="auto" w:fill="auto"/>
          </w:tcPr>
          <w:p w14:paraId="56B7810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0.83-1.43</w:t>
            </w:r>
          </w:p>
        </w:tc>
      </w:tr>
      <w:tr w:rsidR="00AA652A" w:rsidRPr="00AA652A" w14:paraId="55CE68ED" w14:textId="77777777" w:rsidTr="00926B2B">
        <w:trPr>
          <w:cantSplit/>
        </w:trPr>
        <w:tc>
          <w:tcPr>
            <w:tcW w:w="421" w:type="dxa"/>
            <w:shd w:val="clear" w:color="auto" w:fill="auto"/>
          </w:tcPr>
          <w:p w14:paraId="79036FF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  <w:shd w:val="clear" w:color="auto" w:fill="auto"/>
          </w:tcPr>
          <w:p w14:paraId="13EA31F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1559" w:type="dxa"/>
            <w:shd w:val="clear" w:color="auto" w:fill="auto"/>
          </w:tcPr>
          <w:p w14:paraId="1A8B9A3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418" w:type="dxa"/>
            <w:shd w:val="clear" w:color="auto" w:fill="auto"/>
          </w:tcPr>
          <w:p w14:paraId="78A8D0E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0.85-1.25</w:t>
            </w:r>
          </w:p>
        </w:tc>
        <w:tc>
          <w:tcPr>
            <w:tcW w:w="1417" w:type="dxa"/>
            <w:shd w:val="clear" w:color="auto" w:fill="auto"/>
          </w:tcPr>
          <w:p w14:paraId="7F63175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783545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446C76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559" w:type="dxa"/>
            <w:shd w:val="clear" w:color="auto" w:fill="auto"/>
          </w:tcPr>
          <w:p w14:paraId="4A5C665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0.78-1.23</w:t>
            </w:r>
          </w:p>
        </w:tc>
      </w:tr>
      <w:tr w:rsidR="00AA652A" w:rsidRPr="00AA652A" w14:paraId="0777C54C" w14:textId="77777777" w:rsidTr="00926B2B">
        <w:trPr>
          <w:cantSplit/>
        </w:trPr>
        <w:tc>
          <w:tcPr>
            <w:tcW w:w="421" w:type="dxa"/>
            <w:shd w:val="clear" w:color="auto" w:fill="auto"/>
          </w:tcPr>
          <w:p w14:paraId="6A9C1FB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  <w:shd w:val="clear" w:color="auto" w:fill="auto"/>
          </w:tcPr>
          <w:p w14:paraId="0279A49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Chronic pulmonary disorders</w:t>
            </w:r>
          </w:p>
        </w:tc>
        <w:tc>
          <w:tcPr>
            <w:tcW w:w="1559" w:type="dxa"/>
            <w:shd w:val="clear" w:color="auto" w:fill="auto"/>
          </w:tcPr>
          <w:p w14:paraId="0FAC316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1418" w:type="dxa"/>
            <w:shd w:val="clear" w:color="auto" w:fill="auto"/>
          </w:tcPr>
          <w:p w14:paraId="5BEF787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0.96-1.56</w:t>
            </w:r>
          </w:p>
        </w:tc>
        <w:tc>
          <w:tcPr>
            <w:tcW w:w="1417" w:type="dxa"/>
            <w:shd w:val="clear" w:color="auto" w:fill="auto"/>
          </w:tcPr>
          <w:p w14:paraId="0CED1B0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F321B4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04C6C4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559" w:type="dxa"/>
            <w:shd w:val="clear" w:color="auto" w:fill="auto"/>
          </w:tcPr>
          <w:p w14:paraId="4EE377C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0.86-1.46</w:t>
            </w:r>
          </w:p>
        </w:tc>
      </w:tr>
      <w:tr w:rsidR="00AA652A" w:rsidRPr="00AA652A" w14:paraId="1A62EE13" w14:textId="77777777" w:rsidTr="00926B2B">
        <w:trPr>
          <w:cantSplit/>
        </w:trPr>
        <w:tc>
          <w:tcPr>
            <w:tcW w:w="421" w:type="dxa"/>
            <w:shd w:val="clear" w:color="auto" w:fill="auto"/>
          </w:tcPr>
          <w:p w14:paraId="18D8B59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  <w:shd w:val="clear" w:color="auto" w:fill="auto"/>
          </w:tcPr>
          <w:p w14:paraId="4CBA8E6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Diabetes</w:t>
            </w:r>
          </w:p>
        </w:tc>
        <w:tc>
          <w:tcPr>
            <w:tcW w:w="1559" w:type="dxa"/>
            <w:shd w:val="clear" w:color="auto" w:fill="auto"/>
          </w:tcPr>
          <w:p w14:paraId="2BF5387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1418" w:type="dxa"/>
            <w:shd w:val="clear" w:color="auto" w:fill="auto"/>
          </w:tcPr>
          <w:p w14:paraId="7984188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0.99-1.47</w:t>
            </w:r>
          </w:p>
        </w:tc>
        <w:tc>
          <w:tcPr>
            <w:tcW w:w="1417" w:type="dxa"/>
            <w:shd w:val="clear" w:color="auto" w:fill="auto"/>
          </w:tcPr>
          <w:p w14:paraId="5BADD11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63AC49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7954E1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1559" w:type="dxa"/>
            <w:shd w:val="clear" w:color="auto" w:fill="auto"/>
          </w:tcPr>
          <w:p w14:paraId="05E0C14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0.93-1.44</w:t>
            </w:r>
          </w:p>
        </w:tc>
      </w:tr>
      <w:tr w:rsidR="00AA652A" w:rsidRPr="00AA652A" w14:paraId="51FEDB1C" w14:textId="77777777" w:rsidTr="00926B2B">
        <w:trPr>
          <w:cantSplit/>
        </w:trPr>
        <w:tc>
          <w:tcPr>
            <w:tcW w:w="421" w:type="dxa"/>
            <w:shd w:val="clear" w:color="auto" w:fill="auto"/>
          </w:tcPr>
          <w:p w14:paraId="6054145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  <w:shd w:val="clear" w:color="auto" w:fill="auto"/>
          </w:tcPr>
          <w:p w14:paraId="149DF5E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Hypothyroidism</w:t>
            </w:r>
          </w:p>
        </w:tc>
        <w:tc>
          <w:tcPr>
            <w:tcW w:w="1559" w:type="dxa"/>
            <w:shd w:val="clear" w:color="auto" w:fill="auto"/>
          </w:tcPr>
          <w:p w14:paraId="0AEE4DC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418" w:type="dxa"/>
            <w:shd w:val="clear" w:color="auto" w:fill="auto"/>
          </w:tcPr>
          <w:p w14:paraId="732B402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0.70-1.22</w:t>
            </w:r>
          </w:p>
        </w:tc>
        <w:tc>
          <w:tcPr>
            <w:tcW w:w="1417" w:type="dxa"/>
            <w:shd w:val="clear" w:color="auto" w:fill="auto"/>
          </w:tcPr>
          <w:p w14:paraId="5D492F7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BAE1E6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1D218A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1559" w:type="dxa"/>
            <w:shd w:val="clear" w:color="auto" w:fill="auto"/>
          </w:tcPr>
          <w:p w14:paraId="3408D5C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0.81-1.46</w:t>
            </w:r>
          </w:p>
        </w:tc>
      </w:tr>
      <w:tr w:rsidR="00AA652A" w:rsidRPr="00AA652A" w14:paraId="1A2FA52F" w14:textId="77777777" w:rsidTr="00926B2B">
        <w:tc>
          <w:tcPr>
            <w:tcW w:w="421" w:type="dxa"/>
          </w:tcPr>
          <w:p w14:paraId="39289F8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</w:tcPr>
          <w:p w14:paraId="667C0C0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Renal failure</w:t>
            </w:r>
          </w:p>
        </w:tc>
        <w:tc>
          <w:tcPr>
            <w:tcW w:w="1559" w:type="dxa"/>
          </w:tcPr>
          <w:p w14:paraId="3FE54AA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418" w:type="dxa"/>
          </w:tcPr>
          <w:p w14:paraId="5A6E66D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0.82-1.53</w:t>
            </w:r>
          </w:p>
        </w:tc>
        <w:tc>
          <w:tcPr>
            <w:tcW w:w="1417" w:type="dxa"/>
          </w:tcPr>
          <w:p w14:paraId="586B8B4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30CB592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0428A4C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1559" w:type="dxa"/>
          </w:tcPr>
          <w:p w14:paraId="2647590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0.62-1.22</w:t>
            </w:r>
          </w:p>
        </w:tc>
      </w:tr>
      <w:tr w:rsidR="00AA652A" w:rsidRPr="00AA652A" w14:paraId="3A1E0A0C" w14:textId="77777777" w:rsidTr="00926B2B">
        <w:tc>
          <w:tcPr>
            <w:tcW w:w="421" w:type="dxa"/>
          </w:tcPr>
          <w:p w14:paraId="30E0B9A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</w:tcPr>
          <w:p w14:paraId="383F947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Cancer</w:t>
            </w:r>
          </w:p>
        </w:tc>
        <w:tc>
          <w:tcPr>
            <w:tcW w:w="1559" w:type="dxa"/>
          </w:tcPr>
          <w:p w14:paraId="7A2E52D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418" w:type="dxa"/>
          </w:tcPr>
          <w:p w14:paraId="5E2C1CB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0.86-1.45</w:t>
            </w:r>
          </w:p>
        </w:tc>
        <w:tc>
          <w:tcPr>
            <w:tcW w:w="1417" w:type="dxa"/>
          </w:tcPr>
          <w:p w14:paraId="5D56EEB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6B102EC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66DF7BC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1559" w:type="dxa"/>
          </w:tcPr>
          <w:p w14:paraId="269B97D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0.68-1.20</w:t>
            </w:r>
          </w:p>
        </w:tc>
      </w:tr>
      <w:tr w:rsidR="00AA652A" w:rsidRPr="00AA652A" w14:paraId="511D9717" w14:textId="77777777" w:rsidTr="00926B2B">
        <w:tc>
          <w:tcPr>
            <w:tcW w:w="421" w:type="dxa"/>
          </w:tcPr>
          <w:p w14:paraId="2D74458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</w:tcPr>
          <w:p w14:paraId="609B22D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Rheumatoid arthritis/collagen vascular diseases</w:t>
            </w:r>
          </w:p>
        </w:tc>
        <w:tc>
          <w:tcPr>
            <w:tcW w:w="1559" w:type="dxa"/>
          </w:tcPr>
          <w:p w14:paraId="3A94FFD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1418" w:type="dxa"/>
          </w:tcPr>
          <w:p w14:paraId="0128354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0.54-1.33</w:t>
            </w:r>
          </w:p>
        </w:tc>
        <w:tc>
          <w:tcPr>
            <w:tcW w:w="1417" w:type="dxa"/>
          </w:tcPr>
          <w:p w14:paraId="7E917C0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2E50D79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6E6B8B3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1559" w:type="dxa"/>
          </w:tcPr>
          <w:p w14:paraId="2EC8317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0.49-1.25</w:t>
            </w:r>
          </w:p>
        </w:tc>
      </w:tr>
      <w:tr w:rsidR="00AA652A" w:rsidRPr="00AA652A" w14:paraId="332D6CC4" w14:textId="77777777" w:rsidTr="00926B2B">
        <w:tc>
          <w:tcPr>
            <w:tcW w:w="421" w:type="dxa"/>
          </w:tcPr>
          <w:p w14:paraId="773A1B6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</w:tcPr>
          <w:p w14:paraId="0B3B2F2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Coagulopathy</w:t>
            </w:r>
          </w:p>
        </w:tc>
        <w:tc>
          <w:tcPr>
            <w:tcW w:w="1559" w:type="dxa"/>
          </w:tcPr>
          <w:p w14:paraId="788C4C5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1418" w:type="dxa"/>
          </w:tcPr>
          <w:p w14:paraId="395ABF9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0.78-1.99</w:t>
            </w:r>
          </w:p>
        </w:tc>
        <w:tc>
          <w:tcPr>
            <w:tcW w:w="1417" w:type="dxa"/>
          </w:tcPr>
          <w:p w14:paraId="6975C17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658C3E2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503A7B3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559" w:type="dxa"/>
          </w:tcPr>
          <w:p w14:paraId="6E97087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0.60-1.63</w:t>
            </w:r>
          </w:p>
        </w:tc>
      </w:tr>
      <w:tr w:rsidR="00AA652A" w:rsidRPr="00AA652A" w14:paraId="7D152A97" w14:textId="77777777" w:rsidTr="00926B2B">
        <w:tc>
          <w:tcPr>
            <w:tcW w:w="421" w:type="dxa"/>
          </w:tcPr>
          <w:p w14:paraId="70B26E7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</w:tcPr>
          <w:p w14:paraId="0844040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Fluid and electrolyte disorders</w:t>
            </w:r>
          </w:p>
        </w:tc>
        <w:tc>
          <w:tcPr>
            <w:tcW w:w="1559" w:type="dxa"/>
          </w:tcPr>
          <w:p w14:paraId="345C2B4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1418" w:type="dxa"/>
          </w:tcPr>
          <w:p w14:paraId="4EF54AB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0.87-1.97</w:t>
            </w:r>
          </w:p>
        </w:tc>
        <w:tc>
          <w:tcPr>
            <w:tcW w:w="1417" w:type="dxa"/>
          </w:tcPr>
          <w:p w14:paraId="334014F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3C7204D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7D30077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559" w:type="dxa"/>
          </w:tcPr>
          <w:p w14:paraId="369B40E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0.72-1.70</w:t>
            </w:r>
          </w:p>
        </w:tc>
      </w:tr>
      <w:tr w:rsidR="00AA652A" w:rsidRPr="00AA652A" w14:paraId="2E7B329E" w14:textId="77777777" w:rsidTr="00926B2B">
        <w:tc>
          <w:tcPr>
            <w:tcW w:w="421" w:type="dxa"/>
          </w:tcPr>
          <w:p w14:paraId="300FD2C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</w:tcPr>
          <w:p w14:paraId="6A16C45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1559" w:type="dxa"/>
          </w:tcPr>
          <w:p w14:paraId="0676E41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418" w:type="dxa"/>
          </w:tcPr>
          <w:p w14:paraId="1A1A3AA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0.69-1.34</w:t>
            </w:r>
          </w:p>
        </w:tc>
        <w:tc>
          <w:tcPr>
            <w:tcW w:w="1417" w:type="dxa"/>
          </w:tcPr>
          <w:p w14:paraId="7B49C84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589525E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6CDD091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559" w:type="dxa"/>
          </w:tcPr>
          <w:p w14:paraId="76B23A8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0.70-1.44</w:t>
            </w:r>
          </w:p>
        </w:tc>
      </w:tr>
      <w:tr w:rsidR="00AA652A" w:rsidRPr="00AA652A" w14:paraId="10F35CC6" w14:textId="77777777" w:rsidTr="00926B2B">
        <w:tc>
          <w:tcPr>
            <w:tcW w:w="421" w:type="dxa"/>
            <w:tcBorders>
              <w:bottom w:val="single" w:sz="4" w:space="0" w:color="auto"/>
            </w:tcBorders>
          </w:tcPr>
          <w:p w14:paraId="4751A37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21F85AA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Liver disease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B9A2E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AAB47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1.01-3.26**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DAC09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1BBFB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95CAE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97004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0.84-2.79</w:t>
            </w:r>
          </w:p>
        </w:tc>
      </w:tr>
      <w:tr w:rsidR="00AA652A" w:rsidRPr="00AA652A" w14:paraId="1F533B9B" w14:textId="77777777" w:rsidTr="00926B2B">
        <w:trPr>
          <w:trHeight w:val="825"/>
        </w:trPr>
        <w:tc>
          <w:tcPr>
            <w:tcW w:w="13890" w:type="dxa"/>
            <w:gridSpan w:val="8"/>
            <w:tcBorders>
              <w:top w:val="single" w:sz="4" w:space="0" w:color="auto"/>
            </w:tcBorders>
          </w:tcPr>
          <w:p w14:paraId="633AC06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  <w:vertAlign w:val="superscript"/>
                <w:lang w:val="en-GB"/>
              </w:rPr>
              <w:t>1</w:t>
            </w:r>
            <w:r w:rsidRPr="00AA652A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Pr="00AA652A">
              <w:rPr>
                <w:rFonts w:ascii="Arial" w:hAnsi="Arial" w:cs="Arial"/>
                <w:sz w:val="17"/>
                <w:szCs w:val="17"/>
              </w:rPr>
              <w:t xml:space="preserve">comorbidities defined with coding algorithms for defining Elixhauser comorbidities in ICD-9 administrative data (Quan et al. 2005), ≥2 ICD-9 codes per category, hypertension categories merged, diabetes categories merged, different cancer categories merged, drug abuse, alcohol abuse, obesity, weight loss, HIV/AIDS, paralysis, other neurological disorders, blood loss anemia and deficiency anemia not included; </w:t>
            </w:r>
          </w:p>
          <w:p w14:paraId="5FF3997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** p&lt;0.05; *** p&lt;0.001</w:t>
            </w:r>
          </w:p>
        </w:tc>
      </w:tr>
    </w:tbl>
    <w:p w14:paraId="572266D3" w14:textId="77777777" w:rsidR="00AA652A" w:rsidRPr="00AA652A" w:rsidRDefault="00AA652A" w:rsidP="00AA652A">
      <w:pPr>
        <w:rPr>
          <w:rFonts w:ascii="Arial" w:hAnsi="Arial" w:cs="Arial"/>
        </w:rPr>
      </w:pPr>
    </w:p>
    <w:p w14:paraId="5919B41E" w14:textId="77777777" w:rsidR="00AA652A" w:rsidRPr="00AA652A" w:rsidRDefault="00AA652A" w:rsidP="002276F2">
      <w:pPr>
        <w:pStyle w:val="Heading1"/>
        <w:rPr>
          <w:color w:val="auto"/>
        </w:rPr>
      </w:pPr>
    </w:p>
    <w:p w14:paraId="725A466B" w14:textId="77777777" w:rsidR="00AA652A" w:rsidRDefault="00AA652A">
      <w:r>
        <w:br w:type="page"/>
      </w:r>
    </w:p>
    <w:p w14:paraId="5C0CB77F" w14:textId="25D5E535" w:rsidR="00AA652A" w:rsidRPr="00AA652A" w:rsidRDefault="00AA652A" w:rsidP="00AA652A">
      <w:pPr>
        <w:pStyle w:val="Heading1"/>
        <w:rPr>
          <w:color w:val="auto"/>
        </w:rPr>
      </w:pPr>
      <w:bookmarkStart w:id="5" w:name="_Toc58255222"/>
      <w:r w:rsidRPr="00AA652A">
        <w:rPr>
          <w:color w:val="auto"/>
        </w:rPr>
        <w:lastRenderedPageBreak/>
        <w:t xml:space="preserve">eTable </w:t>
      </w:r>
      <w:r w:rsidR="006A127E">
        <w:rPr>
          <w:color w:val="auto"/>
        </w:rPr>
        <w:t>5</w:t>
      </w:r>
      <w:r w:rsidRPr="00AA652A">
        <w:rPr>
          <w:color w:val="auto"/>
        </w:rPr>
        <w:t>. Multivariable associations between demographic and clinical factors and the prescribing of potentially inappropriate medications (PIMs) with moderate or high levels of evidence*</w:t>
      </w:r>
      <w:bookmarkEnd w:id="5"/>
      <w:r w:rsidRPr="00AA652A">
        <w:rPr>
          <w:color w:val="auto"/>
        </w:rPr>
        <w:t xml:space="preserve"> </w:t>
      </w:r>
    </w:p>
    <w:tbl>
      <w:tblPr>
        <w:tblStyle w:val="TableGrid"/>
        <w:tblW w:w="13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35"/>
        <w:gridCol w:w="29"/>
        <w:gridCol w:w="4900"/>
        <w:gridCol w:w="2128"/>
        <w:gridCol w:w="2098"/>
        <w:gridCol w:w="1924"/>
        <w:gridCol w:w="2119"/>
      </w:tblGrid>
      <w:tr w:rsidR="00AA652A" w:rsidRPr="00AA652A" w14:paraId="7684F9F9" w14:textId="77777777" w:rsidTr="00926B2B">
        <w:trPr>
          <w:cantSplit/>
          <w:trHeight w:val="274"/>
        </w:trPr>
        <w:tc>
          <w:tcPr>
            <w:tcW w:w="5382" w:type="dxa"/>
            <w:gridSpan w:val="4"/>
            <w:shd w:val="clear" w:color="auto" w:fill="D9D9D9" w:themeFill="background1" w:themeFillShade="D9"/>
            <w:vAlign w:val="center"/>
          </w:tcPr>
          <w:p w14:paraId="6EE87A5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Demographics and clinical characteristics</w:t>
            </w:r>
          </w:p>
        </w:tc>
        <w:tc>
          <w:tcPr>
            <w:tcW w:w="4226" w:type="dxa"/>
            <w:gridSpan w:val="2"/>
            <w:shd w:val="clear" w:color="auto" w:fill="D9D9D9" w:themeFill="background1" w:themeFillShade="D9"/>
            <w:vAlign w:val="center"/>
          </w:tcPr>
          <w:p w14:paraId="67AA25C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Model 1: Demographic and healthcare utilization variables</w:t>
            </w:r>
          </w:p>
        </w:tc>
        <w:tc>
          <w:tcPr>
            <w:tcW w:w="4043" w:type="dxa"/>
            <w:gridSpan w:val="2"/>
            <w:shd w:val="clear" w:color="auto" w:fill="D9D9D9" w:themeFill="background1" w:themeFillShade="D9"/>
            <w:vAlign w:val="center"/>
          </w:tcPr>
          <w:p w14:paraId="0578634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Model 2: Model 1 + chronic conditions</w:t>
            </w:r>
          </w:p>
        </w:tc>
      </w:tr>
      <w:tr w:rsidR="00AA652A" w:rsidRPr="00AA652A" w14:paraId="58B92696" w14:textId="77777777" w:rsidTr="00926B2B">
        <w:trPr>
          <w:cantSplit/>
          <w:trHeight w:val="278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6B03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39B2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16B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AEFC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E615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AA652A" w:rsidRPr="00AA652A" w14:paraId="224AA62E" w14:textId="77777777" w:rsidTr="00926B2B">
        <w:trPr>
          <w:cantSplit/>
          <w:trHeight w:val="321"/>
        </w:trPr>
        <w:tc>
          <w:tcPr>
            <w:tcW w:w="53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A3C7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F1B6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652A">
              <w:rPr>
                <w:rFonts w:ascii="Arial" w:hAnsi="Arial" w:cs="Arial"/>
                <w:sz w:val="16"/>
                <w:szCs w:val="18"/>
              </w:rPr>
              <w:t>(n =  17,911)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8B9E7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A652A">
              <w:rPr>
                <w:rFonts w:ascii="Arial" w:hAnsi="Arial" w:cs="Arial"/>
                <w:sz w:val="16"/>
                <w:szCs w:val="18"/>
              </w:rPr>
              <w:t>(n = 17,911)</w:t>
            </w:r>
          </w:p>
        </w:tc>
      </w:tr>
      <w:tr w:rsidR="00AA652A" w:rsidRPr="00AA652A" w14:paraId="4EC108DB" w14:textId="77777777" w:rsidTr="00926B2B">
        <w:trPr>
          <w:cantSplit/>
          <w:trHeight w:val="307"/>
        </w:trPr>
        <w:tc>
          <w:tcPr>
            <w:tcW w:w="5382" w:type="dxa"/>
            <w:gridSpan w:val="4"/>
            <w:shd w:val="clear" w:color="auto" w:fill="auto"/>
          </w:tcPr>
          <w:p w14:paraId="24D5E49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Age (reference: 65-74)</w:t>
            </w:r>
          </w:p>
        </w:tc>
        <w:tc>
          <w:tcPr>
            <w:tcW w:w="8269" w:type="dxa"/>
            <w:gridSpan w:val="4"/>
            <w:shd w:val="clear" w:color="auto" w:fill="auto"/>
          </w:tcPr>
          <w:p w14:paraId="3CB033D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A" w:rsidRPr="00AA652A" w14:paraId="72447421" w14:textId="77777777" w:rsidTr="00926B2B">
        <w:trPr>
          <w:cantSplit/>
          <w:trHeight w:val="307"/>
        </w:trPr>
        <w:tc>
          <w:tcPr>
            <w:tcW w:w="418" w:type="dxa"/>
            <w:shd w:val="clear" w:color="auto" w:fill="auto"/>
          </w:tcPr>
          <w:p w14:paraId="5E7DA64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4" w:type="dxa"/>
            <w:gridSpan w:val="3"/>
            <w:shd w:val="clear" w:color="auto" w:fill="auto"/>
          </w:tcPr>
          <w:p w14:paraId="1560E12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75-84</w:t>
            </w:r>
          </w:p>
        </w:tc>
        <w:tc>
          <w:tcPr>
            <w:tcW w:w="2128" w:type="dxa"/>
            <w:shd w:val="clear" w:color="auto" w:fill="auto"/>
          </w:tcPr>
          <w:p w14:paraId="40A9D26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2098" w:type="dxa"/>
            <w:shd w:val="clear" w:color="auto" w:fill="auto"/>
          </w:tcPr>
          <w:p w14:paraId="4DF9BFB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0.64-0.98**</w:t>
            </w:r>
          </w:p>
        </w:tc>
        <w:tc>
          <w:tcPr>
            <w:tcW w:w="1924" w:type="dxa"/>
            <w:shd w:val="clear" w:color="auto" w:fill="auto"/>
          </w:tcPr>
          <w:p w14:paraId="013BAFF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2119" w:type="dxa"/>
            <w:shd w:val="clear" w:color="auto" w:fill="auto"/>
          </w:tcPr>
          <w:p w14:paraId="69DA2ED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0.65-1.01</w:t>
            </w:r>
          </w:p>
        </w:tc>
      </w:tr>
      <w:tr w:rsidR="00AA652A" w:rsidRPr="00AA652A" w14:paraId="01B69E17" w14:textId="77777777" w:rsidTr="00926B2B">
        <w:trPr>
          <w:cantSplit/>
          <w:trHeight w:val="307"/>
        </w:trPr>
        <w:tc>
          <w:tcPr>
            <w:tcW w:w="418" w:type="dxa"/>
            <w:shd w:val="clear" w:color="auto" w:fill="auto"/>
          </w:tcPr>
          <w:p w14:paraId="472802D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4" w:type="dxa"/>
            <w:gridSpan w:val="3"/>
            <w:shd w:val="clear" w:color="auto" w:fill="auto"/>
          </w:tcPr>
          <w:p w14:paraId="650288E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85 and above</w:t>
            </w:r>
          </w:p>
        </w:tc>
        <w:tc>
          <w:tcPr>
            <w:tcW w:w="2128" w:type="dxa"/>
            <w:shd w:val="clear" w:color="auto" w:fill="auto"/>
          </w:tcPr>
          <w:p w14:paraId="2D4B4E6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2098" w:type="dxa"/>
            <w:shd w:val="clear" w:color="auto" w:fill="auto"/>
          </w:tcPr>
          <w:p w14:paraId="3D0C882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0.52-0.93**</w:t>
            </w:r>
          </w:p>
        </w:tc>
        <w:tc>
          <w:tcPr>
            <w:tcW w:w="1924" w:type="dxa"/>
            <w:shd w:val="clear" w:color="auto" w:fill="auto"/>
          </w:tcPr>
          <w:p w14:paraId="24CF66B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2119" w:type="dxa"/>
            <w:shd w:val="clear" w:color="auto" w:fill="auto"/>
          </w:tcPr>
          <w:p w14:paraId="43A3E5E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0.53-0.96**</w:t>
            </w:r>
          </w:p>
        </w:tc>
      </w:tr>
      <w:tr w:rsidR="00AA652A" w:rsidRPr="00AA652A" w14:paraId="2BB2EBE1" w14:textId="77777777" w:rsidTr="00926B2B">
        <w:trPr>
          <w:cantSplit/>
          <w:trHeight w:val="186"/>
        </w:trPr>
        <w:tc>
          <w:tcPr>
            <w:tcW w:w="5382" w:type="dxa"/>
            <w:gridSpan w:val="4"/>
            <w:shd w:val="clear" w:color="auto" w:fill="auto"/>
          </w:tcPr>
          <w:p w14:paraId="55DB986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Male sex (reference: female sex)</w:t>
            </w:r>
          </w:p>
        </w:tc>
        <w:tc>
          <w:tcPr>
            <w:tcW w:w="2128" w:type="dxa"/>
            <w:shd w:val="clear" w:color="auto" w:fill="auto"/>
          </w:tcPr>
          <w:p w14:paraId="6473265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2098" w:type="dxa"/>
            <w:shd w:val="clear" w:color="auto" w:fill="auto"/>
          </w:tcPr>
          <w:p w14:paraId="30922CB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1.08-1.61**</w:t>
            </w:r>
          </w:p>
        </w:tc>
        <w:tc>
          <w:tcPr>
            <w:tcW w:w="1924" w:type="dxa"/>
            <w:shd w:val="clear" w:color="auto" w:fill="auto"/>
          </w:tcPr>
          <w:p w14:paraId="72CB791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2119" w:type="dxa"/>
            <w:shd w:val="clear" w:color="auto" w:fill="auto"/>
          </w:tcPr>
          <w:p w14:paraId="02F27D0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1.09-1.65**</w:t>
            </w:r>
          </w:p>
        </w:tc>
      </w:tr>
      <w:tr w:rsidR="00AA652A" w:rsidRPr="00AA652A" w14:paraId="6DFCE1FA" w14:textId="77777777" w:rsidTr="00926B2B">
        <w:trPr>
          <w:cantSplit/>
          <w:trHeight w:val="307"/>
        </w:trPr>
        <w:tc>
          <w:tcPr>
            <w:tcW w:w="5382" w:type="dxa"/>
            <w:gridSpan w:val="4"/>
            <w:shd w:val="clear" w:color="auto" w:fill="auto"/>
          </w:tcPr>
          <w:p w14:paraId="0A0FE00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Hispanic ethnicity (reference: non-hispanic) </w:t>
            </w:r>
          </w:p>
        </w:tc>
        <w:tc>
          <w:tcPr>
            <w:tcW w:w="2128" w:type="dxa"/>
            <w:shd w:val="clear" w:color="auto" w:fill="auto"/>
          </w:tcPr>
          <w:p w14:paraId="1E12030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2098" w:type="dxa"/>
            <w:shd w:val="clear" w:color="auto" w:fill="auto"/>
          </w:tcPr>
          <w:p w14:paraId="340AC38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0.43-3.41</w:t>
            </w:r>
          </w:p>
        </w:tc>
        <w:tc>
          <w:tcPr>
            <w:tcW w:w="1924" w:type="dxa"/>
            <w:shd w:val="clear" w:color="auto" w:fill="auto"/>
          </w:tcPr>
          <w:p w14:paraId="1BFC4E1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2119" w:type="dxa"/>
            <w:shd w:val="clear" w:color="auto" w:fill="auto"/>
          </w:tcPr>
          <w:p w14:paraId="394D853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0.43-3.39</w:t>
            </w:r>
          </w:p>
        </w:tc>
      </w:tr>
      <w:tr w:rsidR="00AA652A" w:rsidRPr="00AA652A" w14:paraId="401ECF72" w14:textId="77777777" w:rsidTr="00926B2B">
        <w:trPr>
          <w:cantSplit/>
          <w:trHeight w:val="307"/>
        </w:trPr>
        <w:tc>
          <w:tcPr>
            <w:tcW w:w="5382" w:type="dxa"/>
            <w:gridSpan w:val="4"/>
            <w:shd w:val="clear" w:color="auto" w:fill="auto"/>
          </w:tcPr>
          <w:p w14:paraId="197620D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18"/>
              </w:rPr>
              <w:t xml:space="preserve">Race (reference: White) </w:t>
            </w:r>
          </w:p>
        </w:tc>
        <w:tc>
          <w:tcPr>
            <w:tcW w:w="8269" w:type="dxa"/>
            <w:gridSpan w:val="4"/>
            <w:shd w:val="clear" w:color="auto" w:fill="auto"/>
          </w:tcPr>
          <w:p w14:paraId="63D6BD0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A" w:rsidRPr="00AA652A" w14:paraId="225807E7" w14:textId="77777777" w:rsidTr="00926B2B">
        <w:trPr>
          <w:cantSplit/>
          <w:trHeight w:val="307"/>
        </w:trPr>
        <w:tc>
          <w:tcPr>
            <w:tcW w:w="482" w:type="dxa"/>
            <w:gridSpan w:val="3"/>
            <w:shd w:val="clear" w:color="auto" w:fill="auto"/>
          </w:tcPr>
          <w:p w14:paraId="790925B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4900" w:type="dxa"/>
            <w:shd w:val="clear" w:color="auto" w:fill="auto"/>
          </w:tcPr>
          <w:p w14:paraId="6EF8235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Asian</w:t>
            </w:r>
          </w:p>
        </w:tc>
        <w:tc>
          <w:tcPr>
            <w:tcW w:w="2128" w:type="dxa"/>
            <w:shd w:val="clear" w:color="auto" w:fill="auto"/>
          </w:tcPr>
          <w:p w14:paraId="407075E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2098" w:type="dxa"/>
            <w:shd w:val="clear" w:color="auto" w:fill="auto"/>
          </w:tcPr>
          <w:p w14:paraId="3567184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0.63-3.69</w:t>
            </w:r>
          </w:p>
        </w:tc>
        <w:tc>
          <w:tcPr>
            <w:tcW w:w="1924" w:type="dxa"/>
            <w:shd w:val="clear" w:color="auto" w:fill="auto"/>
          </w:tcPr>
          <w:p w14:paraId="4F1AFF9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2119" w:type="dxa"/>
            <w:shd w:val="clear" w:color="auto" w:fill="auto"/>
          </w:tcPr>
          <w:p w14:paraId="59CCD6C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0.59-3.48</w:t>
            </w:r>
          </w:p>
        </w:tc>
      </w:tr>
      <w:tr w:rsidR="00AA652A" w:rsidRPr="00AA652A" w14:paraId="11AAD202" w14:textId="77777777" w:rsidTr="00926B2B">
        <w:trPr>
          <w:cantSplit/>
          <w:trHeight w:val="321"/>
        </w:trPr>
        <w:tc>
          <w:tcPr>
            <w:tcW w:w="482" w:type="dxa"/>
            <w:gridSpan w:val="3"/>
            <w:shd w:val="clear" w:color="auto" w:fill="auto"/>
          </w:tcPr>
          <w:p w14:paraId="2633F59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4900" w:type="dxa"/>
            <w:shd w:val="clear" w:color="auto" w:fill="auto"/>
          </w:tcPr>
          <w:p w14:paraId="3260B4E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2128" w:type="dxa"/>
            <w:shd w:val="clear" w:color="auto" w:fill="auto"/>
          </w:tcPr>
          <w:p w14:paraId="4309247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2098" w:type="dxa"/>
            <w:shd w:val="clear" w:color="auto" w:fill="auto"/>
          </w:tcPr>
          <w:p w14:paraId="50C7B5B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1.09-2.54**</w:t>
            </w:r>
          </w:p>
        </w:tc>
        <w:tc>
          <w:tcPr>
            <w:tcW w:w="1924" w:type="dxa"/>
            <w:shd w:val="clear" w:color="auto" w:fill="auto"/>
          </w:tcPr>
          <w:p w14:paraId="18928C2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2119" w:type="dxa"/>
            <w:shd w:val="clear" w:color="auto" w:fill="auto"/>
          </w:tcPr>
          <w:p w14:paraId="4916FB1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1.04-2.44**</w:t>
            </w:r>
          </w:p>
        </w:tc>
      </w:tr>
      <w:tr w:rsidR="00AA652A" w:rsidRPr="00AA652A" w14:paraId="3108E408" w14:textId="77777777" w:rsidTr="00926B2B">
        <w:trPr>
          <w:cantSplit/>
          <w:trHeight w:val="307"/>
        </w:trPr>
        <w:tc>
          <w:tcPr>
            <w:tcW w:w="482" w:type="dxa"/>
            <w:gridSpan w:val="3"/>
            <w:shd w:val="clear" w:color="auto" w:fill="auto"/>
          </w:tcPr>
          <w:p w14:paraId="614762D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4900" w:type="dxa"/>
            <w:shd w:val="clear" w:color="auto" w:fill="auto"/>
          </w:tcPr>
          <w:p w14:paraId="0AA8340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2128" w:type="dxa"/>
            <w:shd w:val="clear" w:color="auto" w:fill="auto"/>
          </w:tcPr>
          <w:p w14:paraId="71E049B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2098" w:type="dxa"/>
            <w:shd w:val="clear" w:color="auto" w:fill="auto"/>
          </w:tcPr>
          <w:p w14:paraId="4479615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0.76-2.85</w:t>
            </w:r>
          </w:p>
        </w:tc>
        <w:tc>
          <w:tcPr>
            <w:tcW w:w="1924" w:type="dxa"/>
            <w:shd w:val="clear" w:color="auto" w:fill="auto"/>
          </w:tcPr>
          <w:p w14:paraId="7F97979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2119" w:type="dxa"/>
            <w:shd w:val="clear" w:color="auto" w:fill="auto"/>
          </w:tcPr>
          <w:p w14:paraId="75A0B33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0.71-2.71</w:t>
            </w:r>
          </w:p>
        </w:tc>
      </w:tr>
      <w:tr w:rsidR="00AA652A" w:rsidRPr="00AA652A" w14:paraId="395EE546" w14:textId="77777777" w:rsidTr="00926B2B">
        <w:trPr>
          <w:cantSplit/>
          <w:trHeight w:val="307"/>
        </w:trPr>
        <w:tc>
          <w:tcPr>
            <w:tcW w:w="5382" w:type="dxa"/>
            <w:gridSpan w:val="4"/>
            <w:shd w:val="clear" w:color="auto" w:fill="auto"/>
          </w:tcPr>
          <w:p w14:paraId="3D20DBA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inpatient stays (reference: 0)</w:t>
            </w:r>
          </w:p>
        </w:tc>
        <w:tc>
          <w:tcPr>
            <w:tcW w:w="8269" w:type="dxa"/>
            <w:gridSpan w:val="4"/>
            <w:shd w:val="clear" w:color="auto" w:fill="auto"/>
          </w:tcPr>
          <w:p w14:paraId="309759D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A" w:rsidRPr="00AA652A" w14:paraId="44B0299C" w14:textId="77777777" w:rsidTr="00926B2B">
        <w:trPr>
          <w:cantSplit/>
          <w:trHeight w:val="321"/>
        </w:trPr>
        <w:tc>
          <w:tcPr>
            <w:tcW w:w="453" w:type="dxa"/>
            <w:gridSpan w:val="2"/>
            <w:shd w:val="clear" w:color="auto" w:fill="auto"/>
          </w:tcPr>
          <w:p w14:paraId="088E898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29" w:type="dxa"/>
            <w:gridSpan w:val="2"/>
            <w:shd w:val="clear" w:color="auto" w:fill="auto"/>
          </w:tcPr>
          <w:p w14:paraId="5F3F6E8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128" w:type="dxa"/>
            <w:shd w:val="clear" w:color="auto" w:fill="auto"/>
          </w:tcPr>
          <w:p w14:paraId="1F80843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2098" w:type="dxa"/>
            <w:shd w:val="clear" w:color="auto" w:fill="auto"/>
          </w:tcPr>
          <w:p w14:paraId="205C206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0.65-1.26</w:t>
            </w:r>
          </w:p>
        </w:tc>
        <w:tc>
          <w:tcPr>
            <w:tcW w:w="1924" w:type="dxa"/>
            <w:shd w:val="clear" w:color="auto" w:fill="auto"/>
          </w:tcPr>
          <w:p w14:paraId="09539F4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2119" w:type="dxa"/>
            <w:shd w:val="clear" w:color="auto" w:fill="auto"/>
          </w:tcPr>
          <w:p w14:paraId="68133A4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0.66-1.30</w:t>
            </w:r>
          </w:p>
        </w:tc>
      </w:tr>
      <w:tr w:rsidR="00AA652A" w:rsidRPr="00AA652A" w14:paraId="49EF6A73" w14:textId="77777777" w:rsidTr="00926B2B">
        <w:trPr>
          <w:cantSplit/>
          <w:trHeight w:val="307"/>
        </w:trPr>
        <w:tc>
          <w:tcPr>
            <w:tcW w:w="5382" w:type="dxa"/>
            <w:gridSpan w:val="4"/>
            <w:shd w:val="clear" w:color="auto" w:fill="auto"/>
          </w:tcPr>
          <w:p w14:paraId="353921C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emergency department visits (reference: 0)</w:t>
            </w:r>
          </w:p>
        </w:tc>
        <w:tc>
          <w:tcPr>
            <w:tcW w:w="8269" w:type="dxa"/>
            <w:gridSpan w:val="4"/>
            <w:shd w:val="clear" w:color="auto" w:fill="auto"/>
          </w:tcPr>
          <w:p w14:paraId="6BD0F26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A" w:rsidRPr="00AA652A" w14:paraId="650C2514" w14:textId="77777777" w:rsidTr="00926B2B">
        <w:trPr>
          <w:cantSplit/>
          <w:trHeight w:val="307"/>
        </w:trPr>
        <w:tc>
          <w:tcPr>
            <w:tcW w:w="482" w:type="dxa"/>
            <w:gridSpan w:val="3"/>
            <w:shd w:val="clear" w:color="auto" w:fill="auto"/>
          </w:tcPr>
          <w:p w14:paraId="00D3975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00" w:type="dxa"/>
            <w:shd w:val="clear" w:color="auto" w:fill="auto"/>
          </w:tcPr>
          <w:p w14:paraId="5060DA9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128" w:type="dxa"/>
            <w:shd w:val="clear" w:color="auto" w:fill="auto"/>
          </w:tcPr>
          <w:p w14:paraId="2EAE965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2098" w:type="dxa"/>
            <w:shd w:val="clear" w:color="auto" w:fill="auto"/>
          </w:tcPr>
          <w:p w14:paraId="7ACB6C5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0.87-1.50</w:t>
            </w:r>
          </w:p>
        </w:tc>
        <w:tc>
          <w:tcPr>
            <w:tcW w:w="1924" w:type="dxa"/>
            <w:shd w:val="clear" w:color="auto" w:fill="auto"/>
          </w:tcPr>
          <w:p w14:paraId="6908176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2119" w:type="dxa"/>
            <w:shd w:val="clear" w:color="auto" w:fill="auto"/>
          </w:tcPr>
          <w:p w14:paraId="767797E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0.85-1.48</w:t>
            </w:r>
          </w:p>
        </w:tc>
      </w:tr>
      <w:tr w:rsidR="00AA652A" w:rsidRPr="00AA652A" w14:paraId="36A89407" w14:textId="77777777" w:rsidTr="00926B2B">
        <w:trPr>
          <w:cantSplit/>
          <w:trHeight w:val="293"/>
        </w:trPr>
        <w:tc>
          <w:tcPr>
            <w:tcW w:w="13651" w:type="dxa"/>
            <w:gridSpan w:val="8"/>
            <w:shd w:val="clear" w:color="auto" w:fill="auto"/>
          </w:tcPr>
          <w:p w14:paraId="1DF7634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Number of ambulatory visits (reference: ≤9; categories based on quartiles)</w:t>
            </w:r>
          </w:p>
        </w:tc>
      </w:tr>
      <w:tr w:rsidR="00AA652A" w:rsidRPr="00AA652A" w14:paraId="6F6AA358" w14:textId="77777777" w:rsidTr="00926B2B">
        <w:trPr>
          <w:cantSplit/>
          <w:trHeight w:val="277"/>
        </w:trPr>
        <w:tc>
          <w:tcPr>
            <w:tcW w:w="418" w:type="dxa"/>
            <w:shd w:val="clear" w:color="auto" w:fill="auto"/>
          </w:tcPr>
          <w:p w14:paraId="7C43A65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4" w:type="dxa"/>
            <w:gridSpan w:val="3"/>
            <w:shd w:val="clear" w:color="auto" w:fill="auto"/>
          </w:tcPr>
          <w:p w14:paraId="4A510A4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 xml:space="preserve">10-17 </w:t>
            </w:r>
          </w:p>
        </w:tc>
        <w:tc>
          <w:tcPr>
            <w:tcW w:w="2128" w:type="dxa"/>
            <w:shd w:val="clear" w:color="auto" w:fill="auto"/>
          </w:tcPr>
          <w:p w14:paraId="220357B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2098" w:type="dxa"/>
            <w:shd w:val="clear" w:color="auto" w:fill="auto"/>
          </w:tcPr>
          <w:p w14:paraId="7549349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0.72-1.36</w:t>
            </w:r>
          </w:p>
        </w:tc>
        <w:tc>
          <w:tcPr>
            <w:tcW w:w="1924" w:type="dxa"/>
            <w:shd w:val="clear" w:color="auto" w:fill="auto"/>
          </w:tcPr>
          <w:p w14:paraId="147268C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2119" w:type="dxa"/>
            <w:shd w:val="clear" w:color="auto" w:fill="auto"/>
          </w:tcPr>
          <w:p w14:paraId="042A8CD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0.73-1.37</w:t>
            </w:r>
          </w:p>
        </w:tc>
      </w:tr>
      <w:tr w:rsidR="00AA652A" w:rsidRPr="00AA652A" w14:paraId="7AF963E2" w14:textId="77777777" w:rsidTr="00926B2B">
        <w:trPr>
          <w:cantSplit/>
          <w:trHeight w:val="293"/>
        </w:trPr>
        <w:tc>
          <w:tcPr>
            <w:tcW w:w="418" w:type="dxa"/>
            <w:shd w:val="clear" w:color="auto" w:fill="auto"/>
          </w:tcPr>
          <w:p w14:paraId="6909557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4" w:type="dxa"/>
            <w:gridSpan w:val="3"/>
            <w:shd w:val="clear" w:color="auto" w:fill="auto"/>
          </w:tcPr>
          <w:p w14:paraId="2621734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 xml:space="preserve">18-29 </w:t>
            </w:r>
          </w:p>
        </w:tc>
        <w:tc>
          <w:tcPr>
            <w:tcW w:w="2128" w:type="dxa"/>
            <w:shd w:val="clear" w:color="auto" w:fill="auto"/>
          </w:tcPr>
          <w:p w14:paraId="6C4F4C1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2098" w:type="dxa"/>
            <w:shd w:val="clear" w:color="auto" w:fill="auto"/>
          </w:tcPr>
          <w:p w14:paraId="3927198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0.97-1.80</w:t>
            </w:r>
          </w:p>
        </w:tc>
        <w:tc>
          <w:tcPr>
            <w:tcW w:w="1924" w:type="dxa"/>
            <w:shd w:val="clear" w:color="auto" w:fill="auto"/>
          </w:tcPr>
          <w:p w14:paraId="2C0A02D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2119" w:type="dxa"/>
            <w:shd w:val="clear" w:color="auto" w:fill="auto"/>
          </w:tcPr>
          <w:p w14:paraId="171AD21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0.99-1.85</w:t>
            </w:r>
          </w:p>
        </w:tc>
      </w:tr>
      <w:tr w:rsidR="00AA652A" w:rsidRPr="00AA652A" w14:paraId="4334FFEA" w14:textId="77777777" w:rsidTr="00926B2B">
        <w:trPr>
          <w:cantSplit/>
          <w:trHeight w:val="277"/>
        </w:trPr>
        <w:tc>
          <w:tcPr>
            <w:tcW w:w="418" w:type="dxa"/>
            <w:shd w:val="clear" w:color="auto" w:fill="auto"/>
          </w:tcPr>
          <w:p w14:paraId="4C79DE8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4" w:type="dxa"/>
            <w:gridSpan w:val="3"/>
            <w:shd w:val="clear" w:color="auto" w:fill="auto"/>
          </w:tcPr>
          <w:p w14:paraId="7A5A733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 xml:space="preserve">≥30 </w:t>
            </w:r>
          </w:p>
        </w:tc>
        <w:tc>
          <w:tcPr>
            <w:tcW w:w="2128" w:type="dxa"/>
            <w:shd w:val="clear" w:color="auto" w:fill="auto"/>
          </w:tcPr>
          <w:p w14:paraId="7B043D6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1.91</w:t>
            </w:r>
          </w:p>
        </w:tc>
        <w:tc>
          <w:tcPr>
            <w:tcW w:w="2098" w:type="dxa"/>
            <w:shd w:val="clear" w:color="auto" w:fill="auto"/>
          </w:tcPr>
          <w:p w14:paraId="6CB4B2F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1.36-2.67***</w:t>
            </w:r>
          </w:p>
        </w:tc>
        <w:tc>
          <w:tcPr>
            <w:tcW w:w="1924" w:type="dxa"/>
            <w:shd w:val="clear" w:color="auto" w:fill="auto"/>
          </w:tcPr>
          <w:p w14:paraId="6B43AFF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2119" w:type="dxa"/>
            <w:shd w:val="clear" w:color="auto" w:fill="auto"/>
          </w:tcPr>
          <w:p w14:paraId="1EC33E2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1.41-2.81***</w:t>
            </w:r>
          </w:p>
        </w:tc>
      </w:tr>
      <w:tr w:rsidR="00AA652A" w:rsidRPr="00AA652A" w14:paraId="408394BC" w14:textId="77777777" w:rsidTr="00926B2B">
        <w:trPr>
          <w:cantSplit/>
          <w:trHeight w:val="321"/>
        </w:trPr>
        <w:tc>
          <w:tcPr>
            <w:tcW w:w="13651" w:type="dxa"/>
            <w:gridSpan w:val="8"/>
            <w:shd w:val="clear" w:color="auto" w:fill="auto"/>
          </w:tcPr>
          <w:p w14:paraId="634A9D5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non-acute institutional stays (reference: 0)</w:t>
            </w:r>
          </w:p>
        </w:tc>
      </w:tr>
      <w:tr w:rsidR="00AA652A" w:rsidRPr="00AA652A" w14:paraId="122BE20D" w14:textId="77777777" w:rsidTr="00926B2B">
        <w:trPr>
          <w:cantSplit/>
          <w:trHeight w:val="307"/>
        </w:trPr>
        <w:tc>
          <w:tcPr>
            <w:tcW w:w="418" w:type="dxa"/>
            <w:shd w:val="clear" w:color="auto" w:fill="auto"/>
          </w:tcPr>
          <w:p w14:paraId="12EDC0A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4" w:type="dxa"/>
            <w:gridSpan w:val="3"/>
            <w:shd w:val="clear" w:color="auto" w:fill="auto"/>
          </w:tcPr>
          <w:p w14:paraId="460362D0" w14:textId="77777777" w:rsidR="00AA652A" w:rsidRPr="00AA652A" w:rsidRDefault="00AA652A" w:rsidP="00926B2B">
            <w:pPr>
              <w:keepNext/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128" w:type="dxa"/>
            <w:shd w:val="clear" w:color="auto" w:fill="auto"/>
          </w:tcPr>
          <w:p w14:paraId="0AF2913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2098" w:type="dxa"/>
            <w:shd w:val="clear" w:color="auto" w:fill="auto"/>
          </w:tcPr>
          <w:p w14:paraId="16BABC8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0.63-1.27</w:t>
            </w:r>
          </w:p>
        </w:tc>
        <w:tc>
          <w:tcPr>
            <w:tcW w:w="1924" w:type="dxa"/>
            <w:shd w:val="clear" w:color="auto" w:fill="auto"/>
          </w:tcPr>
          <w:p w14:paraId="14DF926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2119" w:type="dxa"/>
            <w:shd w:val="clear" w:color="auto" w:fill="auto"/>
          </w:tcPr>
          <w:p w14:paraId="60009A4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0.58-1.20</w:t>
            </w:r>
          </w:p>
        </w:tc>
      </w:tr>
      <w:tr w:rsidR="00AA652A" w:rsidRPr="00AA652A" w14:paraId="65396C1C" w14:textId="77777777" w:rsidTr="00926B2B">
        <w:trPr>
          <w:cantSplit/>
          <w:trHeight w:val="307"/>
        </w:trPr>
        <w:tc>
          <w:tcPr>
            <w:tcW w:w="13651" w:type="dxa"/>
            <w:gridSpan w:val="8"/>
            <w:shd w:val="clear" w:color="auto" w:fill="auto"/>
          </w:tcPr>
          <w:p w14:paraId="388BC60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Level of polypharmacy (reference: 5-9 medications)</w:t>
            </w:r>
          </w:p>
        </w:tc>
      </w:tr>
      <w:tr w:rsidR="00AA652A" w:rsidRPr="00AA652A" w14:paraId="44B84AB1" w14:textId="77777777" w:rsidTr="00926B2B">
        <w:trPr>
          <w:cantSplit/>
          <w:trHeight w:val="307"/>
        </w:trPr>
        <w:tc>
          <w:tcPr>
            <w:tcW w:w="418" w:type="dxa"/>
            <w:shd w:val="clear" w:color="auto" w:fill="auto"/>
          </w:tcPr>
          <w:p w14:paraId="66F55F6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4" w:type="dxa"/>
            <w:gridSpan w:val="3"/>
            <w:shd w:val="clear" w:color="auto" w:fill="auto"/>
          </w:tcPr>
          <w:p w14:paraId="6E59446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10 and above</w:t>
            </w:r>
          </w:p>
        </w:tc>
        <w:tc>
          <w:tcPr>
            <w:tcW w:w="2128" w:type="dxa"/>
            <w:shd w:val="clear" w:color="auto" w:fill="auto"/>
          </w:tcPr>
          <w:p w14:paraId="71A25C1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2098" w:type="dxa"/>
            <w:shd w:val="clear" w:color="auto" w:fill="auto"/>
          </w:tcPr>
          <w:p w14:paraId="7CB4BAF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0.44-1.55</w:t>
            </w:r>
          </w:p>
        </w:tc>
        <w:tc>
          <w:tcPr>
            <w:tcW w:w="1924" w:type="dxa"/>
            <w:shd w:val="clear" w:color="auto" w:fill="auto"/>
          </w:tcPr>
          <w:p w14:paraId="3C76A93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2119" w:type="dxa"/>
            <w:shd w:val="clear" w:color="auto" w:fill="auto"/>
          </w:tcPr>
          <w:p w14:paraId="2F46A86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0.41-1.47</w:t>
            </w:r>
          </w:p>
        </w:tc>
      </w:tr>
      <w:tr w:rsidR="00AA652A" w:rsidRPr="00AA652A" w14:paraId="3278FA49" w14:textId="77777777" w:rsidTr="00926B2B">
        <w:trPr>
          <w:cantSplit/>
          <w:trHeight w:val="277"/>
        </w:trPr>
        <w:tc>
          <w:tcPr>
            <w:tcW w:w="5382" w:type="dxa"/>
            <w:gridSpan w:val="4"/>
            <w:shd w:val="clear" w:color="auto" w:fill="auto"/>
          </w:tcPr>
          <w:p w14:paraId="6D16541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chronic conditions (1-unit increase)</w:t>
            </w:r>
          </w:p>
        </w:tc>
        <w:tc>
          <w:tcPr>
            <w:tcW w:w="2128" w:type="dxa"/>
            <w:shd w:val="clear" w:color="auto" w:fill="auto"/>
          </w:tcPr>
          <w:p w14:paraId="0CA611B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2098" w:type="dxa"/>
            <w:shd w:val="clear" w:color="auto" w:fill="auto"/>
          </w:tcPr>
          <w:p w14:paraId="5A02550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0.90-1.01</w:t>
            </w:r>
          </w:p>
        </w:tc>
        <w:tc>
          <w:tcPr>
            <w:tcW w:w="1924" w:type="dxa"/>
            <w:shd w:val="clear" w:color="auto" w:fill="auto"/>
          </w:tcPr>
          <w:p w14:paraId="268596B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2119" w:type="dxa"/>
            <w:shd w:val="clear" w:color="auto" w:fill="auto"/>
          </w:tcPr>
          <w:p w14:paraId="6DF3866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0.87-1.00</w:t>
            </w:r>
          </w:p>
        </w:tc>
      </w:tr>
      <w:tr w:rsidR="00AA652A" w:rsidRPr="00AA652A" w14:paraId="2139ED6A" w14:textId="77777777" w:rsidTr="00926B2B">
        <w:trPr>
          <w:cantSplit/>
          <w:trHeight w:val="277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26919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Number of prescribing orders (1-unit increase)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70AB59B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789DACD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1.01-1.02***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53FD0C4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2DCCB49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1.01-1.02***</w:t>
            </w:r>
          </w:p>
        </w:tc>
      </w:tr>
      <w:tr w:rsidR="00AA652A" w:rsidRPr="00AA652A" w14:paraId="60774799" w14:textId="77777777" w:rsidTr="00926B2B">
        <w:trPr>
          <w:cantSplit/>
          <w:trHeight w:val="277"/>
        </w:trPr>
        <w:tc>
          <w:tcPr>
            <w:tcW w:w="136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55B11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continued</w:t>
            </w:r>
          </w:p>
        </w:tc>
      </w:tr>
    </w:tbl>
    <w:p w14:paraId="5B0291AC" w14:textId="77777777" w:rsidR="00AA652A" w:rsidRPr="00AA652A" w:rsidRDefault="00AA652A" w:rsidP="00AA652A">
      <w:pPr>
        <w:pStyle w:val="Heading1"/>
        <w:rPr>
          <w:rFonts w:eastAsiaTheme="minorEastAsia" w:cs="Arial"/>
          <w:b w:val="0"/>
          <w:color w:val="auto"/>
          <w:kern w:val="2"/>
          <w:sz w:val="15"/>
          <w:szCs w:val="15"/>
          <w:lang w:val="en-US" w:eastAsia="zh-CN"/>
        </w:rPr>
      </w:pPr>
      <w:r w:rsidRPr="00AA652A">
        <w:rPr>
          <w:rFonts w:eastAsiaTheme="minorEastAsia" w:cs="Arial"/>
          <w:b w:val="0"/>
          <w:color w:val="auto"/>
          <w:kern w:val="2"/>
          <w:sz w:val="15"/>
          <w:szCs w:val="15"/>
          <w:lang w:val="en-US" w:eastAsia="zh-CN"/>
        </w:rPr>
        <w:br w:type="page"/>
      </w:r>
    </w:p>
    <w:p w14:paraId="0C9B4C34" w14:textId="77777777" w:rsidR="00AA652A" w:rsidRPr="00AA652A" w:rsidRDefault="00AA652A" w:rsidP="00AA652A">
      <w:pPr>
        <w:tabs>
          <w:tab w:val="left" w:pos="1080"/>
        </w:tabs>
        <w:rPr>
          <w:rFonts w:ascii="Arial" w:hAnsi="Arial" w:cs="Arial"/>
        </w:rPr>
      </w:pPr>
    </w:p>
    <w:tbl>
      <w:tblPr>
        <w:tblStyle w:val="TableGrid"/>
        <w:tblW w:w="1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865"/>
        <w:gridCol w:w="2169"/>
        <w:gridCol w:w="2110"/>
        <w:gridCol w:w="1935"/>
        <w:gridCol w:w="1942"/>
      </w:tblGrid>
      <w:tr w:rsidR="00AA652A" w:rsidRPr="00AA652A" w14:paraId="1FAE35ED" w14:textId="77777777" w:rsidTr="00926B2B">
        <w:trPr>
          <w:cantSplit/>
          <w:trHeight w:val="274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14:paraId="3CC71CC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Demographics and clinical characteristics</w:t>
            </w:r>
          </w:p>
        </w:tc>
        <w:tc>
          <w:tcPr>
            <w:tcW w:w="4279" w:type="dxa"/>
            <w:gridSpan w:val="2"/>
            <w:shd w:val="clear" w:color="auto" w:fill="D9D9D9" w:themeFill="background1" w:themeFillShade="D9"/>
            <w:vAlign w:val="center"/>
          </w:tcPr>
          <w:p w14:paraId="3DA755A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Model 1: Demographic and healthcare utilization variables</w:t>
            </w:r>
          </w:p>
        </w:tc>
        <w:tc>
          <w:tcPr>
            <w:tcW w:w="3877" w:type="dxa"/>
            <w:gridSpan w:val="2"/>
            <w:shd w:val="clear" w:color="auto" w:fill="D9D9D9" w:themeFill="background1" w:themeFillShade="D9"/>
            <w:vAlign w:val="center"/>
          </w:tcPr>
          <w:p w14:paraId="578EE32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Model 2: Model 1 + chronic conditions</w:t>
            </w:r>
          </w:p>
        </w:tc>
      </w:tr>
      <w:tr w:rsidR="00AA652A" w:rsidRPr="00AA652A" w14:paraId="6B9A3431" w14:textId="77777777" w:rsidTr="00926B2B">
        <w:trPr>
          <w:cantSplit/>
          <w:trHeight w:val="136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7933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8C30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F008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3B66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936D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A652A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AA652A" w:rsidRPr="00AA652A" w14:paraId="1B409115" w14:textId="77777777" w:rsidTr="00926B2B">
        <w:trPr>
          <w:cantSplit/>
          <w:trHeight w:val="296"/>
        </w:trPr>
        <w:tc>
          <w:tcPr>
            <w:tcW w:w="53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D1245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8"/>
                <w:szCs w:val="18"/>
              </w:rPr>
              <w:t>Types of comorbidities</w:t>
            </w:r>
            <w:r w:rsidRPr="00AA652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6B6CF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A" w:rsidRPr="00AA652A" w14:paraId="33C0B8BC" w14:textId="77777777" w:rsidTr="00926B2B">
        <w:trPr>
          <w:cantSplit/>
          <w:trHeight w:val="283"/>
        </w:trPr>
        <w:tc>
          <w:tcPr>
            <w:tcW w:w="517" w:type="dxa"/>
            <w:shd w:val="clear" w:color="auto" w:fill="auto"/>
          </w:tcPr>
          <w:p w14:paraId="170A997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  <w:shd w:val="clear" w:color="auto" w:fill="auto"/>
          </w:tcPr>
          <w:p w14:paraId="0CAD2A1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Congestive heart failure</w:t>
            </w:r>
          </w:p>
        </w:tc>
        <w:tc>
          <w:tcPr>
            <w:tcW w:w="2169" w:type="dxa"/>
            <w:shd w:val="clear" w:color="auto" w:fill="auto"/>
          </w:tcPr>
          <w:p w14:paraId="6A357ED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14:paraId="2150C67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14:paraId="32D9B4F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942" w:type="dxa"/>
            <w:shd w:val="clear" w:color="auto" w:fill="auto"/>
          </w:tcPr>
          <w:p w14:paraId="64FF5DD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0.83-1.48</w:t>
            </w:r>
          </w:p>
        </w:tc>
      </w:tr>
      <w:tr w:rsidR="00AA652A" w:rsidRPr="00AA652A" w14:paraId="6D7D3DA4" w14:textId="77777777" w:rsidTr="00926B2B">
        <w:trPr>
          <w:cantSplit/>
          <w:trHeight w:val="283"/>
        </w:trPr>
        <w:tc>
          <w:tcPr>
            <w:tcW w:w="517" w:type="dxa"/>
            <w:shd w:val="clear" w:color="auto" w:fill="auto"/>
          </w:tcPr>
          <w:p w14:paraId="037BC8C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  <w:shd w:val="clear" w:color="auto" w:fill="auto"/>
          </w:tcPr>
          <w:p w14:paraId="3ED27B3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Cardiac arrhythmias</w:t>
            </w:r>
          </w:p>
        </w:tc>
        <w:tc>
          <w:tcPr>
            <w:tcW w:w="2169" w:type="dxa"/>
            <w:shd w:val="clear" w:color="auto" w:fill="auto"/>
          </w:tcPr>
          <w:p w14:paraId="2BCEEA8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14:paraId="3C07A07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14:paraId="0BA4FA1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942" w:type="dxa"/>
            <w:shd w:val="clear" w:color="auto" w:fill="auto"/>
          </w:tcPr>
          <w:p w14:paraId="531BD31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0.61-1.40</w:t>
            </w:r>
          </w:p>
        </w:tc>
      </w:tr>
      <w:tr w:rsidR="00AA652A" w:rsidRPr="00AA652A" w14:paraId="1D8DB233" w14:textId="77777777" w:rsidTr="00926B2B">
        <w:trPr>
          <w:cantSplit/>
          <w:trHeight w:val="283"/>
        </w:trPr>
        <w:tc>
          <w:tcPr>
            <w:tcW w:w="517" w:type="dxa"/>
            <w:shd w:val="clear" w:color="auto" w:fill="auto"/>
          </w:tcPr>
          <w:p w14:paraId="78B2B03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  <w:shd w:val="clear" w:color="auto" w:fill="auto"/>
          </w:tcPr>
          <w:p w14:paraId="7A1E2C2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Valvular disease</w:t>
            </w:r>
          </w:p>
        </w:tc>
        <w:tc>
          <w:tcPr>
            <w:tcW w:w="2169" w:type="dxa"/>
            <w:shd w:val="clear" w:color="auto" w:fill="auto"/>
          </w:tcPr>
          <w:p w14:paraId="728FD03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14:paraId="1233D34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14:paraId="693D2A0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1942" w:type="dxa"/>
            <w:shd w:val="clear" w:color="auto" w:fill="auto"/>
          </w:tcPr>
          <w:p w14:paraId="6A82233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0.54-1.08</w:t>
            </w:r>
          </w:p>
        </w:tc>
      </w:tr>
      <w:tr w:rsidR="00AA652A" w:rsidRPr="00AA652A" w14:paraId="1300EA03" w14:textId="77777777" w:rsidTr="00926B2B">
        <w:trPr>
          <w:cantSplit/>
          <w:trHeight w:val="296"/>
        </w:trPr>
        <w:tc>
          <w:tcPr>
            <w:tcW w:w="517" w:type="dxa"/>
            <w:shd w:val="clear" w:color="auto" w:fill="auto"/>
          </w:tcPr>
          <w:p w14:paraId="5FFA115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  <w:shd w:val="clear" w:color="auto" w:fill="auto"/>
          </w:tcPr>
          <w:p w14:paraId="1778F78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Pulmonary circulation disorders</w:t>
            </w:r>
          </w:p>
        </w:tc>
        <w:tc>
          <w:tcPr>
            <w:tcW w:w="2169" w:type="dxa"/>
            <w:shd w:val="clear" w:color="auto" w:fill="auto"/>
          </w:tcPr>
          <w:p w14:paraId="16BCA83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14:paraId="5E8F472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14:paraId="39AACF2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942" w:type="dxa"/>
            <w:shd w:val="clear" w:color="auto" w:fill="auto"/>
          </w:tcPr>
          <w:p w14:paraId="68DA1FC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0.57-2.07</w:t>
            </w:r>
          </w:p>
        </w:tc>
      </w:tr>
      <w:tr w:rsidR="00AA652A" w:rsidRPr="00AA652A" w14:paraId="33F1B48D" w14:textId="77777777" w:rsidTr="00926B2B">
        <w:trPr>
          <w:cantSplit/>
          <w:trHeight w:val="283"/>
        </w:trPr>
        <w:tc>
          <w:tcPr>
            <w:tcW w:w="517" w:type="dxa"/>
            <w:shd w:val="clear" w:color="auto" w:fill="auto"/>
          </w:tcPr>
          <w:p w14:paraId="251E1FB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  <w:shd w:val="clear" w:color="auto" w:fill="auto"/>
          </w:tcPr>
          <w:p w14:paraId="0FB3E39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Peripheral vascular disorders</w:t>
            </w:r>
          </w:p>
        </w:tc>
        <w:tc>
          <w:tcPr>
            <w:tcW w:w="2169" w:type="dxa"/>
            <w:shd w:val="clear" w:color="auto" w:fill="auto"/>
          </w:tcPr>
          <w:p w14:paraId="032FA4A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14:paraId="55CB568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14:paraId="74C27E8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1942" w:type="dxa"/>
            <w:shd w:val="clear" w:color="auto" w:fill="auto"/>
          </w:tcPr>
          <w:p w14:paraId="647D3F4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0.85-1.50</w:t>
            </w:r>
          </w:p>
        </w:tc>
      </w:tr>
      <w:tr w:rsidR="00AA652A" w:rsidRPr="00AA652A" w14:paraId="4123A292" w14:textId="77777777" w:rsidTr="00926B2B">
        <w:trPr>
          <w:cantSplit/>
          <w:trHeight w:val="283"/>
        </w:trPr>
        <w:tc>
          <w:tcPr>
            <w:tcW w:w="517" w:type="dxa"/>
            <w:shd w:val="clear" w:color="auto" w:fill="auto"/>
          </w:tcPr>
          <w:p w14:paraId="5AA867A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  <w:shd w:val="clear" w:color="auto" w:fill="auto"/>
          </w:tcPr>
          <w:p w14:paraId="099E4B9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2169" w:type="dxa"/>
            <w:shd w:val="clear" w:color="auto" w:fill="auto"/>
          </w:tcPr>
          <w:p w14:paraId="18C791D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14:paraId="3B339E3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14:paraId="464A1A3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942" w:type="dxa"/>
            <w:shd w:val="clear" w:color="auto" w:fill="auto"/>
          </w:tcPr>
          <w:p w14:paraId="23DBC50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0.82-1.31</w:t>
            </w:r>
          </w:p>
        </w:tc>
      </w:tr>
      <w:tr w:rsidR="00AA652A" w:rsidRPr="00AA652A" w14:paraId="70AE227D" w14:textId="77777777" w:rsidTr="00926B2B">
        <w:trPr>
          <w:cantSplit/>
          <w:trHeight w:val="283"/>
        </w:trPr>
        <w:tc>
          <w:tcPr>
            <w:tcW w:w="517" w:type="dxa"/>
            <w:shd w:val="clear" w:color="auto" w:fill="auto"/>
          </w:tcPr>
          <w:p w14:paraId="0F2097E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  <w:shd w:val="clear" w:color="auto" w:fill="auto"/>
          </w:tcPr>
          <w:p w14:paraId="706F483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Chronic pulmonary disorders</w:t>
            </w:r>
          </w:p>
        </w:tc>
        <w:tc>
          <w:tcPr>
            <w:tcW w:w="2169" w:type="dxa"/>
            <w:shd w:val="clear" w:color="auto" w:fill="auto"/>
          </w:tcPr>
          <w:p w14:paraId="78331A2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14:paraId="5B7F742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14:paraId="4398E81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942" w:type="dxa"/>
            <w:shd w:val="clear" w:color="auto" w:fill="auto"/>
          </w:tcPr>
          <w:p w14:paraId="5C0CC35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0.85-1.49</w:t>
            </w:r>
          </w:p>
        </w:tc>
      </w:tr>
      <w:tr w:rsidR="00AA652A" w:rsidRPr="00AA652A" w14:paraId="5DB69647" w14:textId="77777777" w:rsidTr="00926B2B">
        <w:trPr>
          <w:cantSplit/>
          <w:trHeight w:val="296"/>
        </w:trPr>
        <w:tc>
          <w:tcPr>
            <w:tcW w:w="517" w:type="dxa"/>
            <w:shd w:val="clear" w:color="auto" w:fill="auto"/>
          </w:tcPr>
          <w:p w14:paraId="636DFF5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  <w:shd w:val="clear" w:color="auto" w:fill="auto"/>
          </w:tcPr>
          <w:p w14:paraId="0DEA404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Diabetes</w:t>
            </w:r>
          </w:p>
        </w:tc>
        <w:tc>
          <w:tcPr>
            <w:tcW w:w="2169" w:type="dxa"/>
            <w:shd w:val="clear" w:color="auto" w:fill="auto"/>
          </w:tcPr>
          <w:p w14:paraId="6EB0545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14:paraId="7DA11739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14:paraId="2804E2C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1942" w:type="dxa"/>
            <w:shd w:val="clear" w:color="auto" w:fill="auto"/>
          </w:tcPr>
          <w:p w14:paraId="5E7C32D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0.93-1.46</w:t>
            </w:r>
          </w:p>
        </w:tc>
      </w:tr>
      <w:tr w:rsidR="00AA652A" w:rsidRPr="00AA652A" w14:paraId="08154948" w14:textId="77777777" w:rsidTr="00926B2B">
        <w:trPr>
          <w:cantSplit/>
          <w:trHeight w:val="283"/>
        </w:trPr>
        <w:tc>
          <w:tcPr>
            <w:tcW w:w="517" w:type="dxa"/>
            <w:shd w:val="clear" w:color="auto" w:fill="auto"/>
          </w:tcPr>
          <w:p w14:paraId="40B00287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  <w:shd w:val="clear" w:color="auto" w:fill="auto"/>
          </w:tcPr>
          <w:p w14:paraId="3B5DBBA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Hypothyroidism</w:t>
            </w:r>
          </w:p>
        </w:tc>
        <w:tc>
          <w:tcPr>
            <w:tcW w:w="2169" w:type="dxa"/>
            <w:shd w:val="clear" w:color="auto" w:fill="auto"/>
          </w:tcPr>
          <w:p w14:paraId="15F3C70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14:paraId="4426886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14:paraId="154C51E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942" w:type="dxa"/>
            <w:shd w:val="clear" w:color="auto" w:fill="auto"/>
          </w:tcPr>
          <w:p w14:paraId="2BEEED6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0.81-1.52</w:t>
            </w:r>
          </w:p>
        </w:tc>
      </w:tr>
      <w:tr w:rsidR="00AA652A" w:rsidRPr="00AA652A" w14:paraId="1E122D97" w14:textId="77777777" w:rsidTr="00926B2B">
        <w:trPr>
          <w:trHeight w:val="283"/>
        </w:trPr>
        <w:tc>
          <w:tcPr>
            <w:tcW w:w="517" w:type="dxa"/>
          </w:tcPr>
          <w:p w14:paraId="33A8F49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</w:tcPr>
          <w:p w14:paraId="73BD4AB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Renal failure</w:t>
            </w:r>
          </w:p>
        </w:tc>
        <w:tc>
          <w:tcPr>
            <w:tcW w:w="2169" w:type="dxa"/>
          </w:tcPr>
          <w:p w14:paraId="3FE7DE8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</w:tcPr>
          <w:p w14:paraId="3D5042FF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</w:tcPr>
          <w:p w14:paraId="4B2710B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942" w:type="dxa"/>
          </w:tcPr>
          <w:p w14:paraId="34B8514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0.71-1.41</w:t>
            </w:r>
          </w:p>
        </w:tc>
      </w:tr>
      <w:tr w:rsidR="00AA652A" w:rsidRPr="00AA652A" w14:paraId="27682DB5" w14:textId="77777777" w:rsidTr="00926B2B">
        <w:trPr>
          <w:trHeight w:val="296"/>
        </w:trPr>
        <w:tc>
          <w:tcPr>
            <w:tcW w:w="517" w:type="dxa"/>
          </w:tcPr>
          <w:p w14:paraId="3A6BC0D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</w:tcPr>
          <w:p w14:paraId="52D0C5E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Cancer</w:t>
            </w:r>
          </w:p>
        </w:tc>
        <w:tc>
          <w:tcPr>
            <w:tcW w:w="2169" w:type="dxa"/>
          </w:tcPr>
          <w:p w14:paraId="2E45F13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</w:tcPr>
          <w:p w14:paraId="4C427AF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</w:tcPr>
          <w:p w14:paraId="2D74C00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1942" w:type="dxa"/>
          </w:tcPr>
          <w:p w14:paraId="72F7CC5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0.64-1.18</w:t>
            </w:r>
          </w:p>
        </w:tc>
      </w:tr>
      <w:tr w:rsidR="00AA652A" w:rsidRPr="00AA652A" w14:paraId="214EF3B7" w14:textId="77777777" w:rsidTr="00926B2B">
        <w:trPr>
          <w:trHeight w:val="283"/>
        </w:trPr>
        <w:tc>
          <w:tcPr>
            <w:tcW w:w="517" w:type="dxa"/>
          </w:tcPr>
          <w:p w14:paraId="62AE407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</w:tcPr>
          <w:p w14:paraId="51EBC23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Rheumatoid arthritis/collagen vascular diseases</w:t>
            </w:r>
          </w:p>
        </w:tc>
        <w:tc>
          <w:tcPr>
            <w:tcW w:w="2169" w:type="dxa"/>
          </w:tcPr>
          <w:p w14:paraId="5C8584A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</w:tcPr>
          <w:p w14:paraId="093FC78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</w:tcPr>
          <w:p w14:paraId="6ED54D7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1942" w:type="dxa"/>
          </w:tcPr>
          <w:p w14:paraId="080ACC5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0.49-1.32</w:t>
            </w:r>
          </w:p>
        </w:tc>
      </w:tr>
      <w:tr w:rsidR="00AA652A" w:rsidRPr="00AA652A" w14:paraId="046C1865" w14:textId="77777777" w:rsidTr="00926B2B">
        <w:trPr>
          <w:trHeight w:val="283"/>
        </w:trPr>
        <w:tc>
          <w:tcPr>
            <w:tcW w:w="517" w:type="dxa"/>
          </w:tcPr>
          <w:p w14:paraId="6CE8647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</w:tcPr>
          <w:p w14:paraId="2A63BAF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Coagulopathy</w:t>
            </w:r>
          </w:p>
        </w:tc>
        <w:tc>
          <w:tcPr>
            <w:tcW w:w="2169" w:type="dxa"/>
          </w:tcPr>
          <w:p w14:paraId="4F079DE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</w:tcPr>
          <w:p w14:paraId="72422F9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</w:tcPr>
          <w:p w14:paraId="7027966E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942" w:type="dxa"/>
          </w:tcPr>
          <w:p w14:paraId="39C2E230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0.56-1.65</w:t>
            </w:r>
          </w:p>
        </w:tc>
      </w:tr>
      <w:tr w:rsidR="00AA652A" w:rsidRPr="00AA652A" w14:paraId="2A47F675" w14:textId="77777777" w:rsidTr="00926B2B">
        <w:trPr>
          <w:trHeight w:val="283"/>
        </w:trPr>
        <w:tc>
          <w:tcPr>
            <w:tcW w:w="517" w:type="dxa"/>
          </w:tcPr>
          <w:p w14:paraId="41F07CB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</w:tcPr>
          <w:p w14:paraId="41ED176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Fluid and electrolyte disorders</w:t>
            </w:r>
          </w:p>
        </w:tc>
        <w:tc>
          <w:tcPr>
            <w:tcW w:w="2169" w:type="dxa"/>
          </w:tcPr>
          <w:p w14:paraId="3FA88B1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</w:tcPr>
          <w:p w14:paraId="3FED9B3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</w:tcPr>
          <w:p w14:paraId="1967A7D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1942" w:type="dxa"/>
          </w:tcPr>
          <w:p w14:paraId="389E419D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0.81-1.91</w:t>
            </w:r>
          </w:p>
        </w:tc>
      </w:tr>
      <w:tr w:rsidR="00AA652A" w:rsidRPr="00AA652A" w14:paraId="52204165" w14:textId="77777777" w:rsidTr="00926B2B">
        <w:trPr>
          <w:trHeight w:val="296"/>
        </w:trPr>
        <w:tc>
          <w:tcPr>
            <w:tcW w:w="517" w:type="dxa"/>
          </w:tcPr>
          <w:p w14:paraId="25C6B8DA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</w:tcPr>
          <w:p w14:paraId="53AE4E93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2169" w:type="dxa"/>
          </w:tcPr>
          <w:p w14:paraId="61092CE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</w:tcPr>
          <w:p w14:paraId="380C690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</w:tcPr>
          <w:p w14:paraId="4F269DA4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1942" w:type="dxa"/>
          </w:tcPr>
          <w:p w14:paraId="177A83D5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0.81-1.68</w:t>
            </w:r>
          </w:p>
        </w:tc>
      </w:tr>
      <w:tr w:rsidR="00AA652A" w:rsidRPr="00AA652A" w14:paraId="2F213388" w14:textId="77777777" w:rsidTr="00926B2B">
        <w:trPr>
          <w:trHeight w:val="283"/>
        </w:trPr>
        <w:tc>
          <w:tcPr>
            <w:tcW w:w="517" w:type="dxa"/>
            <w:tcBorders>
              <w:bottom w:val="single" w:sz="4" w:space="0" w:color="auto"/>
            </w:tcBorders>
          </w:tcPr>
          <w:p w14:paraId="3A79905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64A237FC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AA652A">
              <w:rPr>
                <w:rFonts w:ascii="Arial" w:hAnsi="Arial" w:cs="Arial"/>
                <w:sz w:val="18"/>
                <w:szCs w:val="20"/>
              </w:rPr>
              <w:t>Liver disease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E4AA01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4FECF251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5018E458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1.61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5FCD26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6"/>
                <w:szCs w:val="16"/>
              </w:rPr>
              <w:t>0.87-2.96</w:t>
            </w:r>
          </w:p>
        </w:tc>
      </w:tr>
      <w:tr w:rsidR="00AA652A" w:rsidRPr="00AA652A" w14:paraId="505397F0" w14:textId="77777777" w:rsidTr="00926B2B">
        <w:trPr>
          <w:trHeight w:val="1145"/>
        </w:trPr>
        <w:tc>
          <w:tcPr>
            <w:tcW w:w="13538" w:type="dxa"/>
            <w:gridSpan w:val="6"/>
            <w:tcBorders>
              <w:top w:val="single" w:sz="4" w:space="0" w:color="auto"/>
            </w:tcBorders>
          </w:tcPr>
          <w:p w14:paraId="27C2A806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  <w:vertAlign w:val="superscript"/>
                <w:lang w:val="en-GB"/>
              </w:rPr>
              <w:t>1</w:t>
            </w:r>
            <w:r w:rsidRPr="00AA652A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Pr="00AA652A">
              <w:rPr>
                <w:rFonts w:ascii="Arial" w:hAnsi="Arial" w:cs="Arial"/>
                <w:sz w:val="17"/>
                <w:szCs w:val="17"/>
              </w:rPr>
              <w:t>comorbidities defined with coding algorithms for defining Elixhauser comorbidities in ICD-9 administrative data (Quan et al. 2005), ≥2 ICD-9 codes per category, hypertension categories merged, diabetes categories merged, different cancer categories merged, drug abuse, alcohol abuse, obesity, weight loss, HIV/AIDS, paralysis, other neurological disorders, blood loss anemia and deficiency anemia not included;</w:t>
            </w:r>
          </w:p>
          <w:p w14:paraId="71B4A9D2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7"/>
                <w:szCs w:val="17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*PIMs with low level of evidence excluded.</w:t>
            </w:r>
          </w:p>
          <w:p w14:paraId="3AE3CD9B" w14:textId="77777777" w:rsidR="00AA652A" w:rsidRPr="00AA652A" w:rsidRDefault="00AA652A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652A">
              <w:rPr>
                <w:rFonts w:ascii="Arial" w:hAnsi="Arial" w:cs="Arial"/>
                <w:sz w:val="17"/>
                <w:szCs w:val="17"/>
              </w:rPr>
              <w:t>** p&lt;0.05; *** p&lt;0.001</w:t>
            </w:r>
          </w:p>
        </w:tc>
      </w:tr>
    </w:tbl>
    <w:p w14:paraId="31F8A9DB" w14:textId="77777777" w:rsidR="00AA652A" w:rsidRPr="00AA652A" w:rsidRDefault="00AA652A" w:rsidP="00AA652A">
      <w:pPr>
        <w:rPr>
          <w:rFonts w:ascii="Arial" w:hAnsi="Arial" w:cs="Arial"/>
        </w:rPr>
      </w:pPr>
    </w:p>
    <w:p w14:paraId="2ABAEC35" w14:textId="77777777" w:rsidR="00AA652A" w:rsidRDefault="00AA652A">
      <w:r>
        <w:br w:type="page"/>
      </w:r>
    </w:p>
    <w:p w14:paraId="2688F797" w14:textId="3591319B" w:rsidR="00DA10D1" w:rsidRPr="00DA10D1" w:rsidRDefault="00DA10D1" w:rsidP="00DA10D1">
      <w:pPr>
        <w:pStyle w:val="Heading1"/>
        <w:rPr>
          <w:color w:val="auto"/>
          <w:lang w:eastAsia="zh-CN"/>
        </w:rPr>
      </w:pPr>
      <w:bookmarkStart w:id="6" w:name="_Toc58255223"/>
      <w:r>
        <w:rPr>
          <w:color w:val="auto"/>
        </w:rPr>
        <w:lastRenderedPageBreak/>
        <w:t xml:space="preserve">eTable </w:t>
      </w:r>
      <w:r w:rsidR="006A127E">
        <w:rPr>
          <w:color w:val="auto"/>
        </w:rPr>
        <w:t>6</w:t>
      </w:r>
      <w:r w:rsidRPr="00DA10D1">
        <w:rPr>
          <w:color w:val="auto"/>
        </w:rPr>
        <w:t xml:space="preserve">. Multivariable associations between demographic and clinical factors and the prescribing of potentially inappropriate medications in patients with </w:t>
      </w:r>
      <w:r w:rsidRPr="00DA10D1">
        <w:rPr>
          <w:rFonts w:cs="Arial"/>
          <w:color w:val="auto"/>
        </w:rPr>
        <w:t>≥</w:t>
      </w:r>
      <w:r w:rsidRPr="00DA10D1">
        <w:rPr>
          <w:color w:val="auto"/>
        </w:rPr>
        <w:t>3 chronic conditions</w:t>
      </w:r>
      <w:bookmarkEnd w:id="6"/>
      <w:r w:rsidRPr="00DA10D1">
        <w:rPr>
          <w:color w:val="auto"/>
          <w:lang w:eastAsia="zh-CN"/>
        </w:rPr>
        <w:t xml:space="preserve"> </w:t>
      </w:r>
    </w:p>
    <w:tbl>
      <w:tblPr>
        <w:tblStyle w:val="TableGrid"/>
        <w:tblpPr w:leftFromText="180" w:rightFromText="180" w:vertAnchor="page" w:horzAnchor="margin" w:tblpY="2293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35"/>
        <w:gridCol w:w="29"/>
        <w:gridCol w:w="3713"/>
        <w:gridCol w:w="2451"/>
        <w:gridCol w:w="2801"/>
        <w:gridCol w:w="2450"/>
        <w:gridCol w:w="2278"/>
      </w:tblGrid>
      <w:tr w:rsidR="00DA10D1" w:rsidRPr="00DA10D1" w14:paraId="2A38A422" w14:textId="77777777" w:rsidTr="00926B2B">
        <w:trPr>
          <w:cantSplit/>
          <w:trHeight w:val="251"/>
        </w:trPr>
        <w:tc>
          <w:tcPr>
            <w:tcW w:w="4195" w:type="dxa"/>
            <w:gridSpan w:val="4"/>
            <w:shd w:val="clear" w:color="auto" w:fill="D9D9D9" w:themeFill="background1" w:themeFillShade="D9"/>
            <w:vAlign w:val="center"/>
          </w:tcPr>
          <w:p w14:paraId="6F8F16A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>Demographics and clinical characteristics</w:t>
            </w:r>
          </w:p>
        </w:tc>
        <w:tc>
          <w:tcPr>
            <w:tcW w:w="5252" w:type="dxa"/>
            <w:gridSpan w:val="2"/>
            <w:shd w:val="clear" w:color="auto" w:fill="D9D9D9" w:themeFill="background1" w:themeFillShade="D9"/>
            <w:vAlign w:val="center"/>
          </w:tcPr>
          <w:p w14:paraId="5F65B4E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>Model 1: Demographic and healthcare utilization variables</w:t>
            </w:r>
          </w:p>
        </w:tc>
        <w:tc>
          <w:tcPr>
            <w:tcW w:w="4728" w:type="dxa"/>
            <w:gridSpan w:val="2"/>
            <w:shd w:val="clear" w:color="auto" w:fill="D9D9D9" w:themeFill="background1" w:themeFillShade="D9"/>
            <w:vAlign w:val="center"/>
          </w:tcPr>
          <w:p w14:paraId="5BD8E0E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>Model 2: Model 1 + chronic conditions</w:t>
            </w:r>
          </w:p>
        </w:tc>
      </w:tr>
      <w:tr w:rsidR="00DA10D1" w:rsidRPr="00DA10D1" w14:paraId="55E4F9A9" w14:textId="77777777" w:rsidTr="00926B2B">
        <w:trPr>
          <w:cantSplit/>
          <w:trHeight w:val="251"/>
        </w:trPr>
        <w:tc>
          <w:tcPr>
            <w:tcW w:w="41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D784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B2F8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26A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7DCE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2F8F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DA10D1" w:rsidRPr="00DA10D1" w14:paraId="65D32254" w14:textId="77777777" w:rsidTr="00926B2B">
        <w:trPr>
          <w:cantSplit/>
          <w:trHeight w:val="275"/>
        </w:trPr>
        <w:tc>
          <w:tcPr>
            <w:tcW w:w="41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AA68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2821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10D1">
              <w:rPr>
                <w:rFonts w:ascii="Arial" w:hAnsi="Arial" w:cs="Arial"/>
                <w:sz w:val="16"/>
                <w:szCs w:val="18"/>
              </w:rPr>
              <w:t>(n = 16,134)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A5CDC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A10D1">
              <w:rPr>
                <w:rFonts w:ascii="Arial" w:hAnsi="Arial" w:cs="Arial"/>
                <w:sz w:val="16"/>
                <w:szCs w:val="18"/>
              </w:rPr>
              <w:t>(n = 16,134)</w:t>
            </w:r>
          </w:p>
        </w:tc>
      </w:tr>
      <w:tr w:rsidR="00DA10D1" w:rsidRPr="00DA10D1" w14:paraId="43B868FC" w14:textId="77777777" w:rsidTr="00926B2B">
        <w:trPr>
          <w:cantSplit/>
          <w:trHeight w:val="287"/>
        </w:trPr>
        <w:tc>
          <w:tcPr>
            <w:tcW w:w="4195" w:type="dxa"/>
            <w:gridSpan w:val="4"/>
            <w:shd w:val="clear" w:color="auto" w:fill="auto"/>
          </w:tcPr>
          <w:p w14:paraId="6FD8D9B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Age (reference: 65-74)</w:t>
            </w:r>
          </w:p>
        </w:tc>
        <w:tc>
          <w:tcPr>
            <w:tcW w:w="9980" w:type="dxa"/>
            <w:gridSpan w:val="4"/>
            <w:shd w:val="clear" w:color="auto" w:fill="auto"/>
          </w:tcPr>
          <w:p w14:paraId="6D251C37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0D1" w:rsidRPr="00DA10D1" w14:paraId="39723584" w14:textId="77777777" w:rsidTr="00926B2B">
        <w:trPr>
          <w:cantSplit/>
          <w:trHeight w:val="287"/>
        </w:trPr>
        <w:tc>
          <w:tcPr>
            <w:tcW w:w="418" w:type="dxa"/>
            <w:shd w:val="clear" w:color="auto" w:fill="auto"/>
          </w:tcPr>
          <w:p w14:paraId="14A060E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</w:tcPr>
          <w:p w14:paraId="67B1E06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75-84</w:t>
            </w:r>
          </w:p>
        </w:tc>
        <w:tc>
          <w:tcPr>
            <w:tcW w:w="2451" w:type="dxa"/>
            <w:shd w:val="clear" w:color="auto" w:fill="auto"/>
          </w:tcPr>
          <w:p w14:paraId="2DFA6D2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2801" w:type="dxa"/>
            <w:shd w:val="clear" w:color="auto" w:fill="auto"/>
          </w:tcPr>
          <w:p w14:paraId="7B3AC25D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0.71-1.11</w:t>
            </w:r>
          </w:p>
        </w:tc>
        <w:tc>
          <w:tcPr>
            <w:tcW w:w="2450" w:type="dxa"/>
            <w:shd w:val="clear" w:color="auto" w:fill="auto"/>
          </w:tcPr>
          <w:p w14:paraId="183F6F63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2278" w:type="dxa"/>
            <w:shd w:val="clear" w:color="auto" w:fill="auto"/>
          </w:tcPr>
          <w:p w14:paraId="54A0D75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0.72-1.13</w:t>
            </w:r>
          </w:p>
        </w:tc>
      </w:tr>
      <w:tr w:rsidR="00DA10D1" w:rsidRPr="00DA10D1" w14:paraId="3AD0B53D" w14:textId="77777777" w:rsidTr="00926B2B">
        <w:trPr>
          <w:cantSplit/>
          <w:trHeight w:val="287"/>
        </w:trPr>
        <w:tc>
          <w:tcPr>
            <w:tcW w:w="418" w:type="dxa"/>
            <w:shd w:val="clear" w:color="auto" w:fill="auto"/>
          </w:tcPr>
          <w:p w14:paraId="6D7BEE07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</w:tcPr>
          <w:p w14:paraId="4667840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85 and above</w:t>
            </w:r>
          </w:p>
        </w:tc>
        <w:tc>
          <w:tcPr>
            <w:tcW w:w="2451" w:type="dxa"/>
            <w:shd w:val="clear" w:color="auto" w:fill="auto"/>
          </w:tcPr>
          <w:p w14:paraId="0C4088DD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2801" w:type="dxa"/>
            <w:shd w:val="clear" w:color="auto" w:fill="auto"/>
          </w:tcPr>
          <w:p w14:paraId="22CF3FF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0.59-1.05</w:t>
            </w:r>
          </w:p>
        </w:tc>
        <w:tc>
          <w:tcPr>
            <w:tcW w:w="2450" w:type="dxa"/>
            <w:shd w:val="clear" w:color="auto" w:fill="auto"/>
          </w:tcPr>
          <w:p w14:paraId="03D654C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2278" w:type="dxa"/>
            <w:shd w:val="clear" w:color="auto" w:fill="auto"/>
          </w:tcPr>
          <w:p w14:paraId="507F32E7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0.58-1.05</w:t>
            </w:r>
          </w:p>
        </w:tc>
      </w:tr>
      <w:tr w:rsidR="00DA10D1" w:rsidRPr="00DA10D1" w14:paraId="13C9EC8E" w14:textId="77777777" w:rsidTr="00926B2B">
        <w:trPr>
          <w:cantSplit/>
          <w:trHeight w:val="169"/>
        </w:trPr>
        <w:tc>
          <w:tcPr>
            <w:tcW w:w="4195" w:type="dxa"/>
            <w:gridSpan w:val="4"/>
            <w:shd w:val="clear" w:color="auto" w:fill="auto"/>
          </w:tcPr>
          <w:p w14:paraId="73C5BF8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Male sex (reference: female sex)</w:t>
            </w:r>
          </w:p>
        </w:tc>
        <w:tc>
          <w:tcPr>
            <w:tcW w:w="2451" w:type="dxa"/>
            <w:shd w:val="clear" w:color="auto" w:fill="auto"/>
          </w:tcPr>
          <w:p w14:paraId="045153C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2801" w:type="dxa"/>
            <w:shd w:val="clear" w:color="auto" w:fill="auto"/>
          </w:tcPr>
          <w:p w14:paraId="3F07692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1.09-1.62**</w:t>
            </w:r>
          </w:p>
        </w:tc>
        <w:tc>
          <w:tcPr>
            <w:tcW w:w="2450" w:type="dxa"/>
            <w:shd w:val="clear" w:color="auto" w:fill="auto"/>
          </w:tcPr>
          <w:p w14:paraId="1A5B07E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2278" w:type="dxa"/>
            <w:shd w:val="clear" w:color="auto" w:fill="auto"/>
          </w:tcPr>
          <w:p w14:paraId="314A8B2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1.07-1.62**</w:t>
            </w:r>
          </w:p>
        </w:tc>
      </w:tr>
      <w:tr w:rsidR="00DA10D1" w:rsidRPr="00DA10D1" w14:paraId="0837340D" w14:textId="77777777" w:rsidTr="00926B2B">
        <w:trPr>
          <w:cantSplit/>
          <w:trHeight w:val="327"/>
        </w:trPr>
        <w:tc>
          <w:tcPr>
            <w:tcW w:w="4195" w:type="dxa"/>
            <w:gridSpan w:val="4"/>
            <w:shd w:val="clear" w:color="auto" w:fill="auto"/>
          </w:tcPr>
          <w:p w14:paraId="4484C7B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 xml:space="preserve">Hispanic ethnicity (reference: non-hispanic) </w:t>
            </w:r>
          </w:p>
        </w:tc>
        <w:tc>
          <w:tcPr>
            <w:tcW w:w="2451" w:type="dxa"/>
            <w:shd w:val="clear" w:color="auto" w:fill="auto"/>
          </w:tcPr>
          <w:p w14:paraId="34EDD5C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2801" w:type="dxa"/>
            <w:shd w:val="clear" w:color="auto" w:fill="auto"/>
          </w:tcPr>
          <w:p w14:paraId="232EEC2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0.41-3.26</w:t>
            </w:r>
          </w:p>
        </w:tc>
        <w:tc>
          <w:tcPr>
            <w:tcW w:w="2450" w:type="dxa"/>
            <w:shd w:val="clear" w:color="auto" w:fill="auto"/>
          </w:tcPr>
          <w:p w14:paraId="5A26DBED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2278" w:type="dxa"/>
            <w:shd w:val="clear" w:color="auto" w:fill="auto"/>
          </w:tcPr>
          <w:p w14:paraId="1FCFF6AE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0.40-3.18</w:t>
            </w:r>
          </w:p>
        </w:tc>
      </w:tr>
      <w:tr w:rsidR="00DA10D1" w:rsidRPr="00DA10D1" w14:paraId="3516AC9B" w14:textId="77777777" w:rsidTr="00926B2B">
        <w:trPr>
          <w:cantSplit/>
          <w:trHeight w:val="287"/>
        </w:trPr>
        <w:tc>
          <w:tcPr>
            <w:tcW w:w="4195" w:type="dxa"/>
            <w:gridSpan w:val="4"/>
            <w:shd w:val="clear" w:color="auto" w:fill="auto"/>
          </w:tcPr>
          <w:p w14:paraId="48D48B1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8"/>
                <w:szCs w:val="18"/>
              </w:rPr>
              <w:t xml:space="preserve">Race (reference: White) </w:t>
            </w:r>
          </w:p>
        </w:tc>
        <w:tc>
          <w:tcPr>
            <w:tcW w:w="9980" w:type="dxa"/>
            <w:gridSpan w:val="4"/>
            <w:shd w:val="clear" w:color="auto" w:fill="auto"/>
          </w:tcPr>
          <w:p w14:paraId="1CE916A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0D1" w:rsidRPr="00DA10D1" w14:paraId="0FB2AD49" w14:textId="77777777" w:rsidTr="00926B2B">
        <w:trPr>
          <w:cantSplit/>
          <w:trHeight w:val="287"/>
        </w:trPr>
        <w:tc>
          <w:tcPr>
            <w:tcW w:w="482" w:type="dxa"/>
            <w:gridSpan w:val="3"/>
            <w:shd w:val="clear" w:color="auto" w:fill="auto"/>
          </w:tcPr>
          <w:p w14:paraId="41E8890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3713" w:type="dxa"/>
            <w:shd w:val="clear" w:color="auto" w:fill="auto"/>
          </w:tcPr>
          <w:p w14:paraId="10DDBFC4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Asian</w:t>
            </w:r>
          </w:p>
        </w:tc>
        <w:tc>
          <w:tcPr>
            <w:tcW w:w="2451" w:type="dxa"/>
            <w:shd w:val="clear" w:color="auto" w:fill="auto"/>
          </w:tcPr>
          <w:p w14:paraId="26127D1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  <w:tc>
          <w:tcPr>
            <w:tcW w:w="2801" w:type="dxa"/>
            <w:shd w:val="clear" w:color="auto" w:fill="auto"/>
          </w:tcPr>
          <w:p w14:paraId="2E55F91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0.63-3.72</w:t>
            </w:r>
          </w:p>
        </w:tc>
        <w:tc>
          <w:tcPr>
            <w:tcW w:w="2450" w:type="dxa"/>
            <w:shd w:val="clear" w:color="auto" w:fill="auto"/>
          </w:tcPr>
          <w:p w14:paraId="33415BA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2278" w:type="dxa"/>
            <w:shd w:val="clear" w:color="auto" w:fill="auto"/>
          </w:tcPr>
          <w:p w14:paraId="6D667C1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0.60-3.53</w:t>
            </w:r>
          </w:p>
        </w:tc>
      </w:tr>
      <w:tr w:rsidR="00DA10D1" w:rsidRPr="00DA10D1" w14:paraId="3E5B9238" w14:textId="77777777" w:rsidTr="00926B2B">
        <w:trPr>
          <w:cantSplit/>
          <w:trHeight w:val="287"/>
        </w:trPr>
        <w:tc>
          <w:tcPr>
            <w:tcW w:w="482" w:type="dxa"/>
            <w:gridSpan w:val="3"/>
            <w:shd w:val="clear" w:color="auto" w:fill="auto"/>
          </w:tcPr>
          <w:p w14:paraId="54AE8EF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3713" w:type="dxa"/>
            <w:shd w:val="clear" w:color="auto" w:fill="auto"/>
          </w:tcPr>
          <w:p w14:paraId="47AFF54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2451" w:type="dxa"/>
            <w:shd w:val="clear" w:color="auto" w:fill="auto"/>
          </w:tcPr>
          <w:p w14:paraId="446139D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2801" w:type="dxa"/>
            <w:shd w:val="clear" w:color="auto" w:fill="auto"/>
          </w:tcPr>
          <w:p w14:paraId="60F5153E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1.02-2.42**</w:t>
            </w:r>
          </w:p>
        </w:tc>
        <w:tc>
          <w:tcPr>
            <w:tcW w:w="2450" w:type="dxa"/>
            <w:shd w:val="clear" w:color="auto" w:fill="auto"/>
          </w:tcPr>
          <w:p w14:paraId="353CDC7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2278" w:type="dxa"/>
            <w:shd w:val="clear" w:color="auto" w:fill="auto"/>
          </w:tcPr>
          <w:p w14:paraId="7AE1AA9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0.97-2.33</w:t>
            </w:r>
          </w:p>
        </w:tc>
      </w:tr>
      <w:tr w:rsidR="00DA10D1" w:rsidRPr="00DA10D1" w14:paraId="17428D8A" w14:textId="77777777" w:rsidTr="00926B2B">
        <w:trPr>
          <w:cantSplit/>
          <w:trHeight w:val="275"/>
        </w:trPr>
        <w:tc>
          <w:tcPr>
            <w:tcW w:w="482" w:type="dxa"/>
            <w:gridSpan w:val="3"/>
            <w:shd w:val="clear" w:color="auto" w:fill="auto"/>
          </w:tcPr>
          <w:p w14:paraId="5A053CF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3713" w:type="dxa"/>
            <w:shd w:val="clear" w:color="auto" w:fill="auto"/>
          </w:tcPr>
          <w:p w14:paraId="15FFD82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2451" w:type="dxa"/>
            <w:shd w:val="clear" w:color="auto" w:fill="auto"/>
          </w:tcPr>
          <w:p w14:paraId="1313E12E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  <w:tc>
          <w:tcPr>
            <w:tcW w:w="2801" w:type="dxa"/>
            <w:shd w:val="clear" w:color="auto" w:fill="auto"/>
          </w:tcPr>
          <w:p w14:paraId="7CB25E1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0.79-3.00</w:t>
            </w:r>
          </w:p>
        </w:tc>
        <w:tc>
          <w:tcPr>
            <w:tcW w:w="2450" w:type="dxa"/>
            <w:shd w:val="clear" w:color="auto" w:fill="auto"/>
          </w:tcPr>
          <w:p w14:paraId="61D0F4B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2278" w:type="dxa"/>
            <w:shd w:val="clear" w:color="auto" w:fill="auto"/>
          </w:tcPr>
          <w:p w14:paraId="284918A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0.77-2.92</w:t>
            </w:r>
          </w:p>
        </w:tc>
      </w:tr>
      <w:tr w:rsidR="00DA10D1" w:rsidRPr="00DA10D1" w14:paraId="7DAA83D4" w14:textId="77777777" w:rsidTr="00926B2B">
        <w:trPr>
          <w:cantSplit/>
          <w:trHeight w:val="287"/>
        </w:trPr>
        <w:tc>
          <w:tcPr>
            <w:tcW w:w="4195" w:type="dxa"/>
            <w:gridSpan w:val="4"/>
            <w:shd w:val="clear" w:color="auto" w:fill="auto"/>
          </w:tcPr>
          <w:p w14:paraId="6F3CB1A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Number of inpatient stays (reference: 0)</w:t>
            </w:r>
          </w:p>
        </w:tc>
        <w:tc>
          <w:tcPr>
            <w:tcW w:w="9980" w:type="dxa"/>
            <w:gridSpan w:val="4"/>
            <w:shd w:val="clear" w:color="auto" w:fill="auto"/>
          </w:tcPr>
          <w:p w14:paraId="06797C84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0D1" w:rsidRPr="00DA10D1" w14:paraId="1B9454F0" w14:textId="77777777" w:rsidTr="00926B2B">
        <w:trPr>
          <w:cantSplit/>
          <w:trHeight w:val="287"/>
        </w:trPr>
        <w:tc>
          <w:tcPr>
            <w:tcW w:w="453" w:type="dxa"/>
            <w:gridSpan w:val="2"/>
            <w:shd w:val="clear" w:color="auto" w:fill="auto"/>
          </w:tcPr>
          <w:p w14:paraId="11905ED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42" w:type="dxa"/>
            <w:gridSpan w:val="2"/>
            <w:shd w:val="clear" w:color="auto" w:fill="auto"/>
          </w:tcPr>
          <w:p w14:paraId="6A933DA3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451" w:type="dxa"/>
            <w:shd w:val="clear" w:color="auto" w:fill="auto"/>
          </w:tcPr>
          <w:p w14:paraId="2DB086C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2801" w:type="dxa"/>
            <w:shd w:val="clear" w:color="auto" w:fill="auto"/>
          </w:tcPr>
          <w:p w14:paraId="682E939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0.72-1.35</w:t>
            </w:r>
          </w:p>
        </w:tc>
        <w:tc>
          <w:tcPr>
            <w:tcW w:w="2450" w:type="dxa"/>
            <w:shd w:val="clear" w:color="auto" w:fill="auto"/>
          </w:tcPr>
          <w:p w14:paraId="5DE032B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2278" w:type="dxa"/>
            <w:shd w:val="clear" w:color="auto" w:fill="auto"/>
          </w:tcPr>
          <w:p w14:paraId="7D07494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0.69-1.30</w:t>
            </w:r>
          </w:p>
        </w:tc>
      </w:tr>
      <w:tr w:rsidR="00DA10D1" w:rsidRPr="00DA10D1" w14:paraId="09F48829" w14:textId="77777777" w:rsidTr="00926B2B">
        <w:trPr>
          <w:cantSplit/>
          <w:trHeight w:val="287"/>
        </w:trPr>
        <w:tc>
          <w:tcPr>
            <w:tcW w:w="14175" w:type="dxa"/>
            <w:gridSpan w:val="8"/>
            <w:shd w:val="clear" w:color="auto" w:fill="auto"/>
          </w:tcPr>
          <w:p w14:paraId="248B2AC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Number of emergency department visits (reference: 0)</w:t>
            </w:r>
          </w:p>
        </w:tc>
      </w:tr>
      <w:tr w:rsidR="00DA10D1" w:rsidRPr="00DA10D1" w14:paraId="352DDFDA" w14:textId="77777777" w:rsidTr="00926B2B">
        <w:trPr>
          <w:cantSplit/>
          <w:trHeight w:val="275"/>
        </w:trPr>
        <w:tc>
          <w:tcPr>
            <w:tcW w:w="482" w:type="dxa"/>
            <w:gridSpan w:val="3"/>
            <w:shd w:val="clear" w:color="auto" w:fill="auto"/>
          </w:tcPr>
          <w:p w14:paraId="0518300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0BF7AA6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 xml:space="preserve">1 or above  </w:t>
            </w:r>
          </w:p>
        </w:tc>
        <w:tc>
          <w:tcPr>
            <w:tcW w:w="2451" w:type="dxa"/>
            <w:shd w:val="clear" w:color="auto" w:fill="auto"/>
          </w:tcPr>
          <w:p w14:paraId="37500E4D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2801" w:type="dxa"/>
            <w:shd w:val="clear" w:color="auto" w:fill="auto"/>
          </w:tcPr>
          <w:p w14:paraId="1541694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0.81-1.39</w:t>
            </w:r>
          </w:p>
        </w:tc>
        <w:tc>
          <w:tcPr>
            <w:tcW w:w="2450" w:type="dxa"/>
            <w:shd w:val="clear" w:color="auto" w:fill="auto"/>
          </w:tcPr>
          <w:p w14:paraId="096FAED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2278" w:type="dxa"/>
            <w:shd w:val="clear" w:color="auto" w:fill="auto"/>
          </w:tcPr>
          <w:p w14:paraId="1C92575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0.79-1.35</w:t>
            </w:r>
          </w:p>
        </w:tc>
      </w:tr>
      <w:tr w:rsidR="00DA10D1" w:rsidRPr="00DA10D1" w14:paraId="3B86B83F" w14:textId="77777777" w:rsidTr="00926B2B">
        <w:trPr>
          <w:cantSplit/>
          <w:trHeight w:val="263"/>
        </w:trPr>
        <w:tc>
          <w:tcPr>
            <w:tcW w:w="14175" w:type="dxa"/>
            <w:gridSpan w:val="8"/>
            <w:shd w:val="clear" w:color="auto" w:fill="auto"/>
          </w:tcPr>
          <w:p w14:paraId="3BF184F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Number of ambulatory visits (reference: ≤9; categories based on quartiles)</w:t>
            </w:r>
          </w:p>
        </w:tc>
      </w:tr>
      <w:tr w:rsidR="00DA10D1" w:rsidRPr="00DA10D1" w14:paraId="66F91C5F" w14:textId="77777777" w:rsidTr="00926B2B">
        <w:trPr>
          <w:cantSplit/>
          <w:trHeight w:val="287"/>
        </w:trPr>
        <w:tc>
          <w:tcPr>
            <w:tcW w:w="418" w:type="dxa"/>
            <w:shd w:val="clear" w:color="auto" w:fill="auto"/>
          </w:tcPr>
          <w:p w14:paraId="3A570B6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  <w:tc>
          <w:tcPr>
            <w:tcW w:w="3777" w:type="dxa"/>
            <w:gridSpan w:val="3"/>
            <w:shd w:val="clear" w:color="auto" w:fill="auto"/>
          </w:tcPr>
          <w:p w14:paraId="385E1377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 xml:space="preserve">10-17 </w:t>
            </w:r>
          </w:p>
        </w:tc>
        <w:tc>
          <w:tcPr>
            <w:tcW w:w="2451" w:type="dxa"/>
            <w:shd w:val="clear" w:color="auto" w:fill="auto"/>
          </w:tcPr>
          <w:p w14:paraId="0C1D7EE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2801" w:type="dxa"/>
            <w:shd w:val="clear" w:color="auto" w:fill="auto"/>
          </w:tcPr>
          <w:p w14:paraId="629ACA2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0.73-1.45</w:t>
            </w:r>
          </w:p>
        </w:tc>
        <w:tc>
          <w:tcPr>
            <w:tcW w:w="2450" w:type="dxa"/>
            <w:shd w:val="clear" w:color="auto" w:fill="auto"/>
          </w:tcPr>
          <w:p w14:paraId="674ADAC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2278" w:type="dxa"/>
            <w:shd w:val="clear" w:color="auto" w:fill="auto"/>
          </w:tcPr>
          <w:p w14:paraId="3DB86B4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0.74-1.46</w:t>
            </w:r>
          </w:p>
        </w:tc>
      </w:tr>
      <w:tr w:rsidR="00DA10D1" w:rsidRPr="00DA10D1" w14:paraId="059A32CA" w14:textId="77777777" w:rsidTr="00926B2B">
        <w:trPr>
          <w:cantSplit/>
          <w:trHeight w:val="287"/>
        </w:trPr>
        <w:tc>
          <w:tcPr>
            <w:tcW w:w="418" w:type="dxa"/>
            <w:shd w:val="clear" w:color="auto" w:fill="auto"/>
          </w:tcPr>
          <w:p w14:paraId="7DC25993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  <w:tc>
          <w:tcPr>
            <w:tcW w:w="3777" w:type="dxa"/>
            <w:gridSpan w:val="3"/>
            <w:shd w:val="clear" w:color="auto" w:fill="auto"/>
          </w:tcPr>
          <w:p w14:paraId="23F36047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 xml:space="preserve">18-29 </w:t>
            </w:r>
          </w:p>
        </w:tc>
        <w:tc>
          <w:tcPr>
            <w:tcW w:w="2451" w:type="dxa"/>
            <w:shd w:val="clear" w:color="auto" w:fill="auto"/>
          </w:tcPr>
          <w:p w14:paraId="4AC151A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2801" w:type="dxa"/>
            <w:shd w:val="clear" w:color="auto" w:fill="auto"/>
          </w:tcPr>
          <w:p w14:paraId="7565F63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0.95-1.84</w:t>
            </w:r>
          </w:p>
        </w:tc>
        <w:tc>
          <w:tcPr>
            <w:tcW w:w="2450" w:type="dxa"/>
            <w:shd w:val="clear" w:color="auto" w:fill="auto"/>
          </w:tcPr>
          <w:p w14:paraId="63A37C9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2278" w:type="dxa"/>
            <w:shd w:val="clear" w:color="auto" w:fill="auto"/>
          </w:tcPr>
          <w:p w14:paraId="11EE7F6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0.96-1.88</w:t>
            </w:r>
          </w:p>
        </w:tc>
      </w:tr>
      <w:tr w:rsidR="00DA10D1" w:rsidRPr="00DA10D1" w14:paraId="460C54CD" w14:textId="77777777" w:rsidTr="00926B2B">
        <w:trPr>
          <w:cantSplit/>
          <w:trHeight w:val="287"/>
        </w:trPr>
        <w:tc>
          <w:tcPr>
            <w:tcW w:w="418" w:type="dxa"/>
            <w:shd w:val="clear" w:color="auto" w:fill="auto"/>
          </w:tcPr>
          <w:p w14:paraId="079B34D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  <w:tc>
          <w:tcPr>
            <w:tcW w:w="3777" w:type="dxa"/>
            <w:gridSpan w:val="3"/>
            <w:shd w:val="clear" w:color="auto" w:fill="auto"/>
          </w:tcPr>
          <w:p w14:paraId="6847048E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 xml:space="preserve">≥30 </w:t>
            </w:r>
          </w:p>
        </w:tc>
        <w:tc>
          <w:tcPr>
            <w:tcW w:w="2451" w:type="dxa"/>
            <w:shd w:val="clear" w:color="auto" w:fill="auto"/>
          </w:tcPr>
          <w:p w14:paraId="07869D5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2.09</w:t>
            </w:r>
          </w:p>
        </w:tc>
        <w:tc>
          <w:tcPr>
            <w:tcW w:w="2801" w:type="dxa"/>
            <w:shd w:val="clear" w:color="auto" w:fill="auto"/>
          </w:tcPr>
          <w:p w14:paraId="524FFA8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1.48-2.95***</w:t>
            </w:r>
          </w:p>
        </w:tc>
        <w:tc>
          <w:tcPr>
            <w:tcW w:w="2450" w:type="dxa"/>
            <w:shd w:val="clear" w:color="auto" w:fill="auto"/>
          </w:tcPr>
          <w:p w14:paraId="614C30DD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2278" w:type="dxa"/>
            <w:shd w:val="clear" w:color="auto" w:fill="auto"/>
          </w:tcPr>
          <w:p w14:paraId="42FB843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1.48-3.02***</w:t>
            </w:r>
          </w:p>
        </w:tc>
      </w:tr>
      <w:tr w:rsidR="00DA10D1" w:rsidRPr="00DA10D1" w14:paraId="3598C043" w14:textId="77777777" w:rsidTr="00926B2B">
        <w:trPr>
          <w:cantSplit/>
          <w:trHeight w:val="275"/>
        </w:trPr>
        <w:tc>
          <w:tcPr>
            <w:tcW w:w="14175" w:type="dxa"/>
            <w:gridSpan w:val="8"/>
            <w:shd w:val="clear" w:color="auto" w:fill="auto"/>
          </w:tcPr>
          <w:p w14:paraId="621E0AF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 xml:space="preserve">Number of non-acute institutional stays (reference: 0) </w:t>
            </w:r>
          </w:p>
        </w:tc>
      </w:tr>
      <w:tr w:rsidR="00DA10D1" w:rsidRPr="00DA10D1" w14:paraId="18CEC158" w14:textId="77777777" w:rsidTr="00926B2B">
        <w:trPr>
          <w:cantSplit/>
          <w:trHeight w:val="287"/>
        </w:trPr>
        <w:tc>
          <w:tcPr>
            <w:tcW w:w="418" w:type="dxa"/>
            <w:shd w:val="clear" w:color="auto" w:fill="auto"/>
          </w:tcPr>
          <w:p w14:paraId="4014AC3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</w:tcPr>
          <w:p w14:paraId="741EDC8B" w14:textId="77777777" w:rsidR="00DA10D1" w:rsidRPr="00DA10D1" w:rsidRDefault="00DA10D1" w:rsidP="00926B2B">
            <w:pPr>
              <w:keepNext/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451" w:type="dxa"/>
            <w:shd w:val="clear" w:color="auto" w:fill="auto"/>
          </w:tcPr>
          <w:p w14:paraId="5EFFAD4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2801" w:type="dxa"/>
            <w:shd w:val="clear" w:color="auto" w:fill="auto"/>
          </w:tcPr>
          <w:p w14:paraId="11A7E633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0.55-1.10</w:t>
            </w:r>
          </w:p>
        </w:tc>
        <w:tc>
          <w:tcPr>
            <w:tcW w:w="2450" w:type="dxa"/>
            <w:shd w:val="clear" w:color="auto" w:fill="auto"/>
          </w:tcPr>
          <w:p w14:paraId="7136DEB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2278" w:type="dxa"/>
            <w:shd w:val="clear" w:color="auto" w:fill="auto"/>
          </w:tcPr>
          <w:p w14:paraId="610BB294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0.52-1.05</w:t>
            </w:r>
          </w:p>
        </w:tc>
      </w:tr>
      <w:tr w:rsidR="00DA10D1" w:rsidRPr="00DA10D1" w14:paraId="68A54B9C" w14:textId="77777777" w:rsidTr="00926B2B">
        <w:trPr>
          <w:cantSplit/>
          <w:trHeight w:val="287"/>
        </w:trPr>
        <w:tc>
          <w:tcPr>
            <w:tcW w:w="14175" w:type="dxa"/>
            <w:gridSpan w:val="8"/>
            <w:shd w:val="clear" w:color="auto" w:fill="auto"/>
          </w:tcPr>
          <w:p w14:paraId="4EDBFDD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Level of polypharmacy (reference: 5-9 medications)</w:t>
            </w:r>
          </w:p>
        </w:tc>
      </w:tr>
      <w:tr w:rsidR="00DA10D1" w:rsidRPr="00DA10D1" w14:paraId="47B5D132" w14:textId="77777777" w:rsidTr="00926B2B">
        <w:trPr>
          <w:cantSplit/>
          <w:trHeight w:val="287"/>
        </w:trPr>
        <w:tc>
          <w:tcPr>
            <w:tcW w:w="418" w:type="dxa"/>
            <w:shd w:val="clear" w:color="auto" w:fill="auto"/>
          </w:tcPr>
          <w:p w14:paraId="2852963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</w:tcPr>
          <w:p w14:paraId="035956B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10 and above</w:t>
            </w:r>
          </w:p>
        </w:tc>
        <w:tc>
          <w:tcPr>
            <w:tcW w:w="2451" w:type="dxa"/>
            <w:shd w:val="clear" w:color="auto" w:fill="auto"/>
          </w:tcPr>
          <w:p w14:paraId="156117D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2801" w:type="dxa"/>
            <w:shd w:val="clear" w:color="auto" w:fill="auto"/>
          </w:tcPr>
          <w:p w14:paraId="48DCF0D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0.72-1.98</w:t>
            </w:r>
          </w:p>
        </w:tc>
        <w:tc>
          <w:tcPr>
            <w:tcW w:w="2450" w:type="dxa"/>
            <w:shd w:val="clear" w:color="auto" w:fill="auto"/>
          </w:tcPr>
          <w:p w14:paraId="5F0F6DF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2278" w:type="dxa"/>
            <w:shd w:val="clear" w:color="auto" w:fill="auto"/>
          </w:tcPr>
          <w:p w14:paraId="6DFAC07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0.65-1.81</w:t>
            </w:r>
          </w:p>
        </w:tc>
      </w:tr>
      <w:tr w:rsidR="00DA10D1" w:rsidRPr="00DA10D1" w14:paraId="5DB97C74" w14:textId="77777777" w:rsidTr="00926B2B">
        <w:trPr>
          <w:cantSplit/>
          <w:trHeight w:val="252"/>
        </w:trPr>
        <w:tc>
          <w:tcPr>
            <w:tcW w:w="4195" w:type="dxa"/>
            <w:gridSpan w:val="4"/>
            <w:shd w:val="clear" w:color="auto" w:fill="auto"/>
          </w:tcPr>
          <w:p w14:paraId="252747B4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Number of chronic conditions (1-unit increase)</w:t>
            </w:r>
          </w:p>
        </w:tc>
        <w:tc>
          <w:tcPr>
            <w:tcW w:w="2451" w:type="dxa"/>
            <w:shd w:val="clear" w:color="auto" w:fill="auto"/>
          </w:tcPr>
          <w:p w14:paraId="6EF6846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2801" w:type="dxa"/>
            <w:shd w:val="clear" w:color="auto" w:fill="auto"/>
          </w:tcPr>
          <w:p w14:paraId="02415BB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0.93-1.04</w:t>
            </w:r>
          </w:p>
        </w:tc>
        <w:tc>
          <w:tcPr>
            <w:tcW w:w="2450" w:type="dxa"/>
            <w:shd w:val="clear" w:color="auto" w:fill="auto"/>
          </w:tcPr>
          <w:p w14:paraId="2068A3F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2278" w:type="dxa"/>
            <w:shd w:val="clear" w:color="auto" w:fill="auto"/>
          </w:tcPr>
          <w:p w14:paraId="696834A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0.89-1.03</w:t>
            </w:r>
          </w:p>
        </w:tc>
      </w:tr>
      <w:tr w:rsidR="00DA10D1" w:rsidRPr="00DA10D1" w14:paraId="77C9D047" w14:textId="77777777" w:rsidTr="00926B2B">
        <w:trPr>
          <w:cantSplit/>
          <w:trHeight w:val="252"/>
        </w:trPr>
        <w:tc>
          <w:tcPr>
            <w:tcW w:w="4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E8636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Number of prescribing orders (1-unit increase)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14:paraId="013A4A87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14:paraId="3449C3E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1.01-1.02***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0CEE65B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14:paraId="30C1042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1.01-1.02***</w:t>
            </w:r>
          </w:p>
        </w:tc>
      </w:tr>
      <w:tr w:rsidR="00DA10D1" w:rsidRPr="00DA10D1" w14:paraId="315FDB17" w14:textId="77777777" w:rsidTr="00926B2B">
        <w:trPr>
          <w:cantSplit/>
          <w:trHeight w:val="252"/>
        </w:trPr>
        <w:tc>
          <w:tcPr>
            <w:tcW w:w="1417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448368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continued</w:t>
            </w:r>
          </w:p>
        </w:tc>
      </w:tr>
    </w:tbl>
    <w:p w14:paraId="4564CE3B" w14:textId="77777777" w:rsidR="00DA10D1" w:rsidRPr="00DA10D1" w:rsidRDefault="00DA10D1" w:rsidP="00DA10D1">
      <w:pPr>
        <w:pStyle w:val="Heading1"/>
        <w:rPr>
          <w:color w:val="auto"/>
          <w:lang w:eastAsia="zh-CN"/>
        </w:rPr>
      </w:pPr>
      <w:r w:rsidRPr="00DA10D1">
        <w:rPr>
          <w:color w:val="auto"/>
          <w:lang w:eastAsia="zh-CN"/>
        </w:rPr>
        <w:br w:type="page"/>
      </w:r>
    </w:p>
    <w:p w14:paraId="47489536" w14:textId="77777777" w:rsidR="00DA10D1" w:rsidRPr="00DA10D1" w:rsidRDefault="00DA10D1" w:rsidP="00DA10D1">
      <w:pPr>
        <w:rPr>
          <w:lang w:eastAsia="zh-CN"/>
        </w:rPr>
        <w:sectPr w:rsidR="00DA10D1" w:rsidRPr="00DA10D1" w:rsidSect="00B408B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691020C" w14:textId="77777777" w:rsidR="00DA10D1" w:rsidRPr="00DA10D1" w:rsidRDefault="00DA10D1" w:rsidP="00DA10D1">
      <w:pPr>
        <w:tabs>
          <w:tab w:val="left" w:pos="1080"/>
        </w:tabs>
        <w:rPr>
          <w:rFonts w:ascii="Arial" w:hAnsi="Arial" w:cs="Arial"/>
        </w:rPr>
      </w:pPr>
    </w:p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831"/>
        <w:gridCol w:w="2410"/>
        <w:gridCol w:w="2835"/>
        <w:gridCol w:w="2409"/>
        <w:gridCol w:w="2268"/>
      </w:tblGrid>
      <w:tr w:rsidR="00DA10D1" w:rsidRPr="00DA10D1" w14:paraId="70B93568" w14:textId="77777777" w:rsidTr="00926B2B">
        <w:trPr>
          <w:cantSplit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4408608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>Demographics and clinical characteristics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106AD5A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>Model 1: Demographic and healthcare utilization variables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  <w:vAlign w:val="center"/>
          </w:tcPr>
          <w:p w14:paraId="6D94637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>Model 2: Model 1 + chronic conditions</w:t>
            </w:r>
          </w:p>
        </w:tc>
      </w:tr>
      <w:tr w:rsidR="00DA10D1" w:rsidRPr="00DA10D1" w14:paraId="756172A1" w14:textId="77777777" w:rsidTr="00926B2B">
        <w:trPr>
          <w:cantSplit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2BAD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583E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2BDB7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4EC5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AF3A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0D1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DA10D1" w:rsidRPr="00DA10D1" w14:paraId="5E7F47A9" w14:textId="77777777" w:rsidTr="00926B2B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77701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8"/>
                <w:szCs w:val="18"/>
              </w:rPr>
              <w:t>Types of comorbidities</w:t>
            </w:r>
            <w:r w:rsidRPr="00DA10D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1407E3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0D1" w:rsidRPr="00DA10D1" w14:paraId="6A649854" w14:textId="77777777" w:rsidTr="00926B2B">
        <w:trPr>
          <w:cantSplit/>
        </w:trPr>
        <w:tc>
          <w:tcPr>
            <w:tcW w:w="417" w:type="dxa"/>
            <w:shd w:val="clear" w:color="auto" w:fill="auto"/>
          </w:tcPr>
          <w:p w14:paraId="53ED0113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  <w:shd w:val="clear" w:color="auto" w:fill="auto"/>
          </w:tcPr>
          <w:p w14:paraId="464F183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Congestive heart failure</w:t>
            </w:r>
          </w:p>
        </w:tc>
        <w:tc>
          <w:tcPr>
            <w:tcW w:w="2410" w:type="dxa"/>
            <w:shd w:val="clear" w:color="auto" w:fill="auto"/>
          </w:tcPr>
          <w:p w14:paraId="63608F14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A5DECB4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504E613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2268" w:type="dxa"/>
            <w:shd w:val="clear" w:color="auto" w:fill="auto"/>
          </w:tcPr>
          <w:p w14:paraId="69F4AB8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1.10-1.86**</w:t>
            </w:r>
          </w:p>
        </w:tc>
      </w:tr>
      <w:tr w:rsidR="00DA10D1" w:rsidRPr="00DA10D1" w14:paraId="3F21E095" w14:textId="77777777" w:rsidTr="00926B2B">
        <w:trPr>
          <w:cantSplit/>
        </w:trPr>
        <w:tc>
          <w:tcPr>
            <w:tcW w:w="417" w:type="dxa"/>
            <w:shd w:val="clear" w:color="auto" w:fill="auto"/>
          </w:tcPr>
          <w:p w14:paraId="3034C34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  <w:shd w:val="clear" w:color="auto" w:fill="auto"/>
          </w:tcPr>
          <w:p w14:paraId="73336E4D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Cardiac arrhythmias</w:t>
            </w:r>
          </w:p>
        </w:tc>
        <w:tc>
          <w:tcPr>
            <w:tcW w:w="2410" w:type="dxa"/>
            <w:shd w:val="clear" w:color="auto" w:fill="auto"/>
          </w:tcPr>
          <w:p w14:paraId="171B6A13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1C1162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377C637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2268" w:type="dxa"/>
            <w:shd w:val="clear" w:color="auto" w:fill="auto"/>
          </w:tcPr>
          <w:p w14:paraId="3A0078A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0.70-1.46</w:t>
            </w:r>
          </w:p>
        </w:tc>
      </w:tr>
      <w:tr w:rsidR="00DA10D1" w:rsidRPr="00DA10D1" w14:paraId="32EC6C43" w14:textId="77777777" w:rsidTr="00926B2B">
        <w:trPr>
          <w:cantSplit/>
        </w:trPr>
        <w:tc>
          <w:tcPr>
            <w:tcW w:w="417" w:type="dxa"/>
            <w:shd w:val="clear" w:color="auto" w:fill="auto"/>
          </w:tcPr>
          <w:p w14:paraId="11B1914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  <w:shd w:val="clear" w:color="auto" w:fill="auto"/>
          </w:tcPr>
          <w:p w14:paraId="641EAF13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Valvular disease</w:t>
            </w:r>
          </w:p>
        </w:tc>
        <w:tc>
          <w:tcPr>
            <w:tcW w:w="2410" w:type="dxa"/>
            <w:shd w:val="clear" w:color="auto" w:fill="auto"/>
          </w:tcPr>
          <w:p w14:paraId="082F4FC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A148A5E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210D026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2268" w:type="dxa"/>
            <w:shd w:val="clear" w:color="auto" w:fill="auto"/>
          </w:tcPr>
          <w:p w14:paraId="0B22037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0.63-1.16</w:t>
            </w:r>
          </w:p>
        </w:tc>
      </w:tr>
      <w:tr w:rsidR="00DA10D1" w:rsidRPr="00DA10D1" w14:paraId="10D5927A" w14:textId="77777777" w:rsidTr="00926B2B">
        <w:trPr>
          <w:cantSplit/>
        </w:trPr>
        <w:tc>
          <w:tcPr>
            <w:tcW w:w="417" w:type="dxa"/>
            <w:shd w:val="clear" w:color="auto" w:fill="auto"/>
          </w:tcPr>
          <w:p w14:paraId="3302135E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  <w:shd w:val="clear" w:color="auto" w:fill="auto"/>
          </w:tcPr>
          <w:p w14:paraId="71ADCC7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Pulmonary circulation disorders</w:t>
            </w:r>
          </w:p>
        </w:tc>
        <w:tc>
          <w:tcPr>
            <w:tcW w:w="2410" w:type="dxa"/>
            <w:shd w:val="clear" w:color="auto" w:fill="auto"/>
          </w:tcPr>
          <w:p w14:paraId="338B0BB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84C39F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1F58F9E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2268" w:type="dxa"/>
            <w:shd w:val="clear" w:color="auto" w:fill="auto"/>
          </w:tcPr>
          <w:p w14:paraId="3377AA8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0.83-2.38</w:t>
            </w:r>
          </w:p>
        </w:tc>
      </w:tr>
      <w:tr w:rsidR="00DA10D1" w:rsidRPr="00DA10D1" w14:paraId="28E2D527" w14:textId="77777777" w:rsidTr="00926B2B">
        <w:trPr>
          <w:cantSplit/>
        </w:trPr>
        <w:tc>
          <w:tcPr>
            <w:tcW w:w="417" w:type="dxa"/>
            <w:shd w:val="clear" w:color="auto" w:fill="auto"/>
          </w:tcPr>
          <w:p w14:paraId="6C6103D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  <w:shd w:val="clear" w:color="auto" w:fill="auto"/>
          </w:tcPr>
          <w:p w14:paraId="60DD7824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Peripheral vascular disorders</w:t>
            </w:r>
          </w:p>
        </w:tc>
        <w:tc>
          <w:tcPr>
            <w:tcW w:w="2410" w:type="dxa"/>
            <w:shd w:val="clear" w:color="auto" w:fill="auto"/>
          </w:tcPr>
          <w:p w14:paraId="2B56F4E4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1FD935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38093EA7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2268" w:type="dxa"/>
            <w:shd w:val="clear" w:color="auto" w:fill="auto"/>
          </w:tcPr>
          <w:p w14:paraId="55B5574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0.84-1.44</w:t>
            </w:r>
          </w:p>
        </w:tc>
      </w:tr>
      <w:tr w:rsidR="00DA10D1" w:rsidRPr="00DA10D1" w14:paraId="7325B338" w14:textId="77777777" w:rsidTr="00926B2B">
        <w:trPr>
          <w:cantSplit/>
        </w:trPr>
        <w:tc>
          <w:tcPr>
            <w:tcW w:w="417" w:type="dxa"/>
            <w:shd w:val="clear" w:color="auto" w:fill="auto"/>
          </w:tcPr>
          <w:p w14:paraId="21180B24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  <w:shd w:val="clear" w:color="auto" w:fill="auto"/>
          </w:tcPr>
          <w:p w14:paraId="327032F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2410" w:type="dxa"/>
            <w:shd w:val="clear" w:color="auto" w:fill="auto"/>
          </w:tcPr>
          <w:p w14:paraId="156084ED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32D8455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2DE94B9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2268" w:type="dxa"/>
            <w:shd w:val="clear" w:color="auto" w:fill="auto"/>
          </w:tcPr>
          <w:p w14:paraId="6A0594AD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0.81-1.29</w:t>
            </w:r>
          </w:p>
        </w:tc>
      </w:tr>
      <w:tr w:rsidR="00DA10D1" w:rsidRPr="00DA10D1" w14:paraId="409DFA0A" w14:textId="77777777" w:rsidTr="00926B2B">
        <w:trPr>
          <w:cantSplit/>
        </w:trPr>
        <w:tc>
          <w:tcPr>
            <w:tcW w:w="417" w:type="dxa"/>
            <w:shd w:val="clear" w:color="auto" w:fill="auto"/>
          </w:tcPr>
          <w:p w14:paraId="08596DA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  <w:shd w:val="clear" w:color="auto" w:fill="auto"/>
          </w:tcPr>
          <w:p w14:paraId="69D027F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Chronic pulmonary disorders</w:t>
            </w:r>
          </w:p>
        </w:tc>
        <w:tc>
          <w:tcPr>
            <w:tcW w:w="2410" w:type="dxa"/>
            <w:shd w:val="clear" w:color="auto" w:fill="auto"/>
          </w:tcPr>
          <w:p w14:paraId="719ACE9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AF4E4E7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7FFE4E9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2268" w:type="dxa"/>
            <w:shd w:val="clear" w:color="auto" w:fill="auto"/>
          </w:tcPr>
          <w:p w14:paraId="5A1A5E3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0.88-1.49</w:t>
            </w:r>
          </w:p>
        </w:tc>
      </w:tr>
      <w:tr w:rsidR="00DA10D1" w:rsidRPr="00DA10D1" w14:paraId="41BAF379" w14:textId="77777777" w:rsidTr="00926B2B">
        <w:trPr>
          <w:cantSplit/>
        </w:trPr>
        <w:tc>
          <w:tcPr>
            <w:tcW w:w="417" w:type="dxa"/>
            <w:shd w:val="clear" w:color="auto" w:fill="auto"/>
          </w:tcPr>
          <w:p w14:paraId="078E2E1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  <w:shd w:val="clear" w:color="auto" w:fill="auto"/>
          </w:tcPr>
          <w:p w14:paraId="748B2E1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Diabetes</w:t>
            </w:r>
          </w:p>
        </w:tc>
        <w:tc>
          <w:tcPr>
            <w:tcW w:w="2410" w:type="dxa"/>
            <w:shd w:val="clear" w:color="auto" w:fill="auto"/>
          </w:tcPr>
          <w:p w14:paraId="1A747E0E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214941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6A80ED6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2268" w:type="dxa"/>
            <w:shd w:val="clear" w:color="auto" w:fill="auto"/>
          </w:tcPr>
          <w:p w14:paraId="6F2035C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0.98-1.51</w:t>
            </w:r>
          </w:p>
        </w:tc>
      </w:tr>
      <w:tr w:rsidR="00DA10D1" w:rsidRPr="00DA10D1" w14:paraId="3428E5AA" w14:textId="77777777" w:rsidTr="00926B2B">
        <w:trPr>
          <w:cantSplit/>
        </w:trPr>
        <w:tc>
          <w:tcPr>
            <w:tcW w:w="417" w:type="dxa"/>
            <w:shd w:val="clear" w:color="auto" w:fill="auto"/>
          </w:tcPr>
          <w:p w14:paraId="3C1B3203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  <w:shd w:val="clear" w:color="auto" w:fill="auto"/>
          </w:tcPr>
          <w:p w14:paraId="7A5A7AB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Hypothyroidism</w:t>
            </w:r>
          </w:p>
        </w:tc>
        <w:tc>
          <w:tcPr>
            <w:tcW w:w="2410" w:type="dxa"/>
            <w:shd w:val="clear" w:color="auto" w:fill="auto"/>
          </w:tcPr>
          <w:p w14:paraId="7C23F38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A42BC3E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3D3C588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2268" w:type="dxa"/>
            <w:shd w:val="clear" w:color="auto" w:fill="auto"/>
          </w:tcPr>
          <w:p w14:paraId="4F1D5A9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0.82-1.48</w:t>
            </w:r>
          </w:p>
        </w:tc>
      </w:tr>
      <w:tr w:rsidR="00DA10D1" w:rsidRPr="00DA10D1" w14:paraId="2955D4CC" w14:textId="77777777" w:rsidTr="00926B2B">
        <w:tc>
          <w:tcPr>
            <w:tcW w:w="417" w:type="dxa"/>
          </w:tcPr>
          <w:p w14:paraId="1FFF74F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</w:tcPr>
          <w:p w14:paraId="2635EE4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Renal failure</w:t>
            </w:r>
          </w:p>
        </w:tc>
        <w:tc>
          <w:tcPr>
            <w:tcW w:w="2410" w:type="dxa"/>
          </w:tcPr>
          <w:p w14:paraId="7E032ADA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5A8FE03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14:paraId="5C994A9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2268" w:type="dxa"/>
          </w:tcPr>
          <w:p w14:paraId="7FCE531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0.65-1.27</w:t>
            </w:r>
          </w:p>
        </w:tc>
      </w:tr>
      <w:tr w:rsidR="00DA10D1" w:rsidRPr="00DA10D1" w14:paraId="2A36D739" w14:textId="77777777" w:rsidTr="00926B2B">
        <w:tc>
          <w:tcPr>
            <w:tcW w:w="417" w:type="dxa"/>
          </w:tcPr>
          <w:p w14:paraId="5CD1684E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</w:tcPr>
          <w:p w14:paraId="689B5C23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Cancer</w:t>
            </w:r>
          </w:p>
        </w:tc>
        <w:tc>
          <w:tcPr>
            <w:tcW w:w="2410" w:type="dxa"/>
          </w:tcPr>
          <w:p w14:paraId="2B2AA8D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1E9B4EA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14:paraId="4725A97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2268" w:type="dxa"/>
          </w:tcPr>
          <w:p w14:paraId="0AE26484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0.66-1.18</w:t>
            </w:r>
          </w:p>
        </w:tc>
      </w:tr>
      <w:tr w:rsidR="00DA10D1" w:rsidRPr="00DA10D1" w14:paraId="7C16CD52" w14:textId="77777777" w:rsidTr="00926B2B">
        <w:tc>
          <w:tcPr>
            <w:tcW w:w="417" w:type="dxa"/>
          </w:tcPr>
          <w:p w14:paraId="14EB733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</w:tcPr>
          <w:p w14:paraId="27AEA4D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Rheumatoid arthritis/collagen vascular diseases</w:t>
            </w:r>
          </w:p>
        </w:tc>
        <w:tc>
          <w:tcPr>
            <w:tcW w:w="2410" w:type="dxa"/>
          </w:tcPr>
          <w:p w14:paraId="71F7CDD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4AA067E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14:paraId="06BDF43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2268" w:type="dxa"/>
          </w:tcPr>
          <w:p w14:paraId="404D99EC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0.54-1.36</w:t>
            </w:r>
          </w:p>
        </w:tc>
      </w:tr>
      <w:tr w:rsidR="00DA10D1" w:rsidRPr="00DA10D1" w14:paraId="540D1F32" w14:textId="77777777" w:rsidTr="00926B2B">
        <w:tc>
          <w:tcPr>
            <w:tcW w:w="417" w:type="dxa"/>
          </w:tcPr>
          <w:p w14:paraId="11CFB3C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</w:tcPr>
          <w:p w14:paraId="6830D632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Coagulopathy</w:t>
            </w:r>
          </w:p>
        </w:tc>
        <w:tc>
          <w:tcPr>
            <w:tcW w:w="2410" w:type="dxa"/>
          </w:tcPr>
          <w:p w14:paraId="3496348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0168E167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14:paraId="2F9BEA2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2268" w:type="dxa"/>
          </w:tcPr>
          <w:p w14:paraId="0B72F42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0.57-1.54</w:t>
            </w:r>
          </w:p>
        </w:tc>
      </w:tr>
      <w:tr w:rsidR="00DA10D1" w:rsidRPr="00DA10D1" w14:paraId="187B5DC7" w14:textId="77777777" w:rsidTr="00926B2B">
        <w:tc>
          <w:tcPr>
            <w:tcW w:w="417" w:type="dxa"/>
          </w:tcPr>
          <w:p w14:paraId="1672AB0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</w:tcPr>
          <w:p w14:paraId="4816FB7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Fluid and electrolyte disorders</w:t>
            </w:r>
          </w:p>
        </w:tc>
        <w:tc>
          <w:tcPr>
            <w:tcW w:w="2410" w:type="dxa"/>
          </w:tcPr>
          <w:p w14:paraId="34B9BD40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549E22D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14:paraId="51AC06E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2268" w:type="dxa"/>
          </w:tcPr>
          <w:p w14:paraId="4F916924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0.61-1.48</w:t>
            </w:r>
          </w:p>
        </w:tc>
      </w:tr>
      <w:tr w:rsidR="00DA10D1" w:rsidRPr="00DA10D1" w14:paraId="03F82166" w14:textId="77777777" w:rsidTr="00926B2B">
        <w:tc>
          <w:tcPr>
            <w:tcW w:w="417" w:type="dxa"/>
          </w:tcPr>
          <w:p w14:paraId="4FC94AA6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</w:tcPr>
          <w:p w14:paraId="78419459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2410" w:type="dxa"/>
          </w:tcPr>
          <w:p w14:paraId="06E5169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1D9F7273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14:paraId="08F65AF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2268" w:type="dxa"/>
          </w:tcPr>
          <w:p w14:paraId="6E0D014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0.73-1.50</w:t>
            </w:r>
          </w:p>
        </w:tc>
      </w:tr>
      <w:tr w:rsidR="00DA10D1" w:rsidRPr="00DA10D1" w14:paraId="4BB3C038" w14:textId="77777777" w:rsidTr="00926B2B">
        <w:tc>
          <w:tcPr>
            <w:tcW w:w="417" w:type="dxa"/>
            <w:tcBorders>
              <w:bottom w:val="single" w:sz="4" w:space="0" w:color="auto"/>
            </w:tcBorders>
          </w:tcPr>
          <w:p w14:paraId="6125F68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086FAD41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A10D1">
              <w:rPr>
                <w:rFonts w:ascii="Arial" w:hAnsi="Arial" w:cs="Arial"/>
                <w:sz w:val="18"/>
                <w:szCs w:val="20"/>
              </w:rPr>
              <w:t>Liver disease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565507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8D325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9917F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3963BB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6"/>
                <w:szCs w:val="16"/>
              </w:rPr>
              <w:t>0.88-2.83</w:t>
            </w:r>
          </w:p>
        </w:tc>
      </w:tr>
      <w:tr w:rsidR="00DA10D1" w:rsidRPr="00DA10D1" w14:paraId="406548BB" w14:textId="77777777" w:rsidTr="00926B2B">
        <w:tc>
          <w:tcPr>
            <w:tcW w:w="14170" w:type="dxa"/>
            <w:gridSpan w:val="6"/>
            <w:tcBorders>
              <w:top w:val="single" w:sz="4" w:space="0" w:color="auto"/>
            </w:tcBorders>
          </w:tcPr>
          <w:p w14:paraId="49E20288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7"/>
                <w:szCs w:val="17"/>
              </w:rPr>
            </w:pPr>
            <w:r w:rsidRPr="00DA10D1">
              <w:rPr>
                <w:rFonts w:ascii="Arial" w:hAnsi="Arial" w:cs="Arial"/>
                <w:sz w:val="17"/>
                <w:szCs w:val="17"/>
                <w:vertAlign w:val="superscript"/>
                <w:lang w:val="en-GB"/>
              </w:rPr>
              <w:t>1</w:t>
            </w:r>
            <w:r w:rsidRPr="00DA10D1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Pr="00DA10D1">
              <w:rPr>
                <w:rFonts w:ascii="Arial" w:hAnsi="Arial" w:cs="Arial"/>
                <w:sz w:val="17"/>
                <w:szCs w:val="17"/>
              </w:rPr>
              <w:t>comorbidities defined with coding algorithms for defining Elixhauser comorbidities in ICD-9 administrative data (Quan et al. 2005), ≥2 ICD-9 codes per category, hypertension categories merged, diabetes categories merged, different cancer categories merged, drug abuse, alcohol abuse, obesity, weight loss, HIV/AIDS, paralysis, other neurological disorders, blood loss anemia and deficiency anemia not included;</w:t>
            </w:r>
          </w:p>
          <w:p w14:paraId="7E87F23F" w14:textId="77777777" w:rsidR="00DA10D1" w:rsidRPr="00DA10D1" w:rsidRDefault="00DA10D1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10D1">
              <w:rPr>
                <w:rFonts w:ascii="Arial" w:hAnsi="Arial" w:cs="Arial"/>
                <w:sz w:val="17"/>
                <w:szCs w:val="17"/>
              </w:rPr>
              <w:t>** p&lt;0.05; *** p&lt;0.001</w:t>
            </w:r>
          </w:p>
        </w:tc>
      </w:tr>
    </w:tbl>
    <w:p w14:paraId="00CE3A2F" w14:textId="77777777" w:rsidR="00DA10D1" w:rsidRPr="00DA10D1" w:rsidRDefault="00DA10D1"/>
    <w:p w14:paraId="0693362B" w14:textId="77777777" w:rsidR="00DA10D1" w:rsidRPr="00DA10D1" w:rsidRDefault="00DA10D1">
      <w:r w:rsidRPr="00DA10D1">
        <w:br w:type="page"/>
      </w:r>
    </w:p>
    <w:p w14:paraId="3BFBA881" w14:textId="0EB5F0AE" w:rsidR="00CD0DD0" w:rsidRPr="00CD0DD0" w:rsidRDefault="00CD0DD0" w:rsidP="00CD0DD0">
      <w:pPr>
        <w:pStyle w:val="Heading1"/>
        <w:rPr>
          <w:color w:val="auto"/>
        </w:rPr>
      </w:pPr>
      <w:bookmarkStart w:id="7" w:name="_Toc58255224"/>
      <w:r w:rsidRPr="00CD0DD0">
        <w:rPr>
          <w:color w:val="auto"/>
        </w:rPr>
        <w:lastRenderedPageBreak/>
        <w:t xml:space="preserve">eTable </w:t>
      </w:r>
      <w:r w:rsidR="006A127E">
        <w:rPr>
          <w:color w:val="auto"/>
        </w:rPr>
        <w:t>7</w:t>
      </w:r>
      <w:r w:rsidRPr="00CD0DD0">
        <w:rPr>
          <w:color w:val="auto"/>
        </w:rPr>
        <w:t>. Multivariable associations between demographic and clinical factors and the prescribing of potentially inappropriate medications in patients with min. 2 ambulatory visits recorded in the electronic medical records during the baseline period</w:t>
      </w:r>
      <w:bookmarkEnd w:id="7"/>
    </w:p>
    <w:tbl>
      <w:tblPr>
        <w:tblStyle w:val="TableGrid"/>
        <w:tblW w:w="13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5"/>
        <w:gridCol w:w="30"/>
        <w:gridCol w:w="4757"/>
        <w:gridCol w:w="2357"/>
        <w:gridCol w:w="2125"/>
        <w:gridCol w:w="1948"/>
        <w:gridCol w:w="1968"/>
      </w:tblGrid>
      <w:tr w:rsidR="00CD0DD0" w:rsidRPr="00CD0DD0" w14:paraId="4C8EB6DE" w14:textId="77777777" w:rsidTr="00926B2B">
        <w:trPr>
          <w:cantSplit/>
          <w:trHeight w:val="382"/>
        </w:trPr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14:paraId="407C403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>Demographics and clinical characteristics</w:t>
            </w:r>
          </w:p>
        </w:tc>
        <w:tc>
          <w:tcPr>
            <w:tcW w:w="4482" w:type="dxa"/>
            <w:gridSpan w:val="2"/>
            <w:shd w:val="clear" w:color="auto" w:fill="D9D9D9" w:themeFill="background1" w:themeFillShade="D9"/>
            <w:vAlign w:val="center"/>
          </w:tcPr>
          <w:p w14:paraId="79B878A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>Model 1: Demographic and healthcare utilization variables</w:t>
            </w:r>
          </w:p>
        </w:tc>
        <w:tc>
          <w:tcPr>
            <w:tcW w:w="3916" w:type="dxa"/>
            <w:gridSpan w:val="2"/>
            <w:shd w:val="clear" w:color="auto" w:fill="D9D9D9" w:themeFill="background1" w:themeFillShade="D9"/>
            <w:vAlign w:val="center"/>
          </w:tcPr>
          <w:p w14:paraId="34F8EC5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>Model 2: Model 1 + chronic conditions</w:t>
            </w:r>
          </w:p>
        </w:tc>
      </w:tr>
      <w:tr w:rsidR="00CD0DD0" w:rsidRPr="00CD0DD0" w14:paraId="2A065AF2" w14:textId="77777777" w:rsidTr="00926B2B">
        <w:trPr>
          <w:cantSplit/>
          <w:trHeight w:val="416"/>
        </w:trPr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A3B8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9FAC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5F37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8FF67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B0BF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CD0DD0" w:rsidRPr="00CD0DD0" w14:paraId="72FDB387" w14:textId="77777777" w:rsidTr="00926B2B">
        <w:trPr>
          <w:cantSplit/>
          <w:trHeight w:val="285"/>
        </w:trPr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BBE72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5EEA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DD0">
              <w:rPr>
                <w:rFonts w:ascii="Arial" w:hAnsi="Arial" w:cs="Arial"/>
                <w:sz w:val="16"/>
                <w:szCs w:val="18"/>
              </w:rPr>
              <w:t>(n = 17,466)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419BA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DD0">
              <w:rPr>
                <w:rFonts w:ascii="Arial" w:hAnsi="Arial" w:cs="Arial"/>
                <w:sz w:val="16"/>
                <w:szCs w:val="18"/>
              </w:rPr>
              <w:t>(n = 17,466)</w:t>
            </w:r>
          </w:p>
        </w:tc>
      </w:tr>
      <w:tr w:rsidR="00CD0DD0" w:rsidRPr="00CD0DD0" w14:paraId="55A2BE6A" w14:textId="77777777" w:rsidTr="00926B2B">
        <w:trPr>
          <w:cantSplit/>
          <w:trHeight w:val="285"/>
        </w:trPr>
        <w:tc>
          <w:tcPr>
            <w:tcW w:w="5245" w:type="dxa"/>
            <w:gridSpan w:val="4"/>
            <w:shd w:val="clear" w:color="auto" w:fill="auto"/>
          </w:tcPr>
          <w:p w14:paraId="09DD3C0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Age (reference: 65-74)</w:t>
            </w:r>
          </w:p>
        </w:tc>
        <w:tc>
          <w:tcPr>
            <w:tcW w:w="8398" w:type="dxa"/>
            <w:gridSpan w:val="4"/>
            <w:shd w:val="clear" w:color="auto" w:fill="auto"/>
          </w:tcPr>
          <w:p w14:paraId="0754A74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DD0" w:rsidRPr="00CD0DD0" w14:paraId="4D2EC9FA" w14:textId="77777777" w:rsidTr="00926B2B">
        <w:trPr>
          <w:cantSplit/>
          <w:trHeight w:val="285"/>
        </w:trPr>
        <w:tc>
          <w:tcPr>
            <w:tcW w:w="423" w:type="dxa"/>
            <w:shd w:val="clear" w:color="auto" w:fill="auto"/>
          </w:tcPr>
          <w:p w14:paraId="5F6FBE0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14:paraId="5CD8E98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75-84</w:t>
            </w:r>
          </w:p>
        </w:tc>
        <w:tc>
          <w:tcPr>
            <w:tcW w:w="2357" w:type="dxa"/>
            <w:shd w:val="clear" w:color="auto" w:fill="auto"/>
          </w:tcPr>
          <w:p w14:paraId="0882DC1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2125" w:type="dxa"/>
            <w:shd w:val="clear" w:color="auto" w:fill="auto"/>
          </w:tcPr>
          <w:p w14:paraId="1F426395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0.70-1.07</w:t>
            </w:r>
          </w:p>
        </w:tc>
        <w:tc>
          <w:tcPr>
            <w:tcW w:w="1948" w:type="dxa"/>
            <w:shd w:val="clear" w:color="auto" w:fill="auto"/>
          </w:tcPr>
          <w:p w14:paraId="50F2FCF5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1968" w:type="dxa"/>
            <w:shd w:val="clear" w:color="auto" w:fill="auto"/>
          </w:tcPr>
          <w:p w14:paraId="14DF14D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0.71-1.09</w:t>
            </w:r>
          </w:p>
        </w:tc>
      </w:tr>
      <w:tr w:rsidR="00CD0DD0" w:rsidRPr="00CD0DD0" w14:paraId="3D3C85CB" w14:textId="77777777" w:rsidTr="00926B2B">
        <w:trPr>
          <w:cantSplit/>
          <w:trHeight w:val="273"/>
        </w:trPr>
        <w:tc>
          <w:tcPr>
            <w:tcW w:w="423" w:type="dxa"/>
            <w:shd w:val="clear" w:color="auto" w:fill="auto"/>
          </w:tcPr>
          <w:p w14:paraId="1707682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14:paraId="1234062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85 and above</w:t>
            </w:r>
          </w:p>
        </w:tc>
        <w:tc>
          <w:tcPr>
            <w:tcW w:w="2357" w:type="dxa"/>
            <w:shd w:val="clear" w:color="auto" w:fill="auto"/>
          </w:tcPr>
          <w:p w14:paraId="70DBBE8E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2125" w:type="dxa"/>
            <w:shd w:val="clear" w:color="auto" w:fill="auto"/>
          </w:tcPr>
          <w:p w14:paraId="392A51F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0.58-1.01</w:t>
            </w:r>
          </w:p>
        </w:tc>
        <w:tc>
          <w:tcPr>
            <w:tcW w:w="1948" w:type="dxa"/>
            <w:shd w:val="clear" w:color="auto" w:fill="auto"/>
          </w:tcPr>
          <w:p w14:paraId="279808E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1968" w:type="dxa"/>
            <w:shd w:val="clear" w:color="auto" w:fill="auto"/>
          </w:tcPr>
          <w:p w14:paraId="0E99CC3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0.57-1.01</w:t>
            </w:r>
          </w:p>
        </w:tc>
      </w:tr>
      <w:tr w:rsidR="00CD0DD0" w:rsidRPr="00CD0DD0" w14:paraId="4F95E0BB" w14:textId="77777777" w:rsidTr="00926B2B">
        <w:trPr>
          <w:cantSplit/>
          <w:trHeight w:val="168"/>
        </w:trPr>
        <w:tc>
          <w:tcPr>
            <w:tcW w:w="5245" w:type="dxa"/>
            <w:gridSpan w:val="4"/>
            <w:shd w:val="clear" w:color="auto" w:fill="auto"/>
          </w:tcPr>
          <w:p w14:paraId="55E5837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Male sex (reference: female sex)</w:t>
            </w:r>
          </w:p>
        </w:tc>
        <w:tc>
          <w:tcPr>
            <w:tcW w:w="2357" w:type="dxa"/>
            <w:shd w:val="clear" w:color="auto" w:fill="auto"/>
          </w:tcPr>
          <w:p w14:paraId="60F1CB2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2125" w:type="dxa"/>
            <w:shd w:val="clear" w:color="auto" w:fill="auto"/>
          </w:tcPr>
          <w:p w14:paraId="370B0C87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1.03-1.50**</w:t>
            </w:r>
          </w:p>
        </w:tc>
        <w:tc>
          <w:tcPr>
            <w:tcW w:w="1948" w:type="dxa"/>
            <w:shd w:val="clear" w:color="auto" w:fill="auto"/>
          </w:tcPr>
          <w:p w14:paraId="3DEC78D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968" w:type="dxa"/>
            <w:shd w:val="clear" w:color="auto" w:fill="auto"/>
          </w:tcPr>
          <w:p w14:paraId="33E4121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1.01-1.50**</w:t>
            </w:r>
          </w:p>
        </w:tc>
      </w:tr>
      <w:tr w:rsidR="00CD0DD0" w:rsidRPr="00CD0DD0" w14:paraId="12059921" w14:textId="77777777" w:rsidTr="00926B2B">
        <w:trPr>
          <w:cantSplit/>
          <w:trHeight w:val="285"/>
        </w:trPr>
        <w:tc>
          <w:tcPr>
            <w:tcW w:w="5245" w:type="dxa"/>
            <w:gridSpan w:val="4"/>
            <w:shd w:val="clear" w:color="auto" w:fill="auto"/>
          </w:tcPr>
          <w:p w14:paraId="43DB3582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 xml:space="preserve">Hispanic ethnicity (reference: non-hispanic) </w:t>
            </w:r>
          </w:p>
        </w:tc>
        <w:tc>
          <w:tcPr>
            <w:tcW w:w="2357" w:type="dxa"/>
            <w:shd w:val="clear" w:color="auto" w:fill="auto"/>
          </w:tcPr>
          <w:p w14:paraId="4BA09252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2125" w:type="dxa"/>
            <w:shd w:val="clear" w:color="auto" w:fill="auto"/>
          </w:tcPr>
          <w:p w14:paraId="6A1A225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0.34-2.51</w:t>
            </w:r>
          </w:p>
        </w:tc>
        <w:tc>
          <w:tcPr>
            <w:tcW w:w="1948" w:type="dxa"/>
            <w:shd w:val="clear" w:color="auto" w:fill="auto"/>
          </w:tcPr>
          <w:p w14:paraId="07A33EB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968" w:type="dxa"/>
            <w:shd w:val="clear" w:color="auto" w:fill="auto"/>
          </w:tcPr>
          <w:p w14:paraId="1CA8C7C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0.34-2.49</w:t>
            </w:r>
          </w:p>
        </w:tc>
      </w:tr>
      <w:tr w:rsidR="00CD0DD0" w:rsidRPr="00CD0DD0" w14:paraId="34DBF5B9" w14:textId="77777777" w:rsidTr="00926B2B">
        <w:trPr>
          <w:cantSplit/>
          <w:trHeight w:val="285"/>
        </w:trPr>
        <w:tc>
          <w:tcPr>
            <w:tcW w:w="5245" w:type="dxa"/>
            <w:gridSpan w:val="4"/>
            <w:shd w:val="clear" w:color="auto" w:fill="auto"/>
          </w:tcPr>
          <w:p w14:paraId="7BD04D6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8"/>
                <w:szCs w:val="18"/>
              </w:rPr>
              <w:t xml:space="preserve">Race (reference: White) </w:t>
            </w:r>
          </w:p>
        </w:tc>
        <w:tc>
          <w:tcPr>
            <w:tcW w:w="8398" w:type="dxa"/>
            <w:gridSpan w:val="4"/>
            <w:shd w:val="clear" w:color="auto" w:fill="auto"/>
          </w:tcPr>
          <w:p w14:paraId="0136F83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DD0" w:rsidRPr="00CD0DD0" w14:paraId="4F6C8B0C" w14:textId="77777777" w:rsidTr="00926B2B">
        <w:trPr>
          <w:cantSplit/>
          <w:trHeight w:val="273"/>
        </w:trPr>
        <w:tc>
          <w:tcPr>
            <w:tcW w:w="488" w:type="dxa"/>
            <w:gridSpan w:val="3"/>
            <w:shd w:val="clear" w:color="auto" w:fill="auto"/>
          </w:tcPr>
          <w:p w14:paraId="756E7B1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4757" w:type="dxa"/>
            <w:shd w:val="clear" w:color="auto" w:fill="auto"/>
          </w:tcPr>
          <w:p w14:paraId="2A75389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Asian</w:t>
            </w:r>
          </w:p>
        </w:tc>
        <w:tc>
          <w:tcPr>
            <w:tcW w:w="2357" w:type="dxa"/>
            <w:shd w:val="clear" w:color="auto" w:fill="auto"/>
          </w:tcPr>
          <w:p w14:paraId="6E0924F7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2125" w:type="dxa"/>
            <w:shd w:val="clear" w:color="auto" w:fill="auto"/>
          </w:tcPr>
          <w:p w14:paraId="6FDBFA55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0.59-3.46</w:t>
            </w:r>
          </w:p>
        </w:tc>
        <w:tc>
          <w:tcPr>
            <w:tcW w:w="1948" w:type="dxa"/>
            <w:shd w:val="clear" w:color="auto" w:fill="auto"/>
          </w:tcPr>
          <w:p w14:paraId="651F909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1968" w:type="dxa"/>
            <w:shd w:val="clear" w:color="auto" w:fill="auto"/>
          </w:tcPr>
          <w:p w14:paraId="06FA67C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0.56-3.29</w:t>
            </w:r>
          </w:p>
        </w:tc>
      </w:tr>
      <w:tr w:rsidR="00CD0DD0" w:rsidRPr="00CD0DD0" w14:paraId="30385D05" w14:textId="77777777" w:rsidTr="00926B2B">
        <w:trPr>
          <w:cantSplit/>
          <w:trHeight w:val="285"/>
        </w:trPr>
        <w:tc>
          <w:tcPr>
            <w:tcW w:w="488" w:type="dxa"/>
            <w:gridSpan w:val="3"/>
            <w:shd w:val="clear" w:color="auto" w:fill="auto"/>
          </w:tcPr>
          <w:p w14:paraId="121F1CF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4757" w:type="dxa"/>
            <w:shd w:val="clear" w:color="auto" w:fill="auto"/>
          </w:tcPr>
          <w:p w14:paraId="4EA6B56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2357" w:type="dxa"/>
            <w:shd w:val="clear" w:color="auto" w:fill="auto"/>
          </w:tcPr>
          <w:p w14:paraId="6C8AE8F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2125" w:type="dxa"/>
            <w:shd w:val="clear" w:color="auto" w:fill="auto"/>
          </w:tcPr>
          <w:p w14:paraId="2817574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0.95-2.26</w:t>
            </w:r>
          </w:p>
        </w:tc>
        <w:tc>
          <w:tcPr>
            <w:tcW w:w="1948" w:type="dxa"/>
            <w:shd w:val="clear" w:color="auto" w:fill="auto"/>
          </w:tcPr>
          <w:p w14:paraId="227CA7E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1968" w:type="dxa"/>
            <w:shd w:val="clear" w:color="auto" w:fill="auto"/>
          </w:tcPr>
          <w:p w14:paraId="2341D94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0.92-2.19</w:t>
            </w:r>
          </w:p>
        </w:tc>
      </w:tr>
      <w:tr w:rsidR="00CD0DD0" w:rsidRPr="00CD0DD0" w14:paraId="260C9022" w14:textId="77777777" w:rsidTr="00926B2B">
        <w:trPr>
          <w:cantSplit/>
          <w:trHeight w:val="285"/>
        </w:trPr>
        <w:tc>
          <w:tcPr>
            <w:tcW w:w="488" w:type="dxa"/>
            <w:gridSpan w:val="3"/>
            <w:shd w:val="clear" w:color="auto" w:fill="auto"/>
          </w:tcPr>
          <w:p w14:paraId="7D554A7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4757" w:type="dxa"/>
            <w:shd w:val="clear" w:color="auto" w:fill="auto"/>
          </w:tcPr>
          <w:p w14:paraId="4C16227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2357" w:type="dxa"/>
            <w:shd w:val="clear" w:color="auto" w:fill="auto"/>
          </w:tcPr>
          <w:p w14:paraId="0835702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1.73</w:t>
            </w:r>
          </w:p>
        </w:tc>
        <w:tc>
          <w:tcPr>
            <w:tcW w:w="2125" w:type="dxa"/>
            <w:shd w:val="clear" w:color="auto" w:fill="auto"/>
          </w:tcPr>
          <w:p w14:paraId="051D174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0.95-3.15</w:t>
            </w:r>
          </w:p>
        </w:tc>
        <w:tc>
          <w:tcPr>
            <w:tcW w:w="1948" w:type="dxa"/>
            <w:shd w:val="clear" w:color="auto" w:fill="auto"/>
          </w:tcPr>
          <w:p w14:paraId="48121F8F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1968" w:type="dxa"/>
            <w:shd w:val="clear" w:color="auto" w:fill="auto"/>
          </w:tcPr>
          <w:p w14:paraId="7A518FF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0.91-3.06</w:t>
            </w:r>
          </w:p>
        </w:tc>
      </w:tr>
      <w:tr w:rsidR="00CD0DD0" w:rsidRPr="00CD0DD0" w14:paraId="319E59F7" w14:textId="77777777" w:rsidTr="00926B2B">
        <w:trPr>
          <w:cantSplit/>
          <w:trHeight w:val="285"/>
        </w:trPr>
        <w:tc>
          <w:tcPr>
            <w:tcW w:w="5245" w:type="dxa"/>
            <w:gridSpan w:val="4"/>
            <w:shd w:val="clear" w:color="auto" w:fill="auto"/>
          </w:tcPr>
          <w:p w14:paraId="4B02320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Number of inpatient stays (reference: 0)</w:t>
            </w:r>
          </w:p>
        </w:tc>
        <w:tc>
          <w:tcPr>
            <w:tcW w:w="8398" w:type="dxa"/>
            <w:gridSpan w:val="4"/>
            <w:shd w:val="clear" w:color="auto" w:fill="auto"/>
          </w:tcPr>
          <w:p w14:paraId="2E453F6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DD0" w:rsidRPr="00CD0DD0" w14:paraId="49EC37EA" w14:textId="77777777" w:rsidTr="00926B2B">
        <w:trPr>
          <w:cantSplit/>
          <w:trHeight w:val="273"/>
        </w:trPr>
        <w:tc>
          <w:tcPr>
            <w:tcW w:w="458" w:type="dxa"/>
            <w:gridSpan w:val="2"/>
            <w:shd w:val="clear" w:color="auto" w:fill="auto"/>
          </w:tcPr>
          <w:p w14:paraId="22EE22C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87" w:type="dxa"/>
            <w:gridSpan w:val="2"/>
            <w:shd w:val="clear" w:color="auto" w:fill="auto"/>
          </w:tcPr>
          <w:p w14:paraId="24B8580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357" w:type="dxa"/>
            <w:shd w:val="clear" w:color="auto" w:fill="auto"/>
          </w:tcPr>
          <w:p w14:paraId="4F14C49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2125" w:type="dxa"/>
            <w:shd w:val="clear" w:color="auto" w:fill="auto"/>
          </w:tcPr>
          <w:p w14:paraId="6AC62DA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0.73-1.33</w:t>
            </w:r>
          </w:p>
        </w:tc>
        <w:tc>
          <w:tcPr>
            <w:tcW w:w="1948" w:type="dxa"/>
            <w:shd w:val="clear" w:color="auto" w:fill="auto"/>
          </w:tcPr>
          <w:p w14:paraId="4FD2D30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968" w:type="dxa"/>
            <w:shd w:val="clear" w:color="auto" w:fill="auto"/>
          </w:tcPr>
          <w:p w14:paraId="65F6D8E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0.69-1.29</w:t>
            </w:r>
          </w:p>
        </w:tc>
      </w:tr>
      <w:tr w:rsidR="00CD0DD0" w:rsidRPr="00CD0DD0" w14:paraId="38102DA7" w14:textId="77777777" w:rsidTr="00926B2B">
        <w:trPr>
          <w:cantSplit/>
          <w:trHeight w:val="285"/>
        </w:trPr>
        <w:tc>
          <w:tcPr>
            <w:tcW w:w="5245" w:type="dxa"/>
            <w:gridSpan w:val="4"/>
            <w:shd w:val="clear" w:color="auto" w:fill="auto"/>
          </w:tcPr>
          <w:p w14:paraId="0629DA9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Number of emergency department visits (reference: 0)</w:t>
            </w:r>
          </w:p>
        </w:tc>
        <w:tc>
          <w:tcPr>
            <w:tcW w:w="8398" w:type="dxa"/>
            <w:gridSpan w:val="4"/>
            <w:shd w:val="clear" w:color="auto" w:fill="auto"/>
          </w:tcPr>
          <w:p w14:paraId="0EB45AE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DD0" w:rsidRPr="00CD0DD0" w14:paraId="22559866" w14:textId="77777777" w:rsidTr="00926B2B">
        <w:trPr>
          <w:cantSplit/>
          <w:trHeight w:val="285"/>
        </w:trPr>
        <w:tc>
          <w:tcPr>
            <w:tcW w:w="488" w:type="dxa"/>
            <w:gridSpan w:val="3"/>
            <w:shd w:val="clear" w:color="auto" w:fill="auto"/>
          </w:tcPr>
          <w:p w14:paraId="5FB4426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57" w:type="dxa"/>
            <w:shd w:val="clear" w:color="auto" w:fill="auto"/>
          </w:tcPr>
          <w:p w14:paraId="2165128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 xml:space="preserve">1 or above  </w:t>
            </w:r>
          </w:p>
        </w:tc>
        <w:tc>
          <w:tcPr>
            <w:tcW w:w="2357" w:type="dxa"/>
            <w:shd w:val="clear" w:color="auto" w:fill="auto"/>
          </w:tcPr>
          <w:p w14:paraId="3D83E6EF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2125" w:type="dxa"/>
            <w:shd w:val="clear" w:color="auto" w:fill="auto"/>
          </w:tcPr>
          <w:p w14:paraId="083F334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0.69-1.46</w:t>
            </w:r>
          </w:p>
        </w:tc>
        <w:tc>
          <w:tcPr>
            <w:tcW w:w="1948" w:type="dxa"/>
            <w:shd w:val="clear" w:color="auto" w:fill="auto"/>
          </w:tcPr>
          <w:p w14:paraId="7B9EACB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968" w:type="dxa"/>
            <w:shd w:val="clear" w:color="auto" w:fill="auto"/>
          </w:tcPr>
          <w:p w14:paraId="1155C43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0.85-1.43</w:t>
            </w:r>
          </w:p>
        </w:tc>
      </w:tr>
      <w:tr w:rsidR="00CD0DD0" w:rsidRPr="00CD0DD0" w14:paraId="2C8FDB04" w14:textId="77777777" w:rsidTr="00926B2B">
        <w:trPr>
          <w:cantSplit/>
          <w:trHeight w:val="261"/>
        </w:trPr>
        <w:tc>
          <w:tcPr>
            <w:tcW w:w="13643" w:type="dxa"/>
            <w:gridSpan w:val="8"/>
            <w:shd w:val="clear" w:color="auto" w:fill="auto"/>
          </w:tcPr>
          <w:p w14:paraId="48C444C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Number of ambulatory visits (reference: ≤9; categories based on quartiles)</w:t>
            </w:r>
          </w:p>
        </w:tc>
      </w:tr>
      <w:tr w:rsidR="00CD0DD0" w:rsidRPr="00CD0DD0" w14:paraId="5E3D3463" w14:textId="77777777" w:rsidTr="00926B2B">
        <w:trPr>
          <w:cantSplit/>
          <w:trHeight w:val="261"/>
        </w:trPr>
        <w:tc>
          <w:tcPr>
            <w:tcW w:w="423" w:type="dxa"/>
            <w:shd w:val="clear" w:color="auto" w:fill="auto"/>
          </w:tcPr>
          <w:p w14:paraId="25D1F5EE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14:paraId="02D47E4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 xml:space="preserve">10-17 </w:t>
            </w:r>
          </w:p>
        </w:tc>
        <w:tc>
          <w:tcPr>
            <w:tcW w:w="2357" w:type="dxa"/>
            <w:shd w:val="clear" w:color="auto" w:fill="auto"/>
          </w:tcPr>
          <w:p w14:paraId="2CFC78C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2125" w:type="dxa"/>
            <w:shd w:val="clear" w:color="auto" w:fill="auto"/>
          </w:tcPr>
          <w:p w14:paraId="6CB32D9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0.75-1.43</w:t>
            </w:r>
          </w:p>
        </w:tc>
        <w:tc>
          <w:tcPr>
            <w:tcW w:w="1948" w:type="dxa"/>
            <w:shd w:val="clear" w:color="auto" w:fill="auto"/>
          </w:tcPr>
          <w:p w14:paraId="30E9A20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968" w:type="dxa"/>
            <w:shd w:val="clear" w:color="auto" w:fill="auto"/>
          </w:tcPr>
          <w:p w14:paraId="0DFA814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0.75-1.43</w:t>
            </w:r>
          </w:p>
        </w:tc>
      </w:tr>
      <w:tr w:rsidR="00CD0DD0" w:rsidRPr="00CD0DD0" w14:paraId="35D1AC68" w14:textId="77777777" w:rsidTr="00926B2B">
        <w:trPr>
          <w:cantSplit/>
          <w:trHeight w:val="250"/>
        </w:trPr>
        <w:tc>
          <w:tcPr>
            <w:tcW w:w="423" w:type="dxa"/>
            <w:shd w:val="clear" w:color="auto" w:fill="auto"/>
          </w:tcPr>
          <w:p w14:paraId="6D0FA662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14:paraId="0C6EF77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 xml:space="preserve">18-29 </w:t>
            </w:r>
          </w:p>
        </w:tc>
        <w:tc>
          <w:tcPr>
            <w:tcW w:w="2357" w:type="dxa"/>
            <w:shd w:val="clear" w:color="auto" w:fill="auto"/>
          </w:tcPr>
          <w:p w14:paraId="181744A7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2125" w:type="dxa"/>
            <w:shd w:val="clear" w:color="auto" w:fill="auto"/>
          </w:tcPr>
          <w:p w14:paraId="4FB180A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1.12-2.08**</w:t>
            </w:r>
          </w:p>
        </w:tc>
        <w:tc>
          <w:tcPr>
            <w:tcW w:w="1948" w:type="dxa"/>
            <w:shd w:val="clear" w:color="auto" w:fill="auto"/>
          </w:tcPr>
          <w:p w14:paraId="67A1532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1968" w:type="dxa"/>
            <w:shd w:val="clear" w:color="auto" w:fill="auto"/>
          </w:tcPr>
          <w:p w14:paraId="330083E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1.12-2.10**</w:t>
            </w:r>
          </w:p>
        </w:tc>
      </w:tr>
      <w:tr w:rsidR="00CD0DD0" w:rsidRPr="00CD0DD0" w14:paraId="23797788" w14:textId="77777777" w:rsidTr="00926B2B">
        <w:trPr>
          <w:cantSplit/>
          <w:trHeight w:val="261"/>
        </w:trPr>
        <w:tc>
          <w:tcPr>
            <w:tcW w:w="423" w:type="dxa"/>
            <w:shd w:val="clear" w:color="auto" w:fill="auto"/>
          </w:tcPr>
          <w:p w14:paraId="47CFEA0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14:paraId="0E52A727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 xml:space="preserve">≥30 </w:t>
            </w:r>
          </w:p>
        </w:tc>
        <w:tc>
          <w:tcPr>
            <w:tcW w:w="2357" w:type="dxa"/>
            <w:shd w:val="clear" w:color="auto" w:fill="auto"/>
          </w:tcPr>
          <w:p w14:paraId="13E3400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2.29</w:t>
            </w:r>
          </w:p>
        </w:tc>
        <w:tc>
          <w:tcPr>
            <w:tcW w:w="2125" w:type="dxa"/>
            <w:shd w:val="clear" w:color="auto" w:fill="auto"/>
          </w:tcPr>
          <w:p w14:paraId="101B797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1.64-3.19***</w:t>
            </w:r>
          </w:p>
        </w:tc>
        <w:tc>
          <w:tcPr>
            <w:tcW w:w="1948" w:type="dxa"/>
            <w:shd w:val="clear" w:color="auto" w:fill="auto"/>
          </w:tcPr>
          <w:p w14:paraId="090EF9C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2.27</w:t>
            </w:r>
          </w:p>
        </w:tc>
        <w:tc>
          <w:tcPr>
            <w:tcW w:w="1968" w:type="dxa"/>
            <w:shd w:val="clear" w:color="auto" w:fill="auto"/>
          </w:tcPr>
          <w:p w14:paraId="1E905E2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1.62-3.20***</w:t>
            </w:r>
          </w:p>
        </w:tc>
      </w:tr>
      <w:tr w:rsidR="00CD0DD0" w:rsidRPr="00CD0DD0" w14:paraId="324441AB" w14:textId="77777777" w:rsidTr="00926B2B">
        <w:trPr>
          <w:cantSplit/>
          <w:trHeight w:val="285"/>
        </w:trPr>
        <w:tc>
          <w:tcPr>
            <w:tcW w:w="13643" w:type="dxa"/>
            <w:gridSpan w:val="8"/>
            <w:shd w:val="clear" w:color="auto" w:fill="auto"/>
          </w:tcPr>
          <w:p w14:paraId="05EB631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Number of non-acute institutional stays (reference: 0)</w:t>
            </w:r>
          </w:p>
        </w:tc>
      </w:tr>
      <w:tr w:rsidR="00CD0DD0" w:rsidRPr="00CD0DD0" w14:paraId="32E67DCD" w14:textId="77777777" w:rsidTr="00926B2B">
        <w:trPr>
          <w:cantSplit/>
          <w:trHeight w:val="285"/>
        </w:trPr>
        <w:tc>
          <w:tcPr>
            <w:tcW w:w="423" w:type="dxa"/>
            <w:shd w:val="clear" w:color="auto" w:fill="auto"/>
          </w:tcPr>
          <w:p w14:paraId="7F98035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14:paraId="05C48EED" w14:textId="77777777" w:rsidR="00CD0DD0" w:rsidRPr="00CD0DD0" w:rsidRDefault="00CD0DD0" w:rsidP="00926B2B">
            <w:pPr>
              <w:keepNext/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357" w:type="dxa"/>
            <w:shd w:val="clear" w:color="auto" w:fill="auto"/>
          </w:tcPr>
          <w:p w14:paraId="60ABD2A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2125" w:type="dxa"/>
            <w:shd w:val="clear" w:color="auto" w:fill="auto"/>
          </w:tcPr>
          <w:p w14:paraId="3ABDC94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0.55-1.11</w:t>
            </w:r>
          </w:p>
        </w:tc>
        <w:tc>
          <w:tcPr>
            <w:tcW w:w="1948" w:type="dxa"/>
            <w:shd w:val="clear" w:color="auto" w:fill="auto"/>
          </w:tcPr>
          <w:p w14:paraId="1DDF9CD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1968" w:type="dxa"/>
            <w:shd w:val="clear" w:color="auto" w:fill="auto"/>
          </w:tcPr>
          <w:p w14:paraId="2691654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0.52-1.05</w:t>
            </w:r>
          </w:p>
        </w:tc>
      </w:tr>
      <w:tr w:rsidR="00CD0DD0" w:rsidRPr="00CD0DD0" w14:paraId="5683961A" w14:textId="77777777" w:rsidTr="00926B2B">
        <w:trPr>
          <w:cantSplit/>
          <w:trHeight w:val="285"/>
        </w:trPr>
        <w:tc>
          <w:tcPr>
            <w:tcW w:w="13643" w:type="dxa"/>
            <w:gridSpan w:val="8"/>
            <w:shd w:val="clear" w:color="auto" w:fill="auto"/>
          </w:tcPr>
          <w:p w14:paraId="4F74FFB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Level of polypharmacy (reference: 5-9 medications)</w:t>
            </w:r>
          </w:p>
        </w:tc>
      </w:tr>
      <w:tr w:rsidR="00CD0DD0" w:rsidRPr="00CD0DD0" w14:paraId="4D79E837" w14:textId="77777777" w:rsidTr="00926B2B">
        <w:trPr>
          <w:cantSplit/>
          <w:trHeight w:val="273"/>
        </w:trPr>
        <w:tc>
          <w:tcPr>
            <w:tcW w:w="423" w:type="dxa"/>
            <w:shd w:val="clear" w:color="auto" w:fill="auto"/>
          </w:tcPr>
          <w:p w14:paraId="1122563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14:paraId="6D53202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10 and above</w:t>
            </w:r>
          </w:p>
        </w:tc>
        <w:tc>
          <w:tcPr>
            <w:tcW w:w="2357" w:type="dxa"/>
            <w:shd w:val="clear" w:color="auto" w:fill="auto"/>
          </w:tcPr>
          <w:p w14:paraId="29044DC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2125" w:type="dxa"/>
            <w:shd w:val="clear" w:color="auto" w:fill="auto"/>
          </w:tcPr>
          <w:p w14:paraId="2528C9B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0.71-1.95</w:t>
            </w:r>
          </w:p>
        </w:tc>
        <w:tc>
          <w:tcPr>
            <w:tcW w:w="1948" w:type="dxa"/>
            <w:shd w:val="clear" w:color="auto" w:fill="auto"/>
          </w:tcPr>
          <w:p w14:paraId="28CE9BE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968" w:type="dxa"/>
            <w:shd w:val="clear" w:color="auto" w:fill="auto"/>
          </w:tcPr>
          <w:p w14:paraId="19402937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0.65-1.79</w:t>
            </w:r>
          </w:p>
        </w:tc>
      </w:tr>
      <w:tr w:rsidR="00CD0DD0" w:rsidRPr="00CD0DD0" w14:paraId="423D582B" w14:textId="77777777" w:rsidTr="00926B2B">
        <w:trPr>
          <w:cantSplit/>
          <w:trHeight w:val="251"/>
        </w:trPr>
        <w:tc>
          <w:tcPr>
            <w:tcW w:w="5245" w:type="dxa"/>
            <w:gridSpan w:val="4"/>
            <w:shd w:val="clear" w:color="auto" w:fill="auto"/>
          </w:tcPr>
          <w:p w14:paraId="58CE598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Number of chronic conditions (1-unit increase)</w:t>
            </w:r>
          </w:p>
        </w:tc>
        <w:tc>
          <w:tcPr>
            <w:tcW w:w="2357" w:type="dxa"/>
            <w:shd w:val="clear" w:color="auto" w:fill="auto"/>
          </w:tcPr>
          <w:p w14:paraId="7F4D57D2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2125" w:type="dxa"/>
            <w:shd w:val="clear" w:color="auto" w:fill="auto"/>
          </w:tcPr>
          <w:p w14:paraId="552F13F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0.91-1.01</w:t>
            </w:r>
          </w:p>
        </w:tc>
        <w:tc>
          <w:tcPr>
            <w:tcW w:w="1948" w:type="dxa"/>
            <w:shd w:val="clear" w:color="auto" w:fill="auto"/>
          </w:tcPr>
          <w:p w14:paraId="0A1CD9BF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968" w:type="dxa"/>
            <w:shd w:val="clear" w:color="auto" w:fill="auto"/>
          </w:tcPr>
          <w:p w14:paraId="0FDA3C05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0.88-1.01</w:t>
            </w:r>
          </w:p>
        </w:tc>
      </w:tr>
      <w:tr w:rsidR="00CD0DD0" w:rsidRPr="00CD0DD0" w14:paraId="2C1E39B9" w14:textId="77777777" w:rsidTr="00926B2B">
        <w:trPr>
          <w:cantSplit/>
          <w:trHeight w:val="251"/>
        </w:trPr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6C46F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Number of prescribing orders (1-unit increase)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14:paraId="42EBF17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709B136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1.02-1.02***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0843767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1F23667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1.01-1.02***</w:t>
            </w:r>
          </w:p>
        </w:tc>
      </w:tr>
      <w:tr w:rsidR="00CD0DD0" w:rsidRPr="00CD0DD0" w14:paraId="75D02FAC" w14:textId="77777777" w:rsidTr="00926B2B">
        <w:trPr>
          <w:cantSplit/>
          <w:trHeight w:val="251"/>
        </w:trPr>
        <w:tc>
          <w:tcPr>
            <w:tcW w:w="1364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E992FE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continued</w:t>
            </w:r>
          </w:p>
        </w:tc>
      </w:tr>
    </w:tbl>
    <w:p w14:paraId="4EC1C980" w14:textId="77777777" w:rsidR="00CD0DD0" w:rsidRPr="00CD0DD0" w:rsidRDefault="00CD0DD0" w:rsidP="00CD0DD0">
      <w:pPr>
        <w:tabs>
          <w:tab w:val="left" w:pos="1080"/>
        </w:tabs>
        <w:rPr>
          <w:rFonts w:ascii="Arial" w:hAnsi="Arial" w:cs="Arial"/>
        </w:rPr>
      </w:pPr>
    </w:p>
    <w:tbl>
      <w:tblPr>
        <w:tblStyle w:val="TableGrid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733"/>
        <w:gridCol w:w="2239"/>
        <w:gridCol w:w="2091"/>
        <w:gridCol w:w="1917"/>
        <w:gridCol w:w="2116"/>
      </w:tblGrid>
      <w:tr w:rsidR="00CD0DD0" w:rsidRPr="00CD0DD0" w14:paraId="64C92FA0" w14:textId="77777777" w:rsidTr="00926B2B">
        <w:trPr>
          <w:cantSplit/>
          <w:trHeight w:val="434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7B5C229E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lastRenderedPageBreak/>
              <w:t>Demographics and clinical characteristics</w:t>
            </w:r>
          </w:p>
        </w:tc>
        <w:tc>
          <w:tcPr>
            <w:tcW w:w="4330" w:type="dxa"/>
            <w:gridSpan w:val="2"/>
            <w:shd w:val="clear" w:color="auto" w:fill="D9D9D9" w:themeFill="background1" w:themeFillShade="D9"/>
            <w:vAlign w:val="center"/>
          </w:tcPr>
          <w:p w14:paraId="18A8EF8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>Model 1: Demographic and healthcare utilization variables</w:t>
            </w:r>
          </w:p>
        </w:tc>
        <w:tc>
          <w:tcPr>
            <w:tcW w:w="4033" w:type="dxa"/>
            <w:gridSpan w:val="2"/>
            <w:shd w:val="clear" w:color="auto" w:fill="D9D9D9" w:themeFill="background1" w:themeFillShade="D9"/>
            <w:vAlign w:val="center"/>
          </w:tcPr>
          <w:p w14:paraId="23FABA4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>Model 2: Model 1 + chronic conditions</w:t>
            </w:r>
          </w:p>
        </w:tc>
      </w:tr>
      <w:tr w:rsidR="00CD0DD0" w:rsidRPr="00CD0DD0" w14:paraId="62EFB104" w14:textId="77777777" w:rsidTr="00926B2B">
        <w:trPr>
          <w:cantSplit/>
          <w:trHeight w:val="420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4F44E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D0C62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0E05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B7A8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7FF0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0DD0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CD0DD0" w:rsidRPr="00CD0DD0" w14:paraId="0CA735C8" w14:textId="77777777" w:rsidTr="00926B2B">
        <w:trPr>
          <w:cantSplit/>
          <w:trHeight w:val="298"/>
        </w:trPr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66E1D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8"/>
                <w:szCs w:val="18"/>
              </w:rPr>
              <w:t>Types of comorbidities</w:t>
            </w:r>
            <w:r w:rsidRPr="00CD0DD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F394F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DD0" w:rsidRPr="00CD0DD0" w14:paraId="71959647" w14:textId="77777777" w:rsidTr="00926B2B">
        <w:trPr>
          <w:cantSplit/>
          <w:trHeight w:val="284"/>
        </w:trPr>
        <w:tc>
          <w:tcPr>
            <w:tcW w:w="512" w:type="dxa"/>
            <w:shd w:val="clear" w:color="auto" w:fill="auto"/>
          </w:tcPr>
          <w:p w14:paraId="05C6EFE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  <w:shd w:val="clear" w:color="auto" w:fill="auto"/>
          </w:tcPr>
          <w:p w14:paraId="3BEE5E3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Congestive heart failure</w:t>
            </w:r>
          </w:p>
        </w:tc>
        <w:tc>
          <w:tcPr>
            <w:tcW w:w="2239" w:type="dxa"/>
            <w:shd w:val="clear" w:color="auto" w:fill="auto"/>
          </w:tcPr>
          <w:p w14:paraId="42A2248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14:paraId="616004C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14:paraId="3BA3B61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2116" w:type="dxa"/>
            <w:shd w:val="clear" w:color="auto" w:fill="auto"/>
          </w:tcPr>
          <w:p w14:paraId="128E210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1.09-1.81**</w:t>
            </w:r>
          </w:p>
        </w:tc>
      </w:tr>
      <w:tr w:rsidR="00CD0DD0" w:rsidRPr="00CD0DD0" w14:paraId="61CB437A" w14:textId="77777777" w:rsidTr="00926B2B">
        <w:trPr>
          <w:cantSplit/>
          <w:trHeight w:val="284"/>
        </w:trPr>
        <w:tc>
          <w:tcPr>
            <w:tcW w:w="512" w:type="dxa"/>
            <w:shd w:val="clear" w:color="auto" w:fill="auto"/>
          </w:tcPr>
          <w:p w14:paraId="12B31D5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  <w:shd w:val="clear" w:color="auto" w:fill="auto"/>
          </w:tcPr>
          <w:p w14:paraId="7C79CD6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Cardiac arrhythmias</w:t>
            </w:r>
          </w:p>
        </w:tc>
        <w:tc>
          <w:tcPr>
            <w:tcW w:w="2239" w:type="dxa"/>
            <w:shd w:val="clear" w:color="auto" w:fill="auto"/>
          </w:tcPr>
          <w:p w14:paraId="67C9BBB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14:paraId="41341AE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14:paraId="06F8D03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2116" w:type="dxa"/>
            <w:shd w:val="clear" w:color="auto" w:fill="auto"/>
          </w:tcPr>
          <w:p w14:paraId="1258554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0.71-1.47</w:t>
            </w:r>
          </w:p>
        </w:tc>
      </w:tr>
      <w:tr w:rsidR="00CD0DD0" w:rsidRPr="00CD0DD0" w14:paraId="2ECE9A7E" w14:textId="77777777" w:rsidTr="00926B2B">
        <w:trPr>
          <w:cantSplit/>
          <w:trHeight w:val="284"/>
        </w:trPr>
        <w:tc>
          <w:tcPr>
            <w:tcW w:w="512" w:type="dxa"/>
            <w:shd w:val="clear" w:color="auto" w:fill="auto"/>
          </w:tcPr>
          <w:p w14:paraId="4DE8873F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  <w:shd w:val="clear" w:color="auto" w:fill="auto"/>
          </w:tcPr>
          <w:p w14:paraId="6C99534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Valvular disease</w:t>
            </w:r>
          </w:p>
        </w:tc>
        <w:tc>
          <w:tcPr>
            <w:tcW w:w="2239" w:type="dxa"/>
            <w:shd w:val="clear" w:color="auto" w:fill="auto"/>
          </w:tcPr>
          <w:p w14:paraId="511BB682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14:paraId="2F35879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14:paraId="339FC16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2116" w:type="dxa"/>
            <w:shd w:val="clear" w:color="auto" w:fill="auto"/>
          </w:tcPr>
          <w:p w14:paraId="12CBC84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0.63-1.15</w:t>
            </w:r>
          </w:p>
        </w:tc>
      </w:tr>
      <w:tr w:rsidR="00CD0DD0" w:rsidRPr="00CD0DD0" w14:paraId="63D5E37D" w14:textId="77777777" w:rsidTr="00926B2B">
        <w:trPr>
          <w:cantSplit/>
          <w:trHeight w:val="298"/>
        </w:trPr>
        <w:tc>
          <w:tcPr>
            <w:tcW w:w="512" w:type="dxa"/>
            <w:shd w:val="clear" w:color="auto" w:fill="auto"/>
          </w:tcPr>
          <w:p w14:paraId="470999AE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  <w:shd w:val="clear" w:color="auto" w:fill="auto"/>
          </w:tcPr>
          <w:p w14:paraId="5659941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Pulmonary circulation disorders</w:t>
            </w:r>
          </w:p>
        </w:tc>
        <w:tc>
          <w:tcPr>
            <w:tcW w:w="2239" w:type="dxa"/>
            <w:shd w:val="clear" w:color="auto" w:fill="auto"/>
          </w:tcPr>
          <w:p w14:paraId="4593BF3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14:paraId="501BF1B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14:paraId="5B156EB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2116" w:type="dxa"/>
            <w:shd w:val="clear" w:color="auto" w:fill="auto"/>
          </w:tcPr>
          <w:p w14:paraId="6045763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0.84-2.38</w:t>
            </w:r>
          </w:p>
        </w:tc>
      </w:tr>
      <w:tr w:rsidR="00CD0DD0" w:rsidRPr="00CD0DD0" w14:paraId="49C52F9B" w14:textId="77777777" w:rsidTr="00926B2B">
        <w:trPr>
          <w:cantSplit/>
          <w:trHeight w:val="284"/>
        </w:trPr>
        <w:tc>
          <w:tcPr>
            <w:tcW w:w="512" w:type="dxa"/>
            <w:shd w:val="clear" w:color="auto" w:fill="auto"/>
          </w:tcPr>
          <w:p w14:paraId="1F8530BE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  <w:shd w:val="clear" w:color="auto" w:fill="auto"/>
          </w:tcPr>
          <w:p w14:paraId="53ABA5F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Peripheral vascular disorders</w:t>
            </w:r>
          </w:p>
        </w:tc>
        <w:tc>
          <w:tcPr>
            <w:tcW w:w="2239" w:type="dxa"/>
            <w:shd w:val="clear" w:color="auto" w:fill="auto"/>
          </w:tcPr>
          <w:p w14:paraId="7B09DBE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14:paraId="44450B9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14:paraId="27DAC3B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2116" w:type="dxa"/>
            <w:shd w:val="clear" w:color="auto" w:fill="auto"/>
          </w:tcPr>
          <w:p w14:paraId="0E93739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0.84-1.43</w:t>
            </w:r>
          </w:p>
        </w:tc>
      </w:tr>
      <w:tr w:rsidR="00CD0DD0" w:rsidRPr="00CD0DD0" w14:paraId="627C964B" w14:textId="77777777" w:rsidTr="00926B2B">
        <w:trPr>
          <w:cantSplit/>
          <w:trHeight w:val="284"/>
        </w:trPr>
        <w:tc>
          <w:tcPr>
            <w:tcW w:w="512" w:type="dxa"/>
            <w:shd w:val="clear" w:color="auto" w:fill="auto"/>
          </w:tcPr>
          <w:p w14:paraId="2CC0346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  <w:shd w:val="clear" w:color="auto" w:fill="auto"/>
          </w:tcPr>
          <w:p w14:paraId="64A77795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2239" w:type="dxa"/>
            <w:shd w:val="clear" w:color="auto" w:fill="auto"/>
          </w:tcPr>
          <w:p w14:paraId="07A38E5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14:paraId="2899233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14:paraId="15E9770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2116" w:type="dxa"/>
            <w:shd w:val="clear" w:color="auto" w:fill="auto"/>
          </w:tcPr>
          <w:p w14:paraId="38885DA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0.77-1.20</w:t>
            </w:r>
          </w:p>
        </w:tc>
      </w:tr>
      <w:tr w:rsidR="00CD0DD0" w:rsidRPr="00CD0DD0" w14:paraId="3132FC4B" w14:textId="77777777" w:rsidTr="00926B2B">
        <w:trPr>
          <w:cantSplit/>
          <w:trHeight w:val="284"/>
        </w:trPr>
        <w:tc>
          <w:tcPr>
            <w:tcW w:w="512" w:type="dxa"/>
            <w:shd w:val="clear" w:color="auto" w:fill="auto"/>
          </w:tcPr>
          <w:p w14:paraId="609EACE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  <w:shd w:val="clear" w:color="auto" w:fill="auto"/>
          </w:tcPr>
          <w:p w14:paraId="425C558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Chronic pulmonary disorders</w:t>
            </w:r>
          </w:p>
        </w:tc>
        <w:tc>
          <w:tcPr>
            <w:tcW w:w="2239" w:type="dxa"/>
            <w:shd w:val="clear" w:color="auto" w:fill="auto"/>
          </w:tcPr>
          <w:p w14:paraId="6B4A626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14:paraId="1FACF58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14:paraId="4953672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2116" w:type="dxa"/>
            <w:shd w:val="clear" w:color="auto" w:fill="auto"/>
          </w:tcPr>
          <w:p w14:paraId="1FA8FE5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0.84-1.43</w:t>
            </w:r>
          </w:p>
        </w:tc>
      </w:tr>
      <w:tr w:rsidR="00CD0DD0" w:rsidRPr="00CD0DD0" w14:paraId="6F268F5E" w14:textId="77777777" w:rsidTr="00926B2B">
        <w:trPr>
          <w:cantSplit/>
          <w:trHeight w:val="298"/>
        </w:trPr>
        <w:tc>
          <w:tcPr>
            <w:tcW w:w="512" w:type="dxa"/>
            <w:shd w:val="clear" w:color="auto" w:fill="auto"/>
          </w:tcPr>
          <w:p w14:paraId="0C05A02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  <w:shd w:val="clear" w:color="auto" w:fill="auto"/>
          </w:tcPr>
          <w:p w14:paraId="4EDE39B5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Diabetes</w:t>
            </w:r>
          </w:p>
        </w:tc>
        <w:tc>
          <w:tcPr>
            <w:tcW w:w="2239" w:type="dxa"/>
            <w:shd w:val="clear" w:color="auto" w:fill="auto"/>
          </w:tcPr>
          <w:p w14:paraId="3E58B56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14:paraId="6C34631F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14:paraId="30CB7E45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2116" w:type="dxa"/>
            <w:shd w:val="clear" w:color="auto" w:fill="auto"/>
          </w:tcPr>
          <w:p w14:paraId="09B7E70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0.95-1.47</w:t>
            </w:r>
          </w:p>
        </w:tc>
      </w:tr>
      <w:tr w:rsidR="00CD0DD0" w:rsidRPr="00CD0DD0" w14:paraId="4D30C219" w14:textId="77777777" w:rsidTr="00926B2B">
        <w:trPr>
          <w:cantSplit/>
          <w:trHeight w:val="284"/>
        </w:trPr>
        <w:tc>
          <w:tcPr>
            <w:tcW w:w="512" w:type="dxa"/>
            <w:shd w:val="clear" w:color="auto" w:fill="auto"/>
          </w:tcPr>
          <w:p w14:paraId="3557003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  <w:shd w:val="clear" w:color="auto" w:fill="auto"/>
          </w:tcPr>
          <w:p w14:paraId="65AFE33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Hypothyroidism</w:t>
            </w:r>
          </w:p>
        </w:tc>
        <w:tc>
          <w:tcPr>
            <w:tcW w:w="2239" w:type="dxa"/>
            <w:shd w:val="clear" w:color="auto" w:fill="auto"/>
          </w:tcPr>
          <w:p w14:paraId="27ACBFC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14:paraId="2944EB8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14:paraId="540BD45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2116" w:type="dxa"/>
            <w:shd w:val="clear" w:color="auto" w:fill="auto"/>
          </w:tcPr>
          <w:p w14:paraId="64DEAA1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0.80-1.44</w:t>
            </w:r>
          </w:p>
        </w:tc>
      </w:tr>
      <w:tr w:rsidR="00CD0DD0" w:rsidRPr="00CD0DD0" w14:paraId="1C479A08" w14:textId="77777777" w:rsidTr="00926B2B">
        <w:trPr>
          <w:trHeight w:val="284"/>
        </w:trPr>
        <w:tc>
          <w:tcPr>
            <w:tcW w:w="512" w:type="dxa"/>
          </w:tcPr>
          <w:p w14:paraId="62930F53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</w:tcPr>
          <w:p w14:paraId="3EBFBF9D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Renal failure</w:t>
            </w:r>
          </w:p>
        </w:tc>
        <w:tc>
          <w:tcPr>
            <w:tcW w:w="2239" w:type="dxa"/>
          </w:tcPr>
          <w:p w14:paraId="5D26C96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14:paraId="3409F07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</w:tcPr>
          <w:p w14:paraId="7C5B53A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2116" w:type="dxa"/>
          </w:tcPr>
          <w:p w14:paraId="56A53DFB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0.65-1.26</w:t>
            </w:r>
          </w:p>
        </w:tc>
      </w:tr>
      <w:tr w:rsidR="00CD0DD0" w:rsidRPr="00CD0DD0" w14:paraId="30630665" w14:textId="77777777" w:rsidTr="00926B2B">
        <w:trPr>
          <w:trHeight w:val="298"/>
        </w:trPr>
        <w:tc>
          <w:tcPr>
            <w:tcW w:w="512" w:type="dxa"/>
          </w:tcPr>
          <w:p w14:paraId="01ECE23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</w:tcPr>
          <w:p w14:paraId="77AE885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Cancer</w:t>
            </w:r>
          </w:p>
        </w:tc>
        <w:tc>
          <w:tcPr>
            <w:tcW w:w="2239" w:type="dxa"/>
          </w:tcPr>
          <w:p w14:paraId="7DB0FB7F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14:paraId="09AD272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</w:tcPr>
          <w:p w14:paraId="52C3F24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2116" w:type="dxa"/>
          </w:tcPr>
          <w:p w14:paraId="4232C2A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0.66-1.17</w:t>
            </w:r>
          </w:p>
        </w:tc>
      </w:tr>
      <w:tr w:rsidR="00CD0DD0" w:rsidRPr="00CD0DD0" w14:paraId="5D6745AB" w14:textId="77777777" w:rsidTr="00926B2B">
        <w:trPr>
          <w:trHeight w:val="284"/>
        </w:trPr>
        <w:tc>
          <w:tcPr>
            <w:tcW w:w="512" w:type="dxa"/>
          </w:tcPr>
          <w:p w14:paraId="61F9163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</w:tcPr>
          <w:p w14:paraId="2BD6782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Rheumatoid arthritis/collagen vascular diseases</w:t>
            </w:r>
          </w:p>
        </w:tc>
        <w:tc>
          <w:tcPr>
            <w:tcW w:w="2239" w:type="dxa"/>
          </w:tcPr>
          <w:p w14:paraId="5DCB414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14:paraId="5994694E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</w:tcPr>
          <w:p w14:paraId="2D98C2B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2116" w:type="dxa"/>
          </w:tcPr>
          <w:p w14:paraId="5873614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0.51-1.28</w:t>
            </w:r>
          </w:p>
        </w:tc>
      </w:tr>
      <w:tr w:rsidR="00CD0DD0" w:rsidRPr="00CD0DD0" w14:paraId="19E72A0C" w14:textId="77777777" w:rsidTr="00926B2B">
        <w:trPr>
          <w:trHeight w:val="284"/>
        </w:trPr>
        <w:tc>
          <w:tcPr>
            <w:tcW w:w="512" w:type="dxa"/>
          </w:tcPr>
          <w:p w14:paraId="5DE8946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</w:tcPr>
          <w:p w14:paraId="3E9200BF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Coagulopathy</w:t>
            </w:r>
          </w:p>
        </w:tc>
        <w:tc>
          <w:tcPr>
            <w:tcW w:w="2239" w:type="dxa"/>
          </w:tcPr>
          <w:p w14:paraId="0233644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14:paraId="08999BF5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</w:tcPr>
          <w:p w14:paraId="0800BC0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2116" w:type="dxa"/>
          </w:tcPr>
          <w:p w14:paraId="1F3A47F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9,58-1.56</w:t>
            </w:r>
          </w:p>
        </w:tc>
      </w:tr>
      <w:tr w:rsidR="00CD0DD0" w:rsidRPr="00CD0DD0" w14:paraId="29AB4589" w14:textId="77777777" w:rsidTr="00926B2B">
        <w:trPr>
          <w:trHeight w:val="284"/>
        </w:trPr>
        <w:tc>
          <w:tcPr>
            <w:tcW w:w="512" w:type="dxa"/>
          </w:tcPr>
          <w:p w14:paraId="5444C91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</w:tcPr>
          <w:p w14:paraId="6DE3D3DE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Fluid and electrolyte disorders</w:t>
            </w:r>
          </w:p>
        </w:tc>
        <w:tc>
          <w:tcPr>
            <w:tcW w:w="2239" w:type="dxa"/>
          </w:tcPr>
          <w:p w14:paraId="5843DB4A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14:paraId="3E40989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</w:tcPr>
          <w:p w14:paraId="4F2B02F1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2116" w:type="dxa"/>
          </w:tcPr>
          <w:p w14:paraId="401CBDD4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0.73-1.67</w:t>
            </w:r>
          </w:p>
        </w:tc>
      </w:tr>
      <w:tr w:rsidR="00CD0DD0" w:rsidRPr="00CD0DD0" w14:paraId="09C3B6C2" w14:textId="77777777" w:rsidTr="00926B2B">
        <w:trPr>
          <w:trHeight w:val="298"/>
        </w:trPr>
        <w:tc>
          <w:tcPr>
            <w:tcW w:w="512" w:type="dxa"/>
          </w:tcPr>
          <w:p w14:paraId="2A97523E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</w:tcPr>
          <w:p w14:paraId="0A3AD437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2239" w:type="dxa"/>
          </w:tcPr>
          <w:p w14:paraId="0DEC049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14:paraId="3279010E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</w:tcPr>
          <w:p w14:paraId="672A34A6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2116" w:type="dxa"/>
          </w:tcPr>
          <w:p w14:paraId="5932B7D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0.74-1.52</w:t>
            </w:r>
          </w:p>
        </w:tc>
      </w:tr>
      <w:tr w:rsidR="00CD0DD0" w:rsidRPr="00CD0DD0" w14:paraId="585D7B7E" w14:textId="77777777" w:rsidTr="00926B2B">
        <w:trPr>
          <w:trHeight w:val="284"/>
        </w:trPr>
        <w:tc>
          <w:tcPr>
            <w:tcW w:w="512" w:type="dxa"/>
            <w:tcBorders>
              <w:bottom w:val="single" w:sz="4" w:space="0" w:color="auto"/>
            </w:tcBorders>
          </w:tcPr>
          <w:p w14:paraId="3446E96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14:paraId="1F75AFE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CD0DD0">
              <w:rPr>
                <w:rFonts w:ascii="Arial" w:hAnsi="Arial" w:cs="Arial"/>
                <w:sz w:val="18"/>
                <w:szCs w:val="20"/>
              </w:rPr>
              <w:t>Liver disease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0E8DD79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0852E2C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1048FED8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5B654D90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6"/>
                <w:szCs w:val="16"/>
              </w:rPr>
              <w:t>0.86-2.77</w:t>
            </w:r>
          </w:p>
        </w:tc>
      </w:tr>
      <w:tr w:rsidR="00CD0DD0" w:rsidRPr="00CD0DD0" w14:paraId="584DFB5B" w14:textId="77777777" w:rsidTr="00926B2B">
        <w:trPr>
          <w:trHeight w:val="908"/>
        </w:trPr>
        <w:tc>
          <w:tcPr>
            <w:tcW w:w="13608" w:type="dxa"/>
            <w:gridSpan w:val="6"/>
            <w:tcBorders>
              <w:top w:val="single" w:sz="4" w:space="0" w:color="auto"/>
            </w:tcBorders>
          </w:tcPr>
          <w:p w14:paraId="155781C5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7"/>
                <w:szCs w:val="17"/>
              </w:rPr>
            </w:pPr>
            <w:r w:rsidRPr="00CD0DD0">
              <w:rPr>
                <w:rFonts w:ascii="Arial" w:hAnsi="Arial" w:cs="Arial"/>
                <w:sz w:val="17"/>
                <w:szCs w:val="17"/>
                <w:vertAlign w:val="superscript"/>
                <w:lang w:val="en-GB"/>
              </w:rPr>
              <w:t>1</w:t>
            </w:r>
            <w:r w:rsidRPr="00CD0DD0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Pr="00CD0DD0">
              <w:rPr>
                <w:rFonts w:ascii="Arial" w:hAnsi="Arial" w:cs="Arial"/>
                <w:sz w:val="17"/>
                <w:szCs w:val="17"/>
              </w:rPr>
              <w:t>comorbidities defined with coding algorithms for defining Elixhauser comorbidities in ICD-9 administrative data (Quan et al. 2005), ≥2 ICD-9 codes per category, hypertension categories merged, diabetes categories merged, different cancer categories merged, drug abuse, alcohol abuse, obesity, weight loss, HIV/AIDS, paralysis, other neurological disorders, blood loss anemia and deficiency anemia not included;</w:t>
            </w:r>
          </w:p>
          <w:p w14:paraId="591A12BE" w14:textId="77777777" w:rsidR="00CD0DD0" w:rsidRPr="00CD0DD0" w:rsidRDefault="00CD0DD0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0DD0">
              <w:rPr>
                <w:rFonts w:ascii="Arial" w:hAnsi="Arial" w:cs="Arial"/>
                <w:sz w:val="17"/>
                <w:szCs w:val="17"/>
              </w:rPr>
              <w:t>** p&lt;0.05; *** p&lt;0.001</w:t>
            </w:r>
          </w:p>
        </w:tc>
      </w:tr>
    </w:tbl>
    <w:p w14:paraId="42B0C752" w14:textId="77777777" w:rsidR="00CD0DD0" w:rsidRPr="00CD0DD0" w:rsidRDefault="00CD0DD0" w:rsidP="00CD0DD0">
      <w:pPr>
        <w:rPr>
          <w:rFonts w:ascii="Arial" w:hAnsi="Arial" w:cs="Arial"/>
        </w:rPr>
      </w:pPr>
    </w:p>
    <w:p w14:paraId="27BEC705" w14:textId="77777777" w:rsidR="00190BC3" w:rsidRDefault="00190BC3">
      <w:r>
        <w:br w:type="page"/>
      </w:r>
    </w:p>
    <w:p w14:paraId="3708063E" w14:textId="1F754F24" w:rsidR="00190BC3" w:rsidRPr="00190BC3" w:rsidRDefault="00190BC3" w:rsidP="00190BC3">
      <w:pPr>
        <w:pStyle w:val="Heading1"/>
        <w:rPr>
          <w:color w:val="auto"/>
        </w:rPr>
      </w:pPr>
      <w:bookmarkStart w:id="8" w:name="_Toc58255225"/>
      <w:r w:rsidRPr="00190BC3">
        <w:rPr>
          <w:color w:val="auto"/>
        </w:rPr>
        <w:lastRenderedPageBreak/>
        <w:t xml:space="preserve">eTable </w:t>
      </w:r>
      <w:r w:rsidR="006A127E">
        <w:rPr>
          <w:color w:val="auto"/>
        </w:rPr>
        <w:t>8</w:t>
      </w:r>
      <w:r w:rsidRPr="00190BC3">
        <w:rPr>
          <w:color w:val="auto"/>
        </w:rPr>
        <w:t>. Multivariable associations between demographic and clinical factors and the prescribing of potentially inappropriate medications in patients: Sensitivity analysis with claims-based frailty index</w:t>
      </w:r>
      <w:bookmarkEnd w:id="8"/>
    </w:p>
    <w:p w14:paraId="49E45476" w14:textId="77777777" w:rsidR="00190BC3" w:rsidRPr="00190BC3" w:rsidRDefault="00190BC3" w:rsidP="00190BC3"/>
    <w:tbl>
      <w:tblPr>
        <w:tblStyle w:val="TableGrid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6"/>
        <w:gridCol w:w="32"/>
        <w:gridCol w:w="7670"/>
        <w:gridCol w:w="2607"/>
        <w:gridCol w:w="2801"/>
      </w:tblGrid>
      <w:tr w:rsidR="00190BC3" w:rsidRPr="00190BC3" w14:paraId="42FB4518" w14:textId="77777777" w:rsidTr="00190BC3">
        <w:trPr>
          <w:cantSplit/>
          <w:trHeight w:val="261"/>
        </w:trPr>
        <w:tc>
          <w:tcPr>
            <w:tcW w:w="8185" w:type="dxa"/>
            <w:gridSpan w:val="4"/>
            <w:shd w:val="clear" w:color="auto" w:fill="D9D9D9" w:themeFill="background1" w:themeFillShade="D9"/>
            <w:vAlign w:val="center"/>
          </w:tcPr>
          <w:p w14:paraId="578907D6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90BC3">
              <w:rPr>
                <w:rFonts w:ascii="Arial" w:hAnsi="Arial" w:cs="Arial"/>
                <w:b/>
                <w:sz w:val="17"/>
                <w:szCs w:val="17"/>
              </w:rPr>
              <w:t>Demographics and clinical characteristics</w:t>
            </w:r>
          </w:p>
        </w:tc>
        <w:tc>
          <w:tcPr>
            <w:tcW w:w="5408" w:type="dxa"/>
            <w:gridSpan w:val="2"/>
            <w:shd w:val="clear" w:color="auto" w:fill="D9D9D9" w:themeFill="background1" w:themeFillShade="D9"/>
            <w:vAlign w:val="center"/>
          </w:tcPr>
          <w:p w14:paraId="3EFE75D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90BC3">
              <w:rPr>
                <w:rFonts w:ascii="Arial" w:hAnsi="Arial" w:cs="Arial"/>
                <w:b/>
                <w:sz w:val="17"/>
                <w:szCs w:val="17"/>
              </w:rPr>
              <w:t>Full model plus frailty index</w:t>
            </w:r>
            <w:r w:rsidRPr="00190BC3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1</w:t>
            </w:r>
          </w:p>
        </w:tc>
      </w:tr>
      <w:tr w:rsidR="00190BC3" w:rsidRPr="00190BC3" w14:paraId="284C8BF5" w14:textId="77777777" w:rsidTr="00190BC3">
        <w:trPr>
          <w:cantSplit/>
          <w:trHeight w:val="238"/>
        </w:trPr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685F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DD27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90BC3">
              <w:rPr>
                <w:rFonts w:ascii="Arial" w:hAnsi="Arial" w:cs="Arial"/>
                <w:sz w:val="15"/>
                <w:szCs w:val="15"/>
              </w:rPr>
              <w:t xml:space="preserve">Adjusted hazard ratio 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A7A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90BC3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190BC3" w:rsidRPr="00190BC3" w14:paraId="1499665C" w14:textId="77777777" w:rsidTr="00190BC3">
        <w:trPr>
          <w:cantSplit/>
          <w:trHeight w:val="127"/>
        </w:trPr>
        <w:tc>
          <w:tcPr>
            <w:tcW w:w="818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20B20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918B4A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90BC3">
              <w:rPr>
                <w:rFonts w:ascii="Arial" w:hAnsi="Arial" w:cs="Arial"/>
                <w:sz w:val="16"/>
                <w:szCs w:val="18"/>
              </w:rPr>
              <w:t>(n =  17,911)</w:t>
            </w:r>
          </w:p>
        </w:tc>
      </w:tr>
      <w:tr w:rsidR="00190BC3" w:rsidRPr="00190BC3" w14:paraId="41ACC8DE" w14:textId="77777777" w:rsidTr="00190BC3">
        <w:trPr>
          <w:cantSplit/>
          <w:trHeight w:val="272"/>
        </w:trPr>
        <w:tc>
          <w:tcPr>
            <w:tcW w:w="8185" w:type="dxa"/>
            <w:gridSpan w:val="4"/>
            <w:shd w:val="clear" w:color="auto" w:fill="auto"/>
          </w:tcPr>
          <w:p w14:paraId="5BF88E0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Age (reference: 65-74)</w:t>
            </w:r>
          </w:p>
        </w:tc>
        <w:tc>
          <w:tcPr>
            <w:tcW w:w="5408" w:type="dxa"/>
            <w:gridSpan w:val="2"/>
            <w:shd w:val="clear" w:color="auto" w:fill="auto"/>
          </w:tcPr>
          <w:p w14:paraId="696E25C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BC3" w:rsidRPr="00190BC3" w14:paraId="31C2EB0B" w14:textId="77777777" w:rsidTr="00190BC3">
        <w:trPr>
          <w:cantSplit/>
          <w:trHeight w:val="272"/>
        </w:trPr>
        <w:tc>
          <w:tcPr>
            <w:tcW w:w="447" w:type="dxa"/>
            <w:shd w:val="clear" w:color="auto" w:fill="auto"/>
          </w:tcPr>
          <w:p w14:paraId="1CA2CA9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38" w:type="dxa"/>
            <w:gridSpan w:val="3"/>
            <w:shd w:val="clear" w:color="auto" w:fill="auto"/>
          </w:tcPr>
          <w:p w14:paraId="2C4393F8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75-84</w:t>
            </w:r>
          </w:p>
        </w:tc>
        <w:tc>
          <w:tcPr>
            <w:tcW w:w="2607" w:type="dxa"/>
            <w:shd w:val="clear" w:color="auto" w:fill="auto"/>
          </w:tcPr>
          <w:p w14:paraId="37906E01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2801" w:type="dxa"/>
            <w:shd w:val="clear" w:color="auto" w:fill="auto"/>
          </w:tcPr>
          <w:p w14:paraId="3AD8FF3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0.73-1.10</w:t>
            </w:r>
          </w:p>
        </w:tc>
      </w:tr>
      <w:tr w:rsidR="00190BC3" w:rsidRPr="00190BC3" w14:paraId="3DCB65DC" w14:textId="77777777" w:rsidTr="00190BC3">
        <w:trPr>
          <w:cantSplit/>
          <w:trHeight w:val="261"/>
        </w:trPr>
        <w:tc>
          <w:tcPr>
            <w:tcW w:w="447" w:type="dxa"/>
            <w:shd w:val="clear" w:color="auto" w:fill="auto"/>
          </w:tcPr>
          <w:p w14:paraId="1DBFE29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38" w:type="dxa"/>
            <w:gridSpan w:val="3"/>
            <w:shd w:val="clear" w:color="auto" w:fill="auto"/>
          </w:tcPr>
          <w:p w14:paraId="656442F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85 and above</w:t>
            </w:r>
          </w:p>
        </w:tc>
        <w:tc>
          <w:tcPr>
            <w:tcW w:w="2607" w:type="dxa"/>
            <w:shd w:val="clear" w:color="auto" w:fill="auto"/>
          </w:tcPr>
          <w:p w14:paraId="52692F6E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2801" w:type="dxa"/>
            <w:shd w:val="clear" w:color="auto" w:fill="auto"/>
          </w:tcPr>
          <w:p w14:paraId="284D6FE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0.58-1.02</w:t>
            </w:r>
          </w:p>
        </w:tc>
      </w:tr>
      <w:tr w:rsidR="00190BC3" w:rsidRPr="00190BC3" w14:paraId="2C455AE7" w14:textId="77777777" w:rsidTr="00190BC3">
        <w:trPr>
          <w:cantSplit/>
          <w:trHeight w:val="161"/>
        </w:trPr>
        <w:tc>
          <w:tcPr>
            <w:tcW w:w="8185" w:type="dxa"/>
            <w:gridSpan w:val="4"/>
            <w:shd w:val="clear" w:color="auto" w:fill="auto"/>
          </w:tcPr>
          <w:p w14:paraId="3F0F7A7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Male sex (reference: female sex)</w:t>
            </w:r>
          </w:p>
        </w:tc>
        <w:tc>
          <w:tcPr>
            <w:tcW w:w="2607" w:type="dxa"/>
            <w:shd w:val="clear" w:color="auto" w:fill="auto"/>
          </w:tcPr>
          <w:p w14:paraId="4FD932DE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2801" w:type="dxa"/>
            <w:shd w:val="clear" w:color="auto" w:fill="auto"/>
          </w:tcPr>
          <w:p w14:paraId="5A81451D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1.08-1.59**</w:t>
            </w:r>
          </w:p>
        </w:tc>
      </w:tr>
      <w:tr w:rsidR="00190BC3" w:rsidRPr="00190BC3" w14:paraId="6046F9CE" w14:textId="77777777" w:rsidTr="00190BC3">
        <w:trPr>
          <w:cantSplit/>
          <w:trHeight w:val="272"/>
        </w:trPr>
        <w:tc>
          <w:tcPr>
            <w:tcW w:w="8185" w:type="dxa"/>
            <w:gridSpan w:val="4"/>
            <w:shd w:val="clear" w:color="auto" w:fill="auto"/>
          </w:tcPr>
          <w:p w14:paraId="7BBD22EF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 xml:space="preserve">Hispanic ethnicity (reference: non-hispanic) </w:t>
            </w:r>
          </w:p>
        </w:tc>
        <w:tc>
          <w:tcPr>
            <w:tcW w:w="2607" w:type="dxa"/>
            <w:shd w:val="clear" w:color="auto" w:fill="auto"/>
          </w:tcPr>
          <w:p w14:paraId="21F234E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2801" w:type="dxa"/>
            <w:shd w:val="clear" w:color="auto" w:fill="auto"/>
          </w:tcPr>
          <w:p w14:paraId="63E4EC38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0.34-2.54</w:t>
            </w:r>
          </w:p>
        </w:tc>
      </w:tr>
      <w:tr w:rsidR="00190BC3" w:rsidRPr="00190BC3" w14:paraId="03444582" w14:textId="77777777" w:rsidTr="00190BC3">
        <w:trPr>
          <w:cantSplit/>
          <w:trHeight w:val="272"/>
        </w:trPr>
        <w:tc>
          <w:tcPr>
            <w:tcW w:w="8185" w:type="dxa"/>
            <w:gridSpan w:val="4"/>
            <w:shd w:val="clear" w:color="auto" w:fill="auto"/>
          </w:tcPr>
          <w:p w14:paraId="1DEA4F6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8"/>
                <w:szCs w:val="18"/>
              </w:rPr>
              <w:t xml:space="preserve">Race (reference: White) </w:t>
            </w:r>
          </w:p>
        </w:tc>
        <w:tc>
          <w:tcPr>
            <w:tcW w:w="5408" w:type="dxa"/>
            <w:gridSpan w:val="2"/>
            <w:shd w:val="clear" w:color="auto" w:fill="auto"/>
          </w:tcPr>
          <w:p w14:paraId="40F49D53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BC3" w:rsidRPr="00190BC3" w14:paraId="4DBD436D" w14:textId="77777777" w:rsidTr="00190BC3">
        <w:trPr>
          <w:cantSplit/>
          <w:trHeight w:val="272"/>
        </w:trPr>
        <w:tc>
          <w:tcPr>
            <w:tcW w:w="515" w:type="dxa"/>
            <w:gridSpan w:val="3"/>
            <w:shd w:val="clear" w:color="auto" w:fill="auto"/>
          </w:tcPr>
          <w:p w14:paraId="6D2B4339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7670" w:type="dxa"/>
            <w:shd w:val="clear" w:color="auto" w:fill="auto"/>
          </w:tcPr>
          <w:p w14:paraId="2FBEC7FD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Asian</w:t>
            </w:r>
          </w:p>
        </w:tc>
        <w:tc>
          <w:tcPr>
            <w:tcW w:w="2607" w:type="dxa"/>
            <w:shd w:val="clear" w:color="auto" w:fill="auto"/>
          </w:tcPr>
          <w:p w14:paraId="450AFD11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2801" w:type="dxa"/>
            <w:shd w:val="clear" w:color="auto" w:fill="auto"/>
          </w:tcPr>
          <w:p w14:paraId="519B4BF1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0.53-3.11</w:t>
            </w:r>
          </w:p>
        </w:tc>
      </w:tr>
      <w:tr w:rsidR="00190BC3" w:rsidRPr="00190BC3" w14:paraId="4938A358" w14:textId="77777777" w:rsidTr="00190BC3">
        <w:trPr>
          <w:cantSplit/>
          <w:trHeight w:val="272"/>
        </w:trPr>
        <w:tc>
          <w:tcPr>
            <w:tcW w:w="515" w:type="dxa"/>
            <w:gridSpan w:val="3"/>
            <w:shd w:val="clear" w:color="auto" w:fill="auto"/>
          </w:tcPr>
          <w:p w14:paraId="70D0957F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7670" w:type="dxa"/>
            <w:shd w:val="clear" w:color="auto" w:fill="auto"/>
          </w:tcPr>
          <w:p w14:paraId="0D040E5E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2607" w:type="dxa"/>
            <w:shd w:val="clear" w:color="auto" w:fill="auto"/>
          </w:tcPr>
          <w:p w14:paraId="6FA7EEE8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2801" w:type="dxa"/>
            <w:shd w:val="clear" w:color="auto" w:fill="auto"/>
          </w:tcPr>
          <w:p w14:paraId="1885346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0.97-2.24</w:t>
            </w:r>
          </w:p>
        </w:tc>
      </w:tr>
      <w:tr w:rsidR="00190BC3" w:rsidRPr="00190BC3" w14:paraId="220237A9" w14:textId="77777777" w:rsidTr="00190BC3">
        <w:trPr>
          <w:cantSplit/>
          <w:trHeight w:val="272"/>
        </w:trPr>
        <w:tc>
          <w:tcPr>
            <w:tcW w:w="515" w:type="dxa"/>
            <w:gridSpan w:val="3"/>
            <w:shd w:val="clear" w:color="auto" w:fill="auto"/>
          </w:tcPr>
          <w:p w14:paraId="1CDF42D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7670" w:type="dxa"/>
            <w:shd w:val="clear" w:color="auto" w:fill="auto"/>
          </w:tcPr>
          <w:p w14:paraId="3C13B361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2607" w:type="dxa"/>
            <w:shd w:val="clear" w:color="auto" w:fill="auto"/>
          </w:tcPr>
          <w:p w14:paraId="5AD56D73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1.58</w:t>
            </w:r>
          </w:p>
        </w:tc>
        <w:tc>
          <w:tcPr>
            <w:tcW w:w="2801" w:type="dxa"/>
            <w:shd w:val="clear" w:color="auto" w:fill="auto"/>
          </w:tcPr>
          <w:p w14:paraId="48D4AD1E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0.86-2.89</w:t>
            </w:r>
          </w:p>
        </w:tc>
      </w:tr>
      <w:tr w:rsidR="00190BC3" w:rsidRPr="00190BC3" w14:paraId="16679C50" w14:textId="77777777" w:rsidTr="00190BC3">
        <w:trPr>
          <w:cantSplit/>
          <w:trHeight w:val="272"/>
        </w:trPr>
        <w:tc>
          <w:tcPr>
            <w:tcW w:w="8185" w:type="dxa"/>
            <w:gridSpan w:val="4"/>
            <w:shd w:val="clear" w:color="auto" w:fill="auto"/>
          </w:tcPr>
          <w:p w14:paraId="4A1E071D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Number of inpatient stays (reference: 0)</w:t>
            </w:r>
          </w:p>
        </w:tc>
        <w:tc>
          <w:tcPr>
            <w:tcW w:w="5408" w:type="dxa"/>
            <w:gridSpan w:val="2"/>
            <w:shd w:val="clear" w:color="auto" w:fill="auto"/>
          </w:tcPr>
          <w:p w14:paraId="7D03D0A1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BC3" w:rsidRPr="00190BC3" w14:paraId="646445AF" w14:textId="77777777" w:rsidTr="00190BC3">
        <w:trPr>
          <w:cantSplit/>
          <w:trHeight w:val="272"/>
        </w:trPr>
        <w:tc>
          <w:tcPr>
            <w:tcW w:w="483" w:type="dxa"/>
            <w:gridSpan w:val="2"/>
            <w:shd w:val="clear" w:color="auto" w:fill="auto"/>
          </w:tcPr>
          <w:p w14:paraId="1FE46B3A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01" w:type="dxa"/>
            <w:gridSpan w:val="2"/>
            <w:shd w:val="clear" w:color="auto" w:fill="auto"/>
          </w:tcPr>
          <w:p w14:paraId="18F25276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607" w:type="dxa"/>
            <w:shd w:val="clear" w:color="auto" w:fill="auto"/>
          </w:tcPr>
          <w:p w14:paraId="235229C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2801" w:type="dxa"/>
            <w:shd w:val="clear" w:color="auto" w:fill="auto"/>
          </w:tcPr>
          <w:p w14:paraId="221A420A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0.75-1.42</w:t>
            </w:r>
          </w:p>
        </w:tc>
      </w:tr>
      <w:tr w:rsidR="00190BC3" w:rsidRPr="00190BC3" w14:paraId="473ABFBB" w14:textId="77777777" w:rsidTr="00190BC3">
        <w:trPr>
          <w:cantSplit/>
          <w:trHeight w:val="272"/>
        </w:trPr>
        <w:tc>
          <w:tcPr>
            <w:tcW w:w="8185" w:type="dxa"/>
            <w:gridSpan w:val="4"/>
            <w:shd w:val="clear" w:color="auto" w:fill="auto"/>
          </w:tcPr>
          <w:p w14:paraId="75D2326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Number of emergency department visits (reference: 0)</w:t>
            </w:r>
          </w:p>
        </w:tc>
        <w:tc>
          <w:tcPr>
            <w:tcW w:w="5408" w:type="dxa"/>
            <w:gridSpan w:val="2"/>
            <w:shd w:val="clear" w:color="auto" w:fill="auto"/>
          </w:tcPr>
          <w:p w14:paraId="1BE55000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BC3" w:rsidRPr="00190BC3" w14:paraId="294373A1" w14:textId="77777777" w:rsidTr="00190BC3">
        <w:trPr>
          <w:cantSplit/>
          <w:trHeight w:val="272"/>
        </w:trPr>
        <w:tc>
          <w:tcPr>
            <w:tcW w:w="515" w:type="dxa"/>
            <w:gridSpan w:val="3"/>
            <w:shd w:val="clear" w:color="auto" w:fill="auto"/>
          </w:tcPr>
          <w:p w14:paraId="33DA3776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70" w:type="dxa"/>
            <w:shd w:val="clear" w:color="auto" w:fill="auto"/>
          </w:tcPr>
          <w:p w14:paraId="558E6B21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607" w:type="dxa"/>
            <w:shd w:val="clear" w:color="auto" w:fill="auto"/>
          </w:tcPr>
          <w:p w14:paraId="53B0B2D8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2801" w:type="dxa"/>
            <w:shd w:val="clear" w:color="auto" w:fill="auto"/>
          </w:tcPr>
          <w:p w14:paraId="3CC9EADA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0.91-1.55</w:t>
            </w:r>
          </w:p>
        </w:tc>
      </w:tr>
      <w:tr w:rsidR="00190BC3" w:rsidRPr="00190BC3" w14:paraId="4833C242" w14:textId="77777777" w:rsidTr="00190BC3">
        <w:trPr>
          <w:cantSplit/>
          <w:trHeight w:val="250"/>
        </w:trPr>
        <w:tc>
          <w:tcPr>
            <w:tcW w:w="8185" w:type="dxa"/>
            <w:gridSpan w:val="4"/>
            <w:shd w:val="clear" w:color="auto" w:fill="auto"/>
          </w:tcPr>
          <w:p w14:paraId="1BB7B770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Number of ambulatory visits (reference: ≤9; categories based on quartiles)</w:t>
            </w:r>
          </w:p>
        </w:tc>
        <w:tc>
          <w:tcPr>
            <w:tcW w:w="5408" w:type="dxa"/>
            <w:gridSpan w:val="2"/>
            <w:shd w:val="clear" w:color="auto" w:fill="auto"/>
          </w:tcPr>
          <w:p w14:paraId="72051641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190BC3" w:rsidRPr="00190BC3" w14:paraId="453A82B0" w14:textId="77777777" w:rsidTr="00190BC3">
        <w:trPr>
          <w:cantSplit/>
          <w:trHeight w:val="250"/>
        </w:trPr>
        <w:tc>
          <w:tcPr>
            <w:tcW w:w="447" w:type="dxa"/>
            <w:shd w:val="clear" w:color="auto" w:fill="auto"/>
          </w:tcPr>
          <w:p w14:paraId="04B0478E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7738" w:type="dxa"/>
            <w:gridSpan w:val="3"/>
            <w:shd w:val="clear" w:color="auto" w:fill="auto"/>
          </w:tcPr>
          <w:p w14:paraId="79B5C370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 xml:space="preserve">10-17 </w:t>
            </w:r>
          </w:p>
        </w:tc>
        <w:tc>
          <w:tcPr>
            <w:tcW w:w="2607" w:type="dxa"/>
            <w:shd w:val="clear" w:color="auto" w:fill="auto"/>
          </w:tcPr>
          <w:p w14:paraId="4D178A03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2801" w:type="dxa"/>
            <w:shd w:val="clear" w:color="auto" w:fill="auto"/>
          </w:tcPr>
          <w:p w14:paraId="1B16655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0.72-1.34</w:t>
            </w:r>
          </w:p>
        </w:tc>
      </w:tr>
      <w:tr w:rsidR="00190BC3" w:rsidRPr="00190BC3" w14:paraId="4A6B29B8" w14:textId="77777777" w:rsidTr="00190BC3">
        <w:trPr>
          <w:cantSplit/>
          <w:trHeight w:val="250"/>
        </w:trPr>
        <w:tc>
          <w:tcPr>
            <w:tcW w:w="447" w:type="dxa"/>
            <w:shd w:val="clear" w:color="auto" w:fill="auto"/>
          </w:tcPr>
          <w:p w14:paraId="70B469B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7738" w:type="dxa"/>
            <w:gridSpan w:val="3"/>
            <w:shd w:val="clear" w:color="auto" w:fill="auto"/>
          </w:tcPr>
          <w:p w14:paraId="54493C4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 xml:space="preserve">18-29 </w:t>
            </w:r>
          </w:p>
        </w:tc>
        <w:tc>
          <w:tcPr>
            <w:tcW w:w="2607" w:type="dxa"/>
            <w:shd w:val="clear" w:color="auto" w:fill="auto"/>
          </w:tcPr>
          <w:p w14:paraId="189AF1C6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2801" w:type="dxa"/>
            <w:shd w:val="clear" w:color="auto" w:fill="auto"/>
          </w:tcPr>
          <w:p w14:paraId="0B39FB5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1.09-1.99**</w:t>
            </w:r>
          </w:p>
        </w:tc>
      </w:tr>
      <w:tr w:rsidR="00190BC3" w:rsidRPr="00190BC3" w14:paraId="33B8FD24" w14:textId="77777777" w:rsidTr="00190BC3">
        <w:trPr>
          <w:cantSplit/>
          <w:trHeight w:val="250"/>
        </w:trPr>
        <w:tc>
          <w:tcPr>
            <w:tcW w:w="447" w:type="dxa"/>
            <w:shd w:val="clear" w:color="auto" w:fill="auto"/>
          </w:tcPr>
          <w:p w14:paraId="0C2C42C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7738" w:type="dxa"/>
            <w:gridSpan w:val="3"/>
            <w:shd w:val="clear" w:color="auto" w:fill="auto"/>
          </w:tcPr>
          <w:p w14:paraId="190A71F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 xml:space="preserve">≥30 </w:t>
            </w:r>
          </w:p>
        </w:tc>
        <w:tc>
          <w:tcPr>
            <w:tcW w:w="2607" w:type="dxa"/>
            <w:shd w:val="clear" w:color="auto" w:fill="auto"/>
          </w:tcPr>
          <w:p w14:paraId="40C39209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2.22</w:t>
            </w:r>
          </w:p>
        </w:tc>
        <w:tc>
          <w:tcPr>
            <w:tcW w:w="2801" w:type="dxa"/>
            <w:shd w:val="clear" w:color="auto" w:fill="auto"/>
          </w:tcPr>
          <w:p w14:paraId="29C633A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1.60-3.09***</w:t>
            </w:r>
          </w:p>
        </w:tc>
      </w:tr>
      <w:tr w:rsidR="00190BC3" w:rsidRPr="00190BC3" w14:paraId="0C187611" w14:textId="77777777" w:rsidTr="00190BC3">
        <w:trPr>
          <w:cantSplit/>
          <w:trHeight w:val="272"/>
        </w:trPr>
        <w:tc>
          <w:tcPr>
            <w:tcW w:w="8185" w:type="dxa"/>
            <w:gridSpan w:val="4"/>
            <w:shd w:val="clear" w:color="auto" w:fill="auto"/>
          </w:tcPr>
          <w:p w14:paraId="5AD415A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 xml:space="preserve">Number of non-acute institutional stays (reference: 0) </w:t>
            </w:r>
          </w:p>
        </w:tc>
        <w:tc>
          <w:tcPr>
            <w:tcW w:w="5408" w:type="dxa"/>
            <w:gridSpan w:val="2"/>
            <w:shd w:val="clear" w:color="auto" w:fill="auto"/>
          </w:tcPr>
          <w:p w14:paraId="154ED39A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0BC3" w:rsidRPr="00190BC3" w14:paraId="53382772" w14:textId="77777777" w:rsidTr="00190BC3">
        <w:trPr>
          <w:cantSplit/>
          <w:trHeight w:val="261"/>
        </w:trPr>
        <w:tc>
          <w:tcPr>
            <w:tcW w:w="447" w:type="dxa"/>
            <w:shd w:val="clear" w:color="auto" w:fill="auto"/>
          </w:tcPr>
          <w:p w14:paraId="217629B8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38" w:type="dxa"/>
            <w:gridSpan w:val="3"/>
            <w:shd w:val="clear" w:color="auto" w:fill="auto"/>
          </w:tcPr>
          <w:p w14:paraId="4D2B2C85" w14:textId="77777777" w:rsidR="00190BC3" w:rsidRPr="00190BC3" w:rsidRDefault="00190BC3" w:rsidP="00926B2B">
            <w:pPr>
              <w:keepNext/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 xml:space="preserve">1 or above </w:t>
            </w:r>
          </w:p>
        </w:tc>
        <w:tc>
          <w:tcPr>
            <w:tcW w:w="2607" w:type="dxa"/>
            <w:shd w:val="clear" w:color="auto" w:fill="auto"/>
          </w:tcPr>
          <w:p w14:paraId="0C57B86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2801" w:type="dxa"/>
            <w:shd w:val="clear" w:color="auto" w:fill="auto"/>
          </w:tcPr>
          <w:p w14:paraId="1C49B88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0.64-1.34</w:t>
            </w:r>
          </w:p>
        </w:tc>
      </w:tr>
      <w:tr w:rsidR="00190BC3" w:rsidRPr="00190BC3" w14:paraId="5322E5B9" w14:textId="77777777" w:rsidTr="00190BC3">
        <w:trPr>
          <w:cantSplit/>
          <w:trHeight w:val="272"/>
        </w:trPr>
        <w:tc>
          <w:tcPr>
            <w:tcW w:w="8185" w:type="dxa"/>
            <w:gridSpan w:val="4"/>
            <w:shd w:val="clear" w:color="auto" w:fill="auto"/>
          </w:tcPr>
          <w:p w14:paraId="2C4E208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Level of chronic polypharmacy (reference: 5-9 medications)</w:t>
            </w:r>
          </w:p>
        </w:tc>
        <w:tc>
          <w:tcPr>
            <w:tcW w:w="5408" w:type="dxa"/>
            <w:gridSpan w:val="2"/>
            <w:shd w:val="clear" w:color="auto" w:fill="auto"/>
          </w:tcPr>
          <w:p w14:paraId="4C43766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0BC3" w:rsidRPr="00190BC3" w14:paraId="2F5D8B2C" w14:textId="77777777" w:rsidTr="00190BC3">
        <w:trPr>
          <w:cantSplit/>
          <w:trHeight w:val="272"/>
        </w:trPr>
        <w:tc>
          <w:tcPr>
            <w:tcW w:w="447" w:type="dxa"/>
            <w:shd w:val="clear" w:color="auto" w:fill="auto"/>
          </w:tcPr>
          <w:p w14:paraId="7CD3D7E6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38" w:type="dxa"/>
            <w:gridSpan w:val="3"/>
            <w:shd w:val="clear" w:color="auto" w:fill="auto"/>
          </w:tcPr>
          <w:p w14:paraId="660E8FC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10 and above</w:t>
            </w:r>
          </w:p>
        </w:tc>
        <w:tc>
          <w:tcPr>
            <w:tcW w:w="2607" w:type="dxa"/>
            <w:shd w:val="clear" w:color="auto" w:fill="auto"/>
          </w:tcPr>
          <w:p w14:paraId="57ADF36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2801" w:type="dxa"/>
            <w:shd w:val="clear" w:color="auto" w:fill="auto"/>
          </w:tcPr>
          <w:p w14:paraId="475F5570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0.66-1.84</w:t>
            </w:r>
          </w:p>
        </w:tc>
      </w:tr>
      <w:tr w:rsidR="00190BC3" w:rsidRPr="00190BC3" w14:paraId="6C0DD08C" w14:textId="77777777" w:rsidTr="00190BC3">
        <w:trPr>
          <w:cantSplit/>
          <w:trHeight w:val="239"/>
        </w:trPr>
        <w:tc>
          <w:tcPr>
            <w:tcW w:w="8185" w:type="dxa"/>
            <w:gridSpan w:val="4"/>
            <w:shd w:val="clear" w:color="auto" w:fill="auto"/>
          </w:tcPr>
          <w:p w14:paraId="32B0D686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Number of chronic conditions (1-unit increase)</w:t>
            </w:r>
          </w:p>
        </w:tc>
        <w:tc>
          <w:tcPr>
            <w:tcW w:w="2607" w:type="dxa"/>
            <w:shd w:val="clear" w:color="auto" w:fill="auto"/>
          </w:tcPr>
          <w:p w14:paraId="4522ADB8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2801" w:type="dxa"/>
            <w:shd w:val="clear" w:color="auto" w:fill="auto"/>
          </w:tcPr>
          <w:p w14:paraId="5E6F39E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0.91-1.05</w:t>
            </w:r>
          </w:p>
        </w:tc>
      </w:tr>
      <w:tr w:rsidR="00190BC3" w:rsidRPr="00190BC3" w14:paraId="66C6F3B4" w14:textId="77777777" w:rsidTr="00190BC3">
        <w:trPr>
          <w:cantSplit/>
          <w:trHeight w:val="239"/>
        </w:trPr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068571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Number of prescribing orders (1-unit increase)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14:paraId="3A3A202F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14:paraId="62F186A3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1.01-1.02***</w:t>
            </w:r>
          </w:p>
        </w:tc>
      </w:tr>
      <w:tr w:rsidR="00190BC3" w:rsidRPr="00190BC3" w14:paraId="2EAF514D" w14:textId="77777777" w:rsidTr="00190BC3">
        <w:trPr>
          <w:cantSplit/>
          <w:trHeight w:val="239"/>
        </w:trPr>
        <w:tc>
          <w:tcPr>
            <w:tcW w:w="81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802E1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74D8D6" w14:textId="77777777" w:rsidR="00190BC3" w:rsidRPr="00190BC3" w:rsidRDefault="00190BC3" w:rsidP="00926B2B">
            <w:pPr>
              <w:pStyle w:val="ListParagraph"/>
              <w:keepNext/>
              <w:spacing w:before="40" w:after="40"/>
              <w:ind w:firstLineChars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continued</w:t>
            </w:r>
          </w:p>
        </w:tc>
      </w:tr>
    </w:tbl>
    <w:p w14:paraId="16CEBC5C" w14:textId="77777777" w:rsidR="00190BC3" w:rsidRPr="00190BC3" w:rsidRDefault="00190BC3" w:rsidP="00190BC3">
      <w:pPr>
        <w:pStyle w:val="Heading1"/>
        <w:rPr>
          <w:color w:val="auto"/>
        </w:rPr>
      </w:pPr>
      <w:r w:rsidRPr="00190BC3">
        <w:rPr>
          <w:color w:val="auto"/>
        </w:rPr>
        <w:br w:type="page"/>
      </w:r>
    </w:p>
    <w:tbl>
      <w:tblPr>
        <w:tblStyle w:val="TableGrid"/>
        <w:tblW w:w="13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7679"/>
        <w:gridCol w:w="2993"/>
        <w:gridCol w:w="2446"/>
      </w:tblGrid>
      <w:tr w:rsidR="00190BC3" w:rsidRPr="00190BC3" w14:paraId="3268484F" w14:textId="77777777" w:rsidTr="00190BC3">
        <w:trPr>
          <w:cantSplit/>
          <w:trHeight w:val="268"/>
        </w:trPr>
        <w:tc>
          <w:tcPr>
            <w:tcW w:w="8225" w:type="dxa"/>
            <w:gridSpan w:val="2"/>
            <w:shd w:val="clear" w:color="auto" w:fill="D9D9D9" w:themeFill="background1" w:themeFillShade="D9"/>
            <w:vAlign w:val="center"/>
          </w:tcPr>
          <w:p w14:paraId="141CD08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190BC3">
              <w:rPr>
                <w:rFonts w:ascii="Arial" w:hAnsi="Arial" w:cs="Arial"/>
                <w:b/>
                <w:sz w:val="17"/>
                <w:szCs w:val="17"/>
              </w:rPr>
              <w:lastRenderedPageBreak/>
              <w:t>Demographics and clinical characteristics</w:t>
            </w:r>
          </w:p>
        </w:tc>
        <w:tc>
          <w:tcPr>
            <w:tcW w:w="5439" w:type="dxa"/>
            <w:gridSpan w:val="2"/>
            <w:shd w:val="clear" w:color="auto" w:fill="D9D9D9" w:themeFill="background1" w:themeFillShade="D9"/>
            <w:vAlign w:val="center"/>
          </w:tcPr>
          <w:p w14:paraId="30792409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190BC3">
              <w:rPr>
                <w:rFonts w:ascii="Arial" w:hAnsi="Arial" w:cs="Arial"/>
                <w:b/>
                <w:sz w:val="17"/>
                <w:szCs w:val="17"/>
              </w:rPr>
              <w:t>Full model plus frailty index</w:t>
            </w:r>
            <w:r w:rsidRPr="00190BC3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1</w:t>
            </w:r>
          </w:p>
        </w:tc>
      </w:tr>
      <w:tr w:rsidR="00190BC3" w:rsidRPr="00190BC3" w14:paraId="37A01676" w14:textId="77777777" w:rsidTr="00190BC3">
        <w:trPr>
          <w:cantSplit/>
          <w:trHeight w:val="245"/>
        </w:trPr>
        <w:tc>
          <w:tcPr>
            <w:tcW w:w="82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ACCC6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AC1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90BC3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D8264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90BC3">
              <w:rPr>
                <w:rFonts w:ascii="Arial" w:hAnsi="Arial" w:cs="Arial"/>
                <w:sz w:val="15"/>
                <w:szCs w:val="15"/>
              </w:rPr>
              <w:t>95% CI</w:t>
            </w:r>
          </w:p>
        </w:tc>
      </w:tr>
      <w:tr w:rsidR="00190BC3" w:rsidRPr="00190BC3" w14:paraId="656A7578" w14:textId="77777777" w:rsidTr="00190BC3">
        <w:trPr>
          <w:cantSplit/>
          <w:trHeight w:val="280"/>
        </w:trPr>
        <w:tc>
          <w:tcPr>
            <w:tcW w:w="82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8A886F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8"/>
                <w:szCs w:val="18"/>
              </w:rPr>
              <w:t>Types of comorbidities</w:t>
            </w:r>
            <w:r w:rsidRPr="00190BC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A0BC74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BC3" w:rsidRPr="00190BC3" w14:paraId="49C79E7C" w14:textId="77777777" w:rsidTr="00190BC3">
        <w:trPr>
          <w:cantSplit/>
          <w:trHeight w:val="280"/>
        </w:trPr>
        <w:tc>
          <w:tcPr>
            <w:tcW w:w="546" w:type="dxa"/>
            <w:shd w:val="clear" w:color="auto" w:fill="auto"/>
          </w:tcPr>
          <w:p w14:paraId="402979CD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  <w:shd w:val="clear" w:color="auto" w:fill="auto"/>
          </w:tcPr>
          <w:p w14:paraId="123274F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Congestive heart failure</w:t>
            </w:r>
          </w:p>
        </w:tc>
        <w:tc>
          <w:tcPr>
            <w:tcW w:w="2993" w:type="dxa"/>
            <w:shd w:val="clear" w:color="auto" w:fill="auto"/>
          </w:tcPr>
          <w:p w14:paraId="34BD996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2445" w:type="dxa"/>
            <w:shd w:val="clear" w:color="auto" w:fill="auto"/>
          </w:tcPr>
          <w:p w14:paraId="68B38379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1.11-1.86**</w:t>
            </w:r>
          </w:p>
        </w:tc>
      </w:tr>
      <w:tr w:rsidR="00190BC3" w:rsidRPr="00190BC3" w14:paraId="6BE57144" w14:textId="77777777" w:rsidTr="00190BC3">
        <w:trPr>
          <w:cantSplit/>
          <w:trHeight w:val="280"/>
        </w:trPr>
        <w:tc>
          <w:tcPr>
            <w:tcW w:w="546" w:type="dxa"/>
            <w:shd w:val="clear" w:color="auto" w:fill="auto"/>
          </w:tcPr>
          <w:p w14:paraId="0A17D99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  <w:shd w:val="clear" w:color="auto" w:fill="auto"/>
          </w:tcPr>
          <w:p w14:paraId="5003F1FD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Cardiac arrhythmias</w:t>
            </w:r>
          </w:p>
        </w:tc>
        <w:tc>
          <w:tcPr>
            <w:tcW w:w="2993" w:type="dxa"/>
            <w:shd w:val="clear" w:color="auto" w:fill="auto"/>
          </w:tcPr>
          <w:p w14:paraId="4267593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2445" w:type="dxa"/>
            <w:shd w:val="clear" w:color="auto" w:fill="auto"/>
          </w:tcPr>
          <w:p w14:paraId="11D678D0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0.72-1.48</w:t>
            </w:r>
          </w:p>
        </w:tc>
      </w:tr>
      <w:tr w:rsidR="00190BC3" w:rsidRPr="00190BC3" w14:paraId="738CB1AB" w14:textId="77777777" w:rsidTr="00190BC3">
        <w:trPr>
          <w:cantSplit/>
          <w:trHeight w:val="268"/>
        </w:trPr>
        <w:tc>
          <w:tcPr>
            <w:tcW w:w="546" w:type="dxa"/>
            <w:shd w:val="clear" w:color="auto" w:fill="auto"/>
          </w:tcPr>
          <w:p w14:paraId="5C373643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  <w:shd w:val="clear" w:color="auto" w:fill="auto"/>
          </w:tcPr>
          <w:p w14:paraId="4D298C38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Valvular disease</w:t>
            </w:r>
          </w:p>
        </w:tc>
        <w:tc>
          <w:tcPr>
            <w:tcW w:w="2993" w:type="dxa"/>
            <w:shd w:val="clear" w:color="auto" w:fill="auto"/>
          </w:tcPr>
          <w:p w14:paraId="4DF51F0D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2445" w:type="dxa"/>
            <w:shd w:val="clear" w:color="auto" w:fill="auto"/>
          </w:tcPr>
          <w:p w14:paraId="4FB5265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0.64-1.16</w:t>
            </w:r>
          </w:p>
        </w:tc>
      </w:tr>
      <w:tr w:rsidR="00190BC3" w:rsidRPr="00190BC3" w14:paraId="012D765C" w14:textId="77777777" w:rsidTr="00190BC3">
        <w:trPr>
          <w:cantSplit/>
          <w:trHeight w:val="280"/>
        </w:trPr>
        <w:tc>
          <w:tcPr>
            <w:tcW w:w="546" w:type="dxa"/>
            <w:shd w:val="clear" w:color="auto" w:fill="auto"/>
          </w:tcPr>
          <w:p w14:paraId="7788D3B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  <w:shd w:val="clear" w:color="auto" w:fill="auto"/>
          </w:tcPr>
          <w:p w14:paraId="572E4721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Pulmonary circulation disorders</w:t>
            </w:r>
          </w:p>
        </w:tc>
        <w:tc>
          <w:tcPr>
            <w:tcW w:w="2993" w:type="dxa"/>
            <w:shd w:val="clear" w:color="auto" w:fill="auto"/>
          </w:tcPr>
          <w:p w14:paraId="256B936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2445" w:type="dxa"/>
            <w:shd w:val="clear" w:color="auto" w:fill="auto"/>
          </w:tcPr>
          <w:p w14:paraId="2B01DAA3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0.82-2.33</w:t>
            </w:r>
          </w:p>
        </w:tc>
      </w:tr>
      <w:tr w:rsidR="00190BC3" w:rsidRPr="00190BC3" w14:paraId="68932F9A" w14:textId="77777777" w:rsidTr="00190BC3">
        <w:trPr>
          <w:cantSplit/>
          <w:trHeight w:val="280"/>
        </w:trPr>
        <w:tc>
          <w:tcPr>
            <w:tcW w:w="546" w:type="dxa"/>
            <w:shd w:val="clear" w:color="auto" w:fill="auto"/>
          </w:tcPr>
          <w:p w14:paraId="4822646A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  <w:shd w:val="clear" w:color="auto" w:fill="auto"/>
          </w:tcPr>
          <w:p w14:paraId="6A730ACD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Peripheral vascular disorders</w:t>
            </w:r>
          </w:p>
        </w:tc>
        <w:tc>
          <w:tcPr>
            <w:tcW w:w="2993" w:type="dxa"/>
            <w:shd w:val="clear" w:color="auto" w:fill="auto"/>
          </w:tcPr>
          <w:p w14:paraId="5A724D09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2445" w:type="dxa"/>
            <w:shd w:val="clear" w:color="auto" w:fill="auto"/>
          </w:tcPr>
          <w:p w14:paraId="6E02480E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0.86-1.46</w:t>
            </w:r>
          </w:p>
        </w:tc>
      </w:tr>
      <w:tr w:rsidR="00190BC3" w:rsidRPr="00190BC3" w14:paraId="20D5BBBF" w14:textId="77777777" w:rsidTr="00190BC3">
        <w:trPr>
          <w:cantSplit/>
          <w:trHeight w:val="280"/>
        </w:trPr>
        <w:tc>
          <w:tcPr>
            <w:tcW w:w="546" w:type="dxa"/>
            <w:shd w:val="clear" w:color="auto" w:fill="auto"/>
          </w:tcPr>
          <w:p w14:paraId="71962426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  <w:shd w:val="clear" w:color="auto" w:fill="auto"/>
          </w:tcPr>
          <w:p w14:paraId="27F5B3A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2993" w:type="dxa"/>
            <w:shd w:val="clear" w:color="auto" w:fill="auto"/>
          </w:tcPr>
          <w:p w14:paraId="17F9CC3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2445" w:type="dxa"/>
            <w:shd w:val="clear" w:color="auto" w:fill="auto"/>
          </w:tcPr>
          <w:p w14:paraId="651CE6F9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0.80-1.24</w:t>
            </w:r>
          </w:p>
        </w:tc>
      </w:tr>
      <w:tr w:rsidR="00190BC3" w:rsidRPr="00190BC3" w14:paraId="48976910" w14:textId="77777777" w:rsidTr="00190BC3">
        <w:trPr>
          <w:cantSplit/>
          <w:trHeight w:val="280"/>
        </w:trPr>
        <w:tc>
          <w:tcPr>
            <w:tcW w:w="546" w:type="dxa"/>
            <w:shd w:val="clear" w:color="auto" w:fill="auto"/>
          </w:tcPr>
          <w:p w14:paraId="4290475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  <w:shd w:val="clear" w:color="auto" w:fill="auto"/>
          </w:tcPr>
          <w:p w14:paraId="340D6384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Chronic pulmonary disorders</w:t>
            </w:r>
          </w:p>
        </w:tc>
        <w:tc>
          <w:tcPr>
            <w:tcW w:w="2993" w:type="dxa"/>
            <w:shd w:val="clear" w:color="auto" w:fill="auto"/>
          </w:tcPr>
          <w:p w14:paraId="00AF9E6A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2445" w:type="dxa"/>
            <w:shd w:val="clear" w:color="auto" w:fill="auto"/>
          </w:tcPr>
          <w:p w14:paraId="6C5D0BB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0.91-1.54</w:t>
            </w:r>
          </w:p>
        </w:tc>
      </w:tr>
      <w:tr w:rsidR="00190BC3" w:rsidRPr="00190BC3" w14:paraId="7B57931D" w14:textId="77777777" w:rsidTr="00190BC3">
        <w:trPr>
          <w:cantSplit/>
          <w:trHeight w:val="280"/>
        </w:trPr>
        <w:tc>
          <w:tcPr>
            <w:tcW w:w="546" w:type="dxa"/>
            <w:shd w:val="clear" w:color="auto" w:fill="auto"/>
          </w:tcPr>
          <w:p w14:paraId="73A65A4F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  <w:shd w:val="clear" w:color="auto" w:fill="auto"/>
          </w:tcPr>
          <w:p w14:paraId="4FE37E30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Diabetes</w:t>
            </w:r>
          </w:p>
        </w:tc>
        <w:tc>
          <w:tcPr>
            <w:tcW w:w="2993" w:type="dxa"/>
            <w:shd w:val="clear" w:color="auto" w:fill="auto"/>
          </w:tcPr>
          <w:p w14:paraId="656CCA1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2445" w:type="dxa"/>
            <w:shd w:val="clear" w:color="auto" w:fill="auto"/>
          </w:tcPr>
          <w:p w14:paraId="19916EE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0.98-1.50</w:t>
            </w:r>
          </w:p>
        </w:tc>
      </w:tr>
      <w:tr w:rsidR="00190BC3" w:rsidRPr="00190BC3" w14:paraId="1D11689D" w14:textId="77777777" w:rsidTr="00190BC3">
        <w:trPr>
          <w:cantSplit/>
          <w:trHeight w:val="280"/>
        </w:trPr>
        <w:tc>
          <w:tcPr>
            <w:tcW w:w="546" w:type="dxa"/>
            <w:shd w:val="clear" w:color="auto" w:fill="auto"/>
          </w:tcPr>
          <w:p w14:paraId="69B3B68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  <w:shd w:val="clear" w:color="auto" w:fill="auto"/>
          </w:tcPr>
          <w:p w14:paraId="2E6DF73E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Hypothyroidism</w:t>
            </w:r>
          </w:p>
        </w:tc>
        <w:tc>
          <w:tcPr>
            <w:tcW w:w="2993" w:type="dxa"/>
            <w:shd w:val="clear" w:color="auto" w:fill="auto"/>
          </w:tcPr>
          <w:p w14:paraId="4BB2C0B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2445" w:type="dxa"/>
            <w:shd w:val="clear" w:color="auto" w:fill="auto"/>
          </w:tcPr>
          <w:p w14:paraId="2398195A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0.78-1.40</w:t>
            </w:r>
          </w:p>
        </w:tc>
      </w:tr>
      <w:tr w:rsidR="00190BC3" w:rsidRPr="00190BC3" w14:paraId="69FEED7C" w14:textId="77777777" w:rsidTr="00190BC3">
        <w:trPr>
          <w:trHeight w:val="280"/>
        </w:trPr>
        <w:tc>
          <w:tcPr>
            <w:tcW w:w="546" w:type="dxa"/>
          </w:tcPr>
          <w:p w14:paraId="3FE71D7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</w:tcPr>
          <w:p w14:paraId="2062FEB5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Renal failure</w:t>
            </w:r>
          </w:p>
        </w:tc>
        <w:tc>
          <w:tcPr>
            <w:tcW w:w="2993" w:type="dxa"/>
          </w:tcPr>
          <w:p w14:paraId="10D2255F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2445" w:type="dxa"/>
          </w:tcPr>
          <w:p w14:paraId="68F0692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0.69-1.33</w:t>
            </w:r>
          </w:p>
        </w:tc>
      </w:tr>
      <w:tr w:rsidR="00190BC3" w:rsidRPr="00190BC3" w14:paraId="0FA74BAF" w14:textId="77777777" w:rsidTr="00190BC3">
        <w:trPr>
          <w:trHeight w:val="280"/>
        </w:trPr>
        <w:tc>
          <w:tcPr>
            <w:tcW w:w="546" w:type="dxa"/>
          </w:tcPr>
          <w:p w14:paraId="73E99299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</w:tcPr>
          <w:p w14:paraId="62A9EEA4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Cancer</w:t>
            </w:r>
          </w:p>
        </w:tc>
        <w:tc>
          <w:tcPr>
            <w:tcW w:w="2993" w:type="dxa"/>
          </w:tcPr>
          <w:p w14:paraId="2C34FB8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2445" w:type="dxa"/>
          </w:tcPr>
          <w:p w14:paraId="07A2E7E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0.64-1.12</w:t>
            </w:r>
          </w:p>
        </w:tc>
      </w:tr>
      <w:tr w:rsidR="00190BC3" w:rsidRPr="00190BC3" w14:paraId="0EAC69E3" w14:textId="77777777" w:rsidTr="00190BC3">
        <w:trPr>
          <w:trHeight w:val="280"/>
        </w:trPr>
        <w:tc>
          <w:tcPr>
            <w:tcW w:w="546" w:type="dxa"/>
          </w:tcPr>
          <w:p w14:paraId="200F25F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</w:tcPr>
          <w:p w14:paraId="0030EAE0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Rheumatoid arthritis/collagen vascular diseases</w:t>
            </w:r>
          </w:p>
        </w:tc>
        <w:tc>
          <w:tcPr>
            <w:tcW w:w="2993" w:type="dxa"/>
          </w:tcPr>
          <w:p w14:paraId="6FAF3AEF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2445" w:type="dxa"/>
          </w:tcPr>
          <w:p w14:paraId="3074DF6F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0.51-1.27</w:t>
            </w:r>
          </w:p>
        </w:tc>
      </w:tr>
      <w:tr w:rsidR="00190BC3" w:rsidRPr="00190BC3" w14:paraId="678A4D75" w14:textId="77777777" w:rsidTr="00190BC3">
        <w:trPr>
          <w:trHeight w:val="280"/>
        </w:trPr>
        <w:tc>
          <w:tcPr>
            <w:tcW w:w="546" w:type="dxa"/>
          </w:tcPr>
          <w:p w14:paraId="0766E4A9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</w:tcPr>
          <w:p w14:paraId="115EEDE8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Coagulopathy</w:t>
            </w:r>
          </w:p>
        </w:tc>
        <w:tc>
          <w:tcPr>
            <w:tcW w:w="2993" w:type="dxa"/>
          </w:tcPr>
          <w:p w14:paraId="01D98DD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2445" w:type="dxa"/>
          </w:tcPr>
          <w:p w14:paraId="1223193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0.59-1.57</w:t>
            </w:r>
          </w:p>
        </w:tc>
      </w:tr>
      <w:tr w:rsidR="00190BC3" w:rsidRPr="00190BC3" w14:paraId="1AF3D99A" w14:textId="77777777" w:rsidTr="00190BC3">
        <w:trPr>
          <w:trHeight w:val="280"/>
        </w:trPr>
        <w:tc>
          <w:tcPr>
            <w:tcW w:w="546" w:type="dxa"/>
          </w:tcPr>
          <w:p w14:paraId="3FCA7E7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</w:tcPr>
          <w:p w14:paraId="566333F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Fluid and electrolyte disorders</w:t>
            </w:r>
          </w:p>
        </w:tc>
        <w:tc>
          <w:tcPr>
            <w:tcW w:w="2993" w:type="dxa"/>
          </w:tcPr>
          <w:p w14:paraId="36CE3BB1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2445" w:type="dxa"/>
          </w:tcPr>
          <w:p w14:paraId="20D4B36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0.73-1.68</w:t>
            </w:r>
          </w:p>
        </w:tc>
      </w:tr>
      <w:tr w:rsidR="00190BC3" w:rsidRPr="00190BC3" w14:paraId="329EC99D" w14:textId="77777777" w:rsidTr="00190BC3">
        <w:trPr>
          <w:trHeight w:val="268"/>
        </w:trPr>
        <w:tc>
          <w:tcPr>
            <w:tcW w:w="546" w:type="dxa"/>
          </w:tcPr>
          <w:p w14:paraId="17EFB899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</w:tcPr>
          <w:p w14:paraId="62897C47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2993" w:type="dxa"/>
          </w:tcPr>
          <w:p w14:paraId="4F71A08F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2445" w:type="dxa"/>
          </w:tcPr>
          <w:p w14:paraId="552975F3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0.791.62</w:t>
            </w:r>
          </w:p>
        </w:tc>
      </w:tr>
      <w:tr w:rsidR="00190BC3" w:rsidRPr="00190BC3" w14:paraId="6376282A" w14:textId="77777777" w:rsidTr="00190BC3">
        <w:trPr>
          <w:trHeight w:val="280"/>
        </w:trPr>
        <w:tc>
          <w:tcPr>
            <w:tcW w:w="546" w:type="dxa"/>
          </w:tcPr>
          <w:p w14:paraId="10A959D0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78" w:type="dxa"/>
          </w:tcPr>
          <w:p w14:paraId="4BE748DE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Liver disease</w:t>
            </w:r>
          </w:p>
        </w:tc>
        <w:tc>
          <w:tcPr>
            <w:tcW w:w="2993" w:type="dxa"/>
          </w:tcPr>
          <w:p w14:paraId="02E3515B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2445" w:type="dxa"/>
          </w:tcPr>
          <w:p w14:paraId="65B4C854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0.82-2.64</w:t>
            </w:r>
          </w:p>
        </w:tc>
      </w:tr>
      <w:tr w:rsidR="00190BC3" w:rsidRPr="00190BC3" w14:paraId="03807F41" w14:textId="77777777" w:rsidTr="00190BC3">
        <w:trPr>
          <w:trHeight w:val="280"/>
        </w:trPr>
        <w:tc>
          <w:tcPr>
            <w:tcW w:w="8225" w:type="dxa"/>
            <w:gridSpan w:val="2"/>
            <w:tcBorders>
              <w:bottom w:val="single" w:sz="4" w:space="0" w:color="auto"/>
            </w:tcBorders>
          </w:tcPr>
          <w:p w14:paraId="46EFC872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90BC3">
              <w:rPr>
                <w:rFonts w:ascii="Arial" w:hAnsi="Arial" w:cs="Arial"/>
                <w:sz w:val="18"/>
                <w:szCs w:val="20"/>
              </w:rPr>
              <w:t>Frailty index (per unit increase)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77E99A8C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57DAE498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0BC3">
              <w:rPr>
                <w:rFonts w:ascii="Arial" w:hAnsi="Arial" w:cs="Arial"/>
                <w:sz w:val="16"/>
                <w:szCs w:val="16"/>
              </w:rPr>
              <w:t>0.01-0.48**</w:t>
            </w:r>
          </w:p>
        </w:tc>
      </w:tr>
      <w:tr w:rsidR="00190BC3" w:rsidRPr="00190BC3" w14:paraId="22B5C9C9" w14:textId="77777777" w:rsidTr="00190BC3">
        <w:trPr>
          <w:trHeight w:val="808"/>
        </w:trPr>
        <w:tc>
          <w:tcPr>
            <w:tcW w:w="13664" w:type="dxa"/>
            <w:gridSpan w:val="4"/>
            <w:tcBorders>
              <w:top w:val="single" w:sz="4" w:space="0" w:color="auto"/>
            </w:tcBorders>
          </w:tcPr>
          <w:p w14:paraId="739E8088" w14:textId="77777777" w:rsidR="00190BC3" w:rsidRPr="00190BC3" w:rsidRDefault="00190BC3" w:rsidP="00926B2B">
            <w:pPr>
              <w:pStyle w:val="ListParagraph"/>
              <w:keepNext/>
              <w:widowControl/>
              <w:spacing w:before="40" w:after="40"/>
              <w:ind w:firstLineChars="0" w:firstLine="0"/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</w:pPr>
            <w:r w:rsidRPr="00190BC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1</w:t>
            </w:r>
            <w:r w:rsidRPr="00190BC3">
              <w:rPr>
                <w:rFonts w:ascii="Arial" w:hAnsi="Arial" w:cs="Arial"/>
                <w:sz w:val="16"/>
                <w:szCs w:val="16"/>
              </w:rPr>
              <w:t xml:space="preserve">Kim DH, Schneeweiss S, Lipsitz LA, Glynn R, Rockwood K, Avorn J. Measuring Frailty in Medicare Data: Development and Validation of a Claims-Based Frailty Index. J Gerontol A Biol Sci Med Sci. 2018; 73: 980-987. doi: 10.1093/gerona/glx229. PMID: 29244057; PMCID: PMC6001883; </w:t>
            </w:r>
            <w:r w:rsidRPr="00190BC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90BC3">
              <w:rPr>
                <w:rFonts w:ascii="Arial" w:hAnsi="Arial" w:cs="Arial"/>
                <w:sz w:val="16"/>
                <w:szCs w:val="16"/>
              </w:rPr>
              <w:t xml:space="preserve">comorbidities defined with coding algorithms for defining Elixhauser comorbidities in ICD-9 administrative data (Quan et al. 2005), ≥2 ICD-9 codes per category, hypertension categories merged, diabetes categories merged, different cancer categories merged, drug abuse, alcohol abuse, obesity, weight loss, HIV/AIDS, paralysis, other neurological disorders, blood loss anemia and deficiency anemia not </w:t>
            </w:r>
            <w:r w:rsidRPr="00190BC3">
              <w:rPr>
                <w:rFonts w:ascii="Arial" w:hAnsi="Arial" w:cs="Arial"/>
                <w:sz w:val="17"/>
                <w:szCs w:val="17"/>
              </w:rPr>
              <w:t>included</w:t>
            </w:r>
            <w:r w:rsidRPr="00190BC3">
              <w:rPr>
                <w:rFonts w:ascii="Arial" w:hAnsi="Arial" w:cs="Arial"/>
                <w:sz w:val="16"/>
                <w:szCs w:val="16"/>
              </w:rPr>
              <w:t>; ** p&lt;0.05; *** p&lt;0.001</w:t>
            </w:r>
          </w:p>
        </w:tc>
      </w:tr>
    </w:tbl>
    <w:p w14:paraId="4234991B" w14:textId="74BD3300" w:rsidR="00AA652A" w:rsidRPr="00CD0DD0" w:rsidRDefault="00AA652A">
      <w:pPr>
        <w:rPr>
          <w:rFonts w:ascii="Arial" w:eastAsiaTheme="majorEastAsia" w:hAnsi="Arial" w:cstheme="majorBidi"/>
          <w:b/>
          <w:sz w:val="24"/>
          <w:szCs w:val="32"/>
        </w:rPr>
      </w:pPr>
    </w:p>
    <w:sectPr w:rsidR="00AA652A" w:rsidRPr="00CD0DD0" w:rsidSect="00CD1AF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50915" w16cex:dateUtc="2020-12-04T1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0FF409" w16cid:durableId="237509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D1493" w14:textId="77777777" w:rsidR="00113C46" w:rsidRDefault="00113C46" w:rsidP="002B4E76">
      <w:pPr>
        <w:spacing w:after="0" w:line="240" w:lineRule="auto"/>
      </w:pPr>
      <w:r>
        <w:separator/>
      </w:r>
    </w:p>
  </w:endnote>
  <w:endnote w:type="continuationSeparator" w:id="0">
    <w:p w14:paraId="0A40BCB1" w14:textId="77777777" w:rsidR="00113C46" w:rsidRDefault="00113C46" w:rsidP="002B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099305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1DD11D" w14:textId="213E962B" w:rsidR="008E5F31" w:rsidRPr="00DD6743" w:rsidRDefault="008E5F3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4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D67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D674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D67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59D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D67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D674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D67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D674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D67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59D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</w:t>
            </w:r>
            <w:r w:rsidRPr="00DD67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3149ED" w14:textId="77777777" w:rsidR="008E5F31" w:rsidRDefault="008E5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3CA8" w14:textId="77777777" w:rsidR="00113C46" w:rsidRDefault="00113C46" w:rsidP="002B4E76">
      <w:pPr>
        <w:spacing w:after="0" w:line="240" w:lineRule="auto"/>
      </w:pPr>
      <w:r>
        <w:separator/>
      </w:r>
    </w:p>
  </w:footnote>
  <w:footnote w:type="continuationSeparator" w:id="0">
    <w:p w14:paraId="27A857F5" w14:textId="77777777" w:rsidR="00113C46" w:rsidRDefault="00113C46" w:rsidP="002B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D1C"/>
    <w:multiLevelType w:val="hybridMultilevel"/>
    <w:tmpl w:val="E6B428A4"/>
    <w:lvl w:ilvl="0" w:tplc="FF7AB9E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529"/>
    <w:multiLevelType w:val="hybridMultilevel"/>
    <w:tmpl w:val="8A845C84"/>
    <w:lvl w:ilvl="0" w:tplc="2AA08D48">
      <w:start w:val="9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47D4"/>
    <w:multiLevelType w:val="hybridMultilevel"/>
    <w:tmpl w:val="888AA0B6"/>
    <w:lvl w:ilvl="0" w:tplc="F32A1F32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u w:val="none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AA656D0"/>
    <w:multiLevelType w:val="hybridMultilevel"/>
    <w:tmpl w:val="5E4E3B84"/>
    <w:lvl w:ilvl="0" w:tplc="F32A1F3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u w:val="none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2D66"/>
    <w:multiLevelType w:val="hybridMultilevel"/>
    <w:tmpl w:val="1A7C837E"/>
    <w:lvl w:ilvl="0" w:tplc="F32A1F3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04F2"/>
    <w:multiLevelType w:val="hybridMultilevel"/>
    <w:tmpl w:val="598E33DC"/>
    <w:lvl w:ilvl="0" w:tplc="1B8C47C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321A"/>
    <w:multiLevelType w:val="hybridMultilevel"/>
    <w:tmpl w:val="A35C94EA"/>
    <w:lvl w:ilvl="0" w:tplc="F32A1F3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E7DBC"/>
    <w:multiLevelType w:val="hybridMultilevel"/>
    <w:tmpl w:val="0EE249B4"/>
    <w:lvl w:ilvl="0" w:tplc="8346B99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6"/>
    <w:rsid w:val="00000292"/>
    <w:rsid w:val="00000897"/>
    <w:rsid w:val="00002B67"/>
    <w:rsid w:val="000054B1"/>
    <w:rsid w:val="000112C8"/>
    <w:rsid w:val="00013BF0"/>
    <w:rsid w:val="0001427A"/>
    <w:rsid w:val="00017BE8"/>
    <w:rsid w:val="000204E0"/>
    <w:rsid w:val="00020701"/>
    <w:rsid w:val="00020B95"/>
    <w:rsid w:val="000226F5"/>
    <w:rsid w:val="00023130"/>
    <w:rsid w:val="00023855"/>
    <w:rsid w:val="00026C41"/>
    <w:rsid w:val="0003415B"/>
    <w:rsid w:val="000367FC"/>
    <w:rsid w:val="00036D89"/>
    <w:rsid w:val="00037001"/>
    <w:rsid w:val="00040F67"/>
    <w:rsid w:val="00041377"/>
    <w:rsid w:val="000436F5"/>
    <w:rsid w:val="000444A3"/>
    <w:rsid w:val="00044711"/>
    <w:rsid w:val="00045398"/>
    <w:rsid w:val="00046796"/>
    <w:rsid w:val="00046BB5"/>
    <w:rsid w:val="000476F9"/>
    <w:rsid w:val="00054514"/>
    <w:rsid w:val="00054B97"/>
    <w:rsid w:val="00055D28"/>
    <w:rsid w:val="00056CC7"/>
    <w:rsid w:val="00057BAB"/>
    <w:rsid w:val="00061355"/>
    <w:rsid w:val="0006361B"/>
    <w:rsid w:val="000641AC"/>
    <w:rsid w:val="00065B99"/>
    <w:rsid w:val="000668D5"/>
    <w:rsid w:val="0007047E"/>
    <w:rsid w:val="00070577"/>
    <w:rsid w:val="0007059E"/>
    <w:rsid w:val="00071F7E"/>
    <w:rsid w:val="00072D22"/>
    <w:rsid w:val="0007386A"/>
    <w:rsid w:val="0007721C"/>
    <w:rsid w:val="00080A19"/>
    <w:rsid w:val="00080F8C"/>
    <w:rsid w:val="000835B6"/>
    <w:rsid w:val="000839DA"/>
    <w:rsid w:val="00084622"/>
    <w:rsid w:val="00090F5C"/>
    <w:rsid w:val="000913C8"/>
    <w:rsid w:val="000924C2"/>
    <w:rsid w:val="00094100"/>
    <w:rsid w:val="00094729"/>
    <w:rsid w:val="00094FB9"/>
    <w:rsid w:val="00095E3F"/>
    <w:rsid w:val="000976AE"/>
    <w:rsid w:val="000A158C"/>
    <w:rsid w:val="000A2C4F"/>
    <w:rsid w:val="000A3C2C"/>
    <w:rsid w:val="000A436F"/>
    <w:rsid w:val="000A48DE"/>
    <w:rsid w:val="000A5BDD"/>
    <w:rsid w:val="000A63E5"/>
    <w:rsid w:val="000A6487"/>
    <w:rsid w:val="000A6F3A"/>
    <w:rsid w:val="000B1304"/>
    <w:rsid w:val="000B2D42"/>
    <w:rsid w:val="000B550E"/>
    <w:rsid w:val="000C22FB"/>
    <w:rsid w:val="000C2A42"/>
    <w:rsid w:val="000C3A85"/>
    <w:rsid w:val="000C45F8"/>
    <w:rsid w:val="000C7B10"/>
    <w:rsid w:val="000D248E"/>
    <w:rsid w:val="000D2F7C"/>
    <w:rsid w:val="000D3EFE"/>
    <w:rsid w:val="000D4F13"/>
    <w:rsid w:val="000D5708"/>
    <w:rsid w:val="000D6192"/>
    <w:rsid w:val="000E0688"/>
    <w:rsid w:val="000E0AA6"/>
    <w:rsid w:val="000E1E66"/>
    <w:rsid w:val="000E32D0"/>
    <w:rsid w:val="000E3FCC"/>
    <w:rsid w:val="000F353E"/>
    <w:rsid w:val="000F6575"/>
    <w:rsid w:val="000F7774"/>
    <w:rsid w:val="001006F2"/>
    <w:rsid w:val="001037AE"/>
    <w:rsid w:val="00103AFA"/>
    <w:rsid w:val="0010424C"/>
    <w:rsid w:val="00105BEF"/>
    <w:rsid w:val="0011018A"/>
    <w:rsid w:val="00110319"/>
    <w:rsid w:val="001108E5"/>
    <w:rsid w:val="001108F3"/>
    <w:rsid w:val="00111312"/>
    <w:rsid w:val="00112B2F"/>
    <w:rsid w:val="00112B6F"/>
    <w:rsid w:val="00113C46"/>
    <w:rsid w:val="0011464C"/>
    <w:rsid w:val="001156DB"/>
    <w:rsid w:val="001206DF"/>
    <w:rsid w:val="00123E4E"/>
    <w:rsid w:val="0012468E"/>
    <w:rsid w:val="00125C88"/>
    <w:rsid w:val="001271E1"/>
    <w:rsid w:val="001324C8"/>
    <w:rsid w:val="00132CE1"/>
    <w:rsid w:val="00134204"/>
    <w:rsid w:val="00134EA1"/>
    <w:rsid w:val="00135FC8"/>
    <w:rsid w:val="00136224"/>
    <w:rsid w:val="00136F13"/>
    <w:rsid w:val="00140CF8"/>
    <w:rsid w:val="00142633"/>
    <w:rsid w:val="00145173"/>
    <w:rsid w:val="00145336"/>
    <w:rsid w:val="00145396"/>
    <w:rsid w:val="00146973"/>
    <w:rsid w:val="001469F2"/>
    <w:rsid w:val="0014740B"/>
    <w:rsid w:val="00152C18"/>
    <w:rsid w:val="00153E7B"/>
    <w:rsid w:val="00154392"/>
    <w:rsid w:val="0015475E"/>
    <w:rsid w:val="001556EF"/>
    <w:rsid w:val="001569FC"/>
    <w:rsid w:val="00156D65"/>
    <w:rsid w:val="00161830"/>
    <w:rsid w:val="001624C1"/>
    <w:rsid w:val="00163851"/>
    <w:rsid w:val="00163FA7"/>
    <w:rsid w:val="001651D6"/>
    <w:rsid w:val="00166BE6"/>
    <w:rsid w:val="00170C73"/>
    <w:rsid w:val="001725FE"/>
    <w:rsid w:val="0017395A"/>
    <w:rsid w:val="00175C26"/>
    <w:rsid w:val="0018057D"/>
    <w:rsid w:val="00181453"/>
    <w:rsid w:val="00181468"/>
    <w:rsid w:val="00181B4C"/>
    <w:rsid w:val="00183553"/>
    <w:rsid w:val="00183AC1"/>
    <w:rsid w:val="00183DE3"/>
    <w:rsid w:val="00185485"/>
    <w:rsid w:val="001875B8"/>
    <w:rsid w:val="0019094C"/>
    <w:rsid w:val="00190BC3"/>
    <w:rsid w:val="001911E6"/>
    <w:rsid w:val="00191F90"/>
    <w:rsid w:val="00192186"/>
    <w:rsid w:val="00193A2D"/>
    <w:rsid w:val="00193E5A"/>
    <w:rsid w:val="00197DEE"/>
    <w:rsid w:val="001A10B8"/>
    <w:rsid w:val="001A1D75"/>
    <w:rsid w:val="001A2197"/>
    <w:rsid w:val="001A5BEE"/>
    <w:rsid w:val="001B1977"/>
    <w:rsid w:val="001B208E"/>
    <w:rsid w:val="001B27F7"/>
    <w:rsid w:val="001B2DB6"/>
    <w:rsid w:val="001B4178"/>
    <w:rsid w:val="001B4385"/>
    <w:rsid w:val="001B56A2"/>
    <w:rsid w:val="001B59C1"/>
    <w:rsid w:val="001B7949"/>
    <w:rsid w:val="001C21C2"/>
    <w:rsid w:val="001C4907"/>
    <w:rsid w:val="001C4E4C"/>
    <w:rsid w:val="001C6117"/>
    <w:rsid w:val="001C7908"/>
    <w:rsid w:val="001D0316"/>
    <w:rsid w:val="001D2974"/>
    <w:rsid w:val="001D6C44"/>
    <w:rsid w:val="001E55B1"/>
    <w:rsid w:val="001F12B2"/>
    <w:rsid w:val="001F3DFE"/>
    <w:rsid w:val="001F5E0C"/>
    <w:rsid w:val="00200977"/>
    <w:rsid w:val="00200ABE"/>
    <w:rsid w:val="00204B2F"/>
    <w:rsid w:val="00204B35"/>
    <w:rsid w:val="0020561F"/>
    <w:rsid w:val="002061CF"/>
    <w:rsid w:val="002063F4"/>
    <w:rsid w:val="00212F80"/>
    <w:rsid w:val="00216209"/>
    <w:rsid w:val="00217673"/>
    <w:rsid w:val="00220640"/>
    <w:rsid w:val="00221530"/>
    <w:rsid w:val="0022215A"/>
    <w:rsid w:val="00222EEA"/>
    <w:rsid w:val="00223F81"/>
    <w:rsid w:val="00224590"/>
    <w:rsid w:val="002259D6"/>
    <w:rsid w:val="0022697F"/>
    <w:rsid w:val="0022764C"/>
    <w:rsid w:val="002276F2"/>
    <w:rsid w:val="0022799C"/>
    <w:rsid w:val="00227D33"/>
    <w:rsid w:val="00230535"/>
    <w:rsid w:val="00230D6C"/>
    <w:rsid w:val="00230EA7"/>
    <w:rsid w:val="002315C2"/>
    <w:rsid w:val="00232458"/>
    <w:rsid w:val="002362A1"/>
    <w:rsid w:val="002373F0"/>
    <w:rsid w:val="00237B24"/>
    <w:rsid w:val="00241D2F"/>
    <w:rsid w:val="002420D4"/>
    <w:rsid w:val="00242F95"/>
    <w:rsid w:val="002451C0"/>
    <w:rsid w:val="00247F62"/>
    <w:rsid w:val="0025323D"/>
    <w:rsid w:val="00253766"/>
    <w:rsid w:val="00254CFF"/>
    <w:rsid w:val="00257600"/>
    <w:rsid w:val="002606FD"/>
    <w:rsid w:val="00263B49"/>
    <w:rsid w:val="00263DCC"/>
    <w:rsid w:val="00264202"/>
    <w:rsid w:val="00264BCD"/>
    <w:rsid w:val="00266F35"/>
    <w:rsid w:val="002733EC"/>
    <w:rsid w:val="00273D5B"/>
    <w:rsid w:val="00275993"/>
    <w:rsid w:val="00275BC8"/>
    <w:rsid w:val="00276FFB"/>
    <w:rsid w:val="00280C87"/>
    <w:rsid w:val="00283DD5"/>
    <w:rsid w:val="002856C0"/>
    <w:rsid w:val="00286E09"/>
    <w:rsid w:val="00287DD6"/>
    <w:rsid w:val="00290316"/>
    <w:rsid w:val="00290376"/>
    <w:rsid w:val="00290BDA"/>
    <w:rsid w:val="00290EC3"/>
    <w:rsid w:val="00294C17"/>
    <w:rsid w:val="002A15D8"/>
    <w:rsid w:val="002A1F0B"/>
    <w:rsid w:val="002B0AD6"/>
    <w:rsid w:val="002B4E76"/>
    <w:rsid w:val="002B6471"/>
    <w:rsid w:val="002C03A1"/>
    <w:rsid w:val="002C046D"/>
    <w:rsid w:val="002C0E4C"/>
    <w:rsid w:val="002C0FD2"/>
    <w:rsid w:val="002C2664"/>
    <w:rsid w:val="002C2DBE"/>
    <w:rsid w:val="002C2ED5"/>
    <w:rsid w:val="002C33F3"/>
    <w:rsid w:val="002C3D50"/>
    <w:rsid w:val="002C6D5C"/>
    <w:rsid w:val="002C721C"/>
    <w:rsid w:val="002D248E"/>
    <w:rsid w:val="002D5B15"/>
    <w:rsid w:val="002D5CC8"/>
    <w:rsid w:val="002D7860"/>
    <w:rsid w:val="002E10BD"/>
    <w:rsid w:val="002E1F40"/>
    <w:rsid w:val="002E2581"/>
    <w:rsid w:val="002E3D38"/>
    <w:rsid w:val="002F28CD"/>
    <w:rsid w:val="002F50A4"/>
    <w:rsid w:val="002F5CE5"/>
    <w:rsid w:val="00300F04"/>
    <w:rsid w:val="003021BA"/>
    <w:rsid w:val="00302A7B"/>
    <w:rsid w:val="00302B6E"/>
    <w:rsid w:val="00302F98"/>
    <w:rsid w:val="00305D0E"/>
    <w:rsid w:val="00306690"/>
    <w:rsid w:val="003133AD"/>
    <w:rsid w:val="00320C4B"/>
    <w:rsid w:val="00320C53"/>
    <w:rsid w:val="0032435E"/>
    <w:rsid w:val="003259F9"/>
    <w:rsid w:val="0032628F"/>
    <w:rsid w:val="003303B2"/>
    <w:rsid w:val="00330884"/>
    <w:rsid w:val="00330A09"/>
    <w:rsid w:val="0033557E"/>
    <w:rsid w:val="003363AD"/>
    <w:rsid w:val="00337FF7"/>
    <w:rsid w:val="003421E3"/>
    <w:rsid w:val="0034322B"/>
    <w:rsid w:val="003442D3"/>
    <w:rsid w:val="0034601E"/>
    <w:rsid w:val="00351135"/>
    <w:rsid w:val="00351D23"/>
    <w:rsid w:val="00352C6F"/>
    <w:rsid w:val="00353E83"/>
    <w:rsid w:val="003559F8"/>
    <w:rsid w:val="003577C2"/>
    <w:rsid w:val="00370650"/>
    <w:rsid w:val="00371132"/>
    <w:rsid w:val="00372DCA"/>
    <w:rsid w:val="00373706"/>
    <w:rsid w:val="00373EF5"/>
    <w:rsid w:val="00375255"/>
    <w:rsid w:val="00375F92"/>
    <w:rsid w:val="00376D46"/>
    <w:rsid w:val="00376E3B"/>
    <w:rsid w:val="0037725F"/>
    <w:rsid w:val="0038138C"/>
    <w:rsid w:val="00382D4D"/>
    <w:rsid w:val="00385734"/>
    <w:rsid w:val="00385D06"/>
    <w:rsid w:val="0039028A"/>
    <w:rsid w:val="00392327"/>
    <w:rsid w:val="00392B24"/>
    <w:rsid w:val="00393496"/>
    <w:rsid w:val="003948A6"/>
    <w:rsid w:val="00395D7C"/>
    <w:rsid w:val="00396562"/>
    <w:rsid w:val="00396E8E"/>
    <w:rsid w:val="003A0D2B"/>
    <w:rsid w:val="003A1551"/>
    <w:rsid w:val="003A485F"/>
    <w:rsid w:val="003B1262"/>
    <w:rsid w:val="003B1A6D"/>
    <w:rsid w:val="003B68BD"/>
    <w:rsid w:val="003B694D"/>
    <w:rsid w:val="003C0DB1"/>
    <w:rsid w:val="003C0EDE"/>
    <w:rsid w:val="003C11CC"/>
    <w:rsid w:val="003C21DF"/>
    <w:rsid w:val="003C29DA"/>
    <w:rsid w:val="003C2A02"/>
    <w:rsid w:val="003C3C8A"/>
    <w:rsid w:val="003C53E2"/>
    <w:rsid w:val="003C6C74"/>
    <w:rsid w:val="003D2462"/>
    <w:rsid w:val="003D3C3F"/>
    <w:rsid w:val="003D59E9"/>
    <w:rsid w:val="003D5F0D"/>
    <w:rsid w:val="003D644B"/>
    <w:rsid w:val="003E1456"/>
    <w:rsid w:val="003E1E91"/>
    <w:rsid w:val="003E48C1"/>
    <w:rsid w:val="003E79FA"/>
    <w:rsid w:val="003F4172"/>
    <w:rsid w:val="003F4AFC"/>
    <w:rsid w:val="003F4BAB"/>
    <w:rsid w:val="003F6844"/>
    <w:rsid w:val="003F6A42"/>
    <w:rsid w:val="003F7F9D"/>
    <w:rsid w:val="0040008B"/>
    <w:rsid w:val="0040055E"/>
    <w:rsid w:val="004028FC"/>
    <w:rsid w:val="00410FFC"/>
    <w:rsid w:val="00411FC0"/>
    <w:rsid w:val="00417600"/>
    <w:rsid w:val="00420715"/>
    <w:rsid w:val="004212AC"/>
    <w:rsid w:val="00421965"/>
    <w:rsid w:val="00422BA3"/>
    <w:rsid w:val="00426B73"/>
    <w:rsid w:val="00426DCB"/>
    <w:rsid w:val="00427009"/>
    <w:rsid w:val="004307C5"/>
    <w:rsid w:val="00432E7A"/>
    <w:rsid w:val="004336A6"/>
    <w:rsid w:val="004337AF"/>
    <w:rsid w:val="00437D12"/>
    <w:rsid w:val="00437E32"/>
    <w:rsid w:val="00437F3B"/>
    <w:rsid w:val="0044014D"/>
    <w:rsid w:val="004407C9"/>
    <w:rsid w:val="00440A81"/>
    <w:rsid w:val="00440C34"/>
    <w:rsid w:val="0044181F"/>
    <w:rsid w:val="00441961"/>
    <w:rsid w:val="004433A3"/>
    <w:rsid w:val="00443827"/>
    <w:rsid w:val="0044540B"/>
    <w:rsid w:val="00445848"/>
    <w:rsid w:val="00450423"/>
    <w:rsid w:val="00452AAE"/>
    <w:rsid w:val="0045592F"/>
    <w:rsid w:val="004564E8"/>
    <w:rsid w:val="00456C34"/>
    <w:rsid w:val="004602E1"/>
    <w:rsid w:val="0046082E"/>
    <w:rsid w:val="00461A75"/>
    <w:rsid w:val="00462AC5"/>
    <w:rsid w:val="00465359"/>
    <w:rsid w:val="004663C1"/>
    <w:rsid w:val="00467988"/>
    <w:rsid w:val="00472A3D"/>
    <w:rsid w:val="004735CF"/>
    <w:rsid w:val="00476380"/>
    <w:rsid w:val="00480D50"/>
    <w:rsid w:val="00480DED"/>
    <w:rsid w:val="00481793"/>
    <w:rsid w:val="004838E9"/>
    <w:rsid w:val="0048397E"/>
    <w:rsid w:val="00484346"/>
    <w:rsid w:val="00484EF2"/>
    <w:rsid w:val="00490233"/>
    <w:rsid w:val="004922A8"/>
    <w:rsid w:val="004933ED"/>
    <w:rsid w:val="004935B0"/>
    <w:rsid w:val="004937B8"/>
    <w:rsid w:val="00493CE4"/>
    <w:rsid w:val="0049659B"/>
    <w:rsid w:val="004A07BF"/>
    <w:rsid w:val="004A47F2"/>
    <w:rsid w:val="004A50B2"/>
    <w:rsid w:val="004A7B18"/>
    <w:rsid w:val="004B18A6"/>
    <w:rsid w:val="004B2281"/>
    <w:rsid w:val="004B326F"/>
    <w:rsid w:val="004B3A4B"/>
    <w:rsid w:val="004B4151"/>
    <w:rsid w:val="004B48DD"/>
    <w:rsid w:val="004C3D09"/>
    <w:rsid w:val="004C3DB4"/>
    <w:rsid w:val="004C4DD5"/>
    <w:rsid w:val="004C52A8"/>
    <w:rsid w:val="004C59E0"/>
    <w:rsid w:val="004D0271"/>
    <w:rsid w:val="004D040D"/>
    <w:rsid w:val="004D63CE"/>
    <w:rsid w:val="004D684A"/>
    <w:rsid w:val="004D77FE"/>
    <w:rsid w:val="004D794E"/>
    <w:rsid w:val="004E2D85"/>
    <w:rsid w:val="004E45F8"/>
    <w:rsid w:val="004E4891"/>
    <w:rsid w:val="004E6CD0"/>
    <w:rsid w:val="004E6D6B"/>
    <w:rsid w:val="004E7271"/>
    <w:rsid w:val="004F0AC9"/>
    <w:rsid w:val="004F1440"/>
    <w:rsid w:val="004F19CE"/>
    <w:rsid w:val="004F2462"/>
    <w:rsid w:val="004F6557"/>
    <w:rsid w:val="004F68C4"/>
    <w:rsid w:val="004F6ECD"/>
    <w:rsid w:val="005022BB"/>
    <w:rsid w:val="00504C96"/>
    <w:rsid w:val="00512A2D"/>
    <w:rsid w:val="00512EAF"/>
    <w:rsid w:val="005139AA"/>
    <w:rsid w:val="00513F98"/>
    <w:rsid w:val="00514B89"/>
    <w:rsid w:val="00514C7E"/>
    <w:rsid w:val="00517431"/>
    <w:rsid w:val="005174D7"/>
    <w:rsid w:val="0052189F"/>
    <w:rsid w:val="00524BDE"/>
    <w:rsid w:val="00526298"/>
    <w:rsid w:val="00527709"/>
    <w:rsid w:val="00530CC7"/>
    <w:rsid w:val="0053218D"/>
    <w:rsid w:val="00533F19"/>
    <w:rsid w:val="005342F0"/>
    <w:rsid w:val="00534972"/>
    <w:rsid w:val="00534D2D"/>
    <w:rsid w:val="00536921"/>
    <w:rsid w:val="00536D00"/>
    <w:rsid w:val="005371B4"/>
    <w:rsid w:val="005407A7"/>
    <w:rsid w:val="0054083F"/>
    <w:rsid w:val="00541288"/>
    <w:rsid w:val="0054195F"/>
    <w:rsid w:val="00542FA4"/>
    <w:rsid w:val="005437E9"/>
    <w:rsid w:val="00545A3D"/>
    <w:rsid w:val="0054653A"/>
    <w:rsid w:val="005469C1"/>
    <w:rsid w:val="00547CA3"/>
    <w:rsid w:val="005508EE"/>
    <w:rsid w:val="00551A70"/>
    <w:rsid w:val="0055328D"/>
    <w:rsid w:val="00553896"/>
    <w:rsid w:val="005555FF"/>
    <w:rsid w:val="00557F0C"/>
    <w:rsid w:val="00561C8D"/>
    <w:rsid w:val="00562A83"/>
    <w:rsid w:val="00563D81"/>
    <w:rsid w:val="00565D65"/>
    <w:rsid w:val="00570538"/>
    <w:rsid w:val="005712A5"/>
    <w:rsid w:val="00571CD7"/>
    <w:rsid w:val="00572097"/>
    <w:rsid w:val="005721C8"/>
    <w:rsid w:val="00575A8A"/>
    <w:rsid w:val="00580751"/>
    <w:rsid w:val="00581618"/>
    <w:rsid w:val="00581F2C"/>
    <w:rsid w:val="00582578"/>
    <w:rsid w:val="00582D49"/>
    <w:rsid w:val="005861E6"/>
    <w:rsid w:val="00587489"/>
    <w:rsid w:val="00590621"/>
    <w:rsid w:val="005914F5"/>
    <w:rsid w:val="005919F1"/>
    <w:rsid w:val="005932C0"/>
    <w:rsid w:val="005938C9"/>
    <w:rsid w:val="00594F2F"/>
    <w:rsid w:val="005A1031"/>
    <w:rsid w:val="005A1893"/>
    <w:rsid w:val="005A1CA9"/>
    <w:rsid w:val="005A22D4"/>
    <w:rsid w:val="005A2FE3"/>
    <w:rsid w:val="005A34C3"/>
    <w:rsid w:val="005B0575"/>
    <w:rsid w:val="005B2232"/>
    <w:rsid w:val="005B26CA"/>
    <w:rsid w:val="005B2A8C"/>
    <w:rsid w:val="005B5D15"/>
    <w:rsid w:val="005B78C5"/>
    <w:rsid w:val="005B7DEB"/>
    <w:rsid w:val="005C1F1C"/>
    <w:rsid w:val="005C27B5"/>
    <w:rsid w:val="005D23C4"/>
    <w:rsid w:val="005D2C8E"/>
    <w:rsid w:val="005D5F29"/>
    <w:rsid w:val="005D65C3"/>
    <w:rsid w:val="005D6B3B"/>
    <w:rsid w:val="005D7107"/>
    <w:rsid w:val="005E001C"/>
    <w:rsid w:val="005E22DD"/>
    <w:rsid w:val="005E31E4"/>
    <w:rsid w:val="005E35CD"/>
    <w:rsid w:val="005E62D2"/>
    <w:rsid w:val="005E7977"/>
    <w:rsid w:val="005F2071"/>
    <w:rsid w:val="005F4029"/>
    <w:rsid w:val="005F7267"/>
    <w:rsid w:val="006012CB"/>
    <w:rsid w:val="00604E20"/>
    <w:rsid w:val="0060664F"/>
    <w:rsid w:val="00607058"/>
    <w:rsid w:val="00610409"/>
    <w:rsid w:val="0061077D"/>
    <w:rsid w:val="00610FF8"/>
    <w:rsid w:val="00612FF4"/>
    <w:rsid w:val="00613E76"/>
    <w:rsid w:val="0061409B"/>
    <w:rsid w:val="00614A4F"/>
    <w:rsid w:val="00614B83"/>
    <w:rsid w:val="00615F4B"/>
    <w:rsid w:val="0061625B"/>
    <w:rsid w:val="00616B7A"/>
    <w:rsid w:val="00616F6B"/>
    <w:rsid w:val="00622E34"/>
    <w:rsid w:val="00623396"/>
    <w:rsid w:val="006237B4"/>
    <w:rsid w:val="00625B50"/>
    <w:rsid w:val="006317A4"/>
    <w:rsid w:val="00631E88"/>
    <w:rsid w:val="00632915"/>
    <w:rsid w:val="0063298D"/>
    <w:rsid w:val="00634572"/>
    <w:rsid w:val="00635A99"/>
    <w:rsid w:val="00635E24"/>
    <w:rsid w:val="006369F5"/>
    <w:rsid w:val="00637F90"/>
    <w:rsid w:val="006412A1"/>
    <w:rsid w:val="00641821"/>
    <w:rsid w:val="00642238"/>
    <w:rsid w:val="00644317"/>
    <w:rsid w:val="006443D1"/>
    <w:rsid w:val="00644729"/>
    <w:rsid w:val="00644BF0"/>
    <w:rsid w:val="006464C1"/>
    <w:rsid w:val="00647452"/>
    <w:rsid w:val="00650AE4"/>
    <w:rsid w:val="006521E5"/>
    <w:rsid w:val="00655142"/>
    <w:rsid w:val="00656E7E"/>
    <w:rsid w:val="0066109A"/>
    <w:rsid w:val="00661446"/>
    <w:rsid w:val="00663EB8"/>
    <w:rsid w:val="00664A3C"/>
    <w:rsid w:val="00666432"/>
    <w:rsid w:val="00666772"/>
    <w:rsid w:val="00666979"/>
    <w:rsid w:val="00666DE4"/>
    <w:rsid w:val="00670509"/>
    <w:rsid w:val="00670C3E"/>
    <w:rsid w:val="00670FEB"/>
    <w:rsid w:val="00671D4E"/>
    <w:rsid w:val="006721B4"/>
    <w:rsid w:val="00673A92"/>
    <w:rsid w:val="00673FDE"/>
    <w:rsid w:val="00674A40"/>
    <w:rsid w:val="006769F6"/>
    <w:rsid w:val="00677634"/>
    <w:rsid w:val="00677C06"/>
    <w:rsid w:val="00682A8E"/>
    <w:rsid w:val="00682FA6"/>
    <w:rsid w:val="00685EA3"/>
    <w:rsid w:val="00686697"/>
    <w:rsid w:val="00686E8B"/>
    <w:rsid w:val="00693B97"/>
    <w:rsid w:val="00694549"/>
    <w:rsid w:val="00695829"/>
    <w:rsid w:val="006977B9"/>
    <w:rsid w:val="00697928"/>
    <w:rsid w:val="006A035B"/>
    <w:rsid w:val="006A127E"/>
    <w:rsid w:val="006A4AA0"/>
    <w:rsid w:val="006A6914"/>
    <w:rsid w:val="006A712D"/>
    <w:rsid w:val="006B0255"/>
    <w:rsid w:val="006B09C8"/>
    <w:rsid w:val="006B0EFD"/>
    <w:rsid w:val="006B19A9"/>
    <w:rsid w:val="006B1C23"/>
    <w:rsid w:val="006B3C0A"/>
    <w:rsid w:val="006B4720"/>
    <w:rsid w:val="006B4BC4"/>
    <w:rsid w:val="006B4CB5"/>
    <w:rsid w:val="006B6280"/>
    <w:rsid w:val="006B6CF1"/>
    <w:rsid w:val="006B77AA"/>
    <w:rsid w:val="006B7D3F"/>
    <w:rsid w:val="006C095B"/>
    <w:rsid w:val="006C2DCF"/>
    <w:rsid w:val="006C5683"/>
    <w:rsid w:val="006C711E"/>
    <w:rsid w:val="006D2978"/>
    <w:rsid w:val="006D3C62"/>
    <w:rsid w:val="006E03CC"/>
    <w:rsid w:val="006E24C8"/>
    <w:rsid w:val="006E3BB8"/>
    <w:rsid w:val="006E615A"/>
    <w:rsid w:val="006E6A8A"/>
    <w:rsid w:val="006E6AA2"/>
    <w:rsid w:val="006E7357"/>
    <w:rsid w:val="006E775A"/>
    <w:rsid w:val="006F12DB"/>
    <w:rsid w:val="006F1E77"/>
    <w:rsid w:val="006F27CB"/>
    <w:rsid w:val="006F4176"/>
    <w:rsid w:val="006F4473"/>
    <w:rsid w:val="006F599B"/>
    <w:rsid w:val="006F679F"/>
    <w:rsid w:val="006F7031"/>
    <w:rsid w:val="00700AAF"/>
    <w:rsid w:val="007014D8"/>
    <w:rsid w:val="00705600"/>
    <w:rsid w:val="00706BAF"/>
    <w:rsid w:val="00706C21"/>
    <w:rsid w:val="007077F2"/>
    <w:rsid w:val="0070797C"/>
    <w:rsid w:val="00710BF2"/>
    <w:rsid w:val="00711EF4"/>
    <w:rsid w:val="00712F3C"/>
    <w:rsid w:val="0071404F"/>
    <w:rsid w:val="00715F20"/>
    <w:rsid w:val="00722418"/>
    <w:rsid w:val="00722C78"/>
    <w:rsid w:val="007243A6"/>
    <w:rsid w:val="007254B0"/>
    <w:rsid w:val="007275F6"/>
    <w:rsid w:val="00732074"/>
    <w:rsid w:val="007333CD"/>
    <w:rsid w:val="0073685E"/>
    <w:rsid w:val="007371E6"/>
    <w:rsid w:val="00737BC5"/>
    <w:rsid w:val="00744A19"/>
    <w:rsid w:val="007456D3"/>
    <w:rsid w:val="007508BD"/>
    <w:rsid w:val="00750C51"/>
    <w:rsid w:val="007542AE"/>
    <w:rsid w:val="007550E2"/>
    <w:rsid w:val="00755609"/>
    <w:rsid w:val="00755728"/>
    <w:rsid w:val="0076059D"/>
    <w:rsid w:val="007629F2"/>
    <w:rsid w:val="00765378"/>
    <w:rsid w:val="00765612"/>
    <w:rsid w:val="0077010E"/>
    <w:rsid w:val="00772BDE"/>
    <w:rsid w:val="00772C21"/>
    <w:rsid w:val="0077376D"/>
    <w:rsid w:val="0077442E"/>
    <w:rsid w:val="007768E6"/>
    <w:rsid w:val="00780131"/>
    <w:rsid w:val="007805FE"/>
    <w:rsid w:val="00781FD3"/>
    <w:rsid w:val="007840A4"/>
    <w:rsid w:val="007860E1"/>
    <w:rsid w:val="00790BB2"/>
    <w:rsid w:val="00793115"/>
    <w:rsid w:val="0079363B"/>
    <w:rsid w:val="00795CB5"/>
    <w:rsid w:val="00795FC0"/>
    <w:rsid w:val="00797B43"/>
    <w:rsid w:val="007A2464"/>
    <w:rsid w:val="007A38FC"/>
    <w:rsid w:val="007B1652"/>
    <w:rsid w:val="007B17E5"/>
    <w:rsid w:val="007B224B"/>
    <w:rsid w:val="007B2BB5"/>
    <w:rsid w:val="007B4DBB"/>
    <w:rsid w:val="007B556A"/>
    <w:rsid w:val="007B58DF"/>
    <w:rsid w:val="007B5B34"/>
    <w:rsid w:val="007B603F"/>
    <w:rsid w:val="007B762A"/>
    <w:rsid w:val="007C1262"/>
    <w:rsid w:val="007C235E"/>
    <w:rsid w:val="007C2A8A"/>
    <w:rsid w:val="007C44D6"/>
    <w:rsid w:val="007C50BB"/>
    <w:rsid w:val="007C5A5A"/>
    <w:rsid w:val="007C6A88"/>
    <w:rsid w:val="007D2331"/>
    <w:rsid w:val="007D2763"/>
    <w:rsid w:val="007D33EC"/>
    <w:rsid w:val="007D4125"/>
    <w:rsid w:val="007D4F17"/>
    <w:rsid w:val="007D7C83"/>
    <w:rsid w:val="007E001B"/>
    <w:rsid w:val="007E07C3"/>
    <w:rsid w:val="007E35A3"/>
    <w:rsid w:val="007E4EAB"/>
    <w:rsid w:val="007E53E0"/>
    <w:rsid w:val="007E7349"/>
    <w:rsid w:val="007F0C61"/>
    <w:rsid w:val="007F101E"/>
    <w:rsid w:val="007F1C81"/>
    <w:rsid w:val="007F24CF"/>
    <w:rsid w:val="007F3437"/>
    <w:rsid w:val="007F4CFA"/>
    <w:rsid w:val="007F4FBF"/>
    <w:rsid w:val="007F6485"/>
    <w:rsid w:val="007F7CF6"/>
    <w:rsid w:val="008039C5"/>
    <w:rsid w:val="008078BB"/>
    <w:rsid w:val="00807B87"/>
    <w:rsid w:val="008109A3"/>
    <w:rsid w:val="008124C1"/>
    <w:rsid w:val="00812A45"/>
    <w:rsid w:val="008147A0"/>
    <w:rsid w:val="00814A99"/>
    <w:rsid w:val="00814C3F"/>
    <w:rsid w:val="00815167"/>
    <w:rsid w:val="0082297D"/>
    <w:rsid w:val="008246C2"/>
    <w:rsid w:val="00831645"/>
    <w:rsid w:val="00832971"/>
    <w:rsid w:val="00834EBB"/>
    <w:rsid w:val="008363FB"/>
    <w:rsid w:val="0084035A"/>
    <w:rsid w:val="00840751"/>
    <w:rsid w:val="008416E7"/>
    <w:rsid w:val="00841AEC"/>
    <w:rsid w:val="008435B6"/>
    <w:rsid w:val="00846370"/>
    <w:rsid w:val="0084712E"/>
    <w:rsid w:val="00847424"/>
    <w:rsid w:val="0084781F"/>
    <w:rsid w:val="008500DF"/>
    <w:rsid w:val="00851808"/>
    <w:rsid w:val="00857BBB"/>
    <w:rsid w:val="00857C45"/>
    <w:rsid w:val="00857FF8"/>
    <w:rsid w:val="0086083F"/>
    <w:rsid w:val="0086300F"/>
    <w:rsid w:val="0086350F"/>
    <w:rsid w:val="00864B2C"/>
    <w:rsid w:val="00866F78"/>
    <w:rsid w:val="0087008F"/>
    <w:rsid w:val="0087127A"/>
    <w:rsid w:val="008715E2"/>
    <w:rsid w:val="0087208A"/>
    <w:rsid w:val="00874D41"/>
    <w:rsid w:val="0088121B"/>
    <w:rsid w:val="00883434"/>
    <w:rsid w:val="00883BF0"/>
    <w:rsid w:val="00884B89"/>
    <w:rsid w:val="00887BCC"/>
    <w:rsid w:val="00890A6F"/>
    <w:rsid w:val="00890BF9"/>
    <w:rsid w:val="00890D7D"/>
    <w:rsid w:val="00892515"/>
    <w:rsid w:val="00892B5B"/>
    <w:rsid w:val="00893CBE"/>
    <w:rsid w:val="00893D5D"/>
    <w:rsid w:val="00895AED"/>
    <w:rsid w:val="008974A5"/>
    <w:rsid w:val="00897B53"/>
    <w:rsid w:val="008A0324"/>
    <w:rsid w:val="008A1D57"/>
    <w:rsid w:val="008B062D"/>
    <w:rsid w:val="008B0D22"/>
    <w:rsid w:val="008B19AA"/>
    <w:rsid w:val="008B1F05"/>
    <w:rsid w:val="008B2657"/>
    <w:rsid w:val="008B3346"/>
    <w:rsid w:val="008B5490"/>
    <w:rsid w:val="008B6BD9"/>
    <w:rsid w:val="008B7923"/>
    <w:rsid w:val="008B7F7E"/>
    <w:rsid w:val="008C0B8A"/>
    <w:rsid w:val="008C3AF0"/>
    <w:rsid w:val="008C4417"/>
    <w:rsid w:val="008C5F9C"/>
    <w:rsid w:val="008C726F"/>
    <w:rsid w:val="008C76BB"/>
    <w:rsid w:val="008D1A38"/>
    <w:rsid w:val="008D3EE5"/>
    <w:rsid w:val="008D4646"/>
    <w:rsid w:val="008D4CA6"/>
    <w:rsid w:val="008D75A2"/>
    <w:rsid w:val="008E0F45"/>
    <w:rsid w:val="008E2563"/>
    <w:rsid w:val="008E439B"/>
    <w:rsid w:val="008E4767"/>
    <w:rsid w:val="008E47DC"/>
    <w:rsid w:val="008E551A"/>
    <w:rsid w:val="008E5F31"/>
    <w:rsid w:val="008F02E9"/>
    <w:rsid w:val="008F17B3"/>
    <w:rsid w:val="008F2904"/>
    <w:rsid w:val="008F29B8"/>
    <w:rsid w:val="008F5D16"/>
    <w:rsid w:val="008F72BE"/>
    <w:rsid w:val="008F72E6"/>
    <w:rsid w:val="008F7ED3"/>
    <w:rsid w:val="0090058C"/>
    <w:rsid w:val="009005A8"/>
    <w:rsid w:val="009008E1"/>
    <w:rsid w:val="00901DAA"/>
    <w:rsid w:val="00902372"/>
    <w:rsid w:val="009029D5"/>
    <w:rsid w:val="00902F89"/>
    <w:rsid w:val="0090365A"/>
    <w:rsid w:val="009036D7"/>
    <w:rsid w:val="00904AF7"/>
    <w:rsid w:val="00905432"/>
    <w:rsid w:val="0091152D"/>
    <w:rsid w:val="009161F1"/>
    <w:rsid w:val="00916386"/>
    <w:rsid w:val="009166CB"/>
    <w:rsid w:val="009172D3"/>
    <w:rsid w:val="00920B49"/>
    <w:rsid w:val="00921028"/>
    <w:rsid w:val="00921237"/>
    <w:rsid w:val="00924CAE"/>
    <w:rsid w:val="00926786"/>
    <w:rsid w:val="009269FC"/>
    <w:rsid w:val="009313F3"/>
    <w:rsid w:val="0093266D"/>
    <w:rsid w:val="00932C5D"/>
    <w:rsid w:val="00933291"/>
    <w:rsid w:val="00934A47"/>
    <w:rsid w:val="00934A55"/>
    <w:rsid w:val="00934E8D"/>
    <w:rsid w:val="00936CF0"/>
    <w:rsid w:val="00937B25"/>
    <w:rsid w:val="00937BD4"/>
    <w:rsid w:val="009402DF"/>
    <w:rsid w:val="00941CA4"/>
    <w:rsid w:val="00943269"/>
    <w:rsid w:val="0094364F"/>
    <w:rsid w:val="00943E97"/>
    <w:rsid w:val="00943FC2"/>
    <w:rsid w:val="009475DB"/>
    <w:rsid w:val="009509A6"/>
    <w:rsid w:val="009545D6"/>
    <w:rsid w:val="00955D16"/>
    <w:rsid w:val="00956105"/>
    <w:rsid w:val="00956228"/>
    <w:rsid w:val="009577DB"/>
    <w:rsid w:val="00957CD5"/>
    <w:rsid w:val="00957CF8"/>
    <w:rsid w:val="0096062E"/>
    <w:rsid w:val="00961D8F"/>
    <w:rsid w:val="00964401"/>
    <w:rsid w:val="009654DB"/>
    <w:rsid w:val="0096564E"/>
    <w:rsid w:val="00966363"/>
    <w:rsid w:val="00966675"/>
    <w:rsid w:val="009673BB"/>
    <w:rsid w:val="00967EA8"/>
    <w:rsid w:val="009736BD"/>
    <w:rsid w:val="00976892"/>
    <w:rsid w:val="009772FC"/>
    <w:rsid w:val="00977DFB"/>
    <w:rsid w:val="00980092"/>
    <w:rsid w:val="00980C4E"/>
    <w:rsid w:val="0098187E"/>
    <w:rsid w:val="00986845"/>
    <w:rsid w:val="00987E6B"/>
    <w:rsid w:val="009901B9"/>
    <w:rsid w:val="0099051F"/>
    <w:rsid w:val="00995861"/>
    <w:rsid w:val="00997B16"/>
    <w:rsid w:val="009A22A6"/>
    <w:rsid w:val="009A2EFA"/>
    <w:rsid w:val="009A4971"/>
    <w:rsid w:val="009A570C"/>
    <w:rsid w:val="009B0325"/>
    <w:rsid w:val="009B0BA7"/>
    <w:rsid w:val="009B1B1A"/>
    <w:rsid w:val="009B2D4E"/>
    <w:rsid w:val="009B4507"/>
    <w:rsid w:val="009B5C05"/>
    <w:rsid w:val="009B66F7"/>
    <w:rsid w:val="009C0EC1"/>
    <w:rsid w:val="009C12BB"/>
    <w:rsid w:val="009C246E"/>
    <w:rsid w:val="009C36BD"/>
    <w:rsid w:val="009C4A65"/>
    <w:rsid w:val="009C525E"/>
    <w:rsid w:val="009C72B7"/>
    <w:rsid w:val="009C7A23"/>
    <w:rsid w:val="009D1867"/>
    <w:rsid w:val="009D1DA0"/>
    <w:rsid w:val="009D2827"/>
    <w:rsid w:val="009D2BDE"/>
    <w:rsid w:val="009E0B57"/>
    <w:rsid w:val="009E1138"/>
    <w:rsid w:val="009E1690"/>
    <w:rsid w:val="009E1D40"/>
    <w:rsid w:val="009E3E37"/>
    <w:rsid w:val="009E4F24"/>
    <w:rsid w:val="009E5E07"/>
    <w:rsid w:val="009E6CE8"/>
    <w:rsid w:val="009E6FBC"/>
    <w:rsid w:val="009F0C5D"/>
    <w:rsid w:val="009F0F6E"/>
    <w:rsid w:val="009F3D5E"/>
    <w:rsid w:val="009F3EB1"/>
    <w:rsid w:val="009F56B7"/>
    <w:rsid w:val="009F6875"/>
    <w:rsid w:val="009F744F"/>
    <w:rsid w:val="00A02352"/>
    <w:rsid w:val="00A0405E"/>
    <w:rsid w:val="00A04A7C"/>
    <w:rsid w:val="00A055A8"/>
    <w:rsid w:val="00A0762D"/>
    <w:rsid w:val="00A0772A"/>
    <w:rsid w:val="00A07DF6"/>
    <w:rsid w:val="00A07F67"/>
    <w:rsid w:val="00A1022A"/>
    <w:rsid w:val="00A108F5"/>
    <w:rsid w:val="00A116DC"/>
    <w:rsid w:val="00A1184B"/>
    <w:rsid w:val="00A12EB1"/>
    <w:rsid w:val="00A130DE"/>
    <w:rsid w:val="00A20286"/>
    <w:rsid w:val="00A21469"/>
    <w:rsid w:val="00A25286"/>
    <w:rsid w:val="00A26475"/>
    <w:rsid w:val="00A301C1"/>
    <w:rsid w:val="00A31DB7"/>
    <w:rsid w:val="00A32D28"/>
    <w:rsid w:val="00A33C96"/>
    <w:rsid w:val="00A34603"/>
    <w:rsid w:val="00A35779"/>
    <w:rsid w:val="00A35FC2"/>
    <w:rsid w:val="00A36E7A"/>
    <w:rsid w:val="00A3763D"/>
    <w:rsid w:val="00A377B3"/>
    <w:rsid w:val="00A40210"/>
    <w:rsid w:val="00A404AC"/>
    <w:rsid w:val="00A43ED5"/>
    <w:rsid w:val="00A441A2"/>
    <w:rsid w:val="00A446FF"/>
    <w:rsid w:val="00A45C6B"/>
    <w:rsid w:val="00A45DFC"/>
    <w:rsid w:val="00A45E7A"/>
    <w:rsid w:val="00A47D11"/>
    <w:rsid w:val="00A47F9B"/>
    <w:rsid w:val="00A50237"/>
    <w:rsid w:val="00A502B1"/>
    <w:rsid w:val="00A519D6"/>
    <w:rsid w:val="00A51AFD"/>
    <w:rsid w:val="00A52581"/>
    <w:rsid w:val="00A52FFC"/>
    <w:rsid w:val="00A53D37"/>
    <w:rsid w:val="00A5412D"/>
    <w:rsid w:val="00A55B82"/>
    <w:rsid w:val="00A56C00"/>
    <w:rsid w:val="00A56ECA"/>
    <w:rsid w:val="00A636BF"/>
    <w:rsid w:val="00A63C1D"/>
    <w:rsid w:val="00A64243"/>
    <w:rsid w:val="00A65947"/>
    <w:rsid w:val="00A736CE"/>
    <w:rsid w:val="00A741AB"/>
    <w:rsid w:val="00A75341"/>
    <w:rsid w:val="00A76288"/>
    <w:rsid w:val="00A764A2"/>
    <w:rsid w:val="00A7721C"/>
    <w:rsid w:val="00A80B06"/>
    <w:rsid w:val="00A83697"/>
    <w:rsid w:val="00A84A11"/>
    <w:rsid w:val="00A85D15"/>
    <w:rsid w:val="00A86FC5"/>
    <w:rsid w:val="00A93D9D"/>
    <w:rsid w:val="00A93E83"/>
    <w:rsid w:val="00A940A2"/>
    <w:rsid w:val="00A944A9"/>
    <w:rsid w:val="00A94987"/>
    <w:rsid w:val="00A95D05"/>
    <w:rsid w:val="00A96EC6"/>
    <w:rsid w:val="00AA023D"/>
    <w:rsid w:val="00AA0C5E"/>
    <w:rsid w:val="00AA0E27"/>
    <w:rsid w:val="00AA0F12"/>
    <w:rsid w:val="00AA0FB0"/>
    <w:rsid w:val="00AA13AD"/>
    <w:rsid w:val="00AA1B36"/>
    <w:rsid w:val="00AA26D5"/>
    <w:rsid w:val="00AA5430"/>
    <w:rsid w:val="00AA652A"/>
    <w:rsid w:val="00AA7864"/>
    <w:rsid w:val="00AA7F3A"/>
    <w:rsid w:val="00AB15FC"/>
    <w:rsid w:val="00AB2EF4"/>
    <w:rsid w:val="00AB4DA3"/>
    <w:rsid w:val="00AC0D2D"/>
    <w:rsid w:val="00AC2BAF"/>
    <w:rsid w:val="00AC401F"/>
    <w:rsid w:val="00AC5C63"/>
    <w:rsid w:val="00AC5C91"/>
    <w:rsid w:val="00AC5F28"/>
    <w:rsid w:val="00AC67AE"/>
    <w:rsid w:val="00AC7C03"/>
    <w:rsid w:val="00AD2444"/>
    <w:rsid w:val="00AD25FC"/>
    <w:rsid w:val="00AD38B4"/>
    <w:rsid w:val="00AD5615"/>
    <w:rsid w:val="00AD63DF"/>
    <w:rsid w:val="00AD7FAF"/>
    <w:rsid w:val="00AE18CE"/>
    <w:rsid w:val="00AE2328"/>
    <w:rsid w:val="00AE3B8D"/>
    <w:rsid w:val="00AE3E4A"/>
    <w:rsid w:val="00AE633A"/>
    <w:rsid w:val="00AE746F"/>
    <w:rsid w:val="00AE7A07"/>
    <w:rsid w:val="00AF2E40"/>
    <w:rsid w:val="00AF35EB"/>
    <w:rsid w:val="00AF5021"/>
    <w:rsid w:val="00AF6D8E"/>
    <w:rsid w:val="00AF7A64"/>
    <w:rsid w:val="00AF7D3D"/>
    <w:rsid w:val="00B01749"/>
    <w:rsid w:val="00B038FD"/>
    <w:rsid w:val="00B06404"/>
    <w:rsid w:val="00B078FB"/>
    <w:rsid w:val="00B102D5"/>
    <w:rsid w:val="00B14762"/>
    <w:rsid w:val="00B149FC"/>
    <w:rsid w:val="00B165D2"/>
    <w:rsid w:val="00B17EBB"/>
    <w:rsid w:val="00B21E58"/>
    <w:rsid w:val="00B2333D"/>
    <w:rsid w:val="00B24638"/>
    <w:rsid w:val="00B248C1"/>
    <w:rsid w:val="00B265F9"/>
    <w:rsid w:val="00B27EFC"/>
    <w:rsid w:val="00B33578"/>
    <w:rsid w:val="00B37439"/>
    <w:rsid w:val="00B408B3"/>
    <w:rsid w:val="00B41D11"/>
    <w:rsid w:val="00B422F5"/>
    <w:rsid w:val="00B43468"/>
    <w:rsid w:val="00B44674"/>
    <w:rsid w:val="00B44A02"/>
    <w:rsid w:val="00B47022"/>
    <w:rsid w:val="00B52826"/>
    <w:rsid w:val="00B52C65"/>
    <w:rsid w:val="00B53EBB"/>
    <w:rsid w:val="00B65B22"/>
    <w:rsid w:val="00B7160B"/>
    <w:rsid w:val="00B72D6C"/>
    <w:rsid w:val="00B72D87"/>
    <w:rsid w:val="00B743E0"/>
    <w:rsid w:val="00B74B5F"/>
    <w:rsid w:val="00B74DC3"/>
    <w:rsid w:val="00B75441"/>
    <w:rsid w:val="00B8119A"/>
    <w:rsid w:val="00B819FA"/>
    <w:rsid w:val="00B81CE9"/>
    <w:rsid w:val="00B821DF"/>
    <w:rsid w:val="00B82D73"/>
    <w:rsid w:val="00B84B35"/>
    <w:rsid w:val="00B856AE"/>
    <w:rsid w:val="00B864E9"/>
    <w:rsid w:val="00B86F62"/>
    <w:rsid w:val="00B906E6"/>
    <w:rsid w:val="00B90E73"/>
    <w:rsid w:val="00B915EE"/>
    <w:rsid w:val="00B91C5B"/>
    <w:rsid w:val="00B92A07"/>
    <w:rsid w:val="00B93F28"/>
    <w:rsid w:val="00B94C7D"/>
    <w:rsid w:val="00B952AF"/>
    <w:rsid w:val="00B95EDA"/>
    <w:rsid w:val="00B971A1"/>
    <w:rsid w:val="00BA0CF0"/>
    <w:rsid w:val="00BA1D11"/>
    <w:rsid w:val="00BA2F03"/>
    <w:rsid w:val="00BA6786"/>
    <w:rsid w:val="00BB2488"/>
    <w:rsid w:val="00BB379D"/>
    <w:rsid w:val="00BB6640"/>
    <w:rsid w:val="00BB66E9"/>
    <w:rsid w:val="00BB7B0C"/>
    <w:rsid w:val="00BC0629"/>
    <w:rsid w:val="00BC0B86"/>
    <w:rsid w:val="00BC2CAB"/>
    <w:rsid w:val="00BC3C66"/>
    <w:rsid w:val="00BC6A24"/>
    <w:rsid w:val="00BC6CA0"/>
    <w:rsid w:val="00BC78AA"/>
    <w:rsid w:val="00BD050A"/>
    <w:rsid w:val="00BD2D90"/>
    <w:rsid w:val="00BD4598"/>
    <w:rsid w:val="00BD4E86"/>
    <w:rsid w:val="00BD5EB5"/>
    <w:rsid w:val="00BD67A0"/>
    <w:rsid w:val="00BE158C"/>
    <w:rsid w:val="00BE26AB"/>
    <w:rsid w:val="00BE3746"/>
    <w:rsid w:val="00BE42CD"/>
    <w:rsid w:val="00BE6CDF"/>
    <w:rsid w:val="00BE7A2D"/>
    <w:rsid w:val="00BE7F85"/>
    <w:rsid w:val="00BF17A6"/>
    <w:rsid w:val="00BF1C70"/>
    <w:rsid w:val="00BF1CE1"/>
    <w:rsid w:val="00BF31E9"/>
    <w:rsid w:val="00BF36E4"/>
    <w:rsid w:val="00BF42B7"/>
    <w:rsid w:val="00BF4411"/>
    <w:rsid w:val="00BF5BE1"/>
    <w:rsid w:val="00BF668A"/>
    <w:rsid w:val="00BF7EAB"/>
    <w:rsid w:val="00C02F5F"/>
    <w:rsid w:val="00C0301D"/>
    <w:rsid w:val="00C039F3"/>
    <w:rsid w:val="00C03CA2"/>
    <w:rsid w:val="00C03CB5"/>
    <w:rsid w:val="00C05FF2"/>
    <w:rsid w:val="00C06BF6"/>
    <w:rsid w:val="00C12840"/>
    <w:rsid w:val="00C13822"/>
    <w:rsid w:val="00C16FFA"/>
    <w:rsid w:val="00C21B05"/>
    <w:rsid w:val="00C23642"/>
    <w:rsid w:val="00C30B92"/>
    <w:rsid w:val="00C30CA9"/>
    <w:rsid w:val="00C323CC"/>
    <w:rsid w:val="00C33631"/>
    <w:rsid w:val="00C33EFE"/>
    <w:rsid w:val="00C342DD"/>
    <w:rsid w:val="00C347C2"/>
    <w:rsid w:val="00C3482D"/>
    <w:rsid w:val="00C35E03"/>
    <w:rsid w:val="00C362B8"/>
    <w:rsid w:val="00C3796B"/>
    <w:rsid w:val="00C40E61"/>
    <w:rsid w:val="00C41A9D"/>
    <w:rsid w:val="00C42582"/>
    <w:rsid w:val="00C5595B"/>
    <w:rsid w:val="00C65CF1"/>
    <w:rsid w:val="00C66971"/>
    <w:rsid w:val="00C67B2E"/>
    <w:rsid w:val="00C713B4"/>
    <w:rsid w:val="00C72FE9"/>
    <w:rsid w:val="00C7516B"/>
    <w:rsid w:val="00C75373"/>
    <w:rsid w:val="00C7557B"/>
    <w:rsid w:val="00C75DC2"/>
    <w:rsid w:val="00C7653D"/>
    <w:rsid w:val="00C76E91"/>
    <w:rsid w:val="00C8127F"/>
    <w:rsid w:val="00C83873"/>
    <w:rsid w:val="00C844D1"/>
    <w:rsid w:val="00C8607D"/>
    <w:rsid w:val="00C86A83"/>
    <w:rsid w:val="00C8794C"/>
    <w:rsid w:val="00C900A0"/>
    <w:rsid w:val="00C918F6"/>
    <w:rsid w:val="00C91FCC"/>
    <w:rsid w:val="00C934ED"/>
    <w:rsid w:val="00C93FCD"/>
    <w:rsid w:val="00C94278"/>
    <w:rsid w:val="00C95AEE"/>
    <w:rsid w:val="00C965B7"/>
    <w:rsid w:val="00C97B7C"/>
    <w:rsid w:val="00CA05BF"/>
    <w:rsid w:val="00CA189D"/>
    <w:rsid w:val="00CA2659"/>
    <w:rsid w:val="00CA2E91"/>
    <w:rsid w:val="00CA5098"/>
    <w:rsid w:val="00CA5E34"/>
    <w:rsid w:val="00CA6DED"/>
    <w:rsid w:val="00CA70A7"/>
    <w:rsid w:val="00CB382D"/>
    <w:rsid w:val="00CB4347"/>
    <w:rsid w:val="00CC03FC"/>
    <w:rsid w:val="00CC21FB"/>
    <w:rsid w:val="00CC31FA"/>
    <w:rsid w:val="00CC36BF"/>
    <w:rsid w:val="00CC3A97"/>
    <w:rsid w:val="00CC4B64"/>
    <w:rsid w:val="00CC58CA"/>
    <w:rsid w:val="00CC668D"/>
    <w:rsid w:val="00CD0DD0"/>
    <w:rsid w:val="00CD1AFB"/>
    <w:rsid w:val="00CD1D83"/>
    <w:rsid w:val="00CD1F09"/>
    <w:rsid w:val="00CD27D3"/>
    <w:rsid w:val="00CD2F83"/>
    <w:rsid w:val="00CD49BF"/>
    <w:rsid w:val="00CD5811"/>
    <w:rsid w:val="00CD5BCE"/>
    <w:rsid w:val="00CE04D9"/>
    <w:rsid w:val="00CE3CD7"/>
    <w:rsid w:val="00CE4A57"/>
    <w:rsid w:val="00CE4DD2"/>
    <w:rsid w:val="00CE54FD"/>
    <w:rsid w:val="00CE6375"/>
    <w:rsid w:val="00CE6A34"/>
    <w:rsid w:val="00CE6E85"/>
    <w:rsid w:val="00CE7998"/>
    <w:rsid w:val="00CF0D74"/>
    <w:rsid w:val="00CF116C"/>
    <w:rsid w:val="00CF3095"/>
    <w:rsid w:val="00D02424"/>
    <w:rsid w:val="00D02595"/>
    <w:rsid w:val="00D035BA"/>
    <w:rsid w:val="00D060C9"/>
    <w:rsid w:val="00D14DBD"/>
    <w:rsid w:val="00D15D22"/>
    <w:rsid w:val="00D161E6"/>
    <w:rsid w:val="00D1772C"/>
    <w:rsid w:val="00D21A51"/>
    <w:rsid w:val="00D258C8"/>
    <w:rsid w:val="00D26850"/>
    <w:rsid w:val="00D26A1A"/>
    <w:rsid w:val="00D3011B"/>
    <w:rsid w:val="00D325E5"/>
    <w:rsid w:val="00D32FC0"/>
    <w:rsid w:val="00D33B96"/>
    <w:rsid w:val="00D3587B"/>
    <w:rsid w:val="00D41406"/>
    <w:rsid w:val="00D43549"/>
    <w:rsid w:val="00D478A5"/>
    <w:rsid w:val="00D47C92"/>
    <w:rsid w:val="00D47DE8"/>
    <w:rsid w:val="00D5099E"/>
    <w:rsid w:val="00D50A6F"/>
    <w:rsid w:val="00D518B8"/>
    <w:rsid w:val="00D52F8D"/>
    <w:rsid w:val="00D53161"/>
    <w:rsid w:val="00D537B9"/>
    <w:rsid w:val="00D54419"/>
    <w:rsid w:val="00D55457"/>
    <w:rsid w:val="00D56722"/>
    <w:rsid w:val="00D57478"/>
    <w:rsid w:val="00D60E82"/>
    <w:rsid w:val="00D6287E"/>
    <w:rsid w:val="00D630A0"/>
    <w:rsid w:val="00D636DA"/>
    <w:rsid w:val="00D63C8B"/>
    <w:rsid w:val="00D6500A"/>
    <w:rsid w:val="00D658D2"/>
    <w:rsid w:val="00D7079E"/>
    <w:rsid w:val="00D715AF"/>
    <w:rsid w:val="00D739B2"/>
    <w:rsid w:val="00D76F37"/>
    <w:rsid w:val="00D804E0"/>
    <w:rsid w:val="00D8207D"/>
    <w:rsid w:val="00D829D9"/>
    <w:rsid w:val="00D838EF"/>
    <w:rsid w:val="00D845BA"/>
    <w:rsid w:val="00D8613C"/>
    <w:rsid w:val="00D87142"/>
    <w:rsid w:val="00D8742F"/>
    <w:rsid w:val="00D906C0"/>
    <w:rsid w:val="00D90A83"/>
    <w:rsid w:val="00D913CC"/>
    <w:rsid w:val="00D924FB"/>
    <w:rsid w:val="00D93354"/>
    <w:rsid w:val="00D93B6D"/>
    <w:rsid w:val="00D94057"/>
    <w:rsid w:val="00D9493E"/>
    <w:rsid w:val="00DA0B17"/>
    <w:rsid w:val="00DA10D1"/>
    <w:rsid w:val="00DA2B44"/>
    <w:rsid w:val="00DA3998"/>
    <w:rsid w:val="00DA3FAA"/>
    <w:rsid w:val="00DA45F6"/>
    <w:rsid w:val="00DA7C1E"/>
    <w:rsid w:val="00DB0BB7"/>
    <w:rsid w:val="00DB0C54"/>
    <w:rsid w:val="00DB1518"/>
    <w:rsid w:val="00DB177A"/>
    <w:rsid w:val="00DB18EF"/>
    <w:rsid w:val="00DB1F01"/>
    <w:rsid w:val="00DB2DE6"/>
    <w:rsid w:val="00DB3582"/>
    <w:rsid w:val="00DB4A69"/>
    <w:rsid w:val="00DC0348"/>
    <w:rsid w:val="00DC36A0"/>
    <w:rsid w:val="00DC40B8"/>
    <w:rsid w:val="00DC4293"/>
    <w:rsid w:val="00DC4D69"/>
    <w:rsid w:val="00DC5817"/>
    <w:rsid w:val="00DC6855"/>
    <w:rsid w:val="00DC70AD"/>
    <w:rsid w:val="00DC70B8"/>
    <w:rsid w:val="00DD1BD8"/>
    <w:rsid w:val="00DD2328"/>
    <w:rsid w:val="00DD2561"/>
    <w:rsid w:val="00DD4D9C"/>
    <w:rsid w:val="00DD5C60"/>
    <w:rsid w:val="00DD5E9D"/>
    <w:rsid w:val="00DD6743"/>
    <w:rsid w:val="00DD6ECE"/>
    <w:rsid w:val="00DD7511"/>
    <w:rsid w:val="00DD770F"/>
    <w:rsid w:val="00DE22EB"/>
    <w:rsid w:val="00DE3F4A"/>
    <w:rsid w:val="00DF5F74"/>
    <w:rsid w:val="00DF6328"/>
    <w:rsid w:val="00DF66EA"/>
    <w:rsid w:val="00E01A8E"/>
    <w:rsid w:val="00E02158"/>
    <w:rsid w:val="00E02319"/>
    <w:rsid w:val="00E02E7B"/>
    <w:rsid w:val="00E06166"/>
    <w:rsid w:val="00E06B73"/>
    <w:rsid w:val="00E06CB0"/>
    <w:rsid w:val="00E06F14"/>
    <w:rsid w:val="00E11EBD"/>
    <w:rsid w:val="00E14E31"/>
    <w:rsid w:val="00E14FA5"/>
    <w:rsid w:val="00E176AA"/>
    <w:rsid w:val="00E17711"/>
    <w:rsid w:val="00E2104C"/>
    <w:rsid w:val="00E219EC"/>
    <w:rsid w:val="00E21E61"/>
    <w:rsid w:val="00E23370"/>
    <w:rsid w:val="00E234D1"/>
    <w:rsid w:val="00E23923"/>
    <w:rsid w:val="00E24DA8"/>
    <w:rsid w:val="00E25F55"/>
    <w:rsid w:val="00E2662C"/>
    <w:rsid w:val="00E27868"/>
    <w:rsid w:val="00E3011D"/>
    <w:rsid w:val="00E33FEB"/>
    <w:rsid w:val="00E343AB"/>
    <w:rsid w:val="00E356EA"/>
    <w:rsid w:val="00E4218D"/>
    <w:rsid w:val="00E456F7"/>
    <w:rsid w:val="00E46FC9"/>
    <w:rsid w:val="00E47E85"/>
    <w:rsid w:val="00E50322"/>
    <w:rsid w:val="00E51138"/>
    <w:rsid w:val="00E515DB"/>
    <w:rsid w:val="00E51C6E"/>
    <w:rsid w:val="00E5587B"/>
    <w:rsid w:val="00E60F6E"/>
    <w:rsid w:val="00E61946"/>
    <w:rsid w:val="00E701D1"/>
    <w:rsid w:val="00E7093C"/>
    <w:rsid w:val="00E71ECA"/>
    <w:rsid w:val="00E72275"/>
    <w:rsid w:val="00E72BC1"/>
    <w:rsid w:val="00E740ED"/>
    <w:rsid w:val="00E80775"/>
    <w:rsid w:val="00E819C8"/>
    <w:rsid w:val="00E82601"/>
    <w:rsid w:val="00E84CF1"/>
    <w:rsid w:val="00E84FCF"/>
    <w:rsid w:val="00E8724A"/>
    <w:rsid w:val="00E90409"/>
    <w:rsid w:val="00E90A55"/>
    <w:rsid w:val="00E930A4"/>
    <w:rsid w:val="00E94BA5"/>
    <w:rsid w:val="00E97FC7"/>
    <w:rsid w:val="00EA111D"/>
    <w:rsid w:val="00EA1436"/>
    <w:rsid w:val="00EA2B55"/>
    <w:rsid w:val="00EA3A03"/>
    <w:rsid w:val="00EA5659"/>
    <w:rsid w:val="00EA6D20"/>
    <w:rsid w:val="00EA76DA"/>
    <w:rsid w:val="00EB0306"/>
    <w:rsid w:val="00EB1504"/>
    <w:rsid w:val="00EB40C0"/>
    <w:rsid w:val="00EB493B"/>
    <w:rsid w:val="00EB5368"/>
    <w:rsid w:val="00EB59E3"/>
    <w:rsid w:val="00EB5D65"/>
    <w:rsid w:val="00EB6B4F"/>
    <w:rsid w:val="00EC0723"/>
    <w:rsid w:val="00EC099D"/>
    <w:rsid w:val="00EC1C18"/>
    <w:rsid w:val="00EC1FA9"/>
    <w:rsid w:val="00EC69C5"/>
    <w:rsid w:val="00EC7535"/>
    <w:rsid w:val="00ED0B92"/>
    <w:rsid w:val="00ED0EA6"/>
    <w:rsid w:val="00ED1729"/>
    <w:rsid w:val="00ED2986"/>
    <w:rsid w:val="00ED4225"/>
    <w:rsid w:val="00ED4A73"/>
    <w:rsid w:val="00ED608C"/>
    <w:rsid w:val="00EE02B6"/>
    <w:rsid w:val="00EE0436"/>
    <w:rsid w:val="00EE0C94"/>
    <w:rsid w:val="00EE0DB8"/>
    <w:rsid w:val="00EE42F8"/>
    <w:rsid w:val="00EE7A6C"/>
    <w:rsid w:val="00EF0190"/>
    <w:rsid w:val="00EF222F"/>
    <w:rsid w:val="00EF3110"/>
    <w:rsid w:val="00EF3BF8"/>
    <w:rsid w:val="00EF5B6F"/>
    <w:rsid w:val="00EF7A8C"/>
    <w:rsid w:val="00F02032"/>
    <w:rsid w:val="00F02534"/>
    <w:rsid w:val="00F059E1"/>
    <w:rsid w:val="00F05E71"/>
    <w:rsid w:val="00F11DFE"/>
    <w:rsid w:val="00F14372"/>
    <w:rsid w:val="00F16807"/>
    <w:rsid w:val="00F20134"/>
    <w:rsid w:val="00F2039F"/>
    <w:rsid w:val="00F20592"/>
    <w:rsid w:val="00F21A73"/>
    <w:rsid w:val="00F21D80"/>
    <w:rsid w:val="00F22C51"/>
    <w:rsid w:val="00F25441"/>
    <w:rsid w:val="00F266CE"/>
    <w:rsid w:val="00F2774B"/>
    <w:rsid w:val="00F30229"/>
    <w:rsid w:val="00F30D03"/>
    <w:rsid w:val="00F31D6A"/>
    <w:rsid w:val="00F34DB1"/>
    <w:rsid w:val="00F416BF"/>
    <w:rsid w:val="00F416D7"/>
    <w:rsid w:val="00F41D29"/>
    <w:rsid w:val="00F43E6B"/>
    <w:rsid w:val="00F44D75"/>
    <w:rsid w:val="00F45C69"/>
    <w:rsid w:val="00F461BA"/>
    <w:rsid w:val="00F46353"/>
    <w:rsid w:val="00F46797"/>
    <w:rsid w:val="00F468A7"/>
    <w:rsid w:val="00F52DAF"/>
    <w:rsid w:val="00F553E3"/>
    <w:rsid w:val="00F630D7"/>
    <w:rsid w:val="00F6483A"/>
    <w:rsid w:val="00F64E8F"/>
    <w:rsid w:val="00F653B1"/>
    <w:rsid w:val="00F65803"/>
    <w:rsid w:val="00F71588"/>
    <w:rsid w:val="00F7242A"/>
    <w:rsid w:val="00F759C4"/>
    <w:rsid w:val="00F75FAB"/>
    <w:rsid w:val="00F76588"/>
    <w:rsid w:val="00F771A1"/>
    <w:rsid w:val="00F800C9"/>
    <w:rsid w:val="00F81F29"/>
    <w:rsid w:val="00F847AC"/>
    <w:rsid w:val="00F85FBD"/>
    <w:rsid w:val="00F862DF"/>
    <w:rsid w:val="00F919BD"/>
    <w:rsid w:val="00F93451"/>
    <w:rsid w:val="00F979FE"/>
    <w:rsid w:val="00FA0CEF"/>
    <w:rsid w:val="00FA19B5"/>
    <w:rsid w:val="00FA6ADE"/>
    <w:rsid w:val="00FB225A"/>
    <w:rsid w:val="00FB2D56"/>
    <w:rsid w:val="00FB30B7"/>
    <w:rsid w:val="00FB3EEA"/>
    <w:rsid w:val="00FB45D6"/>
    <w:rsid w:val="00FC0D35"/>
    <w:rsid w:val="00FC2CD0"/>
    <w:rsid w:val="00FC5441"/>
    <w:rsid w:val="00FC7FEF"/>
    <w:rsid w:val="00FD00F1"/>
    <w:rsid w:val="00FD0F40"/>
    <w:rsid w:val="00FD12BE"/>
    <w:rsid w:val="00FD2766"/>
    <w:rsid w:val="00FD508C"/>
    <w:rsid w:val="00FE03CA"/>
    <w:rsid w:val="00FE0EDE"/>
    <w:rsid w:val="00FE2531"/>
    <w:rsid w:val="00FE592B"/>
    <w:rsid w:val="00FE607F"/>
    <w:rsid w:val="00FF0C0E"/>
    <w:rsid w:val="00FF18AE"/>
    <w:rsid w:val="00FF4A9C"/>
    <w:rsid w:val="00FF55FD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92B0"/>
  <w15:chartTrackingRefBased/>
  <w15:docId w15:val="{4FC1C71C-16E2-4227-A860-9FF7EB5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5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3D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545A3D"/>
    <w:pPr>
      <w:spacing w:after="0" w:line="240" w:lineRule="auto"/>
    </w:pPr>
    <w:rPr>
      <w:rFonts w:eastAsiaTheme="minorEastAsia"/>
      <w:kern w:val="2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A3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9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86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352C6F"/>
    <w:pPr>
      <w:spacing w:after="0" w:line="240" w:lineRule="auto"/>
    </w:pPr>
    <w:rPr>
      <w:rFonts w:eastAsiaTheme="minorEastAsia"/>
      <w:kern w:val="2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76"/>
  </w:style>
  <w:style w:type="paragraph" w:styleId="Footer">
    <w:name w:val="footer"/>
    <w:basedOn w:val="Normal"/>
    <w:link w:val="FooterChar"/>
    <w:uiPriority w:val="99"/>
    <w:unhideWhenUsed/>
    <w:rsid w:val="002B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76"/>
  </w:style>
  <w:style w:type="character" w:customStyle="1" w:styleId="Heading1Char">
    <w:name w:val="Heading 1 Char"/>
    <w:basedOn w:val="DefaultParagraphFont"/>
    <w:link w:val="Heading1"/>
    <w:uiPriority w:val="9"/>
    <w:rsid w:val="001E55B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36A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336A6"/>
    <w:pPr>
      <w:spacing w:after="100"/>
    </w:pPr>
  </w:style>
  <w:style w:type="character" w:customStyle="1" w:styleId="orcid-id-https">
    <w:name w:val="orcid-id-https"/>
    <w:basedOn w:val="DefaultParagraphFont"/>
    <w:rsid w:val="0084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34BB-F994-4012-8E54-8A551C57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Bern - ISPM</Company>
  <LinksUpToDate>false</LinksUpToDate>
  <CharactersWithSpaces>28535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Jungo, Katharina Tabea (BIHAM)</dc:creator>
  <cp:keywords/>
  <dc:description/>
  <cp:lastModifiedBy>Jungo, Katharina Tabea (BIHAM)</cp:lastModifiedBy>
  <cp:revision>9</cp:revision>
  <dcterms:created xsi:type="dcterms:W3CDTF">2020-12-07T16:39:00Z</dcterms:created>
  <dcterms:modified xsi:type="dcterms:W3CDTF">2020-12-14T10:36:00Z</dcterms:modified>
</cp:coreProperties>
</file>