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5E" w:rsidRDefault="00191E5E" w:rsidP="0019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CF"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 xml:space="preserve"> Fig: 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H-NMR sp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>ectrum of 5-(</w:t>
      </w:r>
      <w:r>
        <w:rPr>
          <w:rFonts w:ascii="Times New Roman" w:hAnsi="Times New Roman" w:cs="Times New Roman"/>
          <w:b/>
          <w:bCs/>
          <w:sz w:val="26"/>
          <w:szCs w:val="26"/>
        </w:rPr>
        <w:t>3-Hydroxy</w:t>
      </w:r>
      <w:r w:rsidRPr="005A2F10">
        <w:rPr>
          <w:rFonts w:ascii="Times New Roman" w:hAnsi="Times New Roman" w:cs="Times New Roman"/>
          <w:b/>
          <w:bCs/>
          <w:sz w:val="26"/>
          <w:szCs w:val="26"/>
        </w:rPr>
        <w:t>benzylidene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>)-3-</w:t>
      </w:r>
      <w:r w:rsidRPr="00675BCF">
        <w:rPr>
          <w:rFonts w:ascii="Times New Roman" w:hAnsi="Times New Roman" w:cs="Times New Roman"/>
          <w:b/>
          <w:bCs/>
          <w:i/>
          <w:sz w:val="26"/>
          <w:szCs w:val="26"/>
        </w:rPr>
        <w:t>m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 xml:space="preserve">-tolyl thiazolidine-2, 4- </w:t>
      </w:r>
      <w:proofErr w:type="spellStart"/>
      <w:r w:rsidRPr="00675BCF">
        <w:rPr>
          <w:rFonts w:ascii="Times New Roman" w:hAnsi="Times New Roman" w:cs="Times New Roman"/>
          <w:b/>
          <w:bCs/>
          <w:sz w:val="26"/>
          <w:szCs w:val="26"/>
        </w:rPr>
        <w:t>dione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(7d)</w:t>
      </w:r>
      <w:r w:rsidRPr="00783E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91E5E" w:rsidRDefault="00191E5E" w:rsidP="00191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D2BE04" wp14:editId="40D06729">
            <wp:extent cx="6210300" cy="553012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78" cy="55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24" w:rsidRDefault="009B2524">
      <w:bookmarkStart w:id="0" w:name="_GoBack"/>
      <w:bookmarkEnd w:id="0"/>
    </w:p>
    <w:sectPr w:rsidR="009B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1A"/>
    <w:rsid w:val="00191E5E"/>
    <w:rsid w:val="0057731A"/>
    <w:rsid w:val="009B2524"/>
    <w:rsid w:val="00A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2021-02-25T08:21:00Z</dcterms:created>
  <dcterms:modified xsi:type="dcterms:W3CDTF">2021-02-25T08:21:00Z</dcterms:modified>
</cp:coreProperties>
</file>