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D6" w:rsidRPr="007B4D25" w:rsidRDefault="00D61CD6" w:rsidP="00D61CD6">
      <w:pPr>
        <w:spacing w:after="200" w:line="276" w:lineRule="auto"/>
        <w:rPr>
          <w:b/>
          <w:bCs/>
          <w:lang w:val="en-US"/>
        </w:rPr>
      </w:pPr>
      <w:proofErr w:type="gramStart"/>
      <w:r w:rsidRPr="007B4D25">
        <w:rPr>
          <w:b/>
          <w:bCs/>
          <w:lang w:val="en-US"/>
        </w:rPr>
        <w:t>S8 Table.</w:t>
      </w:r>
      <w:proofErr w:type="gramEnd"/>
      <w:r w:rsidRPr="007B4D25">
        <w:rPr>
          <w:b/>
          <w:bCs/>
          <w:lang w:val="en-US"/>
        </w:rPr>
        <w:t xml:space="preserve"> </w:t>
      </w:r>
      <w:proofErr w:type="gramStart"/>
      <w:r w:rsidRPr="007B4D25">
        <w:rPr>
          <w:b/>
          <w:bCs/>
          <w:lang w:val="en-US"/>
        </w:rPr>
        <w:t>Association between haloperidol dose and the endpoint of intubation or death.</w:t>
      </w:r>
      <w:proofErr w:type="gramEnd"/>
    </w:p>
    <w:p w:rsidR="00D61CD6" w:rsidRPr="007B4D25" w:rsidRDefault="00D61CD6" w:rsidP="00D61CD6">
      <w:pPr>
        <w:contextualSpacing/>
        <w:rPr>
          <w:rFonts w:eastAsia="OTNEJMScalaSansLF"/>
          <w:lang w:val="en-US" w:eastAsia="en-US"/>
        </w:rPr>
      </w:pPr>
    </w:p>
    <w:tbl>
      <w:tblPr>
        <w:tblStyle w:val="TableGrid"/>
        <w:tblW w:w="14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772"/>
        <w:gridCol w:w="212"/>
        <w:gridCol w:w="2100"/>
        <w:gridCol w:w="2336"/>
        <w:gridCol w:w="2207"/>
        <w:gridCol w:w="1618"/>
        <w:gridCol w:w="2232"/>
      </w:tblGrid>
      <w:tr w:rsidR="00D61CD6" w:rsidRPr="007B4D25" w:rsidTr="002C2512">
        <w:trPr>
          <w:trHeight w:val="675"/>
          <w:jc w:val="center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61CD6" w:rsidRPr="007B4D25" w:rsidRDefault="00D61CD6" w:rsidP="002C25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4D25">
              <w:rPr>
                <w:b/>
                <w:sz w:val="20"/>
                <w:szCs w:val="20"/>
                <w:lang w:val="en-US"/>
              </w:rPr>
              <w:t>Full sample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4D25">
              <w:rPr>
                <w:b/>
                <w:sz w:val="20"/>
                <w:szCs w:val="20"/>
                <w:lang w:val="en-US"/>
              </w:rPr>
              <w:t>Matched analytic samples</w:t>
            </w:r>
          </w:p>
        </w:tc>
      </w:tr>
      <w:tr w:rsidR="00D61CD6" w:rsidRPr="006926E6" w:rsidTr="002C2512">
        <w:trPr>
          <w:trHeight w:val="675"/>
          <w:jc w:val="center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 xml:space="preserve">Number of events / Number of patients </w:t>
            </w:r>
            <w:r w:rsidRPr="007B4D25">
              <w:rPr>
                <w:b/>
                <w:sz w:val="20"/>
                <w:szCs w:val="20"/>
                <w:lang w:val="en-US"/>
              </w:rPr>
              <w:t>in the exposed groups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>Crude Cox regression analysis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>Multivariable Cox regression analysis</w:t>
            </w:r>
            <w:r w:rsidRPr="007B4D25">
              <w:rPr>
                <w:sz w:val="20"/>
                <w:szCs w:val="20"/>
                <w:vertAlign w:val="superscript"/>
                <w:lang w:val="en-US"/>
              </w:rPr>
              <w:t>β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>Analysis weighted by inverse-probability-weighting weights</w:t>
            </w:r>
            <w:r w:rsidRPr="007B4D25">
              <w:rPr>
                <w:sz w:val="20"/>
                <w:szCs w:val="20"/>
                <w:vertAlign w:val="superscript"/>
                <w:lang w:val="en-US"/>
              </w:rPr>
              <w:t>β</w:t>
            </w:r>
            <w:r w:rsidRPr="007B4D2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 xml:space="preserve">Number of events / Number of patients </w:t>
            </w:r>
            <w:r w:rsidRPr="007B4D25">
              <w:rPr>
                <w:b/>
                <w:sz w:val="20"/>
                <w:szCs w:val="20"/>
                <w:lang w:val="en-US"/>
              </w:rPr>
              <w:t>in the matched control groups</w:t>
            </w:r>
            <w:r w:rsidRPr="007B4D25">
              <w:rPr>
                <w:sz w:val="20"/>
                <w:szCs w:val="20"/>
                <w:vertAlign w:val="superscript"/>
                <w:lang w:val="en-US"/>
              </w:rPr>
              <w:t>β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>Univariate Cox regression in a matched analytic sample</w:t>
            </w:r>
          </w:p>
        </w:tc>
      </w:tr>
      <w:tr w:rsidR="00D61CD6" w:rsidRPr="007B4D25" w:rsidTr="002C2512">
        <w:trPr>
          <w:trHeight w:val="675"/>
          <w:jc w:val="center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N / %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 xml:space="preserve"> N / %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HR (95% CI; p-value)</w:t>
            </w:r>
          </w:p>
        </w:tc>
      </w:tr>
      <w:tr w:rsidR="00D61CD6" w:rsidRPr="007B4D25" w:rsidTr="002C2512">
        <w:trPr>
          <w:trHeight w:val="328"/>
          <w:jc w:val="center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rPr>
                <w:iCs/>
                <w:sz w:val="20"/>
                <w:szCs w:val="20"/>
              </w:rPr>
            </w:pPr>
            <w:proofErr w:type="spellStart"/>
            <w:r w:rsidRPr="007B4D25">
              <w:rPr>
                <w:iCs/>
                <w:sz w:val="20"/>
                <w:szCs w:val="20"/>
              </w:rPr>
              <w:t>Haloperidol</w:t>
            </w:r>
            <w:proofErr w:type="spellEnd"/>
            <w:r w:rsidRPr="007B4D25">
              <w:rPr>
                <w:iCs/>
                <w:sz w:val="20"/>
                <w:szCs w:val="20"/>
              </w:rPr>
              <w:t xml:space="preserve"> (n=31)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61CD6" w:rsidRPr="007B4D25" w:rsidTr="002C2512">
        <w:trPr>
          <w:trHeight w:val="328"/>
          <w:jc w:val="center"/>
        </w:trPr>
        <w:tc>
          <w:tcPr>
            <w:tcW w:w="2137" w:type="dxa"/>
            <w:vAlign w:val="center"/>
          </w:tcPr>
          <w:p w:rsidR="00D61CD6" w:rsidRPr="007B4D25" w:rsidRDefault="00D61CD6" w:rsidP="002C2512">
            <w:pPr>
              <w:ind w:left="359"/>
              <w:rPr>
                <w:i/>
                <w:sz w:val="20"/>
                <w:szCs w:val="20"/>
              </w:rPr>
            </w:pPr>
            <w:proofErr w:type="spellStart"/>
            <w:r w:rsidRPr="007B4D25">
              <w:rPr>
                <w:i/>
                <w:sz w:val="20"/>
                <w:szCs w:val="20"/>
              </w:rPr>
              <w:t>Low</w:t>
            </w:r>
            <w:proofErr w:type="spellEnd"/>
            <w:r w:rsidRPr="007B4D25">
              <w:rPr>
                <w:i/>
                <w:sz w:val="20"/>
                <w:szCs w:val="20"/>
              </w:rPr>
              <w:t xml:space="preserve"> dose</w:t>
            </w:r>
          </w:p>
        </w:tc>
        <w:tc>
          <w:tcPr>
            <w:tcW w:w="1772" w:type="dxa"/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r w:rsidRPr="007B4D25">
              <w:rPr>
                <w:sz w:val="20"/>
                <w:szCs w:val="20"/>
              </w:rPr>
              <w:t>5 / 19 (26.3%)</w:t>
            </w:r>
          </w:p>
        </w:tc>
        <w:tc>
          <w:tcPr>
            <w:tcW w:w="2312" w:type="dxa"/>
            <w:gridSpan w:val="2"/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proofErr w:type="spellStart"/>
            <w:r w:rsidRPr="007B4D25">
              <w:rPr>
                <w:sz w:val="20"/>
                <w:szCs w:val="20"/>
              </w:rPr>
              <w:t>Ref</w:t>
            </w:r>
            <w:proofErr w:type="spellEnd"/>
            <w:r w:rsidRPr="007B4D25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proofErr w:type="spellStart"/>
            <w:r w:rsidRPr="007B4D25">
              <w:rPr>
                <w:sz w:val="20"/>
                <w:szCs w:val="20"/>
              </w:rPr>
              <w:t>Ref</w:t>
            </w:r>
            <w:proofErr w:type="spellEnd"/>
            <w:r w:rsidRPr="007B4D25"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proofErr w:type="spellStart"/>
            <w:r w:rsidRPr="007B4D25">
              <w:rPr>
                <w:sz w:val="20"/>
                <w:szCs w:val="20"/>
              </w:rPr>
              <w:t>Ref</w:t>
            </w:r>
            <w:proofErr w:type="spellEnd"/>
            <w:r w:rsidRPr="007B4D25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  <w:vAlign w:val="center"/>
          </w:tcPr>
          <w:p w:rsidR="00D61CD6" w:rsidRPr="007B4D25" w:rsidRDefault="00D61CD6" w:rsidP="002C2512">
            <w:pPr>
              <w:jc w:val="center"/>
              <w:rPr>
                <w:color w:val="FF0000"/>
                <w:sz w:val="20"/>
                <w:szCs w:val="20"/>
              </w:rPr>
            </w:pPr>
            <w:r w:rsidRPr="007B4D25">
              <w:rPr>
                <w:sz w:val="20"/>
                <w:szCs w:val="20"/>
              </w:rPr>
              <w:t>3 / 12 (25.0%)</w:t>
            </w:r>
          </w:p>
        </w:tc>
        <w:tc>
          <w:tcPr>
            <w:tcW w:w="2232" w:type="dxa"/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proofErr w:type="spellStart"/>
            <w:r w:rsidRPr="007B4D25">
              <w:rPr>
                <w:sz w:val="20"/>
                <w:szCs w:val="20"/>
              </w:rPr>
              <w:t>Ref</w:t>
            </w:r>
            <w:proofErr w:type="spellEnd"/>
            <w:r w:rsidRPr="007B4D25">
              <w:rPr>
                <w:sz w:val="20"/>
                <w:szCs w:val="20"/>
              </w:rPr>
              <w:t>.</w:t>
            </w:r>
          </w:p>
        </w:tc>
      </w:tr>
      <w:tr w:rsidR="00D61CD6" w:rsidRPr="007B4D25" w:rsidTr="002C2512">
        <w:trPr>
          <w:trHeight w:val="328"/>
          <w:jc w:val="center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ind w:left="359"/>
              <w:rPr>
                <w:i/>
                <w:sz w:val="20"/>
                <w:szCs w:val="20"/>
              </w:rPr>
            </w:pPr>
            <w:r w:rsidRPr="007B4D25">
              <w:rPr>
                <w:i/>
                <w:sz w:val="20"/>
                <w:szCs w:val="20"/>
              </w:rPr>
              <w:t xml:space="preserve">High dose </w:t>
            </w:r>
            <w:r w:rsidRPr="007B4D25">
              <w:rPr>
                <w:sz w:val="20"/>
                <w:szCs w:val="20"/>
                <w:vertAlign w:val="superscript"/>
                <w:lang w:val="en-US"/>
              </w:rPr>
              <w:t>α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</w:rPr>
            </w:pPr>
            <w:r w:rsidRPr="007B4D25">
              <w:rPr>
                <w:sz w:val="20"/>
                <w:szCs w:val="20"/>
              </w:rPr>
              <w:t>3 / 12 (25.0%)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0.73 (0.18 – 3.25; 0.722)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0.60 (0.18 – 1.99; 0.407)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0.40 (0.07 – 2.40; 0.317)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</w:rPr>
              <w:t>3 / 12 (25.0%)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61CD6" w:rsidRPr="007B4D25" w:rsidRDefault="00D61CD6" w:rsidP="002C2512">
            <w:pPr>
              <w:jc w:val="center"/>
              <w:rPr>
                <w:sz w:val="20"/>
                <w:szCs w:val="20"/>
                <w:lang w:val="en-US"/>
              </w:rPr>
            </w:pPr>
            <w:r w:rsidRPr="007B4D25">
              <w:rPr>
                <w:sz w:val="20"/>
                <w:szCs w:val="20"/>
                <w:lang w:val="en-US"/>
              </w:rPr>
              <w:t>0.70 (0.11 – 4.25; 0.696)</w:t>
            </w:r>
          </w:p>
        </w:tc>
      </w:tr>
    </w:tbl>
    <w:p w:rsidR="00D61CD6" w:rsidRPr="007B4D25" w:rsidRDefault="00D61CD6" w:rsidP="00D61CD6">
      <w:pPr>
        <w:contextualSpacing/>
        <w:rPr>
          <w:bCs/>
          <w:lang w:val="en-US"/>
        </w:rPr>
      </w:pPr>
      <w:r w:rsidRPr="007B4D25">
        <w:rPr>
          <w:bCs/>
          <w:lang w:val="en-US"/>
        </w:rPr>
        <w:t xml:space="preserve">Information was lacking to confidently assess haloperidol doses in 8 patients (20.5%), who were excluded from these analyses. </w:t>
      </w:r>
    </w:p>
    <w:p w:rsidR="00D61CD6" w:rsidRPr="007B4D25" w:rsidRDefault="00D61CD6" w:rsidP="00D61CD6">
      <w:pPr>
        <w:contextualSpacing/>
        <w:rPr>
          <w:bCs/>
          <w:lang w:val="en-US"/>
        </w:rPr>
      </w:pPr>
      <w:proofErr w:type="gramStart"/>
      <w:r w:rsidRPr="007B4D25">
        <w:rPr>
          <w:bCs/>
          <w:vertAlign w:val="superscript"/>
          <w:lang w:val="en-US"/>
        </w:rPr>
        <w:t>α</w:t>
      </w:r>
      <w:proofErr w:type="gramEnd"/>
      <w:r w:rsidRPr="007B4D25">
        <w:rPr>
          <w:bCs/>
          <w:vertAlign w:val="superscript"/>
          <w:lang w:val="en-US"/>
        </w:rPr>
        <w:t xml:space="preserve"> </w:t>
      </w:r>
      <w:r w:rsidRPr="007B4D25">
        <w:rPr>
          <w:bCs/>
          <w:lang w:val="en-US"/>
        </w:rPr>
        <w:t xml:space="preserve">High dose was defined as having a dose equal or higher than the median of values in patients receiving haloperidol (i.e., 3 mg).     </w:t>
      </w:r>
    </w:p>
    <w:p w:rsidR="00D61CD6" w:rsidRPr="007B4D25" w:rsidRDefault="00D61CD6" w:rsidP="00D61CD6">
      <w:pPr>
        <w:contextualSpacing/>
        <w:rPr>
          <w:bCs/>
          <w:lang w:val="en-US"/>
        </w:rPr>
      </w:pPr>
      <w:proofErr w:type="gramStart"/>
      <w:r w:rsidRPr="007B4D25">
        <w:rPr>
          <w:vertAlign w:val="superscript"/>
          <w:lang w:val="en-US"/>
        </w:rPr>
        <w:t>β</w:t>
      </w:r>
      <w:proofErr w:type="gramEnd"/>
      <w:r w:rsidRPr="007B4D25">
        <w:rPr>
          <w:lang w:val="en-US"/>
        </w:rPr>
        <w:t xml:space="preserve"> Adjusted for sex, age, and any </w:t>
      </w:r>
      <w:r w:rsidRPr="007B4D25">
        <w:rPr>
          <w:bCs/>
          <w:lang w:val="en-US"/>
        </w:rPr>
        <w:t xml:space="preserve">medical condition. </w:t>
      </w:r>
    </w:p>
    <w:p w:rsidR="00D61CD6" w:rsidRPr="007B4D25" w:rsidRDefault="00D61CD6" w:rsidP="00D61CD6">
      <w:pPr>
        <w:contextualSpacing/>
        <w:rPr>
          <w:bCs/>
          <w:lang w:val="en-US"/>
        </w:rPr>
      </w:pPr>
      <w:r w:rsidRPr="007B4D25">
        <w:rPr>
          <w:lang w:val="en-US"/>
        </w:rPr>
        <w:t>Abbreviations: HR, hazard ratio; CI, confidence interval.</w:t>
      </w:r>
    </w:p>
    <w:p w:rsidR="00D61CD6" w:rsidRPr="007B4D25" w:rsidRDefault="00D61CD6" w:rsidP="00D61CD6">
      <w:pPr>
        <w:spacing w:line="480" w:lineRule="auto"/>
        <w:contextualSpacing/>
        <w:rPr>
          <w:rFonts w:eastAsia="OTNEJMScalaSansLF"/>
          <w:b/>
          <w:lang w:val="en-US" w:eastAsia="en-US"/>
        </w:rPr>
      </w:pPr>
    </w:p>
    <w:p w:rsidR="002C6AA5" w:rsidRDefault="002C6AA5">
      <w:bookmarkStart w:id="0" w:name="_GoBack"/>
      <w:bookmarkEnd w:id="0"/>
    </w:p>
    <w:sectPr w:rsidR="002C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NEJMScalaSansLF">
    <w:altName w:val="MS Gothic"/>
    <w:charset w:val="80"/>
    <w:family w:val="swiss"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9"/>
    <w:rsid w:val="002C6AA5"/>
    <w:rsid w:val="00681346"/>
    <w:rsid w:val="00D61CD6"/>
    <w:rsid w:val="00D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D6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D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D6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2021-02-13T02:16:00Z</dcterms:created>
  <dcterms:modified xsi:type="dcterms:W3CDTF">2021-02-13T02:16:00Z</dcterms:modified>
</cp:coreProperties>
</file>