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38" w:rsidRDefault="000B0438" w:rsidP="000B0438">
      <w:r>
        <w:t>Ocean acidification effects on fish hearing</w:t>
      </w:r>
    </w:p>
    <w:p w:rsidR="000B0438" w:rsidRDefault="000B0438" w:rsidP="000B0438"/>
    <w:p w:rsidR="000B0438" w:rsidRPr="004D0DCF" w:rsidRDefault="000B0438" w:rsidP="000B0438">
      <w:r>
        <w:t>Radford, C.A.</w:t>
      </w:r>
      <w:r>
        <w:rPr>
          <w:vertAlign w:val="superscript"/>
        </w:rPr>
        <w:t>1*</w:t>
      </w:r>
      <w:r>
        <w:t xml:space="preserve"> Collins, S.P.</w:t>
      </w:r>
      <w:r>
        <w:rPr>
          <w:vertAlign w:val="superscript"/>
        </w:rPr>
        <w:t>1</w:t>
      </w:r>
      <w:r>
        <w:t xml:space="preserve"> Munday, P.L.</w:t>
      </w:r>
      <w:r>
        <w:rPr>
          <w:vertAlign w:val="superscript"/>
        </w:rPr>
        <w:t>2</w:t>
      </w:r>
      <w:r>
        <w:t>, Parsons, D.</w:t>
      </w:r>
      <w:r>
        <w:rPr>
          <w:vertAlign w:val="superscript"/>
        </w:rPr>
        <w:t>1</w:t>
      </w:r>
      <w:proofErr w:type="gramStart"/>
      <w:r>
        <w:rPr>
          <w:vertAlign w:val="superscript"/>
        </w:rPr>
        <w:t>,3</w:t>
      </w:r>
      <w:proofErr w:type="gramEnd"/>
    </w:p>
    <w:p w:rsidR="000B0438" w:rsidRDefault="000B0438" w:rsidP="00CD5C9F">
      <w:pPr>
        <w:autoSpaceDE w:val="0"/>
        <w:autoSpaceDN w:val="0"/>
        <w:adjustRightInd w:val="0"/>
        <w:spacing w:after="0" w:line="240" w:lineRule="auto"/>
        <w:rPr>
          <w:rFonts w:asciiTheme="minorHAnsi" w:hAnsiTheme="minorHAnsi" w:cs="STIX-Regular"/>
          <w:color w:val="000000"/>
        </w:rPr>
      </w:pPr>
    </w:p>
    <w:p w:rsidR="000B0438" w:rsidRPr="000B0438" w:rsidRDefault="000B0438" w:rsidP="00CD5C9F">
      <w:pPr>
        <w:autoSpaceDE w:val="0"/>
        <w:autoSpaceDN w:val="0"/>
        <w:adjustRightInd w:val="0"/>
        <w:spacing w:after="0" w:line="240" w:lineRule="auto"/>
        <w:rPr>
          <w:rFonts w:asciiTheme="minorHAnsi" w:hAnsiTheme="minorHAnsi" w:cs="STIX-Regular"/>
          <w:color w:val="000000"/>
        </w:rPr>
      </w:pPr>
      <w:r>
        <w:rPr>
          <w:rFonts w:asciiTheme="minorHAnsi" w:hAnsiTheme="minorHAnsi" w:cs="STIX-Regular"/>
          <w:color w:val="000000"/>
        </w:rPr>
        <w:t>Detailed Methods</w:t>
      </w:r>
    </w:p>
    <w:p w:rsidR="000B0438" w:rsidRDefault="000B0438" w:rsidP="00CD5C9F">
      <w:pPr>
        <w:autoSpaceDE w:val="0"/>
        <w:autoSpaceDN w:val="0"/>
        <w:adjustRightInd w:val="0"/>
        <w:spacing w:after="0" w:line="240" w:lineRule="auto"/>
        <w:rPr>
          <w:rFonts w:asciiTheme="minorHAnsi" w:hAnsiTheme="minorHAnsi" w:cs="STIX-Regular"/>
          <w:i/>
          <w:color w:val="000000"/>
        </w:rPr>
      </w:pPr>
    </w:p>
    <w:p w:rsidR="00CD5C9F" w:rsidRPr="00CD5C9F" w:rsidRDefault="00CD5C9F" w:rsidP="00CD5C9F">
      <w:pPr>
        <w:autoSpaceDE w:val="0"/>
        <w:autoSpaceDN w:val="0"/>
        <w:adjustRightInd w:val="0"/>
        <w:spacing w:after="0" w:line="240" w:lineRule="auto"/>
        <w:rPr>
          <w:rFonts w:asciiTheme="minorHAnsi" w:hAnsiTheme="minorHAnsi" w:cs="STIX-Regular"/>
          <w:i/>
          <w:color w:val="000000"/>
        </w:rPr>
      </w:pPr>
      <w:r w:rsidRPr="00CD5C9F">
        <w:rPr>
          <w:rFonts w:asciiTheme="minorHAnsi" w:hAnsiTheme="minorHAnsi" w:cs="STIX-Regular"/>
          <w:i/>
          <w:color w:val="000000"/>
        </w:rPr>
        <w:t>Aquarium set-up and Husbandry</w:t>
      </w:r>
    </w:p>
    <w:p w:rsidR="00CD5C9F" w:rsidRDefault="00CD5C9F" w:rsidP="00CD5C9F">
      <w:pPr>
        <w:autoSpaceDE w:val="0"/>
        <w:autoSpaceDN w:val="0"/>
        <w:adjustRightInd w:val="0"/>
        <w:spacing w:after="0" w:line="240" w:lineRule="auto"/>
        <w:rPr>
          <w:rFonts w:asciiTheme="minorHAnsi" w:hAnsiTheme="minorHAnsi" w:cs="STIX-Regular"/>
          <w:color w:val="000000"/>
        </w:rPr>
      </w:pPr>
    </w:p>
    <w:p w:rsidR="00CD5C9F" w:rsidRDefault="00CD5C9F" w:rsidP="00CD5C9F">
      <w:pPr>
        <w:autoSpaceDE w:val="0"/>
        <w:autoSpaceDN w:val="0"/>
        <w:adjustRightInd w:val="0"/>
        <w:spacing w:after="0" w:line="240" w:lineRule="auto"/>
        <w:rPr>
          <w:rFonts w:asciiTheme="minorHAnsi" w:hAnsiTheme="minorHAnsi" w:cs="STIX-Regular"/>
          <w:color w:val="000000"/>
        </w:rPr>
      </w:pPr>
      <w:r>
        <w:rPr>
          <w:rFonts w:asciiTheme="minorHAnsi" w:hAnsiTheme="minorHAnsi" w:cs="STIX-Regular"/>
          <w:color w:val="000000"/>
        </w:rPr>
        <w:t xml:space="preserve">A detailed description of the aquarium setup and experimental design can be found in </w:t>
      </w:r>
      <w:proofErr w:type="spellStart"/>
      <w:r>
        <w:rPr>
          <w:rFonts w:asciiTheme="minorHAnsi" w:hAnsiTheme="minorHAnsi" w:cs="STIX-Regular"/>
          <w:color w:val="000000"/>
        </w:rPr>
        <w:t>MacMahon</w:t>
      </w:r>
      <w:proofErr w:type="spellEnd"/>
      <w:r>
        <w:rPr>
          <w:rFonts w:asciiTheme="minorHAnsi" w:hAnsiTheme="minorHAnsi" w:cs="STIX-Regular"/>
          <w:color w:val="000000"/>
        </w:rPr>
        <w:t xml:space="preserve"> et al. (2019, in press). Briefly, t</w:t>
      </w:r>
      <w:r w:rsidRPr="003971BA">
        <w:rPr>
          <w:rFonts w:asciiTheme="minorHAnsi" w:hAnsiTheme="minorHAnsi" w:cs="STIX-Regular"/>
          <w:color w:val="000000"/>
        </w:rPr>
        <w:t>his study was conducted at the National Institute of Water</w:t>
      </w:r>
      <w:r>
        <w:rPr>
          <w:rFonts w:asciiTheme="minorHAnsi" w:hAnsiTheme="minorHAnsi" w:cs="STIX-Regular"/>
          <w:color w:val="000000"/>
        </w:rPr>
        <w:t xml:space="preserve"> </w:t>
      </w:r>
      <w:r w:rsidRPr="003971BA">
        <w:rPr>
          <w:rFonts w:asciiTheme="minorHAnsi" w:hAnsiTheme="minorHAnsi" w:cs="STIX-Regular"/>
          <w:color w:val="000000"/>
        </w:rPr>
        <w:t>and Atmospheric Research Northland Marine Research Centre</w:t>
      </w:r>
      <w:r>
        <w:rPr>
          <w:rFonts w:asciiTheme="minorHAnsi" w:hAnsiTheme="minorHAnsi" w:cs="STIX-Regular"/>
          <w:color w:val="000000"/>
        </w:rPr>
        <w:t xml:space="preserve"> </w:t>
      </w:r>
      <w:r w:rsidRPr="003971BA">
        <w:rPr>
          <w:rFonts w:asciiTheme="minorHAnsi" w:hAnsiTheme="minorHAnsi" w:cs="STIX-Regular"/>
          <w:color w:val="000000"/>
        </w:rPr>
        <w:t xml:space="preserve">(NMRC), in </w:t>
      </w:r>
      <w:proofErr w:type="spellStart"/>
      <w:r w:rsidRPr="003971BA">
        <w:rPr>
          <w:rFonts w:asciiTheme="minorHAnsi" w:hAnsiTheme="minorHAnsi" w:cs="STIX-Regular"/>
          <w:color w:val="000000"/>
        </w:rPr>
        <w:t>Ruakaka</w:t>
      </w:r>
      <w:proofErr w:type="spellEnd"/>
      <w:r w:rsidRPr="003971BA">
        <w:rPr>
          <w:rFonts w:asciiTheme="minorHAnsi" w:hAnsiTheme="minorHAnsi" w:cs="STIX-Regular"/>
          <w:color w:val="000000"/>
        </w:rPr>
        <w:t>, New Zealand. Brood stock fish</w:t>
      </w:r>
      <w:r>
        <w:rPr>
          <w:rFonts w:asciiTheme="minorHAnsi" w:hAnsiTheme="minorHAnsi" w:cs="STIX-Regular"/>
          <w:color w:val="000000"/>
        </w:rPr>
        <w:t xml:space="preserve"> </w:t>
      </w:r>
      <w:r w:rsidRPr="003971BA">
        <w:rPr>
          <w:rFonts w:asciiTheme="minorHAnsi" w:hAnsiTheme="minorHAnsi" w:cs="STIX-Regular"/>
          <w:color w:val="000000"/>
        </w:rPr>
        <w:t>(</w:t>
      </w:r>
      <w:r w:rsidRPr="003971BA">
        <w:rPr>
          <w:rFonts w:asciiTheme="minorHAnsi" w:hAnsiTheme="minorHAnsi" w:cs="STIX-Italic"/>
          <w:i/>
          <w:iCs/>
          <w:color w:val="000000"/>
        </w:rPr>
        <w:t xml:space="preserve">n </w:t>
      </w:r>
      <w:r w:rsidRPr="003971BA">
        <w:rPr>
          <w:rFonts w:asciiTheme="minorHAnsi" w:hAnsiTheme="minorHAnsi" w:cs="STIX-Regular"/>
          <w:color w:val="000000"/>
        </w:rPr>
        <w:t xml:space="preserve">= 39) were captured from the wild population of </w:t>
      </w:r>
      <w:r w:rsidRPr="003971BA">
        <w:rPr>
          <w:rFonts w:asciiTheme="minorHAnsi" w:hAnsiTheme="minorHAnsi" w:cs="STIX-Italic"/>
          <w:i/>
          <w:iCs/>
          <w:color w:val="000000"/>
        </w:rPr>
        <w:t xml:space="preserve">C. </w:t>
      </w:r>
      <w:proofErr w:type="spellStart"/>
      <w:r w:rsidRPr="003971BA">
        <w:rPr>
          <w:rFonts w:asciiTheme="minorHAnsi" w:hAnsiTheme="minorHAnsi" w:cs="STIX-Italic"/>
          <w:i/>
          <w:iCs/>
          <w:color w:val="000000"/>
        </w:rPr>
        <w:t>auratus</w:t>
      </w:r>
      <w:proofErr w:type="spellEnd"/>
      <w:r>
        <w:rPr>
          <w:rFonts w:asciiTheme="minorHAnsi" w:hAnsiTheme="minorHAnsi" w:cs="STIX-Italic"/>
          <w:i/>
          <w:iCs/>
          <w:color w:val="000000"/>
        </w:rPr>
        <w:t xml:space="preserve"> </w:t>
      </w:r>
      <w:r w:rsidRPr="003971BA">
        <w:rPr>
          <w:rFonts w:asciiTheme="minorHAnsi" w:hAnsiTheme="minorHAnsi" w:cs="STIX-Regular"/>
          <w:color w:val="000000"/>
        </w:rPr>
        <w:t>by longline fishing in Bream Bay, adjacent to the NMRC,</w:t>
      </w:r>
      <w:r>
        <w:rPr>
          <w:rFonts w:asciiTheme="minorHAnsi" w:hAnsiTheme="minorHAnsi" w:cs="STIX-Regular"/>
          <w:color w:val="000000"/>
        </w:rPr>
        <w:t xml:space="preserve"> </w:t>
      </w:r>
      <w:r w:rsidRPr="003971BA">
        <w:rPr>
          <w:rFonts w:asciiTheme="minorHAnsi" w:hAnsiTheme="minorHAnsi" w:cs="STIX-Regular"/>
          <w:color w:val="000000"/>
        </w:rPr>
        <w:t>during September of 2017. The brood stock were split</w:t>
      </w:r>
      <w:r>
        <w:rPr>
          <w:rFonts w:asciiTheme="minorHAnsi" w:hAnsiTheme="minorHAnsi" w:cs="STIX-Regular"/>
          <w:color w:val="000000"/>
        </w:rPr>
        <w:t xml:space="preserve"> </w:t>
      </w:r>
      <w:r w:rsidRPr="003971BA">
        <w:rPr>
          <w:rFonts w:asciiTheme="minorHAnsi" w:hAnsiTheme="minorHAnsi" w:cs="STIX-Regular"/>
          <w:color w:val="000000"/>
        </w:rPr>
        <w:t>between two 20 m</w:t>
      </w:r>
      <w:r w:rsidRPr="003971BA">
        <w:rPr>
          <w:rFonts w:asciiTheme="minorHAnsi" w:hAnsiTheme="minorHAnsi" w:cs="STIX-Regular"/>
          <w:color w:val="000000"/>
          <w:vertAlign w:val="superscript"/>
        </w:rPr>
        <w:t>3</w:t>
      </w:r>
      <w:r w:rsidRPr="003971BA">
        <w:rPr>
          <w:rFonts w:asciiTheme="minorHAnsi" w:hAnsiTheme="minorHAnsi" w:cs="STIX-Regular"/>
          <w:color w:val="000000"/>
        </w:rPr>
        <w:t xml:space="preserve"> circular tanks at the ambient temperature</w:t>
      </w:r>
      <w:r>
        <w:rPr>
          <w:rFonts w:asciiTheme="minorHAnsi" w:hAnsiTheme="minorHAnsi" w:cs="STIX-Regular"/>
          <w:color w:val="000000"/>
        </w:rPr>
        <w:t xml:space="preserve"> </w:t>
      </w:r>
      <w:r w:rsidRPr="003971BA">
        <w:rPr>
          <w:rFonts w:asciiTheme="minorHAnsi" w:hAnsiTheme="minorHAnsi" w:cs="STIX-Regular"/>
          <w:color w:val="000000"/>
        </w:rPr>
        <w:t>when they were collected (~ 16 °C). Each tank was supplied</w:t>
      </w:r>
      <w:r>
        <w:rPr>
          <w:rFonts w:asciiTheme="minorHAnsi" w:hAnsiTheme="minorHAnsi" w:cs="STIX-Regular"/>
          <w:color w:val="000000"/>
        </w:rPr>
        <w:t xml:space="preserve"> </w:t>
      </w:r>
      <w:r w:rsidRPr="003971BA">
        <w:rPr>
          <w:rFonts w:asciiTheme="minorHAnsi" w:hAnsiTheme="minorHAnsi" w:cs="STIX-Regular"/>
          <w:color w:val="000000"/>
        </w:rPr>
        <w:t>with 130 L min</w:t>
      </w:r>
      <w:r w:rsidRPr="003971BA">
        <w:rPr>
          <w:rFonts w:asciiTheme="minorHAnsi" w:hAnsiTheme="minorHAnsi" w:cs="STIX-Regular"/>
          <w:color w:val="000000"/>
          <w:vertAlign w:val="superscript"/>
        </w:rPr>
        <w:t>−1</w:t>
      </w:r>
      <w:r w:rsidRPr="003971BA">
        <w:rPr>
          <w:rFonts w:asciiTheme="minorHAnsi" w:hAnsiTheme="minorHAnsi" w:cs="STIX-Regular"/>
          <w:color w:val="000000"/>
        </w:rPr>
        <w:t xml:space="preserve"> ambient seawater, filtered to 10 </w:t>
      </w:r>
      <w:proofErr w:type="spellStart"/>
      <w:r w:rsidRPr="003971BA">
        <w:rPr>
          <w:rFonts w:asciiTheme="minorHAnsi" w:hAnsiTheme="minorHAnsi" w:cs="STIX-Regular"/>
          <w:color w:val="000000"/>
        </w:rPr>
        <w:t>μm</w:t>
      </w:r>
      <w:proofErr w:type="spellEnd"/>
      <w:r w:rsidRPr="003971BA">
        <w:rPr>
          <w:rFonts w:asciiTheme="minorHAnsi" w:hAnsiTheme="minorHAnsi" w:cs="STIX-Regular"/>
          <w:color w:val="000000"/>
        </w:rPr>
        <w:t>, and</w:t>
      </w:r>
      <w:r>
        <w:rPr>
          <w:rFonts w:asciiTheme="minorHAnsi" w:hAnsiTheme="minorHAnsi" w:cs="STIX-Regular"/>
          <w:color w:val="000000"/>
        </w:rPr>
        <w:t xml:space="preserve"> </w:t>
      </w:r>
      <w:r w:rsidRPr="003971BA">
        <w:rPr>
          <w:rFonts w:asciiTheme="minorHAnsi" w:hAnsiTheme="minorHAnsi" w:cs="STIX-Regular"/>
          <w:color w:val="000000"/>
        </w:rPr>
        <w:t>followed the natural temperature increase up to the summer</w:t>
      </w:r>
      <w:r>
        <w:rPr>
          <w:rFonts w:asciiTheme="minorHAnsi" w:hAnsiTheme="minorHAnsi" w:cs="STIX-Regular"/>
          <w:color w:val="000000"/>
        </w:rPr>
        <w:t xml:space="preserve"> </w:t>
      </w:r>
      <w:r w:rsidRPr="003971BA">
        <w:rPr>
          <w:rFonts w:asciiTheme="minorHAnsi" w:hAnsiTheme="minorHAnsi" w:cs="STIX-Regular"/>
          <w:color w:val="000000"/>
        </w:rPr>
        <w:t>average (18 °C), at which point it was maintained for</w:t>
      </w:r>
      <w:r>
        <w:rPr>
          <w:rFonts w:asciiTheme="minorHAnsi" w:hAnsiTheme="minorHAnsi" w:cs="STIX-Regular"/>
          <w:color w:val="000000"/>
        </w:rPr>
        <w:t xml:space="preserve"> </w:t>
      </w:r>
      <w:r w:rsidRPr="003971BA">
        <w:rPr>
          <w:rFonts w:asciiTheme="minorHAnsi" w:hAnsiTheme="minorHAnsi" w:cs="STIX-Regular"/>
          <w:color w:val="000000"/>
        </w:rPr>
        <w:t>spawning (Table</w:t>
      </w:r>
      <w:r>
        <w:rPr>
          <w:rFonts w:asciiTheme="minorHAnsi" w:hAnsiTheme="minorHAnsi" w:cs="STIX-Regular"/>
          <w:color w:val="000000"/>
        </w:rPr>
        <w:t xml:space="preserve"> 1</w:t>
      </w:r>
      <w:r w:rsidRPr="003971BA">
        <w:rPr>
          <w:rFonts w:asciiTheme="minorHAnsi" w:hAnsiTheme="minorHAnsi" w:cs="STIX-Regular"/>
          <w:color w:val="000000"/>
        </w:rPr>
        <w:t>). Spawning occurred naturally within</w:t>
      </w:r>
      <w:r>
        <w:rPr>
          <w:rFonts w:asciiTheme="minorHAnsi" w:hAnsiTheme="minorHAnsi" w:cs="STIX-Regular"/>
          <w:color w:val="000000"/>
        </w:rPr>
        <w:t xml:space="preserve"> </w:t>
      </w:r>
      <w:r w:rsidRPr="003971BA">
        <w:rPr>
          <w:rFonts w:asciiTheme="minorHAnsi" w:hAnsiTheme="minorHAnsi" w:cs="STIX-Regular"/>
          <w:color w:val="000000"/>
        </w:rPr>
        <w:t>brood stock tanks during January 2018. To maximize genetic</w:t>
      </w:r>
      <w:r>
        <w:rPr>
          <w:rFonts w:asciiTheme="minorHAnsi" w:hAnsiTheme="minorHAnsi" w:cs="STIX-Regular"/>
          <w:color w:val="000000"/>
        </w:rPr>
        <w:t xml:space="preserve"> </w:t>
      </w:r>
      <w:r w:rsidRPr="003971BA">
        <w:rPr>
          <w:rFonts w:asciiTheme="minorHAnsi" w:hAnsiTheme="minorHAnsi" w:cs="STIX-Regular"/>
          <w:color w:val="000000"/>
        </w:rPr>
        <w:t>variation in the experiment, eggs were collected from both</w:t>
      </w:r>
      <w:r>
        <w:rPr>
          <w:rFonts w:asciiTheme="minorHAnsi" w:hAnsiTheme="minorHAnsi" w:cs="STIX-Regular"/>
          <w:color w:val="000000"/>
        </w:rPr>
        <w:t xml:space="preserve"> </w:t>
      </w:r>
      <w:proofErr w:type="spellStart"/>
      <w:r w:rsidRPr="003971BA">
        <w:rPr>
          <w:rFonts w:asciiTheme="minorHAnsi" w:hAnsiTheme="minorHAnsi" w:cs="STIX-Regular"/>
          <w:color w:val="000000"/>
        </w:rPr>
        <w:t>broodstock</w:t>
      </w:r>
      <w:proofErr w:type="spellEnd"/>
      <w:r w:rsidRPr="003971BA">
        <w:rPr>
          <w:rFonts w:asciiTheme="minorHAnsi" w:hAnsiTheme="minorHAnsi" w:cs="STIX-Regular"/>
          <w:color w:val="000000"/>
        </w:rPr>
        <w:t xml:space="preserve"> tanks in even proportions. Eggs were collected</w:t>
      </w:r>
      <w:r>
        <w:rPr>
          <w:rFonts w:asciiTheme="minorHAnsi" w:hAnsiTheme="minorHAnsi" w:cs="STIX-Regular"/>
          <w:color w:val="000000"/>
        </w:rPr>
        <w:t xml:space="preserve"> </w:t>
      </w:r>
      <w:r w:rsidRPr="003971BA">
        <w:rPr>
          <w:rFonts w:asciiTheme="minorHAnsi" w:hAnsiTheme="minorHAnsi" w:cs="STIX-Regular"/>
          <w:color w:val="000000"/>
        </w:rPr>
        <w:t>using an external egg collector as described by Moran et al.</w:t>
      </w:r>
      <w:r>
        <w:rPr>
          <w:rFonts w:asciiTheme="minorHAnsi" w:hAnsiTheme="minorHAnsi" w:cs="STIX-Regular"/>
          <w:color w:val="000000"/>
        </w:rPr>
        <w:t xml:space="preserve"> (2007)</w:t>
      </w:r>
      <w:r w:rsidRPr="003971BA">
        <w:rPr>
          <w:rFonts w:asciiTheme="minorHAnsi" w:hAnsiTheme="minorHAnsi" w:cs="STIX-Regular"/>
          <w:color w:val="000000"/>
        </w:rPr>
        <w:t>. An equal proportion of floating</w:t>
      </w:r>
      <w:r>
        <w:rPr>
          <w:rFonts w:asciiTheme="minorHAnsi" w:hAnsiTheme="minorHAnsi" w:cs="STIX-Regular"/>
          <w:color w:val="000000"/>
        </w:rPr>
        <w:t xml:space="preserve"> </w:t>
      </w:r>
      <w:r w:rsidRPr="003971BA">
        <w:rPr>
          <w:rFonts w:asciiTheme="minorHAnsi" w:hAnsiTheme="minorHAnsi" w:cs="STIX-Regular"/>
          <w:color w:val="000000"/>
        </w:rPr>
        <w:t>eggs from both contributing tanks were mixed, rinsed with</w:t>
      </w:r>
      <w:r>
        <w:rPr>
          <w:rFonts w:asciiTheme="minorHAnsi" w:hAnsiTheme="minorHAnsi" w:cs="STIX-Regular"/>
          <w:color w:val="000000"/>
        </w:rPr>
        <w:t xml:space="preserve"> </w:t>
      </w:r>
      <w:r w:rsidRPr="003971BA">
        <w:rPr>
          <w:rFonts w:asciiTheme="minorHAnsi" w:hAnsiTheme="minorHAnsi" w:cs="STIX-Regular"/>
          <w:color w:val="000000"/>
        </w:rPr>
        <w:t xml:space="preserve">oxygenated seawater for 5 min, and disinfected with </w:t>
      </w:r>
      <w:proofErr w:type="spellStart"/>
      <w:r w:rsidRPr="003971BA">
        <w:rPr>
          <w:rFonts w:asciiTheme="minorHAnsi" w:hAnsiTheme="minorHAnsi" w:cs="STIX-Regular"/>
          <w:color w:val="000000"/>
        </w:rPr>
        <w:t>Tosylchloramide</w:t>
      </w:r>
      <w:proofErr w:type="spellEnd"/>
      <w:r>
        <w:rPr>
          <w:rFonts w:asciiTheme="minorHAnsi" w:hAnsiTheme="minorHAnsi" w:cs="STIX-Regular"/>
          <w:color w:val="000000"/>
        </w:rPr>
        <w:t xml:space="preserve"> </w:t>
      </w:r>
      <w:r w:rsidRPr="003971BA">
        <w:rPr>
          <w:rFonts w:asciiTheme="minorHAnsi" w:hAnsiTheme="minorHAnsi" w:cs="STIX-Regular"/>
          <w:color w:val="000000"/>
        </w:rPr>
        <w:t>(chloramine-T) at 50 ppm for 15 min. Eggs were</w:t>
      </w:r>
      <w:r>
        <w:rPr>
          <w:rFonts w:asciiTheme="minorHAnsi" w:hAnsiTheme="minorHAnsi" w:cs="STIX-Regular"/>
          <w:color w:val="000000"/>
        </w:rPr>
        <w:t xml:space="preserve"> </w:t>
      </w:r>
      <w:r w:rsidRPr="003971BA">
        <w:rPr>
          <w:rFonts w:asciiTheme="minorHAnsi" w:hAnsiTheme="minorHAnsi" w:cs="STIX-Regular"/>
          <w:color w:val="000000"/>
        </w:rPr>
        <w:t>then rinsed with seawater and evenly distributed between</w:t>
      </w:r>
      <w:r>
        <w:rPr>
          <w:rFonts w:asciiTheme="minorHAnsi" w:hAnsiTheme="minorHAnsi" w:cs="STIX-Regular"/>
          <w:color w:val="000000"/>
        </w:rPr>
        <w:t xml:space="preserve"> </w:t>
      </w:r>
      <w:r w:rsidRPr="003971BA">
        <w:rPr>
          <w:rFonts w:asciiTheme="minorHAnsi" w:hAnsiTheme="minorHAnsi" w:cs="STIX-Regular"/>
          <w:color w:val="000000"/>
        </w:rPr>
        <w:t>two 400 L conical hatching tanks. Each tank was stocked</w:t>
      </w:r>
      <w:r>
        <w:rPr>
          <w:rFonts w:asciiTheme="minorHAnsi" w:hAnsiTheme="minorHAnsi" w:cs="STIX-Regular"/>
          <w:color w:val="000000"/>
        </w:rPr>
        <w:t xml:space="preserve"> </w:t>
      </w:r>
      <w:r w:rsidRPr="003971BA">
        <w:rPr>
          <w:rFonts w:asciiTheme="minorHAnsi" w:hAnsiTheme="minorHAnsi" w:cs="STIX-Regular"/>
          <w:color w:val="000000"/>
        </w:rPr>
        <w:t>with approximately 100,000 fertilized eggs and received</w:t>
      </w:r>
      <w:r>
        <w:rPr>
          <w:rFonts w:asciiTheme="minorHAnsi" w:hAnsiTheme="minorHAnsi" w:cs="STIX-Regular"/>
          <w:color w:val="000000"/>
        </w:rPr>
        <w:t xml:space="preserve"> </w:t>
      </w:r>
      <w:r w:rsidRPr="003971BA">
        <w:rPr>
          <w:rFonts w:asciiTheme="minorHAnsi" w:hAnsiTheme="minorHAnsi" w:cs="STIX-Regular"/>
          <w:color w:val="000000"/>
        </w:rPr>
        <w:t>flow-through seawater at ambient temperature (18 °C) at a</w:t>
      </w:r>
      <w:r>
        <w:rPr>
          <w:rFonts w:asciiTheme="minorHAnsi" w:hAnsiTheme="minorHAnsi" w:cs="STIX-Regular"/>
          <w:color w:val="000000"/>
        </w:rPr>
        <w:t xml:space="preserve"> </w:t>
      </w:r>
      <w:r w:rsidRPr="003971BA">
        <w:rPr>
          <w:rFonts w:asciiTheme="minorHAnsi" w:hAnsiTheme="minorHAnsi" w:cs="STIX-Regular"/>
          <w:color w:val="000000"/>
        </w:rPr>
        <w:t>flow rate of 4 L min</w:t>
      </w:r>
      <w:r w:rsidRPr="003971BA">
        <w:rPr>
          <w:rFonts w:asciiTheme="minorHAnsi" w:hAnsiTheme="minorHAnsi" w:cs="STIX-Regular"/>
          <w:color w:val="000000"/>
          <w:vertAlign w:val="superscript"/>
        </w:rPr>
        <w:t>-1</w:t>
      </w:r>
      <w:r>
        <w:rPr>
          <w:rFonts w:asciiTheme="minorHAnsi" w:hAnsiTheme="minorHAnsi" w:cs="STIX-Regular"/>
          <w:color w:val="000000"/>
        </w:rPr>
        <w:t xml:space="preserve">. </w:t>
      </w:r>
      <w:r w:rsidRPr="00257398">
        <w:rPr>
          <w:rFonts w:asciiTheme="minorHAnsi" w:hAnsiTheme="minorHAnsi" w:cs="STIX-Regular"/>
          <w:color w:val="000000"/>
        </w:rPr>
        <w:t>Photoperiod was maintained at 14 h</w:t>
      </w:r>
      <w:r>
        <w:rPr>
          <w:rFonts w:asciiTheme="minorHAnsi" w:hAnsiTheme="minorHAnsi" w:cs="STIX-Regular"/>
          <w:color w:val="000000"/>
        </w:rPr>
        <w:t xml:space="preserve"> </w:t>
      </w:r>
      <w:r w:rsidRPr="00257398">
        <w:rPr>
          <w:rFonts w:asciiTheme="minorHAnsi" w:hAnsiTheme="minorHAnsi" w:cs="STIX-Regular"/>
          <w:color w:val="000000"/>
        </w:rPr>
        <w:t xml:space="preserve">light 10 h dark. Snapper eggs hatch in 24–48 </w:t>
      </w:r>
      <w:proofErr w:type="spellStart"/>
      <w:r w:rsidRPr="00257398">
        <w:rPr>
          <w:rFonts w:asciiTheme="minorHAnsi" w:hAnsiTheme="minorHAnsi" w:cs="STIX-Regular"/>
          <w:color w:val="000000"/>
        </w:rPr>
        <w:t>h at</w:t>
      </w:r>
      <w:proofErr w:type="spellEnd"/>
      <w:r w:rsidRPr="00257398">
        <w:rPr>
          <w:rFonts w:asciiTheme="minorHAnsi" w:hAnsiTheme="minorHAnsi" w:cs="STIX-Regular"/>
          <w:color w:val="000000"/>
        </w:rPr>
        <w:t xml:space="preserve"> ambient</w:t>
      </w:r>
      <w:r>
        <w:rPr>
          <w:rFonts w:asciiTheme="minorHAnsi" w:hAnsiTheme="minorHAnsi" w:cs="STIX-Regular"/>
          <w:color w:val="000000"/>
        </w:rPr>
        <w:t xml:space="preserve"> </w:t>
      </w:r>
      <w:r w:rsidRPr="00257398">
        <w:rPr>
          <w:rFonts w:asciiTheme="minorHAnsi" w:hAnsiTheme="minorHAnsi" w:cs="STIX-Regular"/>
          <w:color w:val="000000"/>
        </w:rPr>
        <w:t>summer temperatures at Bream Bay. Newly hatched larvae</w:t>
      </w:r>
      <w:r>
        <w:rPr>
          <w:rFonts w:asciiTheme="minorHAnsi" w:hAnsiTheme="minorHAnsi" w:cs="STIX-Regular"/>
          <w:color w:val="000000"/>
        </w:rPr>
        <w:t xml:space="preserve"> </w:t>
      </w:r>
      <w:r w:rsidRPr="00257398">
        <w:rPr>
          <w:rFonts w:asciiTheme="minorHAnsi" w:hAnsiTheme="minorHAnsi" w:cs="STIX-Regular"/>
          <w:color w:val="000000"/>
        </w:rPr>
        <w:t>remained in the conical rearing tanks until 2 days post-</w:t>
      </w:r>
      <w:r w:rsidRPr="002C13DA">
        <w:rPr>
          <w:rFonts w:asciiTheme="minorHAnsi" w:hAnsiTheme="minorHAnsi" w:cs="STIX-Regular"/>
          <w:color w:val="000000"/>
        </w:rPr>
        <w:t>hatching</w:t>
      </w:r>
      <w:r w:rsidRPr="00DF0D48">
        <w:rPr>
          <w:rFonts w:asciiTheme="minorHAnsi" w:hAnsiTheme="minorHAnsi" w:cs="STIX-Regular"/>
          <w:color w:val="000000"/>
        </w:rPr>
        <w:t xml:space="preserve"> (</w:t>
      </w:r>
      <w:proofErr w:type="spellStart"/>
      <w:r w:rsidRPr="00DF0D48">
        <w:rPr>
          <w:rFonts w:asciiTheme="minorHAnsi" w:hAnsiTheme="minorHAnsi" w:cs="STIX-Regular"/>
          <w:color w:val="000000"/>
        </w:rPr>
        <w:t>dph</w:t>
      </w:r>
      <w:proofErr w:type="spellEnd"/>
      <w:r w:rsidRPr="00DF0D48">
        <w:rPr>
          <w:rFonts w:asciiTheme="minorHAnsi" w:hAnsiTheme="minorHAnsi" w:cs="STIX-Regular"/>
          <w:color w:val="000000"/>
        </w:rPr>
        <w:t xml:space="preserve">). Larvae were not fed </w:t>
      </w:r>
      <w:proofErr w:type="gramStart"/>
      <w:r w:rsidRPr="00DF0D48">
        <w:rPr>
          <w:rFonts w:asciiTheme="minorHAnsi" w:hAnsiTheme="minorHAnsi" w:cs="STIX-Regular"/>
          <w:color w:val="000000"/>
        </w:rPr>
        <w:t>during</w:t>
      </w:r>
      <w:proofErr w:type="gramEnd"/>
      <w:r w:rsidRPr="00DF0D48">
        <w:rPr>
          <w:rFonts w:asciiTheme="minorHAnsi" w:hAnsiTheme="minorHAnsi" w:cs="STIX-Regular"/>
          <w:color w:val="000000"/>
        </w:rPr>
        <w:t xml:space="preserve"> this period as they rely on their endogenous reserves (</w:t>
      </w:r>
      <w:proofErr w:type="spellStart"/>
      <w:r w:rsidRPr="00DF0D48">
        <w:rPr>
          <w:rFonts w:asciiTheme="minorHAnsi" w:hAnsiTheme="minorHAnsi" w:cs="STIX-Regular"/>
          <w:color w:val="000000"/>
        </w:rPr>
        <w:t>Battaglene</w:t>
      </w:r>
      <w:proofErr w:type="spellEnd"/>
      <w:r w:rsidRPr="00DF0D48">
        <w:rPr>
          <w:rFonts w:asciiTheme="minorHAnsi" w:hAnsiTheme="minorHAnsi" w:cs="STIX-Regular"/>
          <w:color w:val="000000"/>
        </w:rPr>
        <w:t xml:space="preserve"> and Talbot</w:t>
      </w:r>
      <w:r>
        <w:rPr>
          <w:rFonts w:asciiTheme="minorHAnsi" w:hAnsiTheme="minorHAnsi" w:cs="STIX-Regular"/>
          <w:color w:val="000000"/>
        </w:rPr>
        <w:t xml:space="preserve"> 1992</w:t>
      </w:r>
      <w:r w:rsidRPr="00DF0D48">
        <w:rPr>
          <w:rFonts w:asciiTheme="minorHAnsi" w:hAnsiTheme="minorHAnsi" w:cs="STIX-Regular"/>
          <w:color w:val="000000"/>
        </w:rPr>
        <w:t>). Any dead eggs, larvae, and egg shells were removed daily</w:t>
      </w:r>
      <w:r w:rsidRPr="003971BA">
        <w:rPr>
          <w:rFonts w:asciiTheme="minorHAnsi" w:hAnsiTheme="minorHAnsi" w:cs="STIX-Regular"/>
          <w:color w:val="000000"/>
        </w:rPr>
        <w:t xml:space="preserve"> by draining from an outlet at the bottom of the rearing tank.</w:t>
      </w:r>
      <w:r>
        <w:rPr>
          <w:rFonts w:asciiTheme="minorHAnsi" w:hAnsiTheme="minorHAnsi" w:cs="STIX-Regular"/>
          <w:color w:val="000000"/>
        </w:rPr>
        <w:t xml:space="preserve"> </w:t>
      </w:r>
      <w:r w:rsidRPr="003971BA">
        <w:rPr>
          <w:rFonts w:asciiTheme="minorHAnsi" w:hAnsiTheme="minorHAnsi" w:cs="STIX-Regular"/>
          <w:color w:val="000000"/>
        </w:rPr>
        <w:t xml:space="preserve">At 2 </w:t>
      </w:r>
      <w:proofErr w:type="spellStart"/>
      <w:r w:rsidRPr="003971BA">
        <w:rPr>
          <w:rFonts w:asciiTheme="minorHAnsi" w:hAnsiTheme="minorHAnsi" w:cs="STIX-Regular"/>
          <w:color w:val="000000"/>
        </w:rPr>
        <w:t>dph</w:t>
      </w:r>
      <w:proofErr w:type="spellEnd"/>
      <w:r w:rsidRPr="003971BA">
        <w:rPr>
          <w:rFonts w:asciiTheme="minorHAnsi" w:hAnsiTheme="minorHAnsi" w:cs="STIX-Regular"/>
          <w:color w:val="000000"/>
        </w:rPr>
        <w:t xml:space="preserve"> larvae were transferred to two 1500 L tanks located</w:t>
      </w:r>
      <w:r>
        <w:rPr>
          <w:rFonts w:asciiTheme="minorHAnsi" w:hAnsiTheme="minorHAnsi" w:cs="STIX-Regular"/>
          <w:color w:val="000000"/>
        </w:rPr>
        <w:t xml:space="preserve"> </w:t>
      </w:r>
      <w:r w:rsidRPr="003971BA">
        <w:rPr>
          <w:rFonts w:asciiTheme="minorHAnsi" w:hAnsiTheme="minorHAnsi" w:cs="STIX-Regular"/>
          <w:color w:val="000000"/>
        </w:rPr>
        <w:t xml:space="preserve">in the same facility for grow-out. These tanks received </w:t>
      </w:r>
      <w:proofErr w:type="spellStart"/>
      <w:r w:rsidRPr="003971BA">
        <w:rPr>
          <w:rFonts w:asciiTheme="minorHAnsi" w:hAnsiTheme="minorHAnsi" w:cs="STIX-Regular"/>
          <w:color w:val="000000"/>
        </w:rPr>
        <w:t>flowthrough</w:t>
      </w:r>
      <w:proofErr w:type="spellEnd"/>
      <w:r>
        <w:rPr>
          <w:rFonts w:asciiTheme="minorHAnsi" w:hAnsiTheme="minorHAnsi" w:cs="STIX-Regular"/>
          <w:color w:val="000000"/>
        </w:rPr>
        <w:t xml:space="preserve"> </w:t>
      </w:r>
      <w:r w:rsidRPr="003971BA">
        <w:rPr>
          <w:rFonts w:asciiTheme="minorHAnsi" w:hAnsiTheme="minorHAnsi" w:cs="STIX-Regular"/>
          <w:color w:val="000000"/>
        </w:rPr>
        <w:t xml:space="preserve">ambient seawater (18 °C, </w:t>
      </w:r>
      <w:r w:rsidRPr="003971BA">
        <w:rPr>
          <w:rFonts w:ascii="Cambria Math" w:eastAsia="Code2000" w:hAnsi="Cambria Math" w:cs="Cambria Math" w:hint="eastAsia"/>
          <w:color w:val="000000"/>
        </w:rPr>
        <w:t>∼</w:t>
      </w:r>
      <w:r w:rsidRPr="003971BA">
        <w:rPr>
          <w:rFonts w:asciiTheme="minorHAnsi" w:eastAsia="Code2000" w:hAnsiTheme="minorHAnsi" w:cs="Code2000"/>
          <w:color w:val="000000"/>
        </w:rPr>
        <w:t xml:space="preserve"> </w:t>
      </w:r>
      <w:r w:rsidRPr="003971BA">
        <w:rPr>
          <w:rFonts w:asciiTheme="minorHAnsi" w:hAnsiTheme="minorHAnsi" w:cs="STIX-Regular"/>
          <w:color w:val="000000"/>
        </w:rPr>
        <w:t xml:space="preserve">400 </w:t>
      </w:r>
      <w:proofErr w:type="spellStart"/>
      <w:r w:rsidRPr="003971BA">
        <w:rPr>
          <w:rFonts w:asciiTheme="minorHAnsi" w:hAnsiTheme="minorHAnsi" w:cs="STIX-Regular"/>
          <w:color w:val="000000"/>
        </w:rPr>
        <w:t>μatm</w:t>
      </w:r>
      <w:proofErr w:type="spellEnd"/>
      <w:r>
        <w:rPr>
          <w:rFonts w:asciiTheme="minorHAnsi" w:hAnsiTheme="minorHAnsi" w:cs="STIX-Regular"/>
          <w:color w:val="000000"/>
        </w:rPr>
        <w:t xml:space="preserve"> </w:t>
      </w:r>
      <w:r w:rsidRPr="003971BA">
        <w:rPr>
          <w:rFonts w:asciiTheme="minorHAnsi" w:hAnsiTheme="minorHAnsi" w:cs="STIX-Regular"/>
          <w:color w:val="000000"/>
        </w:rPr>
        <w:t>CO</w:t>
      </w:r>
      <w:r w:rsidRPr="003971BA">
        <w:rPr>
          <w:rFonts w:asciiTheme="minorHAnsi" w:hAnsiTheme="minorHAnsi" w:cs="STIX-Regular"/>
          <w:color w:val="000000"/>
          <w:vertAlign w:val="subscript"/>
        </w:rPr>
        <w:t>2</w:t>
      </w:r>
      <w:r w:rsidRPr="003971BA">
        <w:rPr>
          <w:rFonts w:asciiTheme="minorHAnsi" w:hAnsiTheme="minorHAnsi" w:cs="STIX-Regular"/>
          <w:color w:val="000000"/>
        </w:rPr>
        <w:t>) at a maximum</w:t>
      </w:r>
      <w:r>
        <w:rPr>
          <w:rFonts w:asciiTheme="minorHAnsi" w:hAnsiTheme="minorHAnsi" w:cs="STIX-Regular"/>
          <w:color w:val="000000"/>
        </w:rPr>
        <w:t xml:space="preserve"> </w:t>
      </w:r>
      <w:r w:rsidRPr="003971BA">
        <w:rPr>
          <w:rFonts w:asciiTheme="minorHAnsi" w:hAnsiTheme="minorHAnsi" w:cs="STIX-Regular"/>
          <w:color w:val="000000"/>
        </w:rPr>
        <w:t>flow of 20 L min</w:t>
      </w:r>
      <w:r w:rsidRPr="003971BA">
        <w:rPr>
          <w:rFonts w:asciiTheme="minorHAnsi" w:hAnsiTheme="minorHAnsi" w:cs="STIX-Regular"/>
          <w:color w:val="000000"/>
          <w:vertAlign w:val="superscript"/>
        </w:rPr>
        <w:t>−1</w:t>
      </w:r>
      <w:r w:rsidRPr="003971BA">
        <w:rPr>
          <w:rFonts w:asciiTheme="minorHAnsi" w:hAnsiTheme="minorHAnsi" w:cs="STIX-Regular"/>
          <w:color w:val="000000"/>
        </w:rPr>
        <w:t xml:space="preserve"> per tank. Larvae were grown out</w:t>
      </w:r>
      <w:r>
        <w:rPr>
          <w:rFonts w:asciiTheme="minorHAnsi" w:hAnsiTheme="minorHAnsi" w:cs="STIX-Regular"/>
          <w:color w:val="000000"/>
        </w:rPr>
        <w:t xml:space="preserve"> </w:t>
      </w:r>
      <w:r w:rsidRPr="003971BA">
        <w:rPr>
          <w:rFonts w:asciiTheme="minorHAnsi" w:hAnsiTheme="minorHAnsi" w:cs="STIX-Regular"/>
          <w:color w:val="000000"/>
        </w:rPr>
        <w:t xml:space="preserve">at ambient conditions until 21 </w:t>
      </w:r>
      <w:proofErr w:type="spellStart"/>
      <w:r w:rsidRPr="003971BA">
        <w:rPr>
          <w:rFonts w:asciiTheme="minorHAnsi" w:hAnsiTheme="minorHAnsi" w:cs="STIX-Regular"/>
          <w:color w:val="000000"/>
        </w:rPr>
        <w:t>dph</w:t>
      </w:r>
      <w:proofErr w:type="spellEnd"/>
      <w:r w:rsidRPr="003971BA">
        <w:rPr>
          <w:rFonts w:asciiTheme="minorHAnsi" w:hAnsiTheme="minorHAnsi" w:cs="STIX-Regular"/>
          <w:color w:val="000000"/>
        </w:rPr>
        <w:t>, at which point they were</w:t>
      </w:r>
      <w:r>
        <w:rPr>
          <w:rFonts w:asciiTheme="minorHAnsi" w:hAnsiTheme="minorHAnsi" w:cs="STIX-Regular"/>
          <w:color w:val="000000"/>
        </w:rPr>
        <w:t xml:space="preserve"> </w:t>
      </w:r>
      <w:r w:rsidRPr="003971BA">
        <w:rPr>
          <w:rFonts w:asciiTheme="minorHAnsi" w:hAnsiTheme="minorHAnsi" w:cs="STIX-Regular"/>
          <w:color w:val="000000"/>
        </w:rPr>
        <w:t>transferred to the experimental treatments. Larvae were fed</w:t>
      </w:r>
      <w:r>
        <w:rPr>
          <w:rFonts w:asciiTheme="minorHAnsi" w:hAnsiTheme="minorHAnsi" w:cs="STIX-Regular"/>
          <w:color w:val="000000"/>
        </w:rPr>
        <w:t xml:space="preserve"> </w:t>
      </w:r>
      <w:r w:rsidRPr="003971BA">
        <w:rPr>
          <w:rFonts w:asciiTheme="minorHAnsi" w:hAnsiTheme="minorHAnsi" w:cs="STIX-Regular"/>
          <w:color w:val="000000"/>
        </w:rPr>
        <w:t xml:space="preserve">enriched rotifers (INVE, </w:t>
      </w:r>
      <w:proofErr w:type="spellStart"/>
      <w:r w:rsidRPr="003971BA">
        <w:rPr>
          <w:rFonts w:asciiTheme="minorHAnsi" w:hAnsiTheme="minorHAnsi" w:cs="STIX-Regular"/>
          <w:color w:val="000000"/>
        </w:rPr>
        <w:t>Selco</w:t>
      </w:r>
      <w:proofErr w:type="spellEnd"/>
      <w:r w:rsidRPr="003971BA">
        <w:rPr>
          <w:rFonts w:asciiTheme="minorHAnsi" w:hAnsiTheme="minorHAnsi" w:cs="STIX-Regular"/>
          <w:color w:val="000000"/>
        </w:rPr>
        <w:t xml:space="preserve"> </w:t>
      </w:r>
      <w:proofErr w:type="spellStart"/>
      <w:r w:rsidRPr="003971BA">
        <w:rPr>
          <w:rFonts w:asciiTheme="minorHAnsi" w:hAnsiTheme="minorHAnsi" w:cs="STIX-Regular"/>
          <w:color w:val="000000"/>
        </w:rPr>
        <w:t>S.Presso</w:t>
      </w:r>
      <w:proofErr w:type="spellEnd"/>
      <w:r w:rsidRPr="003971BA">
        <w:rPr>
          <w:rFonts w:asciiTheme="minorHAnsi" w:hAnsiTheme="minorHAnsi" w:cs="STIX-Regular"/>
          <w:color w:val="000000"/>
        </w:rPr>
        <w:t>) three times a day</w:t>
      </w:r>
      <w:r>
        <w:rPr>
          <w:rFonts w:asciiTheme="minorHAnsi" w:hAnsiTheme="minorHAnsi" w:cs="STIX-Regular"/>
          <w:color w:val="000000"/>
        </w:rPr>
        <w:t xml:space="preserve"> </w:t>
      </w:r>
      <w:r w:rsidRPr="003971BA">
        <w:rPr>
          <w:rFonts w:asciiTheme="minorHAnsi" w:hAnsiTheme="minorHAnsi" w:cs="STIX-Regular"/>
          <w:color w:val="000000"/>
        </w:rPr>
        <w:t>(0800, 1200, and 1600) from 2dph. Larvae were transitioned</w:t>
      </w:r>
      <w:r>
        <w:rPr>
          <w:rFonts w:asciiTheme="minorHAnsi" w:hAnsiTheme="minorHAnsi" w:cs="STIX-Regular"/>
          <w:color w:val="000000"/>
        </w:rPr>
        <w:t xml:space="preserve"> </w:t>
      </w:r>
      <w:r w:rsidRPr="003971BA">
        <w:rPr>
          <w:rFonts w:asciiTheme="minorHAnsi" w:hAnsiTheme="minorHAnsi" w:cs="STIX-Regular"/>
          <w:color w:val="000000"/>
        </w:rPr>
        <w:t xml:space="preserve">onto enriched </w:t>
      </w:r>
      <w:proofErr w:type="spellStart"/>
      <w:r w:rsidRPr="003971BA">
        <w:rPr>
          <w:rFonts w:asciiTheme="minorHAnsi" w:hAnsiTheme="minorHAnsi" w:cs="STIX-Regular"/>
          <w:color w:val="000000"/>
        </w:rPr>
        <w:t>artemia</w:t>
      </w:r>
      <w:proofErr w:type="spellEnd"/>
      <w:r w:rsidRPr="003971BA">
        <w:rPr>
          <w:rFonts w:asciiTheme="minorHAnsi" w:hAnsiTheme="minorHAnsi" w:cs="STIX-Regular"/>
          <w:color w:val="000000"/>
        </w:rPr>
        <w:t xml:space="preserve"> between 20 and 26dph with feeding</w:t>
      </w:r>
      <w:r>
        <w:rPr>
          <w:rFonts w:asciiTheme="minorHAnsi" w:hAnsiTheme="minorHAnsi" w:cs="STIX-Regular"/>
          <w:color w:val="000000"/>
        </w:rPr>
        <w:t xml:space="preserve"> </w:t>
      </w:r>
      <w:r w:rsidRPr="003971BA">
        <w:rPr>
          <w:rFonts w:asciiTheme="minorHAnsi" w:hAnsiTheme="minorHAnsi" w:cs="STIX-Regular"/>
          <w:color w:val="000000"/>
        </w:rPr>
        <w:t>twice a day (0800 and 1600) until 42dph.</w:t>
      </w:r>
    </w:p>
    <w:p w:rsidR="00CD5C9F" w:rsidRPr="003971BA" w:rsidRDefault="00CD5C9F" w:rsidP="00CD5C9F">
      <w:pPr>
        <w:autoSpaceDE w:val="0"/>
        <w:autoSpaceDN w:val="0"/>
        <w:adjustRightInd w:val="0"/>
        <w:spacing w:after="0" w:line="240" w:lineRule="auto"/>
        <w:rPr>
          <w:rFonts w:asciiTheme="minorHAnsi" w:hAnsiTheme="minorHAnsi" w:cs="STIX-Regular"/>
          <w:color w:val="000000"/>
        </w:rPr>
      </w:pPr>
    </w:p>
    <w:p w:rsidR="00CD5C9F" w:rsidRDefault="00CD5C9F" w:rsidP="00CD5C9F">
      <w:pPr>
        <w:autoSpaceDE w:val="0"/>
        <w:autoSpaceDN w:val="0"/>
        <w:adjustRightInd w:val="0"/>
        <w:spacing w:after="0" w:line="240" w:lineRule="auto"/>
        <w:rPr>
          <w:rFonts w:asciiTheme="minorHAnsi" w:hAnsiTheme="minorHAnsi" w:cs="MyriadPro-BoldSemiCn"/>
          <w:i/>
          <w:iCs/>
          <w:color w:val="000000"/>
        </w:rPr>
      </w:pPr>
      <w:r w:rsidRPr="003971BA">
        <w:rPr>
          <w:rFonts w:asciiTheme="minorHAnsi" w:hAnsiTheme="minorHAnsi" w:cs="MyriadPro-BoldSemiCn"/>
          <w:i/>
          <w:iCs/>
          <w:color w:val="000000"/>
        </w:rPr>
        <w:t>Experimental design</w:t>
      </w:r>
    </w:p>
    <w:p w:rsidR="00CD5C9F" w:rsidRPr="003971BA" w:rsidRDefault="00CD5C9F" w:rsidP="00CD5C9F">
      <w:pPr>
        <w:autoSpaceDE w:val="0"/>
        <w:autoSpaceDN w:val="0"/>
        <w:adjustRightInd w:val="0"/>
        <w:spacing w:after="0" w:line="240" w:lineRule="auto"/>
        <w:rPr>
          <w:rFonts w:asciiTheme="minorHAnsi" w:hAnsiTheme="minorHAnsi" w:cs="MyriadPro-BoldSemiCn"/>
          <w:i/>
          <w:iCs/>
          <w:color w:val="000000"/>
        </w:rPr>
      </w:pPr>
    </w:p>
    <w:p w:rsidR="00CD5C9F" w:rsidRPr="003971BA" w:rsidRDefault="00CD5C9F" w:rsidP="00CD5C9F">
      <w:pPr>
        <w:rPr>
          <w:rFonts w:asciiTheme="minorHAnsi" w:hAnsiTheme="minorHAnsi"/>
        </w:rPr>
      </w:pPr>
      <w:r w:rsidRPr="003971BA">
        <w:rPr>
          <w:rFonts w:asciiTheme="minorHAnsi" w:hAnsiTheme="minorHAnsi" w:cs="STIX-Regular"/>
          <w:color w:val="000000"/>
        </w:rPr>
        <w:t xml:space="preserve">At 21 </w:t>
      </w:r>
      <w:proofErr w:type="spellStart"/>
      <w:r w:rsidRPr="003971BA">
        <w:rPr>
          <w:rFonts w:asciiTheme="minorHAnsi" w:hAnsiTheme="minorHAnsi" w:cs="STIX-Regular"/>
          <w:color w:val="000000"/>
        </w:rPr>
        <w:t>dph</w:t>
      </w:r>
      <w:proofErr w:type="spellEnd"/>
      <w:r w:rsidRPr="003971BA">
        <w:rPr>
          <w:rFonts w:asciiTheme="minorHAnsi" w:hAnsiTheme="minorHAnsi" w:cs="STIX-Regular"/>
          <w:color w:val="000000"/>
        </w:rPr>
        <w:t xml:space="preserve"> larval fish were transferred into a fully crossed</w:t>
      </w:r>
      <w:r>
        <w:rPr>
          <w:rFonts w:asciiTheme="minorHAnsi" w:hAnsiTheme="minorHAnsi" w:cs="STIX-Regular"/>
          <w:color w:val="000000"/>
        </w:rPr>
        <w:t xml:space="preserve"> </w:t>
      </w:r>
      <w:r w:rsidRPr="003971BA">
        <w:rPr>
          <w:rFonts w:asciiTheme="minorHAnsi" w:hAnsiTheme="minorHAnsi" w:cs="STIX-Regular"/>
          <w:color w:val="000000"/>
        </w:rPr>
        <w:t>experimental design with 2× temperatures and 2 × CO</w:t>
      </w:r>
      <w:r w:rsidRPr="003971BA">
        <w:rPr>
          <w:rFonts w:asciiTheme="minorHAnsi" w:hAnsiTheme="minorHAnsi" w:cs="STIX-Regular"/>
          <w:color w:val="000000"/>
          <w:vertAlign w:val="subscript"/>
        </w:rPr>
        <w:t>2</w:t>
      </w:r>
      <w:r>
        <w:rPr>
          <w:rFonts w:asciiTheme="minorHAnsi" w:hAnsiTheme="minorHAnsi" w:cs="STIX-Regular"/>
          <w:color w:val="000000"/>
        </w:rPr>
        <w:t xml:space="preserve"> </w:t>
      </w:r>
      <w:r w:rsidRPr="003971BA">
        <w:rPr>
          <w:rFonts w:asciiTheme="minorHAnsi" w:hAnsiTheme="minorHAnsi" w:cs="STIX-Regular"/>
          <w:color w:val="000000"/>
        </w:rPr>
        <w:t>levels.</w:t>
      </w:r>
      <w:r>
        <w:rPr>
          <w:rFonts w:asciiTheme="minorHAnsi" w:hAnsiTheme="minorHAnsi" w:cs="STIX-Regular"/>
          <w:color w:val="000000"/>
        </w:rPr>
        <w:t xml:space="preserve"> For the purposes of the present experiment, however, only fish reared at </w:t>
      </w:r>
      <w:r w:rsidRPr="00257398">
        <w:rPr>
          <w:rFonts w:asciiTheme="minorHAnsi" w:hAnsiTheme="minorHAnsi" w:cs="STIX-Regular"/>
          <w:color w:val="000000"/>
        </w:rPr>
        <w:t>22 °C</w:t>
      </w:r>
      <w:r>
        <w:rPr>
          <w:rFonts w:asciiTheme="minorHAnsi" w:hAnsiTheme="minorHAnsi" w:cs="STIX-Regular"/>
          <w:color w:val="000000"/>
        </w:rPr>
        <w:t xml:space="preserve"> were used. This was because the fish from the other temperature treatment (18</w:t>
      </w:r>
      <w:r w:rsidRPr="00257398">
        <w:rPr>
          <w:rFonts w:asciiTheme="minorHAnsi" w:hAnsiTheme="minorHAnsi" w:cs="STIX-Regular"/>
          <w:color w:val="000000"/>
        </w:rPr>
        <w:t xml:space="preserve"> °C</w:t>
      </w:r>
      <w:r>
        <w:rPr>
          <w:rFonts w:asciiTheme="minorHAnsi" w:hAnsiTheme="minorHAnsi" w:cs="STIX-Regular"/>
          <w:color w:val="000000"/>
        </w:rPr>
        <w:t xml:space="preserve">) were too small to perform </w:t>
      </w:r>
      <w:r>
        <w:rPr>
          <w:rFonts w:asciiTheme="minorHAnsi" w:hAnsiTheme="minorHAnsi" w:cs="STIX-Regular"/>
          <w:color w:val="000000"/>
        </w:rPr>
        <w:lastRenderedPageBreak/>
        <w:t xml:space="preserve">auditory manipulations. The rearing temperature of </w:t>
      </w:r>
      <w:r w:rsidRPr="00257398">
        <w:rPr>
          <w:rFonts w:asciiTheme="minorHAnsi" w:hAnsiTheme="minorHAnsi" w:cs="STIX-Regular"/>
          <w:color w:val="000000"/>
        </w:rPr>
        <w:t>22 °C is close to the maximum temperature</w:t>
      </w:r>
      <w:r>
        <w:rPr>
          <w:rFonts w:asciiTheme="minorHAnsi" w:hAnsiTheme="minorHAnsi" w:cs="STIX-Regular"/>
          <w:color w:val="000000"/>
        </w:rPr>
        <w:t xml:space="preserve"> </w:t>
      </w:r>
      <w:r w:rsidRPr="00257398">
        <w:rPr>
          <w:rFonts w:asciiTheme="minorHAnsi" w:hAnsiTheme="minorHAnsi" w:cs="STIX-Regular"/>
          <w:color w:val="000000"/>
        </w:rPr>
        <w:t>recorded in the region (Evans and Atkins</w:t>
      </w:r>
      <w:r>
        <w:rPr>
          <w:rFonts w:asciiTheme="minorHAnsi" w:hAnsiTheme="minorHAnsi" w:cs="STIX-Regular"/>
          <w:color w:val="000000"/>
        </w:rPr>
        <w:t xml:space="preserve"> 2013</w:t>
      </w:r>
      <w:r w:rsidRPr="00257398">
        <w:rPr>
          <w:rFonts w:asciiTheme="minorHAnsi" w:hAnsiTheme="minorHAnsi" w:cs="STIX-Regular"/>
          <w:color w:val="000000"/>
        </w:rPr>
        <w:t>) and match</w:t>
      </w:r>
      <w:r>
        <w:rPr>
          <w:rFonts w:asciiTheme="minorHAnsi" w:hAnsiTheme="minorHAnsi" w:cs="STIX-Regular"/>
          <w:color w:val="000000"/>
        </w:rPr>
        <w:t xml:space="preserve">es </w:t>
      </w:r>
      <w:r w:rsidRPr="00257398">
        <w:rPr>
          <w:rFonts w:asciiTheme="minorHAnsi" w:hAnsiTheme="minorHAnsi" w:cs="STIX-Regular"/>
          <w:color w:val="000000"/>
        </w:rPr>
        <w:t>heatwave conditions in 2017/2018 (NIWA</w:t>
      </w:r>
      <w:r>
        <w:rPr>
          <w:rFonts w:asciiTheme="minorHAnsi" w:hAnsiTheme="minorHAnsi" w:cs="STIX-Regular"/>
          <w:color w:val="000000"/>
        </w:rPr>
        <w:t xml:space="preserve"> 2018</w:t>
      </w:r>
      <w:r w:rsidRPr="00257398">
        <w:rPr>
          <w:rFonts w:asciiTheme="minorHAnsi" w:hAnsiTheme="minorHAnsi" w:cs="STIX-Regular"/>
          <w:color w:val="000000"/>
        </w:rPr>
        <w:t>).</w:t>
      </w:r>
      <w:r>
        <w:rPr>
          <w:rFonts w:asciiTheme="minorHAnsi" w:hAnsiTheme="minorHAnsi" w:cs="STIX-Regular"/>
          <w:color w:val="000000"/>
        </w:rPr>
        <w:t xml:space="preserve"> For fish reared at </w:t>
      </w:r>
      <w:r w:rsidRPr="00257398">
        <w:rPr>
          <w:rFonts w:asciiTheme="minorHAnsi" w:hAnsiTheme="minorHAnsi" w:cs="STIX-Regular"/>
          <w:color w:val="000000"/>
        </w:rPr>
        <w:t>22 °C</w:t>
      </w:r>
      <w:r>
        <w:rPr>
          <w:rFonts w:asciiTheme="minorHAnsi" w:hAnsiTheme="minorHAnsi" w:cs="STIX-Regular"/>
          <w:color w:val="000000"/>
        </w:rPr>
        <w:t xml:space="preserve"> the two CO</w:t>
      </w:r>
      <w:r w:rsidRPr="003971BA">
        <w:rPr>
          <w:rFonts w:asciiTheme="minorHAnsi" w:hAnsiTheme="minorHAnsi" w:cs="STIX-Regular"/>
          <w:color w:val="000000"/>
          <w:vertAlign w:val="subscript"/>
        </w:rPr>
        <w:t>2</w:t>
      </w:r>
      <w:r>
        <w:rPr>
          <w:rFonts w:asciiTheme="minorHAnsi" w:hAnsiTheme="minorHAnsi" w:cs="STIX-Regular"/>
          <w:color w:val="000000"/>
        </w:rPr>
        <w:t xml:space="preserve"> treatments that we compared auditory ability and otolith morphology had ambient (</w:t>
      </w:r>
      <w:r w:rsidRPr="00257398">
        <w:rPr>
          <w:rFonts w:asciiTheme="minorHAnsi" w:hAnsiTheme="minorHAnsi" w:cs="STIX-Regular"/>
          <w:color w:val="000000"/>
        </w:rPr>
        <w:t>~ 400</w:t>
      </w:r>
      <w:r>
        <w:rPr>
          <w:rFonts w:asciiTheme="minorHAnsi" w:hAnsiTheme="minorHAnsi" w:cs="STIX-Regular"/>
          <w:color w:val="000000"/>
        </w:rPr>
        <w:t xml:space="preserve"> </w:t>
      </w:r>
      <w:proofErr w:type="spellStart"/>
      <w:r w:rsidRPr="00257398">
        <w:rPr>
          <w:rFonts w:asciiTheme="minorHAnsi" w:hAnsiTheme="minorHAnsi" w:cs="STIX-Regular"/>
          <w:color w:val="000000"/>
        </w:rPr>
        <w:t>μatm</w:t>
      </w:r>
      <w:proofErr w:type="spellEnd"/>
      <w:r>
        <w:rPr>
          <w:rFonts w:asciiTheme="minorHAnsi" w:hAnsiTheme="minorHAnsi" w:cs="STIX-Regular"/>
          <w:color w:val="000000"/>
        </w:rPr>
        <w:t>)</w:t>
      </w:r>
      <w:r w:rsidRPr="00257398">
        <w:rPr>
          <w:rFonts w:asciiTheme="minorHAnsi" w:hAnsiTheme="minorHAnsi" w:cs="STIX-Regular"/>
          <w:color w:val="000000"/>
        </w:rPr>
        <w:t xml:space="preserve"> and elevated </w:t>
      </w:r>
      <w:r>
        <w:rPr>
          <w:rFonts w:asciiTheme="minorHAnsi" w:hAnsiTheme="minorHAnsi" w:cs="STIX-Regular"/>
          <w:color w:val="000000"/>
        </w:rPr>
        <w:t>(</w:t>
      </w:r>
      <w:r w:rsidRPr="00257398">
        <w:rPr>
          <w:rFonts w:asciiTheme="minorHAnsi" w:hAnsiTheme="minorHAnsi" w:cs="STIX-Regular"/>
          <w:color w:val="000000"/>
        </w:rPr>
        <w:t xml:space="preserve">~ 1000 </w:t>
      </w:r>
      <w:proofErr w:type="spellStart"/>
      <w:r w:rsidRPr="00257398">
        <w:rPr>
          <w:rFonts w:asciiTheme="minorHAnsi" w:hAnsiTheme="minorHAnsi" w:cs="STIX-Regular"/>
          <w:color w:val="000000"/>
        </w:rPr>
        <w:t>μatm</w:t>
      </w:r>
      <w:proofErr w:type="spellEnd"/>
      <w:r>
        <w:rPr>
          <w:rFonts w:asciiTheme="minorHAnsi" w:hAnsiTheme="minorHAnsi" w:cs="STIX-Regular"/>
          <w:color w:val="000000"/>
        </w:rPr>
        <w:t>) levels of CO</w:t>
      </w:r>
      <w:r w:rsidRPr="003971BA">
        <w:rPr>
          <w:rFonts w:asciiTheme="minorHAnsi" w:hAnsiTheme="minorHAnsi" w:cs="STIX-Regular"/>
          <w:color w:val="000000"/>
          <w:vertAlign w:val="subscript"/>
        </w:rPr>
        <w:t>2</w:t>
      </w:r>
      <w:r>
        <w:rPr>
          <w:rFonts w:asciiTheme="minorHAnsi" w:hAnsiTheme="minorHAnsi" w:cs="STIX-Regular"/>
          <w:color w:val="000000"/>
        </w:rPr>
        <w:t xml:space="preserve">, </w:t>
      </w:r>
      <w:r w:rsidRPr="003971BA">
        <w:rPr>
          <w:rFonts w:asciiTheme="minorHAnsi" w:hAnsiTheme="minorHAnsi" w:cs="STIX-Regular"/>
          <w:color w:val="000000"/>
        </w:rPr>
        <w:t>which is</w:t>
      </w:r>
      <w:r>
        <w:rPr>
          <w:rFonts w:asciiTheme="minorHAnsi" w:hAnsiTheme="minorHAnsi" w:cs="STIX-Regular"/>
          <w:color w:val="000000"/>
        </w:rPr>
        <w:t xml:space="preserve"> </w:t>
      </w:r>
      <w:r w:rsidRPr="003971BA">
        <w:rPr>
          <w:rFonts w:asciiTheme="minorHAnsi" w:hAnsiTheme="minorHAnsi" w:cs="STIX-Regular"/>
          <w:color w:val="000000"/>
        </w:rPr>
        <w:t>within the current range of pH fluctuations in habitats used</w:t>
      </w:r>
      <w:r>
        <w:rPr>
          <w:rFonts w:asciiTheme="minorHAnsi" w:hAnsiTheme="minorHAnsi" w:cs="STIX-Regular"/>
          <w:color w:val="000000"/>
        </w:rPr>
        <w:t xml:space="preserve"> </w:t>
      </w:r>
      <w:r w:rsidRPr="003971BA">
        <w:rPr>
          <w:rFonts w:asciiTheme="minorHAnsi" w:hAnsiTheme="minorHAnsi" w:cs="STIX-Regular"/>
          <w:color w:val="000000"/>
        </w:rPr>
        <w:t xml:space="preserve">by juvenile </w:t>
      </w:r>
      <w:r w:rsidRPr="003971BA">
        <w:rPr>
          <w:rFonts w:asciiTheme="minorHAnsi" w:hAnsiTheme="minorHAnsi" w:cs="STIX-Italic"/>
          <w:i/>
          <w:iCs/>
          <w:color w:val="000000"/>
        </w:rPr>
        <w:t xml:space="preserve">C. </w:t>
      </w:r>
      <w:proofErr w:type="spellStart"/>
      <w:r w:rsidRPr="003971BA">
        <w:rPr>
          <w:rFonts w:asciiTheme="minorHAnsi" w:hAnsiTheme="minorHAnsi" w:cs="STIX-Italic"/>
          <w:i/>
          <w:iCs/>
          <w:color w:val="000000"/>
        </w:rPr>
        <w:t>auratus</w:t>
      </w:r>
      <w:proofErr w:type="spellEnd"/>
      <w:r w:rsidRPr="003971BA">
        <w:rPr>
          <w:rFonts w:asciiTheme="minorHAnsi" w:hAnsiTheme="minorHAnsi" w:cs="STIX-Italic"/>
          <w:i/>
          <w:iCs/>
          <w:color w:val="000000"/>
        </w:rPr>
        <w:t xml:space="preserve"> </w:t>
      </w:r>
      <w:r w:rsidRPr="003971BA">
        <w:rPr>
          <w:rFonts w:asciiTheme="minorHAnsi" w:hAnsiTheme="minorHAnsi" w:cs="STIX-Regular"/>
          <w:color w:val="000000"/>
        </w:rPr>
        <w:t>in New Zealand (Law et al.</w:t>
      </w:r>
      <w:r>
        <w:rPr>
          <w:rFonts w:asciiTheme="minorHAnsi" w:hAnsiTheme="minorHAnsi" w:cs="STIX-Regular"/>
          <w:color w:val="000000"/>
        </w:rPr>
        <w:t xml:space="preserve"> 2018</w:t>
      </w:r>
      <w:r w:rsidRPr="003971BA">
        <w:rPr>
          <w:rFonts w:asciiTheme="minorHAnsi" w:hAnsiTheme="minorHAnsi" w:cs="STIX-Regular"/>
          <w:color w:val="000000"/>
        </w:rPr>
        <w:t>).</w:t>
      </w:r>
      <w:r>
        <w:rPr>
          <w:rFonts w:asciiTheme="minorHAnsi" w:hAnsiTheme="minorHAnsi" w:cs="STIX-Regular"/>
          <w:color w:val="000000"/>
        </w:rPr>
        <w:t xml:space="preserve"> </w:t>
      </w:r>
      <w:r w:rsidRPr="003971BA">
        <w:rPr>
          <w:rFonts w:asciiTheme="minorHAnsi" w:hAnsiTheme="minorHAnsi" w:cs="STIX-Regular"/>
          <w:color w:val="000000"/>
        </w:rPr>
        <w:t>Treatments were duplicated (four treatments each with two</w:t>
      </w:r>
      <w:r>
        <w:rPr>
          <w:rFonts w:asciiTheme="minorHAnsi" w:hAnsiTheme="minorHAnsi" w:cs="STIX-Regular"/>
          <w:color w:val="000000"/>
        </w:rPr>
        <w:t xml:space="preserve"> </w:t>
      </w:r>
      <w:r w:rsidRPr="003971BA">
        <w:rPr>
          <w:rFonts w:asciiTheme="minorHAnsi" w:hAnsiTheme="minorHAnsi" w:cs="STIX-Regular"/>
          <w:color w:val="000000"/>
        </w:rPr>
        <w:t>replicate rearing tanks) and each rearing tank had independent</w:t>
      </w:r>
      <w:r>
        <w:rPr>
          <w:rFonts w:asciiTheme="minorHAnsi" w:hAnsiTheme="minorHAnsi" w:cs="STIX-Regular"/>
          <w:color w:val="000000"/>
        </w:rPr>
        <w:t xml:space="preserve"> </w:t>
      </w:r>
      <w:r w:rsidRPr="003971BA">
        <w:rPr>
          <w:rFonts w:asciiTheme="minorHAnsi" w:hAnsiTheme="minorHAnsi" w:cs="STIX-Regular"/>
          <w:color w:val="000000"/>
        </w:rPr>
        <w:t>temperature and CO</w:t>
      </w:r>
      <w:r w:rsidRPr="003971BA">
        <w:rPr>
          <w:rFonts w:asciiTheme="minorHAnsi" w:hAnsiTheme="minorHAnsi" w:cs="STIX-Regular"/>
          <w:color w:val="000000"/>
          <w:vertAlign w:val="subscript"/>
        </w:rPr>
        <w:t>2</w:t>
      </w:r>
      <w:r>
        <w:rPr>
          <w:rFonts w:asciiTheme="minorHAnsi" w:hAnsiTheme="minorHAnsi" w:cs="STIX-Regular"/>
          <w:color w:val="000000"/>
        </w:rPr>
        <w:t xml:space="preserve"> </w:t>
      </w:r>
      <w:r w:rsidRPr="003971BA">
        <w:rPr>
          <w:rFonts w:asciiTheme="minorHAnsi" w:hAnsiTheme="minorHAnsi" w:cs="STIX-Regular"/>
          <w:color w:val="000000"/>
        </w:rPr>
        <w:t>control as per best practice (Cornwall</w:t>
      </w:r>
      <w:r>
        <w:rPr>
          <w:rFonts w:asciiTheme="minorHAnsi" w:hAnsiTheme="minorHAnsi" w:cs="STIX-Regular"/>
          <w:color w:val="000000"/>
        </w:rPr>
        <w:t xml:space="preserve"> </w:t>
      </w:r>
      <w:r w:rsidRPr="003971BA">
        <w:rPr>
          <w:rFonts w:asciiTheme="minorHAnsi" w:hAnsiTheme="minorHAnsi" w:cs="STIX-Regular"/>
          <w:color w:val="000000"/>
        </w:rPr>
        <w:t>and Hurd</w:t>
      </w:r>
      <w:r>
        <w:rPr>
          <w:rFonts w:asciiTheme="minorHAnsi" w:hAnsiTheme="minorHAnsi" w:cs="STIX-Regular"/>
          <w:color w:val="000000"/>
        </w:rPr>
        <w:t xml:space="preserve"> 2015</w:t>
      </w:r>
      <w:r w:rsidRPr="003971BA">
        <w:rPr>
          <w:rFonts w:asciiTheme="minorHAnsi" w:hAnsiTheme="minorHAnsi" w:cs="STIX-Regular"/>
          <w:color w:val="000000"/>
        </w:rPr>
        <w:t>). Temperature was controlled by 1 Kw</w:t>
      </w:r>
      <w:r>
        <w:rPr>
          <w:rFonts w:asciiTheme="minorHAnsi" w:hAnsiTheme="minorHAnsi" w:cs="STIX-Regular"/>
          <w:color w:val="000000"/>
        </w:rPr>
        <w:t xml:space="preserve"> </w:t>
      </w:r>
      <w:r w:rsidRPr="003971BA">
        <w:rPr>
          <w:rFonts w:asciiTheme="minorHAnsi" w:hAnsiTheme="minorHAnsi" w:cs="STIX-Regular"/>
          <w:color w:val="000000"/>
        </w:rPr>
        <w:t>bar heaters in 200 L sumps tanks, mixed with recirculating</w:t>
      </w:r>
      <w:r>
        <w:rPr>
          <w:rFonts w:asciiTheme="minorHAnsi" w:hAnsiTheme="minorHAnsi" w:cs="STIX-Regular"/>
          <w:color w:val="000000"/>
        </w:rPr>
        <w:t xml:space="preserve"> </w:t>
      </w:r>
      <w:r w:rsidRPr="003971BA">
        <w:rPr>
          <w:rFonts w:asciiTheme="minorHAnsi" w:hAnsiTheme="minorHAnsi" w:cs="STIX-Regular"/>
          <w:color w:val="000000"/>
        </w:rPr>
        <w:t>submersible pumps, and maintained to ± 0.1 °C. The elevated</w:t>
      </w:r>
      <w:r>
        <w:rPr>
          <w:rFonts w:asciiTheme="minorHAnsi" w:hAnsiTheme="minorHAnsi" w:cs="STIX-Regular"/>
          <w:color w:val="000000"/>
        </w:rPr>
        <w:t xml:space="preserve"> </w:t>
      </w:r>
      <w:r w:rsidRPr="003971BA">
        <w:rPr>
          <w:rFonts w:asciiTheme="minorHAnsi" w:hAnsiTheme="minorHAnsi" w:cs="STIX-Regular"/>
          <w:color w:val="000000"/>
        </w:rPr>
        <w:t xml:space="preserve">~ 1000 </w:t>
      </w:r>
      <w:proofErr w:type="spellStart"/>
      <w:r w:rsidRPr="003971BA">
        <w:rPr>
          <w:rFonts w:asciiTheme="minorHAnsi" w:hAnsiTheme="minorHAnsi" w:cs="STIX-Regular"/>
          <w:color w:val="000000"/>
        </w:rPr>
        <w:t>μatm</w:t>
      </w:r>
      <w:proofErr w:type="spellEnd"/>
      <w:r w:rsidRPr="003971BA">
        <w:rPr>
          <w:rFonts w:asciiTheme="minorHAnsi" w:hAnsiTheme="minorHAnsi" w:cs="STIX-Regular"/>
          <w:color w:val="000000"/>
        </w:rPr>
        <w:t xml:space="preserve"> treatment was achieved by dosing CO</w:t>
      </w:r>
      <w:r w:rsidRPr="003971BA">
        <w:rPr>
          <w:rFonts w:asciiTheme="minorHAnsi" w:hAnsiTheme="minorHAnsi" w:cs="STIX-Regular"/>
          <w:color w:val="000000"/>
          <w:vertAlign w:val="subscript"/>
        </w:rPr>
        <w:t>2</w:t>
      </w:r>
      <w:r>
        <w:rPr>
          <w:rFonts w:asciiTheme="minorHAnsi" w:hAnsiTheme="minorHAnsi" w:cs="STIX-Regular"/>
          <w:color w:val="000000"/>
        </w:rPr>
        <w:t xml:space="preserve"> </w:t>
      </w:r>
      <w:r w:rsidRPr="003971BA">
        <w:rPr>
          <w:rFonts w:asciiTheme="minorHAnsi" w:hAnsiTheme="minorHAnsi" w:cs="STIX-Regular"/>
          <w:color w:val="000000"/>
        </w:rPr>
        <w:t>to</w:t>
      </w:r>
      <w:r>
        <w:rPr>
          <w:rFonts w:asciiTheme="minorHAnsi" w:hAnsiTheme="minorHAnsi" w:cs="STIX-Regular"/>
          <w:color w:val="000000"/>
        </w:rPr>
        <w:t xml:space="preserve"> </w:t>
      </w:r>
      <w:r w:rsidRPr="003971BA">
        <w:rPr>
          <w:rFonts w:asciiTheme="minorHAnsi" w:hAnsiTheme="minorHAnsi" w:cs="STIX-Regular"/>
          <w:color w:val="000000"/>
        </w:rPr>
        <w:t>the appropriate pH set point in the same 200 L sump tanks.</w:t>
      </w:r>
      <w:r>
        <w:rPr>
          <w:rFonts w:asciiTheme="minorHAnsi" w:hAnsiTheme="minorHAnsi" w:cs="STIX-Regular"/>
          <w:color w:val="000000"/>
        </w:rPr>
        <w:t xml:space="preserve"> </w:t>
      </w:r>
      <w:r w:rsidRPr="003971BA">
        <w:rPr>
          <w:rFonts w:asciiTheme="minorHAnsi" w:hAnsiTheme="minorHAnsi" w:cs="STIX-Regular"/>
          <w:color w:val="000000"/>
        </w:rPr>
        <w:t>CO</w:t>
      </w:r>
      <w:r w:rsidRPr="003971BA">
        <w:rPr>
          <w:rFonts w:asciiTheme="minorHAnsi" w:hAnsiTheme="minorHAnsi" w:cs="STIX-Regular"/>
          <w:color w:val="000000"/>
          <w:vertAlign w:val="subscript"/>
        </w:rPr>
        <w:t>2</w:t>
      </w:r>
      <w:r>
        <w:rPr>
          <w:rFonts w:asciiTheme="minorHAnsi" w:hAnsiTheme="minorHAnsi" w:cs="STIX-Regular"/>
          <w:color w:val="000000"/>
        </w:rPr>
        <w:t xml:space="preserve"> </w:t>
      </w:r>
      <w:r w:rsidRPr="003971BA">
        <w:rPr>
          <w:rFonts w:asciiTheme="minorHAnsi" w:hAnsiTheme="minorHAnsi" w:cs="STIX-Regular"/>
          <w:color w:val="000000"/>
        </w:rPr>
        <w:t>dosing was regulated by a pH computer (</w:t>
      </w:r>
      <w:proofErr w:type="spellStart"/>
      <w:r w:rsidRPr="003971BA">
        <w:rPr>
          <w:rFonts w:asciiTheme="minorHAnsi" w:hAnsiTheme="minorHAnsi" w:cs="STIX-Regular"/>
          <w:color w:val="000000"/>
        </w:rPr>
        <w:t>Aquamedic</w:t>
      </w:r>
      <w:proofErr w:type="spellEnd"/>
      <w:r w:rsidRPr="003971BA">
        <w:rPr>
          <w:rFonts w:asciiTheme="minorHAnsi" w:hAnsiTheme="minorHAnsi" w:cs="STIX-Regular"/>
          <w:color w:val="000000"/>
        </w:rPr>
        <w:t>)</w:t>
      </w:r>
      <w:r>
        <w:rPr>
          <w:rFonts w:asciiTheme="minorHAnsi" w:hAnsiTheme="minorHAnsi" w:cs="STIX-Regular"/>
          <w:color w:val="000000"/>
        </w:rPr>
        <w:t xml:space="preserve"> </w:t>
      </w:r>
      <w:r w:rsidRPr="003971BA">
        <w:rPr>
          <w:rFonts w:asciiTheme="minorHAnsi" w:hAnsiTheme="minorHAnsi" w:cs="STIX-Regular"/>
          <w:color w:val="000000"/>
        </w:rPr>
        <w:t>connected to a pH probe and a solenoid valve, which maintained</w:t>
      </w:r>
      <w:r>
        <w:rPr>
          <w:rFonts w:asciiTheme="minorHAnsi" w:hAnsiTheme="minorHAnsi" w:cs="STIX-Regular"/>
          <w:color w:val="000000"/>
        </w:rPr>
        <w:t xml:space="preserve"> </w:t>
      </w:r>
      <w:r w:rsidRPr="003971BA">
        <w:rPr>
          <w:rFonts w:asciiTheme="minorHAnsi" w:hAnsiTheme="minorHAnsi" w:cs="STIX-Regular"/>
          <w:color w:val="000000"/>
        </w:rPr>
        <w:t>the desired pH by slowly dosing CO</w:t>
      </w:r>
      <w:r w:rsidRPr="003971BA">
        <w:rPr>
          <w:rFonts w:asciiTheme="minorHAnsi" w:hAnsiTheme="minorHAnsi" w:cs="STIX-Regular"/>
          <w:color w:val="000000"/>
          <w:vertAlign w:val="subscript"/>
        </w:rPr>
        <w:t>2</w:t>
      </w:r>
      <w:r>
        <w:rPr>
          <w:rFonts w:asciiTheme="minorHAnsi" w:hAnsiTheme="minorHAnsi" w:cs="STIX-Regular"/>
          <w:color w:val="000000"/>
        </w:rPr>
        <w:t xml:space="preserve"> </w:t>
      </w:r>
      <w:r w:rsidRPr="003971BA">
        <w:rPr>
          <w:rFonts w:asciiTheme="minorHAnsi" w:hAnsiTheme="minorHAnsi" w:cs="STIX-Regular"/>
          <w:color w:val="000000"/>
        </w:rPr>
        <w:t>when pH deviated</w:t>
      </w:r>
      <w:r>
        <w:rPr>
          <w:rFonts w:asciiTheme="minorHAnsi" w:hAnsiTheme="minorHAnsi" w:cs="STIX-Regular"/>
          <w:color w:val="000000"/>
        </w:rPr>
        <w:t xml:space="preserve"> </w:t>
      </w:r>
      <w:r w:rsidRPr="003971BA">
        <w:rPr>
          <w:rFonts w:asciiTheme="minorHAnsi" w:hAnsiTheme="minorHAnsi" w:cs="STIX-Regular"/>
          <w:color w:val="000000"/>
        </w:rPr>
        <w:t>above the set point. Water was delivered at 4 L min</w:t>
      </w:r>
      <w:r w:rsidRPr="003971BA">
        <w:rPr>
          <w:rFonts w:asciiTheme="minorHAnsi" w:hAnsiTheme="minorHAnsi" w:cs="STIX-Regular"/>
          <w:color w:val="000000"/>
          <w:vertAlign w:val="superscript"/>
        </w:rPr>
        <w:t>−1</w:t>
      </w:r>
      <w:r w:rsidRPr="00DF0D48">
        <w:rPr>
          <w:rFonts w:asciiTheme="minorHAnsi" w:hAnsiTheme="minorHAnsi" w:cs="STIX-Regular"/>
          <w:color w:val="000000"/>
        </w:rPr>
        <w:t xml:space="preserve"> </w:t>
      </w:r>
      <w:r w:rsidRPr="003971BA">
        <w:rPr>
          <w:rFonts w:asciiTheme="minorHAnsi" w:hAnsiTheme="minorHAnsi" w:cs="STIX-Regular"/>
          <w:color w:val="000000"/>
        </w:rPr>
        <w:t>from the sump tank to the respective rearing tank.</w:t>
      </w:r>
    </w:p>
    <w:p w:rsidR="00CD5C9F" w:rsidRDefault="00CD5C9F" w:rsidP="00CD5C9F">
      <w:pPr>
        <w:autoSpaceDE w:val="0"/>
        <w:autoSpaceDN w:val="0"/>
        <w:adjustRightInd w:val="0"/>
        <w:spacing w:before="100" w:beforeAutospacing="1" w:after="100" w:afterAutospacing="1" w:line="240" w:lineRule="auto"/>
        <w:rPr>
          <w:rFonts w:asciiTheme="minorHAnsi" w:hAnsiTheme="minorHAnsi" w:cs="STIX-Regular"/>
          <w:color w:val="000000"/>
        </w:rPr>
      </w:pPr>
      <w:r w:rsidRPr="003971BA">
        <w:rPr>
          <w:rFonts w:asciiTheme="minorHAnsi" w:hAnsiTheme="minorHAnsi" w:cs="STIX-Regular"/>
          <w:color w:val="000000"/>
        </w:rPr>
        <w:t xml:space="preserve">Approximately 1000 larval </w:t>
      </w:r>
      <w:r w:rsidRPr="003971BA">
        <w:rPr>
          <w:rFonts w:asciiTheme="minorHAnsi" w:hAnsiTheme="minorHAnsi" w:cs="STIX-Italic"/>
          <w:i/>
          <w:iCs/>
          <w:color w:val="000000"/>
        </w:rPr>
        <w:t xml:space="preserve">C. </w:t>
      </w:r>
      <w:proofErr w:type="spellStart"/>
      <w:r w:rsidRPr="003971BA">
        <w:rPr>
          <w:rFonts w:asciiTheme="minorHAnsi" w:hAnsiTheme="minorHAnsi" w:cs="STIX-Italic"/>
          <w:i/>
          <w:iCs/>
          <w:color w:val="000000"/>
        </w:rPr>
        <w:t>auratus</w:t>
      </w:r>
      <w:proofErr w:type="spellEnd"/>
      <w:r w:rsidRPr="003971BA">
        <w:rPr>
          <w:rFonts w:asciiTheme="minorHAnsi" w:hAnsiTheme="minorHAnsi" w:cs="STIX-Regular"/>
          <w:color w:val="000000"/>
        </w:rPr>
        <w:t xml:space="preserve"> (21 </w:t>
      </w:r>
      <w:proofErr w:type="spellStart"/>
      <w:r w:rsidRPr="003971BA">
        <w:rPr>
          <w:rFonts w:asciiTheme="minorHAnsi" w:hAnsiTheme="minorHAnsi" w:cs="STIX-Regular"/>
          <w:color w:val="000000"/>
        </w:rPr>
        <w:t>dph</w:t>
      </w:r>
      <w:proofErr w:type="spellEnd"/>
      <w:r w:rsidRPr="003971BA">
        <w:rPr>
          <w:rFonts w:asciiTheme="minorHAnsi" w:hAnsiTheme="minorHAnsi" w:cs="STIX-Regular"/>
          <w:color w:val="000000"/>
        </w:rPr>
        <w:t>) were stocked</w:t>
      </w:r>
      <w:r>
        <w:rPr>
          <w:rFonts w:asciiTheme="minorHAnsi" w:hAnsiTheme="minorHAnsi" w:cs="STIX-Regular"/>
          <w:color w:val="000000"/>
        </w:rPr>
        <w:t xml:space="preserve"> </w:t>
      </w:r>
      <w:r w:rsidRPr="003971BA">
        <w:rPr>
          <w:rFonts w:asciiTheme="minorHAnsi" w:hAnsiTheme="minorHAnsi" w:cs="STIX-Regular"/>
          <w:color w:val="000000"/>
        </w:rPr>
        <w:t>to each rearing tank at ambient conditions</w:t>
      </w:r>
      <w:r>
        <w:rPr>
          <w:rFonts w:asciiTheme="minorHAnsi" w:hAnsiTheme="minorHAnsi" w:cs="STIX-Regular"/>
          <w:color w:val="000000"/>
        </w:rPr>
        <w:t xml:space="preserve">, with the required </w:t>
      </w:r>
      <w:r w:rsidRPr="003971BA">
        <w:rPr>
          <w:rFonts w:asciiTheme="minorHAnsi" w:hAnsiTheme="minorHAnsi" w:cs="STIX-Regular"/>
          <w:color w:val="000000"/>
        </w:rPr>
        <w:t>temperature</w:t>
      </w:r>
      <w:r>
        <w:rPr>
          <w:rFonts w:asciiTheme="minorHAnsi" w:hAnsiTheme="minorHAnsi" w:cs="STIX-Regular"/>
          <w:color w:val="000000"/>
        </w:rPr>
        <w:t xml:space="preserve"> </w:t>
      </w:r>
      <w:r w:rsidRPr="003971BA">
        <w:rPr>
          <w:rFonts w:asciiTheme="minorHAnsi" w:hAnsiTheme="minorHAnsi" w:cs="STIX-Regular"/>
          <w:color w:val="000000"/>
        </w:rPr>
        <w:t>and CO</w:t>
      </w:r>
      <w:r w:rsidRPr="003971BA">
        <w:rPr>
          <w:rFonts w:asciiTheme="minorHAnsi" w:hAnsiTheme="minorHAnsi" w:cs="STIX-Regular"/>
          <w:color w:val="000000"/>
          <w:vertAlign w:val="subscript"/>
        </w:rPr>
        <w:t>2</w:t>
      </w:r>
      <w:r>
        <w:rPr>
          <w:rFonts w:asciiTheme="minorHAnsi" w:hAnsiTheme="minorHAnsi" w:cs="STIX-Regular"/>
          <w:color w:val="000000"/>
        </w:rPr>
        <w:t xml:space="preserve"> adjustments </w:t>
      </w:r>
      <w:r w:rsidRPr="003971BA">
        <w:rPr>
          <w:rFonts w:asciiTheme="minorHAnsi" w:hAnsiTheme="minorHAnsi" w:cs="STIX-Regular"/>
          <w:color w:val="000000"/>
        </w:rPr>
        <w:t>turned on to produce</w:t>
      </w:r>
      <w:r>
        <w:rPr>
          <w:rFonts w:asciiTheme="minorHAnsi" w:hAnsiTheme="minorHAnsi" w:cs="STIX-Regular"/>
          <w:color w:val="000000"/>
        </w:rPr>
        <w:t xml:space="preserve"> </w:t>
      </w:r>
      <w:r w:rsidRPr="003971BA">
        <w:rPr>
          <w:rFonts w:asciiTheme="minorHAnsi" w:hAnsiTheme="minorHAnsi" w:cs="STIX-Regular"/>
          <w:color w:val="000000"/>
        </w:rPr>
        <w:t>a gradual change over a 24 h period. Larvae were held under</w:t>
      </w:r>
      <w:r>
        <w:rPr>
          <w:rFonts w:asciiTheme="minorHAnsi" w:hAnsiTheme="minorHAnsi" w:cs="STIX-Regular"/>
          <w:color w:val="000000"/>
        </w:rPr>
        <w:t xml:space="preserve"> </w:t>
      </w:r>
      <w:r w:rsidRPr="003971BA">
        <w:rPr>
          <w:rFonts w:asciiTheme="minorHAnsi" w:hAnsiTheme="minorHAnsi" w:cs="STIX-Regular"/>
          <w:color w:val="000000"/>
        </w:rPr>
        <w:t xml:space="preserve">these treatments for a further 21 days to 42 </w:t>
      </w:r>
      <w:proofErr w:type="spellStart"/>
      <w:r w:rsidRPr="003971BA">
        <w:rPr>
          <w:rFonts w:asciiTheme="minorHAnsi" w:hAnsiTheme="minorHAnsi" w:cs="STIX-Regular"/>
          <w:color w:val="000000"/>
        </w:rPr>
        <w:t>dph</w:t>
      </w:r>
      <w:proofErr w:type="spellEnd"/>
      <w:r w:rsidRPr="003971BA">
        <w:rPr>
          <w:rFonts w:asciiTheme="minorHAnsi" w:hAnsiTheme="minorHAnsi" w:cs="STIX-Regular"/>
          <w:color w:val="000000"/>
        </w:rPr>
        <w:t>, during</w:t>
      </w:r>
      <w:r>
        <w:rPr>
          <w:rFonts w:asciiTheme="minorHAnsi" w:hAnsiTheme="minorHAnsi" w:cs="STIX-Regular"/>
          <w:color w:val="000000"/>
        </w:rPr>
        <w:t xml:space="preserve"> </w:t>
      </w:r>
      <w:r w:rsidRPr="003971BA">
        <w:rPr>
          <w:rFonts w:asciiTheme="minorHAnsi" w:hAnsiTheme="minorHAnsi" w:cs="STIX-Regular"/>
          <w:color w:val="000000"/>
        </w:rPr>
        <w:t>which they metamorphose into juveniles</w:t>
      </w:r>
      <w:r>
        <w:rPr>
          <w:rFonts w:asciiTheme="minorHAnsi" w:hAnsiTheme="minorHAnsi" w:cs="STIX-Regular"/>
          <w:color w:val="000000"/>
        </w:rPr>
        <w:t xml:space="preserve">. </w:t>
      </w:r>
    </w:p>
    <w:p w:rsidR="00CD5C9F" w:rsidRDefault="00CD5C9F" w:rsidP="00CD5C9F">
      <w:pPr>
        <w:autoSpaceDE w:val="0"/>
        <w:autoSpaceDN w:val="0"/>
        <w:adjustRightInd w:val="0"/>
        <w:spacing w:after="0" w:line="240" w:lineRule="auto"/>
        <w:rPr>
          <w:rFonts w:asciiTheme="minorHAnsi" w:hAnsiTheme="minorHAnsi" w:cs="MyriadPro-BoldSemiCn"/>
          <w:iCs/>
          <w:color w:val="000000"/>
        </w:rPr>
      </w:pPr>
      <w:r>
        <w:rPr>
          <w:rFonts w:asciiTheme="minorHAnsi" w:hAnsiTheme="minorHAnsi" w:cs="MyriadPro-BoldSemiCn"/>
          <w:i/>
          <w:iCs/>
          <w:color w:val="000000"/>
        </w:rPr>
        <w:t>Seawater chemistry</w:t>
      </w:r>
    </w:p>
    <w:p w:rsidR="00F04D63" w:rsidRDefault="00F04D63" w:rsidP="00CD5C9F">
      <w:pPr>
        <w:autoSpaceDE w:val="0"/>
        <w:autoSpaceDN w:val="0"/>
        <w:adjustRightInd w:val="0"/>
        <w:spacing w:after="0" w:line="240" w:lineRule="auto"/>
        <w:rPr>
          <w:rFonts w:asciiTheme="minorHAnsi" w:hAnsiTheme="minorHAnsi" w:cs="MyriadPro-BoldSemiCn"/>
          <w:iCs/>
          <w:color w:val="000000"/>
        </w:rPr>
      </w:pPr>
    </w:p>
    <w:p w:rsidR="00F04D63" w:rsidRP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 xml:space="preserve">Seawater chemistry is the same as that reported in McMahon et al. (2020). The </w:t>
      </w:r>
      <w:proofErr w:type="spellStart"/>
      <w:r w:rsidRPr="00F04D63">
        <w:rPr>
          <w:rFonts w:asciiTheme="minorHAnsi" w:hAnsiTheme="minorHAnsi" w:cs="MyriadPro-BoldSemiCn"/>
          <w:iCs/>
          <w:color w:val="000000"/>
          <w:lang w:val="en-AU"/>
        </w:rPr>
        <w:t>pH</w:t>
      </w:r>
      <w:r w:rsidRPr="00F04D63">
        <w:rPr>
          <w:rFonts w:asciiTheme="minorHAnsi" w:hAnsiTheme="minorHAnsi" w:cs="MyriadPro-BoldSemiCn"/>
          <w:iCs/>
          <w:color w:val="000000"/>
          <w:vertAlign w:val="subscript"/>
          <w:lang w:val="en-AU"/>
        </w:rPr>
        <w:t>total</w:t>
      </w:r>
      <w:proofErr w:type="spellEnd"/>
      <w:r w:rsidRPr="00F04D63">
        <w:rPr>
          <w:rFonts w:asciiTheme="minorHAnsi" w:hAnsiTheme="minorHAnsi" w:cs="MyriadPro-BoldSemiCn"/>
          <w:iCs/>
          <w:color w:val="000000"/>
          <w:lang w:val="en-AU"/>
        </w:rPr>
        <w:t xml:space="preserve"> of each rearing tank was measured daily by spectrophotometry (</w:t>
      </w:r>
      <w:proofErr w:type="spellStart"/>
      <w:r w:rsidRPr="00F04D63">
        <w:rPr>
          <w:rFonts w:asciiTheme="minorHAnsi" w:hAnsiTheme="minorHAnsi" w:cs="MyriadPro-BoldSemiCn"/>
          <w:iCs/>
          <w:color w:val="000000"/>
          <w:lang w:val="en-AU"/>
        </w:rPr>
        <w:t>Hach</w:t>
      </w:r>
      <w:proofErr w:type="spellEnd"/>
      <w:r w:rsidRPr="00F04D63">
        <w:rPr>
          <w:rFonts w:asciiTheme="minorHAnsi" w:hAnsiTheme="minorHAnsi" w:cs="MyriadPro-BoldSemiCn"/>
          <w:iCs/>
          <w:color w:val="000000"/>
          <w:lang w:val="en-AU"/>
        </w:rPr>
        <w:t xml:space="preserve">, DR3900) with cresol purple dye (Clayton and </w:t>
      </w:r>
      <w:proofErr w:type="spellStart"/>
      <w:r w:rsidRPr="00F04D63">
        <w:rPr>
          <w:rFonts w:asciiTheme="minorHAnsi" w:hAnsiTheme="minorHAnsi" w:cs="MyriadPro-BoldSemiCn"/>
          <w:iCs/>
          <w:color w:val="000000"/>
          <w:lang w:val="en-AU"/>
        </w:rPr>
        <w:t>Bryne</w:t>
      </w:r>
      <w:proofErr w:type="spellEnd"/>
      <w:r w:rsidRPr="00F04D63">
        <w:rPr>
          <w:rFonts w:asciiTheme="minorHAnsi" w:hAnsiTheme="minorHAnsi" w:cs="MyriadPro-BoldSemiCn"/>
          <w:iCs/>
          <w:color w:val="000000"/>
          <w:lang w:val="en-AU"/>
        </w:rPr>
        <w:t>, 1993). Temperature was measured daily with a digital thermometer (</w:t>
      </w:r>
      <w:proofErr w:type="spellStart"/>
      <w:r w:rsidRPr="00F04D63">
        <w:rPr>
          <w:rFonts w:asciiTheme="minorHAnsi" w:hAnsiTheme="minorHAnsi" w:cs="MyriadPro-BoldSemiCn"/>
          <w:iCs/>
          <w:color w:val="000000"/>
          <w:lang w:val="en-AU"/>
        </w:rPr>
        <w:t>Comark</w:t>
      </w:r>
      <w:proofErr w:type="spellEnd"/>
      <w:r w:rsidRPr="00F04D63">
        <w:rPr>
          <w:rFonts w:asciiTheme="minorHAnsi" w:hAnsiTheme="minorHAnsi" w:cs="MyriadPro-BoldSemiCn"/>
          <w:iCs/>
          <w:color w:val="000000"/>
          <w:lang w:val="en-AU"/>
        </w:rPr>
        <w:t xml:space="preserve"> C22). Water samples were taken from each tank at the start of the experiment and then every seven days throughout the experiment (21, 28, 35, 42dph) for total alkalinity (TA) analysis. Water samples were immediately poisoned with a saturated solution of mercuric chloride (0.05 % of the sample volume) and later analysed at the University of Otago Research Centre for Oceanography, Dunedin, New Zealand. Alkalinity was determined by potentiometric titration in a closed cell using a </w:t>
      </w:r>
      <w:proofErr w:type="spellStart"/>
      <w:r w:rsidRPr="00F04D63">
        <w:rPr>
          <w:rFonts w:asciiTheme="minorHAnsi" w:hAnsiTheme="minorHAnsi" w:cs="MyriadPro-BoldSemiCn"/>
          <w:iCs/>
          <w:color w:val="000000"/>
          <w:lang w:val="en-AU"/>
        </w:rPr>
        <w:t>Metrohm</w:t>
      </w:r>
      <w:proofErr w:type="spellEnd"/>
      <w:r w:rsidRPr="00F04D63">
        <w:rPr>
          <w:rFonts w:asciiTheme="minorHAnsi" w:hAnsiTheme="minorHAnsi" w:cs="MyriadPro-BoldSemiCn"/>
          <w:iCs/>
          <w:color w:val="000000"/>
          <w:lang w:val="en-AU"/>
        </w:rPr>
        <w:t xml:space="preserve"> </w:t>
      </w:r>
      <w:proofErr w:type="spellStart"/>
      <w:r w:rsidRPr="00F04D63">
        <w:rPr>
          <w:rFonts w:asciiTheme="minorHAnsi" w:hAnsiTheme="minorHAnsi" w:cs="MyriadPro-BoldSemiCn"/>
          <w:iCs/>
          <w:color w:val="000000"/>
          <w:lang w:val="en-AU"/>
        </w:rPr>
        <w:t>Dosimat</w:t>
      </w:r>
      <w:proofErr w:type="spellEnd"/>
      <w:r w:rsidRPr="00F04D63">
        <w:rPr>
          <w:rFonts w:asciiTheme="minorHAnsi" w:hAnsiTheme="minorHAnsi" w:cs="MyriadPro-BoldSemiCn"/>
          <w:iCs/>
          <w:color w:val="000000"/>
          <w:lang w:val="en-AU"/>
        </w:rPr>
        <w:t xml:space="preserve"> burette (model 765, </w:t>
      </w:r>
      <w:proofErr w:type="spellStart"/>
      <w:r w:rsidRPr="00F04D63">
        <w:rPr>
          <w:rFonts w:asciiTheme="minorHAnsi" w:hAnsiTheme="minorHAnsi" w:cs="MyriadPro-BoldSemiCn"/>
          <w:iCs/>
          <w:color w:val="000000"/>
          <w:lang w:val="en-AU"/>
        </w:rPr>
        <w:t>Metrohm</w:t>
      </w:r>
      <w:proofErr w:type="spellEnd"/>
      <w:r w:rsidRPr="00F04D63">
        <w:rPr>
          <w:rFonts w:asciiTheme="minorHAnsi" w:hAnsiTheme="minorHAnsi" w:cs="MyriadPro-BoldSemiCn"/>
          <w:iCs/>
          <w:color w:val="000000"/>
          <w:lang w:val="en-AU"/>
        </w:rPr>
        <w:t xml:space="preserve">, Switzerland), a Fluke model 8846A voltmeter, and with 0.2M </w:t>
      </w:r>
      <w:proofErr w:type="spellStart"/>
      <w:r w:rsidRPr="00F04D63">
        <w:rPr>
          <w:rFonts w:asciiTheme="minorHAnsi" w:hAnsiTheme="minorHAnsi" w:cs="MyriadPro-BoldSemiCn"/>
          <w:iCs/>
          <w:color w:val="000000"/>
          <w:lang w:val="en-AU"/>
        </w:rPr>
        <w:t>HCl</w:t>
      </w:r>
      <w:proofErr w:type="spellEnd"/>
      <w:r w:rsidRPr="00F04D63">
        <w:rPr>
          <w:rFonts w:asciiTheme="minorHAnsi" w:hAnsiTheme="minorHAnsi" w:cs="MyriadPro-BoldSemiCn"/>
          <w:iCs/>
          <w:color w:val="000000"/>
          <w:lang w:val="en-AU"/>
        </w:rPr>
        <w:t xml:space="preserve"> (nominal concentration, fortified with </w:t>
      </w:r>
      <w:proofErr w:type="spellStart"/>
      <w:r w:rsidRPr="00F04D63">
        <w:rPr>
          <w:rFonts w:asciiTheme="minorHAnsi" w:hAnsiTheme="minorHAnsi" w:cs="MyriadPro-BoldSemiCn"/>
          <w:iCs/>
          <w:color w:val="000000"/>
          <w:lang w:val="en-AU"/>
        </w:rPr>
        <w:t>NaCl</w:t>
      </w:r>
      <w:proofErr w:type="spellEnd"/>
      <w:r w:rsidRPr="00F04D63">
        <w:rPr>
          <w:rFonts w:asciiTheme="minorHAnsi" w:hAnsiTheme="minorHAnsi" w:cs="MyriadPro-BoldSemiCn"/>
          <w:iCs/>
          <w:color w:val="000000"/>
          <w:lang w:val="en-AU"/>
        </w:rPr>
        <w:t xml:space="preserve"> to the ionic strength of seawater) added in 0.1 mL steps. Samples were water-jacketed at 25 °C.  TA was determined from the titration data using a least squares minimisation technique and calibrated with certified reference material (</w:t>
      </w:r>
      <w:proofErr w:type="spellStart"/>
      <w:r w:rsidRPr="00F04D63">
        <w:rPr>
          <w:rFonts w:asciiTheme="minorHAnsi" w:hAnsiTheme="minorHAnsi" w:cs="MyriadPro-BoldSemiCn"/>
          <w:iCs/>
          <w:color w:val="000000"/>
          <w:lang w:val="en-AU"/>
        </w:rPr>
        <w:t>Prof.</w:t>
      </w:r>
      <w:proofErr w:type="spellEnd"/>
      <w:r w:rsidRPr="00F04D63">
        <w:rPr>
          <w:rFonts w:asciiTheme="minorHAnsi" w:hAnsiTheme="minorHAnsi" w:cs="MyriadPro-BoldSemiCn"/>
          <w:iCs/>
          <w:color w:val="000000"/>
          <w:lang w:val="en-AU"/>
        </w:rPr>
        <w:t xml:space="preserve"> A.G. Dickson, Scripps Institution of Oceanography, U.S.). The salinity of each sample was measured with </w:t>
      </w:r>
      <w:proofErr w:type="gramStart"/>
      <w:r w:rsidRPr="00F04D63">
        <w:rPr>
          <w:rFonts w:asciiTheme="minorHAnsi" w:hAnsiTheme="minorHAnsi" w:cs="MyriadPro-BoldSemiCn"/>
          <w:iCs/>
          <w:color w:val="000000"/>
          <w:lang w:val="en-AU"/>
        </w:rPr>
        <w:t>a</w:t>
      </w:r>
      <w:proofErr w:type="gramEnd"/>
      <w:r w:rsidRPr="00F04D63">
        <w:rPr>
          <w:rFonts w:asciiTheme="minorHAnsi" w:hAnsiTheme="minorHAnsi" w:cs="MyriadPro-BoldSemiCn"/>
          <w:iCs/>
          <w:color w:val="000000"/>
          <w:lang w:val="en-AU"/>
        </w:rPr>
        <w:t xml:space="preserve"> YSI Pro30 salinity probe. The daily pCO</w:t>
      </w:r>
      <w:r w:rsidRPr="00F04D63">
        <w:rPr>
          <w:rFonts w:asciiTheme="minorHAnsi" w:hAnsiTheme="minorHAnsi" w:cs="MyriadPro-BoldSemiCn"/>
          <w:iCs/>
          <w:color w:val="000000"/>
          <w:vertAlign w:val="subscript"/>
          <w:lang w:val="en-AU"/>
        </w:rPr>
        <w:t>2</w:t>
      </w:r>
      <w:r w:rsidRPr="00F04D63">
        <w:rPr>
          <w:rFonts w:asciiTheme="minorHAnsi" w:hAnsiTheme="minorHAnsi" w:cs="MyriadPro-BoldSemiCn"/>
          <w:iCs/>
          <w:color w:val="000000"/>
          <w:lang w:val="en-AU"/>
        </w:rPr>
        <w:t xml:space="preserve"> of each rearing tank was then calculated in CO2SYS (Pierrot et al. 2006) from the measured values of </w:t>
      </w:r>
      <w:proofErr w:type="spellStart"/>
      <w:r w:rsidRPr="00F04D63">
        <w:rPr>
          <w:rFonts w:asciiTheme="minorHAnsi" w:hAnsiTheme="minorHAnsi" w:cs="MyriadPro-BoldSemiCn"/>
          <w:iCs/>
          <w:color w:val="000000"/>
          <w:lang w:val="en-AU"/>
        </w:rPr>
        <w:t>pH</w:t>
      </w:r>
      <w:r w:rsidRPr="00F04D63">
        <w:rPr>
          <w:rFonts w:asciiTheme="minorHAnsi" w:hAnsiTheme="minorHAnsi" w:cs="MyriadPro-BoldSemiCn"/>
          <w:iCs/>
          <w:color w:val="000000"/>
          <w:vertAlign w:val="subscript"/>
          <w:lang w:val="en-AU"/>
        </w:rPr>
        <w:t>total</w:t>
      </w:r>
      <w:proofErr w:type="spellEnd"/>
      <w:r w:rsidRPr="00F04D63">
        <w:rPr>
          <w:rFonts w:asciiTheme="minorHAnsi" w:hAnsiTheme="minorHAnsi" w:cs="MyriadPro-BoldSemiCn"/>
          <w:iCs/>
          <w:color w:val="000000"/>
          <w:lang w:val="en-AU"/>
        </w:rPr>
        <w:t xml:space="preserve">, temperature, TA and salinity and using the constants of </w:t>
      </w:r>
      <w:proofErr w:type="spellStart"/>
      <w:r w:rsidRPr="00F04D63">
        <w:rPr>
          <w:rFonts w:asciiTheme="minorHAnsi" w:hAnsiTheme="minorHAnsi" w:cs="MyriadPro-BoldSemiCn"/>
          <w:iCs/>
          <w:color w:val="000000"/>
          <w:lang w:val="en-AU"/>
        </w:rPr>
        <w:t>Mehrbach</w:t>
      </w:r>
      <w:proofErr w:type="spellEnd"/>
      <w:r w:rsidRPr="00F04D63">
        <w:rPr>
          <w:rFonts w:asciiTheme="minorHAnsi" w:hAnsiTheme="minorHAnsi" w:cs="MyriadPro-BoldSemiCn"/>
          <w:iCs/>
          <w:color w:val="000000"/>
          <w:lang w:val="en-AU"/>
        </w:rPr>
        <w:t xml:space="preserve"> et al. (1973), refit by Dickson and </w:t>
      </w:r>
      <w:proofErr w:type="spellStart"/>
      <w:r w:rsidRPr="00F04D63">
        <w:rPr>
          <w:rFonts w:asciiTheme="minorHAnsi" w:hAnsiTheme="minorHAnsi" w:cs="MyriadPro-BoldSemiCn"/>
          <w:iCs/>
          <w:color w:val="000000"/>
          <w:lang w:val="en-AU"/>
        </w:rPr>
        <w:t>Millero</w:t>
      </w:r>
      <w:proofErr w:type="spellEnd"/>
      <w:r w:rsidRPr="00F04D63">
        <w:rPr>
          <w:rFonts w:asciiTheme="minorHAnsi" w:hAnsiTheme="minorHAnsi" w:cs="MyriadPro-BoldSemiCn"/>
          <w:iCs/>
          <w:color w:val="000000"/>
          <w:lang w:val="en-AU"/>
        </w:rPr>
        <w:t xml:space="preserve"> (1987) (Table S1). </w:t>
      </w:r>
    </w:p>
    <w:p w:rsid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p>
    <w:p w:rsid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p>
    <w:p w:rsid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p>
    <w:p w:rsid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p>
    <w:p w:rsid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lastRenderedPageBreak/>
        <w:t>Table S1.</w:t>
      </w:r>
      <w:r w:rsidRPr="00F04D63">
        <w:rPr>
          <w:rFonts w:asciiTheme="minorHAnsi" w:hAnsiTheme="minorHAnsi" w:cs="MyriadPro-BoldSemiCn"/>
          <w:b/>
          <w:iCs/>
          <w:color w:val="000000"/>
          <w:lang w:val="en-AU"/>
        </w:rPr>
        <w:t xml:space="preserve"> </w:t>
      </w:r>
      <w:r w:rsidRPr="00F04D63">
        <w:rPr>
          <w:rFonts w:asciiTheme="minorHAnsi" w:hAnsiTheme="minorHAnsi" w:cs="MyriadPro-BoldSemiCn"/>
          <w:iCs/>
          <w:color w:val="000000"/>
          <w:lang w:val="en-AU"/>
        </w:rPr>
        <w:t xml:space="preserve"> Mean (± SD) of experimental seawater chemistry parameters for </w:t>
      </w:r>
      <w:proofErr w:type="spellStart"/>
      <w:r w:rsidRPr="00F04D63">
        <w:rPr>
          <w:rFonts w:asciiTheme="minorHAnsi" w:hAnsiTheme="minorHAnsi" w:cs="MyriadPro-BoldSemiCn"/>
          <w:i/>
          <w:iCs/>
          <w:color w:val="000000"/>
          <w:lang w:val="en-AU"/>
        </w:rPr>
        <w:t>Chrysophrys</w:t>
      </w:r>
      <w:proofErr w:type="spellEnd"/>
      <w:r w:rsidRPr="00F04D63">
        <w:rPr>
          <w:rFonts w:asciiTheme="minorHAnsi" w:hAnsiTheme="minorHAnsi" w:cs="MyriadPro-BoldSemiCn"/>
          <w:i/>
          <w:iCs/>
          <w:color w:val="000000"/>
          <w:lang w:val="en-AU"/>
        </w:rPr>
        <w:t xml:space="preserve"> </w:t>
      </w:r>
      <w:proofErr w:type="spellStart"/>
      <w:r w:rsidRPr="00F04D63">
        <w:rPr>
          <w:rFonts w:asciiTheme="minorHAnsi" w:hAnsiTheme="minorHAnsi" w:cs="MyriadPro-BoldSemiCn"/>
          <w:i/>
          <w:iCs/>
          <w:color w:val="000000"/>
          <w:lang w:val="en-AU"/>
        </w:rPr>
        <w:t>aurtus</w:t>
      </w:r>
      <w:proofErr w:type="spellEnd"/>
      <w:r w:rsidRPr="00F04D63">
        <w:rPr>
          <w:rFonts w:asciiTheme="minorHAnsi" w:hAnsiTheme="minorHAnsi" w:cs="MyriadPro-BoldSemiCn"/>
          <w:iCs/>
          <w:color w:val="000000"/>
          <w:lang w:val="en-AU"/>
        </w:rPr>
        <w:t xml:space="preserve"> </w:t>
      </w:r>
      <w:proofErr w:type="spellStart"/>
      <w:r w:rsidRPr="00F04D63">
        <w:rPr>
          <w:rFonts w:asciiTheme="minorHAnsi" w:hAnsiTheme="minorHAnsi" w:cs="MyriadPro-BoldSemiCn"/>
          <w:iCs/>
          <w:color w:val="000000"/>
          <w:lang w:val="en-AU"/>
        </w:rPr>
        <w:t>broodstock</w:t>
      </w:r>
      <w:proofErr w:type="spellEnd"/>
      <w:r w:rsidRPr="00F04D63">
        <w:rPr>
          <w:rFonts w:asciiTheme="minorHAnsi" w:hAnsiTheme="minorHAnsi" w:cs="MyriadPro-BoldSemiCn"/>
          <w:iCs/>
          <w:color w:val="000000"/>
          <w:lang w:val="en-AU"/>
        </w:rPr>
        <w:t xml:space="preserve"> tanks and juvenile treatment tanks. </w:t>
      </w:r>
      <w:proofErr w:type="spellStart"/>
      <w:r w:rsidRPr="00F04D63">
        <w:rPr>
          <w:rFonts w:asciiTheme="minorHAnsi" w:hAnsiTheme="minorHAnsi" w:cs="MyriadPro-BoldSemiCn"/>
          <w:iCs/>
          <w:color w:val="000000"/>
          <w:lang w:val="en-AU"/>
        </w:rPr>
        <w:t>Broodstock</w:t>
      </w:r>
      <w:proofErr w:type="spellEnd"/>
      <w:r w:rsidRPr="00F04D63">
        <w:rPr>
          <w:rFonts w:asciiTheme="minorHAnsi" w:hAnsiTheme="minorHAnsi" w:cs="MyriadPro-BoldSemiCn"/>
          <w:iCs/>
          <w:color w:val="000000"/>
          <w:lang w:val="en-AU"/>
        </w:rPr>
        <w:t xml:space="preserve"> tanks were measured during the week of spawning at the start, middle, and end of the week. Temperature and </w:t>
      </w:r>
      <w:proofErr w:type="spellStart"/>
      <w:r w:rsidRPr="00F04D63">
        <w:rPr>
          <w:rFonts w:asciiTheme="minorHAnsi" w:hAnsiTheme="minorHAnsi" w:cs="MyriadPro-BoldSemiCn"/>
          <w:iCs/>
          <w:color w:val="000000"/>
          <w:lang w:val="en-AU"/>
        </w:rPr>
        <w:t>pH</w:t>
      </w:r>
      <w:r w:rsidRPr="00F04D63">
        <w:rPr>
          <w:rFonts w:asciiTheme="minorHAnsi" w:hAnsiTheme="minorHAnsi" w:cs="MyriadPro-BoldSemiCn"/>
          <w:iCs/>
          <w:color w:val="000000"/>
          <w:vertAlign w:val="subscript"/>
          <w:lang w:val="en-AU"/>
        </w:rPr>
        <w:t>total</w:t>
      </w:r>
      <w:proofErr w:type="spellEnd"/>
      <w:r w:rsidRPr="00F04D63">
        <w:rPr>
          <w:rFonts w:asciiTheme="minorHAnsi" w:hAnsiTheme="minorHAnsi" w:cs="MyriadPro-BoldSemiCn"/>
          <w:iCs/>
          <w:color w:val="000000"/>
          <w:lang w:val="en-AU"/>
        </w:rPr>
        <w:t xml:space="preserve"> were measured daily in each juvenile rearing tank over the 21 day experiments (21-42 </w:t>
      </w:r>
      <w:proofErr w:type="spellStart"/>
      <w:r w:rsidRPr="00F04D63">
        <w:rPr>
          <w:rFonts w:asciiTheme="minorHAnsi" w:hAnsiTheme="minorHAnsi" w:cs="MyriadPro-BoldSemiCn"/>
          <w:iCs/>
          <w:color w:val="000000"/>
          <w:lang w:val="en-AU"/>
        </w:rPr>
        <w:t>dph</w:t>
      </w:r>
      <w:proofErr w:type="spellEnd"/>
      <w:r w:rsidRPr="00F04D63">
        <w:rPr>
          <w:rFonts w:asciiTheme="minorHAnsi" w:hAnsiTheme="minorHAnsi" w:cs="MyriadPro-BoldSemiCn"/>
          <w:iCs/>
          <w:color w:val="000000"/>
          <w:lang w:val="en-AU"/>
        </w:rPr>
        <w:t xml:space="preserve">). Total alkalinity and salinity were measured at the start of the experiment and then every 7 days. </w:t>
      </w:r>
      <w:proofErr w:type="gramStart"/>
      <w:r w:rsidRPr="00F04D63">
        <w:rPr>
          <w:rFonts w:asciiTheme="minorHAnsi" w:hAnsiTheme="minorHAnsi" w:cs="MyriadPro-BoldSemiCn"/>
          <w:i/>
          <w:iCs/>
          <w:color w:val="000000"/>
          <w:lang w:val="en-AU"/>
        </w:rPr>
        <w:t>p</w:t>
      </w:r>
      <w:r w:rsidRPr="00F04D63">
        <w:rPr>
          <w:rFonts w:asciiTheme="minorHAnsi" w:hAnsiTheme="minorHAnsi" w:cs="MyriadPro-BoldSemiCn"/>
          <w:iCs/>
          <w:color w:val="000000"/>
          <w:lang w:val="en-AU"/>
        </w:rPr>
        <w:t>CO</w:t>
      </w:r>
      <w:r w:rsidRPr="00F04D63">
        <w:rPr>
          <w:rFonts w:asciiTheme="minorHAnsi" w:hAnsiTheme="minorHAnsi" w:cs="MyriadPro-BoldSemiCn"/>
          <w:iCs/>
          <w:color w:val="000000"/>
          <w:vertAlign w:val="subscript"/>
          <w:lang w:val="en-AU"/>
        </w:rPr>
        <w:t>2</w:t>
      </w:r>
      <w:proofErr w:type="gramEnd"/>
      <w:r w:rsidRPr="00F04D63">
        <w:rPr>
          <w:rFonts w:asciiTheme="minorHAnsi" w:hAnsiTheme="minorHAnsi" w:cs="MyriadPro-BoldSemiCn"/>
          <w:iCs/>
          <w:color w:val="000000"/>
          <w:lang w:val="en-AU"/>
        </w:rPr>
        <w:t xml:space="preserve"> was estimated from these parameters in CO2SYS. </w:t>
      </w:r>
    </w:p>
    <w:p w:rsidR="00F04D63" w:rsidRP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bookmarkStart w:id="0" w:name="_GoBack"/>
      <w:bookmarkEnd w:id="0"/>
    </w:p>
    <w:tbl>
      <w:tblPr>
        <w:tblW w:w="9776" w:type="dxa"/>
        <w:tblLook w:val="04A0" w:firstRow="1" w:lastRow="0" w:firstColumn="1" w:lastColumn="0" w:noHBand="0" w:noVBand="1"/>
      </w:tblPr>
      <w:tblGrid>
        <w:gridCol w:w="2263"/>
        <w:gridCol w:w="1701"/>
        <w:gridCol w:w="1814"/>
        <w:gridCol w:w="2005"/>
        <w:gridCol w:w="1275"/>
        <w:gridCol w:w="1276"/>
      </w:tblGrid>
      <w:tr w:rsidR="00F04D63" w:rsidRPr="00F04D63" w:rsidTr="000C67D9">
        <w:trPr>
          <w:trHeight w:val="570"/>
        </w:trPr>
        <w:tc>
          <w:tcPr>
            <w:tcW w:w="2263" w:type="dxa"/>
            <w:tcBorders>
              <w:top w:val="single" w:sz="4" w:space="0" w:color="auto"/>
              <w:bottom w:val="single" w:sz="4" w:space="0" w:color="auto"/>
            </w:tcBorders>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b/>
                <w:iCs/>
                <w:color w:val="000000"/>
                <w:lang w:val="en-AU"/>
              </w:rPr>
            </w:pPr>
            <w:r w:rsidRPr="00F04D63">
              <w:rPr>
                <w:rFonts w:asciiTheme="minorHAnsi" w:hAnsiTheme="minorHAnsi" w:cs="MyriadPro-BoldSemiCn"/>
                <w:b/>
                <w:iCs/>
                <w:color w:val="000000"/>
                <w:lang w:val="en-AU"/>
              </w:rPr>
              <w:t>Treatment</w:t>
            </w:r>
          </w:p>
        </w:tc>
        <w:tc>
          <w:tcPr>
            <w:tcW w:w="1701" w:type="dxa"/>
            <w:tcBorders>
              <w:top w:val="single" w:sz="4" w:space="0" w:color="auto"/>
              <w:bottom w:val="single" w:sz="4" w:space="0" w:color="auto"/>
            </w:tcBorders>
            <w:shd w:val="clear" w:color="auto" w:fill="auto"/>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b/>
                <w:iCs/>
                <w:color w:val="000000"/>
                <w:lang w:val="en-AU"/>
              </w:rPr>
            </w:pPr>
            <w:r w:rsidRPr="00F04D63">
              <w:rPr>
                <w:rFonts w:asciiTheme="minorHAnsi" w:hAnsiTheme="minorHAnsi" w:cs="MyriadPro-BoldSemiCn"/>
                <w:b/>
                <w:iCs/>
                <w:color w:val="000000"/>
                <w:lang w:val="en-AU"/>
              </w:rPr>
              <w:t xml:space="preserve">Salinity </w:t>
            </w:r>
          </w:p>
          <w:p w:rsidR="00F04D63" w:rsidRPr="00F04D63" w:rsidRDefault="00F04D63" w:rsidP="000C67D9">
            <w:pPr>
              <w:autoSpaceDE w:val="0"/>
              <w:autoSpaceDN w:val="0"/>
              <w:adjustRightInd w:val="0"/>
              <w:spacing w:after="0" w:line="240" w:lineRule="auto"/>
              <w:rPr>
                <w:rFonts w:asciiTheme="minorHAnsi" w:hAnsiTheme="minorHAnsi" w:cs="MyriadPro-BoldSemiCn"/>
                <w:b/>
                <w:iCs/>
                <w:color w:val="000000"/>
                <w:lang w:val="en-AU"/>
              </w:rPr>
            </w:pPr>
            <w:r w:rsidRPr="00F04D63">
              <w:rPr>
                <w:rFonts w:asciiTheme="minorHAnsi" w:hAnsiTheme="minorHAnsi" w:cs="MyriadPro-BoldSemiCn"/>
                <w:b/>
                <w:iCs/>
                <w:color w:val="000000"/>
                <w:lang w:val="en-AU"/>
              </w:rPr>
              <w:t>(</w:t>
            </w:r>
            <w:proofErr w:type="spellStart"/>
            <w:r w:rsidRPr="00F04D63">
              <w:rPr>
                <w:rFonts w:asciiTheme="minorHAnsi" w:hAnsiTheme="minorHAnsi" w:cs="MyriadPro-BoldSemiCn"/>
                <w:b/>
                <w:iCs/>
                <w:color w:val="000000"/>
                <w:lang w:val="en-AU"/>
              </w:rPr>
              <w:t>ppt</w:t>
            </w:r>
            <w:proofErr w:type="spellEnd"/>
            <w:r w:rsidRPr="00F04D63">
              <w:rPr>
                <w:rFonts w:asciiTheme="minorHAnsi" w:hAnsiTheme="minorHAnsi" w:cs="MyriadPro-BoldSemiCn"/>
                <w:b/>
                <w:iCs/>
                <w:color w:val="000000"/>
                <w:lang w:val="en-AU"/>
              </w:rPr>
              <w:t>)</w:t>
            </w:r>
          </w:p>
        </w:tc>
        <w:tc>
          <w:tcPr>
            <w:tcW w:w="1701" w:type="dxa"/>
            <w:tcBorders>
              <w:top w:val="single" w:sz="4" w:space="0" w:color="auto"/>
              <w:bottom w:val="single" w:sz="4" w:space="0" w:color="auto"/>
            </w:tcBorders>
            <w:shd w:val="clear" w:color="auto" w:fill="auto"/>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b/>
                <w:iCs/>
                <w:color w:val="000000"/>
                <w:lang w:val="en-AU"/>
              </w:rPr>
            </w:pPr>
            <w:r w:rsidRPr="00F04D63">
              <w:rPr>
                <w:rFonts w:asciiTheme="minorHAnsi" w:hAnsiTheme="minorHAnsi" w:cs="MyriadPro-BoldSemiCn"/>
                <w:b/>
                <w:iCs/>
                <w:color w:val="000000"/>
                <w:lang w:val="en-AU"/>
              </w:rPr>
              <w:t>Temperature (</w:t>
            </w:r>
            <w:proofErr w:type="spellStart"/>
            <w:r w:rsidRPr="00F04D63">
              <w:rPr>
                <w:rFonts w:asciiTheme="minorHAnsi" w:hAnsiTheme="minorHAnsi" w:cs="MyriadPro-BoldSemiCn"/>
                <w:b/>
                <w:iCs/>
                <w:color w:val="000000"/>
                <w:vertAlign w:val="superscript"/>
                <w:lang w:val="en-AU"/>
              </w:rPr>
              <w:t>o</w:t>
            </w:r>
            <w:r w:rsidRPr="00F04D63">
              <w:rPr>
                <w:rFonts w:asciiTheme="minorHAnsi" w:hAnsiTheme="minorHAnsi" w:cs="MyriadPro-BoldSemiCn"/>
                <w:b/>
                <w:iCs/>
                <w:color w:val="000000"/>
                <w:lang w:val="en-AU"/>
              </w:rPr>
              <w:t>C</w:t>
            </w:r>
            <w:proofErr w:type="spellEnd"/>
            <w:r w:rsidRPr="00F04D63">
              <w:rPr>
                <w:rFonts w:asciiTheme="minorHAnsi" w:hAnsiTheme="minorHAnsi" w:cs="MyriadPro-BoldSemiCn"/>
                <w:b/>
                <w:iCs/>
                <w:color w:val="000000"/>
                <w:lang w:val="en-AU"/>
              </w:rPr>
              <w:t>)</w:t>
            </w:r>
          </w:p>
        </w:tc>
        <w:tc>
          <w:tcPr>
            <w:tcW w:w="1560" w:type="dxa"/>
            <w:tcBorders>
              <w:top w:val="single" w:sz="4" w:space="0" w:color="auto"/>
              <w:bottom w:val="single" w:sz="4" w:space="0" w:color="auto"/>
            </w:tcBorders>
            <w:shd w:val="clear" w:color="auto" w:fill="auto"/>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b/>
                <w:iCs/>
                <w:color w:val="000000"/>
                <w:lang w:val="en-AU"/>
              </w:rPr>
            </w:pPr>
            <w:r w:rsidRPr="00F04D63">
              <w:rPr>
                <w:rFonts w:asciiTheme="minorHAnsi" w:hAnsiTheme="minorHAnsi" w:cs="MyriadPro-BoldSemiCn"/>
                <w:b/>
                <w:iCs/>
                <w:color w:val="000000"/>
                <w:lang w:val="en-AU"/>
              </w:rPr>
              <w:t>Total Alkalinity (</w:t>
            </w:r>
            <w:proofErr w:type="spellStart"/>
            <w:r w:rsidRPr="00F04D63">
              <w:rPr>
                <w:rFonts w:asciiTheme="minorHAnsi" w:hAnsiTheme="minorHAnsi" w:cs="MyriadPro-BoldSemiCn"/>
                <w:b/>
                <w:iCs/>
                <w:color w:val="000000"/>
                <w:lang w:val="en-AU"/>
              </w:rPr>
              <w:t>mmol</w:t>
            </w:r>
            <w:proofErr w:type="spellEnd"/>
            <w:r w:rsidRPr="00F04D63">
              <w:rPr>
                <w:rFonts w:asciiTheme="minorHAnsi" w:hAnsiTheme="minorHAnsi" w:cs="MyriadPro-BoldSemiCn"/>
                <w:b/>
                <w:iCs/>
                <w:color w:val="000000"/>
                <w:lang w:val="en-AU"/>
              </w:rPr>
              <w:t>/</w:t>
            </w:r>
            <w:proofErr w:type="spellStart"/>
            <w:r w:rsidRPr="00F04D63">
              <w:rPr>
                <w:rFonts w:asciiTheme="minorHAnsi" w:hAnsiTheme="minorHAnsi" w:cs="MyriadPro-BoldSemiCn"/>
                <w:b/>
                <w:iCs/>
                <w:color w:val="000000"/>
                <w:lang w:val="en-AU"/>
              </w:rPr>
              <w:t>kgSW</w:t>
            </w:r>
            <w:proofErr w:type="spellEnd"/>
            <w:r w:rsidRPr="00F04D63">
              <w:rPr>
                <w:rFonts w:asciiTheme="minorHAnsi" w:hAnsiTheme="minorHAnsi" w:cs="MyriadPro-BoldSemiCn"/>
                <w:b/>
                <w:iCs/>
                <w:color w:val="000000"/>
                <w:lang w:val="en-AU"/>
              </w:rPr>
              <w:t>)</w:t>
            </w:r>
          </w:p>
        </w:tc>
        <w:tc>
          <w:tcPr>
            <w:tcW w:w="1275" w:type="dxa"/>
            <w:tcBorders>
              <w:top w:val="single" w:sz="4" w:space="0" w:color="auto"/>
              <w:bottom w:val="single" w:sz="4" w:space="0" w:color="auto"/>
            </w:tcBorders>
            <w:shd w:val="clear" w:color="auto" w:fill="auto"/>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b/>
                <w:iCs/>
                <w:color w:val="000000"/>
                <w:lang w:val="en-AU"/>
              </w:rPr>
            </w:pPr>
            <w:r w:rsidRPr="00F04D63">
              <w:rPr>
                <w:rFonts w:asciiTheme="minorHAnsi" w:hAnsiTheme="minorHAnsi" w:cs="MyriadPro-BoldSemiCn"/>
                <w:b/>
                <w:iCs/>
                <w:color w:val="000000"/>
                <w:lang w:val="en-AU"/>
              </w:rPr>
              <w:t xml:space="preserve">pH </w:t>
            </w:r>
          </w:p>
          <w:p w:rsidR="00F04D63" w:rsidRPr="00F04D63" w:rsidRDefault="00F04D63" w:rsidP="000C67D9">
            <w:pPr>
              <w:autoSpaceDE w:val="0"/>
              <w:autoSpaceDN w:val="0"/>
              <w:adjustRightInd w:val="0"/>
              <w:spacing w:after="0" w:line="240" w:lineRule="auto"/>
              <w:rPr>
                <w:rFonts w:asciiTheme="minorHAnsi" w:hAnsiTheme="minorHAnsi" w:cs="MyriadPro-BoldSemiCn"/>
                <w:b/>
                <w:iCs/>
                <w:color w:val="000000"/>
                <w:lang w:val="en-AU"/>
              </w:rPr>
            </w:pPr>
            <w:r w:rsidRPr="00F04D63">
              <w:rPr>
                <w:rFonts w:asciiTheme="minorHAnsi" w:hAnsiTheme="minorHAnsi" w:cs="MyriadPro-BoldSemiCn"/>
                <w:b/>
                <w:iCs/>
                <w:color w:val="000000"/>
                <w:lang w:val="en-AU"/>
              </w:rPr>
              <w:t>(Total)</w:t>
            </w:r>
          </w:p>
        </w:tc>
        <w:tc>
          <w:tcPr>
            <w:tcW w:w="1276" w:type="dxa"/>
            <w:tcBorders>
              <w:top w:val="single" w:sz="4" w:space="0" w:color="auto"/>
              <w:bottom w:val="single" w:sz="4" w:space="0" w:color="auto"/>
            </w:tcBorders>
            <w:shd w:val="clear" w:color="auto" w:fill="auto"/>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b/>
                <w:iCs/>
                <w:color w:val="000000"/>
                <w:lang w:val="en-AU"/>
              </w:rPr>
            </w:pPr>
            <w:r w:rsidRPr="00F04D63">
              <w:rPr>
                <w:rFonts w:asciiTheme="minorHAnsi" w:hAnsiTheme="minorHAnsi" w:cs="MyriadPro-BoldSemiCn"/>
                <w:b/>
                <w:iCs/>
                <w:color w:val="000000"/>
                <w:lang w:val="en-AU"/>
              </w:rPr>
              <w:t>pCO</w:t>
            </w:r>
            <w:r w:rsidRPr="00F04D63">
              <w:rPr>
                <w:rFonts w:asciiTheme="minorHAnsi" w:hAnsiTheme="minorHAnsi" w:cs="MyriadPro-BoldSemiCn"/>
                <w:b/>
                <w:iCs/>
                <w:color w:val="000000"/>
                <w:vertAlign w:val="subscript"/>
                <w:lang w:val="en-AU"/>
              </w:rPr>
              <w:t>2</w:t>
            </w:r>
            <w:r w:rsidRPr="00F04D63">
              <w:rPr>
                <w:rFonts w:asciiTheme="minorHAnsi" w:hAnsiTheme="minorHAnsi" w:cs="MyriadPro-BoldSemiCn"/>
                <w:b/>
                <w:iCs/>
                <w:color w:val="000000"/>
                <w:lang w:val="en-AU"/>
              </w:rPr>
              <w:t xml:space="preserve"> (µ</w:t>
            </w:r>
            <w:proofErr w:type="spellStart"/>
            <w:r w:rsidRPr="00F04D63">
              <w:rPr>
                <w:rFonts w:asciiTheme="minorHAnsi" w:hAnsiTheme="minorHAnsi" w:cs="MyriadPro-BoldSemiCn"/>
                <w:b/>
                <w:iCs/>
                <w:color w:val="000000"/>
                <w:lang w:val="en-AU"/>
              </w:rPr>
              <w:t>atm</w:t>
            </w:r>
            <w:proofErr w:type="spellEnd"/>
            <w:r w:rsidRPr="00F04D63">
              <w:rPr>
                <w:rFonts w:asciiTheme="minorHAnsi" w:hAnsiTheme="minorHAnsi" w:cs="MyriadPro-BoldSemiCn"/>
                <w:b/>
                <w:iCs/>
                <w:color w:val="000000"/>
                <w:lang w:val="en-AU"/>
              </w:rPr>
              <w:t>)</w:t>
            </w:r>
          </w:p>
        </w:tc>
      </w:tr>
      <w:tr w:rsidR="00F04D63" w:rsidRPr="00F04D63" w:rsidTr="000C67D9">
        <w:trPr>
          <w:trHeight w:val="1005"/>
        </w:trPr>
        <w:tc>
          <w:tcPr>
            <w:tcW w:w="2263" w:type="dxa"/>
            <w:tcBorders>
              <w:top w:val="single" w:sz="4" w:space="0" w:color="auto"/>
            </w:tcBorders>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b/>
                <w:iCs/>
                <w:color w:val="000000"/>
                <w:lang w:val="en-AU"/>
              </w:rPr>
            </w:pPr>
            <w:r w:rsidRPr="00F04D63">
              <w:rPr>
                <w:rFonts w:asciiTheme="minorHAnsi" w:hAnsiTheme="minorHAnsi" w:cs="MyriadPro-BoldSemiCn"/>
                <w:b/>
                <w:iCs/>
                <w:color w:val="000000"/>
                <w:lang w:val="en-AU"/>
              </w:rPr>
              <w:t xml:space="preserve">Brood stock </w:t>
            </w:r>
          </w:p>
        </w:tc>
        <w:tc>
          <w:tcPr>
            <w:tcW w:w="1701" w:type="dxa"/>
            <w:tcBorders>
              <w:top w:val="single" w:sz="4" w:space="0" w:color="auto"/>
            </w:tcBorders>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35.60 ±0.05</w:t>
            </w:r>
          </w:p>
        </w:tc>
        <w:tc>
          <w:tcPr>
            <w:tcW w:w="1701" w:type="dxa"/>
            <w:tcBorders>
              <w:top w:val="single" w:sz="4" w:space="0" w:color="auto"/>
            </w:tcBorders>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18.03 ±0.04</w:t>
            </w:r>
          </w:p>
        </w:tc>
        <w:tc>
          <w:tcPr>
            <w:tcW w:w="1560" w:type="dxa"/>
            <w:tcBorders>
              <w:top w:val="single" w:sz="4" w:space="0" w:color="auto"/>
            </w:tcBorders>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2154 ±6</w:t>
            </w:r>
          </w:p>
        </w:tc>
        <w:tc>
          <w:tcPr>
            <w:tcW w:w="1275" w:type="dxa"/>
            <w:tcBorders>
              <w:top w:val="single" w:sz="4" w:space="0" w:color="auto"/>
            </w:tcBorders>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7.88 ±0.01</w:t>
            </w:r>
          </w:p>
        </w:tc>
        <w:tc>
          <w:tcPr>
            <w:tcW w:w="1276" w:type="dxa"/>
            <w:tcBorders>
              <w:top w:val="single" w:sz="4" w:space="0" w:color="auto"/>
            </w:tcBorders>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583 ±14</w:t>
            </w:r>
          </w:p>
        </w:tc>
      </w:tr>
      <w:tr w:rsidR="00F04D63" w:rsidRPr="00F04D63" w:rsidTr="000C67D9">
        <w:trPr>
          <w:trHeight w:val="900"/>
        </w:trPr>
        <w:tc>
          <w:tcPr>
            <w:tcW w:w="2263" w:type="dxa"/>
            <w:shd w:val="clear" w:color="auto" w:fill="auto"/>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b/>
                <w:iCs/>
                <w:color w:val="000000"/>
                <w:lang w:val="en-AU"/>
              </w:rPr>
            </w:pPr>
            <w:r w:rsidRPr="00F04D63">
              <w:rPr>
                <w:rFonts w:asciiTheme="minorHAnsi" w:hAnsiTheme="minorHAnsi" w:cs="MyriadPro-BoldSemiCn"/>
                <w:b/>
                <w:iCs/>
                <w:color w:val="000000"/>
                <w:lang w:val="en-AU"/>
              </w:rPr>
              <w:t>Juveniles tanks Control CO</w:t>
            </w:r>
            <w:r w:rsidRPr="00F04D63">
              <w:rPr>
                <w:rFonts w:asciiTheme="minorHAnsi" w:hAnsiTheme="minorHAnsi" w:cs="MyriadPro-BoldSemiCn"/>
                <w:b/>
                <w:iCs/>
                <w:color w:val="000000"/>
                <w:vertAlign w:val="subscript"/>
                <w:lang w:val="en-AU"/>
              </w:rPr>
              <w:t>2</w:t>
            </w:r>
          </w:p>
        </w:tc>
        <w:tc>
          <w:tcPr>
            <w:tcW w:w="1701" w:type="dxa"/>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35.34±0.21</w:t>
            </w:r>
          </w:p>
        </w:tc>
        <w:tc>
          <w:tcPr>
            <w:tcW w:w="1701" w:type="dxa"/>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22.03 ±0.07</w:t>
            </w:r>
          </w:p>
        </w:tc>
        <w:tc>
          <w:tcPr>
            <w:tcW w:w="1560" w:type="dxa"/>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2313 ±9</w:t>
            </w:r>
          </w:p>
        </w:tc>
        <w:tc>
          <w:tcPr>
            <w:tcW w:w="1275" w:type="dxa"/>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7.99 ±0.02</w:t>
            </w:r>
          </w:p>
        </w:tc>
        <w:tc>
          <w:tcPr>
            <w:tcW w:w="1276" w:type="dxa"/>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465 ±26</w:t>
            </w:r>
          </w:p>
        </w:tc>
      </w:tr>
      <w:tr w:rsidR="00F04D63" w:rsidRPr="00F04D63" w:rsidTr="000C67D9">
        <w:trPr>
          <w:trHeight w:val="900"/>
        </w:trPr>
        <w:tc>
          <w:tcPr>
            <w:tcW w:w="2263" w:type="dxa"/>
            <w:tcBorders>
              <w:bottom w:val="single" w:sz="4" w:space="0" w:color="auto"/>
            </w:tcBorders>
            <w:shd w:val="clear" w:color="auto" w:fill="auto"/>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b/>
                <w:iCs/>
                <w:color w:val="000000"/>
                <w:lang w:val="en-AU"/>
              </w:rPr>
            </w:pPr>
            <w:r w:rsidRPr="00F04D63">
              <w:rPr>
                <w:rFonts w:asciiTheme="minorHAnsi" w:hAnsiTheme="minorHAnsi" w:cs="MyriadPro-BoldSemiCn"/>
                <w:b/>
                <w:iCs/>
                <w:color w:val="000000"/>
                <w:lang w:val="en-AU"/>
              </w:rPr>
              <w:t>Juvenile tanks  Elevated CO</w:t>
            </w:r>
            <w:r w:rsidRPr="00F04D63">
              <w:rPr>
                <w:rFonts w:asciiTheme="minorHAnsi" w:hAnsiTheme="minorHAnsi" w:cs="MyriadPro-BoldSemiCn"/>
                <w:b/>
                <w:iCs/>
                <w:color w:val="000000"/>
                <w:vertAlign w:val="subscript"/>
                <w:lang w:val="en-AU"/>
              </w:rPr>
              <w:t>2</w:t>
            </w:r>
          </w:p>
        </w:tc>
        <w:tc>
          <w:tcPr>
            <w:tcW w:w="1701" w:type="dxa"/>
            <w:tcBorders>
              <w:bottom w:val="single" w:sz="4" w:space="0" w:color="auto"/>
            </w:tcBorders>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35.29 ±0.16</w:t>
            </w:r>
          </w:p>
        </w:tc>
        <w:tc>
          <w:tcPr>
            <w:tcW w:w="1701" w:type="dxa"/>
            <w:tcBorders>
              <w:bottom w:val="single" w:sz="4" w:space="0" w:color="auto"/>
            </w:tcBorders>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21.96 ±0.20</w:t>
            </w:r>
          </w:p>
        </w:tc>
        <w:tc>
          <w:tcPr>
            <w:tcW w:w="1560" w:type="dxa"/>
            <w:tcBorders>
              <w:bottom w:val="single" w:sz="4" w:space="0" w:color="auto"/>
            </w:tcBorders>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2316 ±10</w:t>
            </w:r>
          </w:p>
        </w:tc>
        <w:tc>
          <w:tcPr>
            <w:tcW w:w="1275" w:type="dxa"/>
            <w:tcBorders>
              <w:bottom w:val="single" w:sz="4" w:space="0" w:color="auto"/>
            </w:tcBorders>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7.69 ±0.01</w:t>
            </w:r>
          </w:p>
        </w:tc>
        <w:tc>
          <w:tcPr>
            <w:tcW w:w="1276" w:type="dxa"/>
            <w:tcBorders>
              <w:bottom w:val="single" w:sz="4" w:space="0" w:color="auto"/>
            </w:tcBorders>
            <w:shd w:val="clear" w:color="auto" w:fill="auto"/>
            <w:noWrap/>
            <w:vAlign w:val="center"/>
            <w:hideMark/>
          </w:tcPr>
          <w:p w:rsidR="00F04D63" w:rsidRPr="00F04D63" w:rsidRDefault="00F04D63" w:rsidP="000C67D9">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1027 ±32</w:t>
            </w:r>
          </w:p>
        </w:tc>
      </w:tr>
    </w:tbl>
    <w:p w:rsidR="00F04D63" w:rsidRP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p>
    <w:p w:rsid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p>
    <w:p w:rsid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p>
    <w:p w:rsid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p>
    <w:p w:rsidR="00F04D63" w:rsidRP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p>
    <w:p w:rsidR="00F04D63" w:rsidRP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References</w:t>
      </w:r>
    </w:p>
    <w:p w:rsidR="00F04D63" w:rsidRP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Clayton TD, Byrne RH (1993) Spectrophotometric seawater pH measurements: total hydrogen ion concentration scale calibration of m-cresol purple and at-sea results. Deep Sea Res Part 1 40:2115-2129</w:t>
      </w:r>
    </w:p>
    <w:p w:rsidR="00F04D63" w:rsidRP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p>
    <w:p w:rsidR="00F04D63" w:rsidRP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 xml:space="preserve">Dickson AG, </w:t>
      </w:r>
      <w:proofErr w:type="spellStart"/>
      <w:r w:rsidRPr="00F04D63">
        <w:rPr>
          <w:rFonts w:asciiTheme="minorHAnsi" w:hAnsiTheme="minorHAnsi" w:cs="MyriadPro-BoldSemiCn"/>
          <w:iCs/>
          <w:color w:val="000000"/>
          <w:lang w:val="en-AU"/>
        </w:rPr>
        <w:t>Millero</w:t>
      </w:r>
      <w:proofErr w:type="spellEnd"/>
      <w:r w:rsidRPr="00F04D63">
        <w:rPr>
          <w:rFonts w:asciiTheme="minorHAnsi" w:hAnsiTheme="minorHAnsi" w:cs="MyriadPro-BoldSemiCn"/>
          <w:iCs/>
          <w:color w:val="000000"/>
          <w:lang w:val="en-AU"/>
        </w:rPr>
        <w:t xml:space="preserve"> FJ (1987) A comparison of the equilibrium constants for the dissociation of carbonic acid in seawater media. Deep Sea Res Part </w:t>
      </w:r>
      <w:proofErr w:type="gramStart"/>
      <w:r w:rsidRPr="00F04D63">
        <w:rPr>
          <w:rFonts w:asciiTheme="minorHAnsi" w:hAnsiTheme="minorHAnsi" w:cs="MyriadPro-BoldSemiCn"/>
          <w:iCs/>
          <w:color w:val="000000"/>
          <w:lang w:val="en-AU"/>
        </w:rPr>
        <w:t>A</w:t>
      </w:r>
      <w:proofErr w:type="gramEnd"/>
      <w:r w:rsidRPr="00F04D63">
        <w:rPr>
          <w:rFonts w:asciiTheme="minorHAnsi" w:hAnsiTheme="minorHAnsi" w:cs="MyriadPro-BoldSemiCn"/>
          <w:iCs/>
          <w:color w:val="000000"/>
          <w:lang w:val="en-AU"/>
        </w:rPr>
        <w:t xml:space="preserve"> 34:1733-1743</w:t>
      </w:r>
    </w:p>
    <w:p w:rsidR="00F04D63" w:rsidRP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p>
    <w:p w:rsidR="00F04D63" w:rsidRP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 xml:space="preserve">McMahon SJ, Parsons D, </w:t>
      </w:r>
      <w:proofErr w:type="spellStart"/>
      <w:r w:rsidRPr="00F04D63">
        <w:rPr>
          <w:rFonts w:asciiTheme="minorHAnsi" w:hAnsiTheme="minorHAnsi" w:cs="MyriadPro-BoldSemiCn"/>
          <w:iCs/>
          <w:color w:val="000000"/>
          <w:lang w:val="en-AU"/>
        </w:rPr>
        <w:t>Donelson</w:t>
      </w:r>
      <w:proofErr w:type="spellEnd"/>
      <w:r w:rsidRPr="00F04D63">
        <w:rPr>
          <w:rFonts w:asciiTheme="minorHAnsi" w:hAnsiTheme="minorHAnsi" w:cs="MyriadPro-BoldSemiCn"/>
          <w:iCs/>
          <w:color w:val="000000"/>
          <w:lang w:val="en-AU"/>
        </w:rPr>
        <w:t xml:space="preserve"> JM, Pether SJM, Munday PL (2020). Elevated CO2 and heatwave conditions affect the aerobic and swimming performance of juvenile Australasian snapper. Marine Biology, 167, doi.org/10.1007/s00227-019-3614-1.</w:t>
      </w:r>
    </w:p>
    <w:p w:rsidR="00F04D63" w:rsidRP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p>
    <w:p w:rsidR="00F04D63" w:rsidRP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proofErr w:type="spellStart"/>
      <w:r w:rsidRPr="00F04D63">
        <w:rPr>
          <w:rFonts w:asciiTheme="minorHAnsi" w:hAnsiTheme="minorHAnsi" w:cs="MyriadPro-BoldSemiCn"/>
          <w:iCs/>
          <w:color w:val="000000"/>
          <w:lang w:val="en-AU"/>
        </w:rPr>
        <w:t>Mehrbach</w:t>
      </w:r>
      <w:proofErr w:type="spellEnd"/>
      <w:r w:rsidRPr="00F04D63">
        <w:rPr>
          <w:rFonts w:asciiTheme="minorHAnsi" w:hAnsiTheme="minorHAnsi" w:cs="MyriadPro-BoldSemiCn"/>
          <w:iCs/>
          <w:color w:val="000000"/>
          <w:lang w:val="en-AU"/>
        </w:rPr>
        <w:t xml:space="preserve"> C, </w:t>
      </w:r>
      <w:proofErr w:type="spellStart"/>
      <w:r w:rsidRPr="00F04D63">
        <w:rPr>
          <w:rFonts w:asciiTheme="minorHAnsi" w:hAnsiTheme="minorHAnsi" w:cs="MyriadPro-BoldSemiCn"/>
          <w:iCs/>
          <w:color w:val="000000"/>
          <w:lang w:val="en-AU"/>
        </w:rPr>
        <w:t>Culberson</w:t>
      </w:r>
      <w:proofErr w:type="spellEnd"/>
      <w:r w:rsidRPr="00F04D63">
        <w:rPr>
          <w:rFonts w:asciiTheme="minorHAnsi" w:hAnsiTheme="minorHAnsi" w:cs="MyriadPro-BoldSemiCn"/>
          <w:iCs/>
          <w:color w:val="000000"/>
          <w:lang w:val="en-AU"/>
        </w:rPr>
        <w:t xml:space="preserve"> C, Hawley J, </w:t>
      </w:r>
      <w:proofErr w:type="spellStart"/>
      <w:r w:rsidRPr="00F04D63">
        <w:rPr>
          <w:rFonts w:asciiTheme="minorHAnsi" w:hAnsiTheme="minorHAnsi" w:cs="MyriadPro-BoldSemiCn"/>
          <w:iCs/>
          <w:color w:val="000000"/>
          <w:lang w:val="en-AU"/>
        </w:rPr>
        <w:t>Pytkowicx</w:t>
      </w:r>
      <w:proofErr w:type="spellEnd"/>
      <w:r w:rsidRPr="00F04D63">
        <w:rPr>
          <w:rFonts w:asciiTheme="minorHAnsi" w:hAnsiTheme="minorHAnsi" w:cs="MyriadPro-BoldSemiCn"/>
          <w:iCs/>
          <w:color w:val="000000"/>
          <w:lang w:val="en-AU"/>
        </w:rPr>
        <w:t xml:space="preserve"> R (1973) Measurement of the apparent dissociation constants of carbonic acid in seawater at atmospheric pressure. </w:t>
      </w:r>
      <w:proofErr w:type="spellStart"/>
      <w:r w:rsidRPr="00F04D63">
        <w:rPr>
          <w:rFonts w:asciiTheme="minorHAnsi" w:hAnsiTheme="minorHAnsi" w:cs="MyriadPro-BoldSemiCn"/>
          <w:iCs/>
          <w:color w:val="000000"/>
          <w:lang w:val="en-AU"/>
        </w:rPr>
        <w:t>Limnol</w:t>
      </w:r>
      <w:proofErr w:type="spellEnd"/>
      <w:r w:rsidRPr="00F04D63">
        <w:rPr>
          <w:rFonts w:asciiTheme="minorHAnsi" w:hAnsiTheme="minorHAnsi" w:cs="MyriadPro-BoldSemiCn"/>
          <w:iCs/>
          <w:color w:val="000000"/>
          <w:lang w:val="en-AU"/>
        </w:rPr>
        <w:t xml:space="preserve"> </w:t>
      </w:r>
      <w:proofErr w:type="spellStart"/>
      <w:r w:rsidRPr="00F04D63">
        <w:rPr>
          <w:rFonts w:asciiTheme="minorHAnsi" w:hAnsiTheme="minorHAnsi" w:cs="MyriadPro-BoldSemiCn"/>
          <w:iCs/>
          <w:color w:val="000000"/>
          <w:lang w:val="en-AU"/>
        </w:rPr>
        <w:t>Oceanogr</w:t>
      </w:r>
      <w:proofErr w:type="spellEnd"/>
      <w:r w:rsidRPr="00F04D63">
        <w:rPr>
          <w:rFonts w:asciiTheme="minorHAnsi" w:hAnsiTheme="minorHAnsi" w:cs="MyriadPro-BoldSemiCn"/>
          <w:iCs/>
          <w:color w:val="000000"/>
          <w:lang w:val="en-AU"/>
        </w:rPr>
        <w:t xml:space="preserve"> 18:897-907</w:t>
      </w:r>
    </w:p>
    <w:p w:rsidR="00F04D63" w:rsidRP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p>
    <w:p w:rsidR="00F04D63" w:rsidRPr="00F04D63" w:rsidRDefault="00F04D63" w:rsidP="00F04D63">
      <w:pPr>
        <w:autoSpaceDE w:val="0"/>
        <w:autoSpaceDN w:val="0"/>
        <w:adjustRightInd w:val="0"/>
        <w:spacing w:after="0" w:line="240" w:lineRule="auto"/>
        <w:rPr>
          <w:rFonts w:asciiTheme="minorHAnsi" w:hAnsiTheme="minorHAnsi" w:cs="MyriadPro-BoldSemiCn"/>
          <w:iCs/>
          <w:color w:val="000000"/>
          <w:lang w:val="en-AU"/>
        </w:rPr>
      </w:pPr>
      <w:r w:rsidRPr="00F04D63">
        <w:rPr>
          <w:rFonts w:asciiTheme="minorHAnsi" w:hAnsiTheme="minorHAnsi" w:cs="MyriadPro-BoldSemiCn"/>
          <w:iCs/>
          <w:color w:val="000000"/>
          <w:lang w:val="en-AU"/>
        </w:rPr>
        <w:t>Pierrot D, Lewis E, Wallace DWR (2006) MS Excel Program Developed for CO</w:t>
      </w:r>
      <w:r w:rsidRPr="00F04D63">
        <w:rPr>
          <w:rFonts w:asciiTheme="minorHAnsi" w:hAnsiTheme="minorHAnsi" w:cs="MyriadPro-BoldSemiCn"/>
          <w:iCs/>
          <w:color w:val="000000"/>
          <w:vertAlign w:val="subscript"/>
          <w:lang w:val="en-AU"/>
        </w:rPr>
        <w:t>2</w:t>
      </w:r>
      <w:r w:rsidRPr="00F04D63">
        <w:rPr>
          <w:rFonts w:asciiTheme="minorHAnsi" w:hAnsiTheme="minorHAnsi" w:cs="MyriadPro-BoldSemiCn"/>
          <w:iCs/>
          <w:color w:val="000000"/>
          <w:lang w:val="en-AU"/>
        </w:rPr>
        <w:t xml:space="preserve"> System Calculations </w:t>
      </w:r>
      <w:r w:rsidRPr="00F04D63">
        <w:rPr>
          <w:rFonts w:asciiTheme="minorHAnsi" w:hAnsiTheme="minorHAnsi" w:cs="MyriadPro-BoldSemiCn"/>
          <w:i/>
          <w:iCs/>
          <w:color w:val="000000"/>
          <w:lang w:val="en-AU"/>
        </w:rPr>
        <w:t>Book MS Excel Program Developed for CO</w:t>
      </w:r>
      <w:r w:rsidRPr="00F04D63">
        <w:rPr>
          <w:rFonts w:asciiTheme="minorHAnsi" w:hAnsiTheme="minorHAnsi" w:cs="MyriadPro-BoldSemiCn"/>
          <w:i/>
          <w:iCs/>
          <w:color w:val="000000"/>
          <w:vertAlign w:val="subscript"/>
          <w:lang w:val="en-AU"/>
        </w:rPr>
        <w:t>2</w:t>
      </w:r>
      <w:r w:rsidRPr="00F04D63">
        <w:rPr>
          <w:rFonts w:asciiTheme="minorHAnsi" w:hAnsiTheme="minorHAnsi" w:cs="MyriadPro-BoldSemiCn"/>
          <w:i/>
          <w:iCs/>
          <w:color w:val="000000"/>
          <w:lang w:val="en-AU"/>
        </w:rPr>
        <w:t xml:space="preserve"> System Calculations</w:t>
      </w:r>
      <w:r w:rsidRPr="00F04D63">
        <w:rPr>
          <w:rFonts w:asciiTheme="minorHAnsi" w:hAnsiTheme="minorHAnsi" w:cs="MyriadPro-BoldSemiCn"/>
          <w:iCs/>
          <w:color w:val="000000"/>
          <w:lang w:val="en-AU"/>
        </w:rPr>
        <w:t xml:space="preserve">. City: Carbon Dioxide Information Analysis </w:t>
      </w:r>
      <w:proofErr w:type="spellStart"/>
      <w:r w:rsidRPr="00F04D63">
        <w:rPr>
          <w:rFonts w:asciiTheme="minorHAnsi" w:hAnsiTheme="minorHAnsi" w:cs="MyriadPro-BoldSemiCn"/>
          <w:iCs/>
          <w:color w:val="000000"/>
          <w:lang w:val="en-AU"/>
        </w:rPr>
        <w:t>Center</w:t>
      </w:r>
      <w:proofErr w:type="spellEnd"/>
      <w:r w:rsidRPr="00F04D63">
        <w:rPr>
          <w:rFonts w:asciiTheme="minorHAnsi" w:hAnsiTheme="minorHAnsi" w:cs="MyriadPro-BoldSemiCn"/>
          <w:iCs/>
          <w:color w:val="000000"/>
          <w:lang w:val="en-AU"/>
        </w:rPr>
        <w:t>, Oak Ridge National Laboratory, U.S. Department of Energy.</w:t>
      </w:r>
    </w:p>
    <w:p w:rsidR="00F04D63" w:rsidRPr="00F04D63" w:rsidRDefault="00F04D63" w:rsidP="00F04D63">
      <w:pPr>
        <w:autoSpaceDE w:val="0"/>
        <w:autoSpaceDN w:val="0"/>
        <w:adjustRightInd w:val="0"/>
        <w:spacing w:after="0" w:line="240" w:lineRule="auto"/>
        <w:rPr>
          <w:rFonts w:asciiTheme="minorHAnsi" w:hAnsiTheme="minorHAnsi" w:cs="MyriadPro-BoldSemiCn"/>
          <w:b/>
          <w:i/>
          <w:iCs/>
          <w:color w:val="000000"/>
        </w:rPr>
      </w:pPr>
      <w:r w:rsidRPr="00F04D63">
        <w:rPr>
          <w:rFonts w:asciiTheme="minorHAnsi" w:hAnsiTheme="minorHAnsi" w:cs="MyriadPro-BoldSemiCn"/>
          <w:b/>
          <w:i/>
          <w:iCs/>
          <w:color w:val="000000"/>
        </w:rPr>
        <w:t xml:space="preserve"> </w:t>
      </w:r>
    </w:p>
    <w:p w:rsidR="00F04D63" w:rsidRPr="00F04D63" w:rsidRDefault="00F04D63" w:rsidP="00CD5C9F">
      <w:pPr>
        <w:autoSpaceDE w:val="0"/>
        <w:autoSpaceDN w:val="0"/>
        <w:adjustRightInd w:val="0"/>
        <w:spacing w:after="0" w:line="240" w:lineRule="auto"/>
        <w:rPr>
          <w:rFonts w:asciiTheme="minorHAnsi" w:hAnsiTheme="minorHAnsi" w:cs="MyriadPro-BoldSemiCn"/>
          <w:iCs/>
          <w:color w:val="000000"/>
        </w:rPr>
      </w:pPr>
    </w:p>
    <w:sectPr w:rsidR="00F04D63" w:rsidRPr="00F04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IX-Regular">
    <w:altName w:val="Cambria"/>
    <w:panose1 w:val="00000000000000000000"/>
    <w:charset w:val="00"/>
    <w:family w:val="roman"/>
    <w:notTrueType/>
    <w:pitch w:val="default"/>
    <w:sig w:usb0="00000003" w:usb1="00000000" w:usb2="00000000" w:usb3="00000000" w:csb0="00000001" w:csb1="00000000"/>
  </w:font>
  <w:font w:name="STIX-Italic">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de2000">
    <w:altName w:val="Malgun Gothic"/>
    <w:panose1 w:val="00000000000000000000"/>
    <w:charset w:val="81"/>
    <w:family w:val="auto"/>
    <w:notTrueType/>
    <w:pitch w:val="default"/>
    <w:sig w:usb0="00000001" w:usb1="09060000" w:usb2="00000010" w:usb3="00000000" w:csb0="00080000" w:csb1="00000000"/>
  </w:font>
  <w:font w:name="MyriadPro-BoldSemiCn">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9F"/>
    <w:rsid w:val="00012A2B"/>
    <w:rsid w:val="00015D0E"/>
    <w:rsid w:val="000550F8"/>
    <w:rsid w:val="0006187A"/>
    <w:rsid w:val="000962E7"/>
    <w:rsid w:val="000A52CB"/>
    <w:rsid w:val="000A6F09"/>
    <w:rsid w:val="000B0438"/>
    <w:rsid w:val="000E0E4C"/>
    <w:rsid w:val="000E393A"/>
    <w:rsid w:val="00104CEC"/>
    <w:rsid w:val="00174653"/>
    <w:rsid w:val="001B2A17"/>
    <w:rsid w:val="001F3C7D"/>
    <w:rsid w:val="00204B0F"/>
    <w:rsid w:val="002165D7"/>
    <w:rsid w:val="00237D06"/>
    <w:rsid w:val="00277D15"/>
    <w:rsid w:val="002D7369"/>
    <w:rsid w:val="002E03EB"/>
    <w:rsid w:val="002F255C"/>
    <w:rsid w:val="00304589"/>
    <w:rsid w:val="00315541"/>
    <w:rsid w:val="00337583"/>
    <w:rsid w:val="00372ADE"/>
    <w:rsid w:val="003D2F97"/>
    <w:rsid w:val="003D70C1"/>
    <w:rsid w:val="003E1489"/>
    <w:rsid w:val="0042161C"/>
    <w:rsid w:val="00474D07"/>
    <w:rsid w:val="004F79DB"/>
    <w:rsid w:val="005572CC"/>
    <w:rsid w:val="00587E9E"/>
    <w:rsid w:val="005A296A"/>
    <w:rsid w:val="005D32D7"/>
    <w:rsid w:val="00603A94"/>
    <w:rsid w:val="00606033"/>
    <w:rsid w:val="00634861"/>
    <w:rsid w:val="00657744"/>
    <w:rsid w:val="00690BA1"/>
    <w:rsid w:val="006A2250"/>
    <w:rsid w:val="006B0485"/>
    <w:rsid w:val="006B4657"/>
    <w:rsid w:val="00722E86"/>
    <w:rsid w:val="00762E01"/>
    <w:rsid w:val="00803AAE"/>
    <w:rsid w:val="0082361F"/>
    <w:rsid w:val="0086302A"/>
    <w:rsid w:val="008749BF"/>
    <w:rsid w:val="0088130B"/>
    <w:rsid w:val="008C2058"/>
    <w:rsid w:val="008D3ED7"/>
    <w:rsid w:val="0092237D"/>
    <w:rsid w:val="00931437"/>
    <w:rsid w:val="00943EDB"/>
    <w:rsid w:val="0095000D"/>
    <w:rsid w:val="00992436"/>
    <w:rsid w:val="009A1095"/>
    <w:rsid w:val="009A2CE8"/>
    <w:rsid w:val="009C460F"/>
    <w:rsid w:val="00A16BEA"/>
    <w:rsid w:val="00A24D0A"/>
    <w:rsid w:val="00A26465"/>
    <w:rsid w:val="00A3613E"/>
    <w:rsid w:val="00A86A45"/>
    <w:rsid w:val="00A933D2"/>
    <w:rsid w:val="00B16D7F"/>
    <w:rsid w:val="00B21D3E"/>
    <w:rsid w:val="00B51896"/>
    <w:rsid w:val="00B76788"/>
    <w:rsid w:val="00B95A0E"/>
    <w:rsid w:val="00BA3088"/>
    <w:rsid w:val="00C12F59"/>
    <w:rsid w:val="00C708A1"/>
    <w:rsid w:val="00C82B2B"/>
    <w:rsid w:val="00CC2397"/>
    <w:rsid w:val="00CC3292"/>
    <w:rsid w:val="00CC75CC"/>
    <w:rsid w:val="00CD5C9F"/>
    <w:rsid w:val="00D00F0C"/>
    <w:rsid w:val="00D3014C"/>
    <w:rsid w:val="00D43D7F"/>
    <w:rsid w:val="00D711DC"/>
    <w:rsid w:val="00D8070B"/>
    <w:rsid w:val="00DA67CA"/>
    <w:rsid w:val="00DD22E3"/>
    <w:rsid w:val="00E4071A"/>
    <w:rsid w:val="00E4222E"/>
    <w:rsid w:val="00E46B56"/>
    <w:rsid w:val="00E77436"/>
    <w:rsid w:val="00EC0F82"/>
    <w:rsid w:val="00EC49F2"/>
    <w:rsid w:val="00EE055B"/>
    <w:rsid w:val="00EE78A0"/>
    <w:rsid w:val="00F04D63"/>
    <w:rsid w:val="00F3385D"/>
    <w:rsid w:val="00FA15C5"/>
    <w:rsid w:val="00FA1F44"/>
    <w:rsid w:val="00FB4495"/>
    <w:rsid w:val="00FC5A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7268"/>
  <w15:chartTrackingRefBased/>
  <w15:docId w15:val="{FC385D55-D58B-4199-91A6-7B175F31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9F"/>
    <w:rPr>
      <w:rFonts w:ascii="Verdana" w:hAnsi="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5C9F"/>
    <w:rPr>
      <w:sz w:val="16"/>
      <w:szCs w:val="16"/>
    </w:rPr>
  </w:style>
  <w:style w:type="paragraph" w:styleId="CommentText">
    <w:name w:val="annotation text"/>
    <w:basedOn w:val="Normal"/>
    <w:link w:val="CommentTextChar"/>
    <w:uiPriority w:val="99"/>
    <w:semiHidden/>
    <w:unhideWhenUsed/>
    <w:rsid w:val="00CD5C9F"/>
    <w:pPr>
      <w:spacing w:line="240" w:lineRule="auto"/>
    </w:pPr>
    <w:rPr>
      <w:sz w:val="20"/>
      <w:szCs w:val="20"/>
    </w:rPr>
  </w:style>
  <w:style w:type="character" w:customStyle="1" w:styleId="CommentTextChar">
    <w:name w:val="Comment Text Char"/>
    <w:basedOn w:val="DefaultParagraphFont"/>
    <w:link w:val="CommentText"/>
    <w:uiPriority w:val="99"/>
    <w:semiHidden/>
    <w:rsid w:val="00CD5C9F"/>
    <w:rPr>
      <w:rFonts w:ascii="Verdana" w:hAnsi="Verdana"/>
      <w:sz w:val="20"/>
      <w:szCs w:val="20"/>
    </w:rPr>
  </w:style>
  <w:style w:type="paragraph" w:styleId="BalloonText">
    <w:name w:val="Balloon Text"/>
    <w:basedOn w:val="Normal"/>
    <w:link w:val="BalloonTextChar"/>
    <w:uiPriority w:val="99"/>
    <w:semiHidden/>
    <w:unhideWhenUsed/>
    <w:rsid w:val="00CD5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Radford</dc:creator>
  <cp:keywords/>
  <dc:description/>
  <cp:lastModifiedBy>Craig Radford</cp:lastModifiedBy>
  <cp:revision>2</cp:revision>
  <dcterms:created xsi:type="dcterms:W3CDTF">2021-02-03T23:10:00Z</dcterms:created>
  <dcterms:modified xsi:type="dcterms:W3CDTF">2021-02-03T23:10:00Z</dcterms:modified>
</cp:coreProperties>
</file>