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A03689" w14:textId="77777777" w:rsidR="007D3FFE" w:rsidRDefault="007D3FFE" w:rsidP="007D3FFE">
      <w:pPr>
        <w:rPr>
          <w:rFonts w:ascii="Arial" w:eastAsia="Arial" w:hAnsi="Arial" w:cs="Arial"/>
          <w:b/>
          <w:sz w:val="22"/>
          <w:szCs w:val="22"/>
        </w:rPr>
      </w:pPr>
      <w:r>
        <w:rPr>
          <w:rFonts w:ascii="Arial" w:eastAsia="Arial" w:hAnsi="Arial" w:cs="Arial"/>
          <w:b/>
          <w:sz w:val="22"/>
          <w:szCs w:val="22"/>
        </w:rPr>
        <w:t>Supplementary methods:</w:t>
      </w:r>
    </w:p>
    <w:p w14:paraId="1558FECA" w14:textId="77777777" w:rsidR="007D3FFE" w:rsidRDefault="007D3FFE" w:rsidP="007D3FFE">
      <w:pPr>
        <w:rPr>
          <w:rFonts w:ascii="Arial" w:eastAsia="Arial" w:hAnsi="Arial" w:cs="Arial"/>
          <w:b/>
          <w:sz w:val="22"/>
          <w:szCs w:val="22"/>
        </w:rPr>
      </w:pPr>
    </w:p>
    <w:p w14:paraId="123336C5" w14:textId="77777777" w:rsidR="007D3FFE" w:rsidRDefault="007D3FFE" w:rsidP="007D3FFE">
      <w:pPr>
        <w:rPr>
          <w:rFonts w:ascii="Arial" w:eastAsia="Arial" w:hAnsi="Arial" w:cs="Arial"/>
          <w:i/>
          <w:sz w:val="22"/>
          <w:szCs w:val="22"/>
          <w:u w:val="single"/>
        </w:rPr>
      </w:pPr>
      <w:r>
        <w:rPr>
          <w:rFonts w:ascii="Arial" w:eastAsia="Arial" w:hAnsi="Arial" w:cs="Arial"/>
          <w:i/>
          <w:sz w:val="22"/>
          <w:szCs w:val="22"/>
          <w:u w:val="single"/>
        </w:rPr>
        <w:t>Moorings</w:t>
      </w:r>
    </w:p>
    <w:p w14:paraId="51C8DD8F" w14:textId="77777777" w:rsidR="007D3FFE" w:rsidRDefault="007D3FFE" w:rsidP="007D3FFE">
      <w:pPr>
        <w:jc w:val="both"/>
        <w:rPr>
          <w:rFonts w:ascii="Arial" w:eastAsia="Arial" w:hAnsi="Arial" w:cs="Arial"/>
          <w:b/>
          <w:sz w:val="22"/>
          <w:szCs w:val="22"/>
          <w:u w:val="single"/>
        </w:rPr>
      </w:pPr>
    </w:p>
    <w:p w14:paraId="21E8A76B" w14:textId="1223CA47" w:rsidR="007D3FFE" w:rsidRDefault="007D3FFE" w:rsidP="007D3FFE">
      <w:pPr>
        <w:jc w:val="both"/>
        <w:rPr>
          <w:rFonts w:ascii="Arial" w:eastAsia="Arial" w:hAnsi="Arial" w:cs="Arial"/>
          <w:sz w:val="22"/>
          <w:szCs w:val="22"/>
        </w:rPr>
      </w:pPr>
      <w:bookmarkStart w:id="0" w:name="_3znysh7" w:colFirst="0" w:colLast="0"/>
      <w:bookmarkEnd w:id="0"/>
      <w:r>
        <w:rPr>
          <w:rFonts w:ascii="Arial" w:eastAsia="Arial" w:hAnsi="Arial" w:cs="Arial"/>
          <w:sz w:val="22"/>
          <w:szCs w:val="22"/>
        </w:rPr>
        <w:t>We use data from oceanographic moorings deployed in 230 m water depth in Kongsfjorden, Svalbard (78</w:t>
      </w:r>
      <w:r>
        <w:rPr>
          <w:rFonts w:ascii="Noto Sans Symbols" w:eastAsia="Noto Sans Symbols" w:hAnsi="Noto Sans Symbols" w:cs="Noto Sans Symbols"/>
          <w:sz w:val="22"/>
          <w:szCs w:val="22"/>
        </w:rPr>
        <w:t>°</w:t>
      </w:r>
      <w:r>
        <w:rPr>
          <w:rFonts w:ascii="Arial" w:eastAsia="Arial" w:hAnsi="Arial" w:cs="Arial"/>
          <w:sz w:val="22"/>
          <w:szCs w:val="22"/>
        </w:rPr>
        <w:t>N 11</w:t>
      </w:r>
      <w:r>
        <w:rPr>
          <w:rFonts w:ascii="Noto Sans Symbols" w:eastAsia="Noto Sans Symbols" w:hAnsi="Noto Sans Symbols" w:cs="Noto Sans Symbols"/>
          <w:sz w:val="22"/>
          <w:szCs w:val="22"/>
        </w:rPr>
        <w:t>°</w:t>
      </w:r>
      <w:r>
        <w:rPr>
          <w:rFonts w:ascii="Arial" w:eastAsia="Arial" w:hAnsi="Arial" w:cs="Arial"/>
          <w:sz w:val="22"/>
          <w:szCs w:val="22"/>
        </w:rPr>
        <w:t>E) in three years (Table S1). We selected years (out of a possible 14 years of data overall) where a) the fluorometry data were reliable (</w:t>
      </w:r>
      <w:proofErr w:type="gramStart"/>
      <w:r>
        <w:rPr>
          <w:rFonts w:ascii="Arial" w:eastAsia="Arial" w:hAnsi="Arial" w:cs="Arial"/>
          <w:sz w:val="22"/>
          <w:szCs w:val="22"/>
        </w:rPr>
        <w:t>i.e.</w:t>
      </w:r>
      <w:proofErr w:type="gramEnd"/>
      <w:r>
        <w:rPr>
          <w:rFonts w:ascii="Arial" w:eastAsia="Arial" w:hAnsi="Arial" w:cs="Arial"/>
          <w:sz w:val="22"/>
          <w:szCs w:val="22"/>
        </w:rPr>
        <w:t xml:space="preserve"> minimal biofouling, and b) where in-situ chlorophyll samples had been taken in the area to allow us to determine the magnitude of the curve. 300 kHz RDI Acoustic Doppler Current Profilers (ADCP) were installed at ~100 m, in an upward-looking orientation. In 2013-14, an additional ADCP was deployed in a downwards orientation. The ADCPs recorded acoustic backscatter at 4 m depth resolution every 20 minutes. The top 10 m of data were removed due to noise caused by side-lobe interference at the air-ocean interface. Acoustic backscatter data were converted to Mean Volume Backscattering Strength (</w:t>
      </w:r>
      <w:proofErr w:type="spellStart"/>
      <w:r>
        <w:rPr>
          <w:rFonts w:ascii="Arial" w:eastAsia="Arial" w:hAnsi="Arial" w:cs="Arial"/>
          <w:sz w:val="22"/>
          <w:szCs w:val="22"/>
        </w:rPr>
        <w:t>S</w:t>
      </w:r>
      <w:r>
        <w:rPr>
          <w:rFonts w:ascii="Arial" w:eastAsia="Arial" w:hAnsi="Arial" w:cs="Arial"/>
          <w:sz w:val="22"/>
          <w:szCs w:val="22"/>
          <w:vertAlign w:val="subscript"/>
        </w:rPr>
        <w:t>v</w:t>
      </w:r>
      <w:proofErr w:type="spellEnd"/>
      <w:r>
        <w:rPr>
          <w:rFonts w:ascii="Arial" w:eastAsia="Arial" w:hAnsi="Arial" w:cs="Arial"/>
          <w:sz w:val="22"/>
          <w:szCs w:val="22"/>
        </w:rPr>
        <w:t xml:space="preserve"> (dB)) using the method presented in </w:t>
      </w:r>
      <w:r w:rsidR="009A349E">
        <w:rPr>
          <w:rFonts w:ascii="Arial" w:eastAsia="Arial" w:hAnsi="Arial" w:cs="Arial"/>
          <w:sz w:val="22"/>
          <w:szCs w:val="22"/>
        </w:rPr>
        <w:fldChar w:fldCharType="begin" w:fldLock="1"/>
      </w:r>
      <w:r w:rsidR="009A349E">
        <w:rPr>
          <w:rFonts w:ascii="Arial" w:eastAsia="Arial" w:hAnsi="Arial" w:cs="Arial"/>
          <w:sz w:val="22"/>
          <w:szCs w:val="22"/>
        </w:rPr>
        <w:instrText>ADDIN CSL_CITATION {"citationItems":[{"id":"ITEM-1","itemData":{"author":[{"dropping-particle":"","family":"Deines","given":"K L","non-dropping-particle":"","parse-names":false,"suffix":""}],"container-title":"Proceedings of the IEEE Sixth Working Conference on Current Measurements","id":"ITEM-1","issued":{"date-parts":[["1999"]]},"page":"249-253","title":"Backscatter estimation using broadband acoustic Doppler current profilers","type":"paper-conference"},"uris":["http://www.mendeley.com/documents/?uuid=9515d66d-02a2-46c9-998c-e923dcdce80c"]}],"mendeley":{"formattedCitation":"(1)","plainTextFormattedCitation":"(1)","previouslyFormattedCitation":"(1)"},"properties":{"noteIndex":0},"schema":"https://github.com/citation-style-language/schema/raw/master/csl-citation.json"}</w:instrText>
      </w:r>
      <w:r w:rsidR="009A349E">
        <w:rPr>
          <w:rFonts w:ascii="Arial" w:eastAsia="Arial" w:hAnsi="Arial" w:cs="Arial"/>
          <w:sz w:val="22"/>
          <w:szCs w:val="22"/>
        </w:rPr>
        <w:fldChar w:fldCharType="separate"/>
      </w:r>
      <w:r w:rsidR="009A349E" w:rsidRPr="009A349E">
        <w:rPr>
          <w:rFonts w:ascii="Arial" w:eastAsia="Arial" w:hAnsi="Arial" w:cs="Arial"/>
          <w:noProof/>
          <w:sz w:val="22"/>
          <w:szCs w:val="22"/>
        </w:rPr>
        <w:t>(1)</w:t>
      </w:r>
      <w:r w:rsidR="009A349E">
        <w:rPr>
          <w:rFonts w:ascii="Arial" w:eastAsia="Arial" w:hAnsi="Arial" w:cs="Arial"/>
          <w:sz w:val="22"/>
          <w:szCs w:val="22"/>
        </w:rPr>
        <w:fldChar w:fldCharType="end"/>
      </w:r>
      <w:r w:rsidR="009A349E">
        <w:rPr>
          <w:rFonts w:ascii="Arial" w:eastAsia="Arial" w:hAnsi="Arial" w:cs="Arial"/>
          <w:sz w:val="22"/>
          <w:szCs w:val="22"/>
        </w:rPr>
        <w:t>d</w:t>
      </w:r>
      <w:r>
        <w:rPr>
          <w:rFonts w:ascii="Arial" w:eastAsia="Arial" w:hAnsi="Arial" w:cs="Arial"/>
          <w:sz w:val="22"/>
          <w:szCs w:val="22"/>
        </w:rPr>
        <w:t xml:space="preserve"> and normalised to the same mean </w:t>
      </w:r>
      <w:proofErr w:type="spellStart"/>
      <w:r>
        <w:rPr>
          <w:rFonts w:ascii="Arial" w:eastAsia="Arial" w:hAnsi="Arial" w:cs="Arial"/>
          <w:sz w:val="22"/>
          <w:szCs w:val="22"/>
        </w:rPr>
        <w:t>S</w:t>
      </w:r>
      <w:r>
        <w:rPr>
          <w:rFonts w:ascii="Arial" w:eastAsia="Arial" w:hAnsi="Arial" w:cs="Arial"/>
          <w:sz w:val="22"/>
          <w:szCs w:val="22"/>
          <w:vertAlign w:val="subscript"/>
        </w:rPr>
        <w:t>v</w:t>
      </w:r>
      <w:proofErr w:type="spellEnd"/>
      <w:r>
        <w:rPr>
          <w:rFonts w:ascii="Arial" w:eastAsia="Arial" w:hAnsi="Arial" w:cs="Arial"/>
          <w:sz w:val="22"/>
          <w:szCs w:val="22"/>
        </w:rPr>
        <w:t xml:space="preserve"> value between years to make data comparable (as per</w:t>
      </w:r>
      <w:r w:rsidR="009A349E">
        <w:rPr>
          <w:rFonts w:ascii="Arial" w:eastAsia="Arial" w:hAnsi="Arial" w:cs="Arial"/>
          <w:sz w:val="22"/>
          <w:szCs w:val="22"/>
        </w:rPr>
        <w:fldChar w:fldCharType="begin" w:fldLock="1"/>
      </w:r>
      <w:r w:rsidR="009A349E">
        <w:rPr>
          <w:rFonts w:ascii="Arial" w:eastAsia="Arial" w:hAnsi="Arial" w:cs="Arial"/>
          <w:sz w:val="22"/>
          <w:szCs w:val="22"/>
        </w:rPr>
        <w:instrText>ADDIN CSL_CITATION {"citationItems":[{"id":"ITEM-1","itemData":{"DOI":"10.4319/lo.2009.55.2.0831","ISBN":"0024-3590","ISSN":"0024-3590","abstract":"We present observations of zooplankton diel vertical migration (DVM) over a period of 2 yr in an ice-free and a seasonally ice-covered Arctic fjord. The contrasting environments permitted assessment of the influences of physical and biological factors on temporal variability in DVM patterns and a test of the hypothesis that a reduction in summer sea ice extent and thickness following climatic warming will lead to changes in DVM via the loss of a shading effect on the pelagic marine environment. Acoustic backscatter and vertical velocity data from moored 300-kHz acoustic Doppler current profilers were used to derive DVM patterns, while measurements of sea ice and snow thickness enabled assessment of the underwater light environment and consideration of its potential to influence DVM. Pronounced differences in DVM between the sites emerged during summertime when intermittent synchronized DVM was observed at the ice-free site, whereas the ice-covered site was characterized by asynchronous behavior, thereby highlighting the influence of sea ice. Notably, the 0.8-m-thick sea ice cover was deemed important for its influence on water column properties such as food, turbidity, and zooplankton species composition, as indicated by biological samples from moored sediment traps, rather than a simple shading of the ocean and direct modification of zooplankton DVM. Loss of Arctic sea ice is likely to have an indirect but substantial effect on zooplankton DVM via modification of hydrography and composition of the pelagic community.","author":[{"dropping-particle":"","family":"Wallace","given":"Margaret I.","non-dropping-particle":"","parse-names":false,"suffix":""},{"dropping-particle":"","family":"Cottier","given":"Finlo R.","non-dropping-particle":"","parse-names":false,"suffix":""},{"dropping-particle":"","family":"Berge","given":"Jørgen","non-dropping-particle":"","parse-names":false,"suffix":""},{"dropping-particle":"","family":"Tarling","given":"Geraint A.","non-dropping-particle":"","parse-names":false,"suffix":""},{"dropping-particle":"","family":"Griffiths","given":"Colin","non-dropping-particle":"","parse-names":false,"suffix":""},{"dropping-particle":"","family":"Brierley","given":"Andrew S.","non-dropping-particle":"","parse-names":false,"suffix":""}],"container-title":"Limnology and Oceanography","id":"ITEM-1","issue":"2","issued":{"date-parts":[["2010"]]},"page":"831-845","title":"Comparison of zooplankton vertical migration in an ice-free and a seasonally ice-covered Arctic fjord: An insight into the influence of sea ice cover on zooplankton behavior","type":"article-journal","volume":"55"},"uris":["http://www.mendeley.com/documents/?uuid=cf8751cd-6ce9-4325-aaa0-f0e38f4fd9e9"]}],"mendeley":{"formattedCitation":"(2)","plainTextFormattedCitation":"(2)","previouslyFormattedCitation":"(2)"},"properties":{"noteIndex":0},"schema":"https://github.com/citation-style-language/schema/raw/master/csl-citation.json"}</w:instrText>
      </w:r>
      <w:r w:rsidR="009A349E">
        <w:rPr>
          <w:rFonts w:ascii="Arial" w:eastAsia="Arial" w:hAnsi="Arial" w:cs="Arial"/>
          <w:sz w:val="22"/>
          <w:szCs w:val="22"/>
        </w:rPr>
        <w:fldChar w:fldCharType="separate"/>
      </w:r>
      <w:r w:rsidR="009A349E" w:rsidRPr="009A349E">
        <w:rPr>
          <w:rFonts w:ascii="Arial" w:eastAsia="Arial" w:hAnsi="Arial" w:cs="Arial"/>
          <w:noProof/>
          <w:sz w:val="22"/>
          <w:szCs w:val="22"/>
        </w:rPr>
        <w:t>(2)</w:t>
      </w:r>
      <w:r w:rsidR="009A349E">
        <w:rPr>
          <w:rFonts w:ascii="Arial" w:eastAsia="Arial" w:hAnsi="Arial" w:cs="Arial"/>
          <w:sz w:val="22"/>
          <w:szCs w:val="22"/>
        </w:rPr>
        <w:fldChar w:fldCharType="end"/>
      </w:r>
      <w:r>
        <w:rPr>
          <w:rFonts w:ascii="Arial" w:eastAsia="Arial" w:hAnsi="Arial" w:cs="Arial"/>
          <w:sz w:val="22"/>
          <w:szCs w:val="22"/>
        </w:rPr>
        <w:t xml:space="preserve">). The depth of the centre of mass of backscatter (CM) was calculated using Equation 1 </w:t>
      </w:r>
      <w:r>
        <w:rPr>
          <w:rFonts w:ascii="Arial" w:eastAsia="Arial" w:hAnsi="Arial" w:cs="Arial"/>
          <w:sz w:val="22"/>
          <w:szCs w:val="22"/>
        </w:rPr>
        <w:fldChar w:fldCharType="begin" w:fldLock="1"/>
      </w:r>
      <w:r w:rsidR="009A349E">
        <w:rPr>
          <w:rFonts w:ascii="Arial" w:eastAsia="Arial" w:hAnsi="Arial" w:cs="Arial"/>
          <w:sz w:val="22"/>
          <w:szCs w:val="22"/>
        </w:rPr>
        <w:instrText>ADDIN CSL_CITATION {"citationItems":[{"id":"ITEM-1","itemData":{"author":[{"dropping-particle":"","family":"Urmy","given":"Samuel S","non-dropping-particle":"","parse-names":false,"suffix":""},{"dropping-particle":"","family":"Horne","given":"John K.","non-dropping-particle":"","parse-names":false,"suffix":""},{"dropping-particle":"","family":"Barbee","given":"David H","non-dropping-particle":"","parse-names":false,"suffix":""}],"container-title":"ICES Journal of Marine Science","id":"ITEM-1","issue":"2","issued":{"date-parts":[["2012"]]},"page":"184-196","title":"Measuring the vertical distributional variability of pelagic fauna in Monterey Bay","type":"article-journal","volume":"69"},"uris":["http://www.mendeley.com/documents/?uuid=c39355a1-5d9a-427f-b331-839c31bcb7d5"]}],"mendeley":{"formattedCitation":"(3)","plainTextFormattedCitation":"(3)","previouslyFormattedCitation":"(3)"},"properties":{"noteIndex":0},"schema":"https://github.com/citation-style-language/schema/raw/master/csl-citation.json"}</w:instrText>
      </w:r>
      <w:r>
        <w:rPr>
          <w:rFonts w:ascii="Arial" w:eastAsia="Arial" w:hAnsi="Arial" w:cs="Arial"/>
          <w:sz w:val="22"/>
          <w:szCs w:val="22"/>
        </w:rPr>
        <w:fldChar w:fldCharType="separate"/>
      </w:r>
      <w:r w:rsidR="009A349E" w:rsidRPr="009A349E">
        <w:rPr>
          <w:rFonts w:ascii="Arial" w:eastAsia="Arial" w:hAnsi="Arial" w:cs="Arial"/>
          <w:noProof/>
          <w:sz w:val="22"/>
          <w:szCs w:val="22"/>
        </w:rPr>
        <w:t>(3)</w:t>
      </w:r>
      <w:r>
        <w:rPr>
          <w:rFonts w:ascii="Arial" w:eastAsia="Arial" w:hAnsi="Arial" w:cs="Arial"/>
          <w:sz w:val="22"/>
          <w:szCs w:val="22"/>
        </w:rPr>
        <w:fldChar w:fldCharType="end"/>
      </w:r>
    </w:p>
    <w:p w14:paraId="756B7FFF" w14:textId="77777777" w:rsidR="007D3FFE" w:rsidRDefault="007D3FFE" w:rsidP="007D3FFE">
      <w:pPr>
        <w:jc w:val="both"/>
        <w:rPr>
          <w:rFonts w:ascii="Arial" w:eastAsia="Arial" w:hAnsi="Arial" w:cs="Arial"/>
          <w:sz w:val="22"/>
          <w:szCs w:val="22"/>
        </w:rPr>
      </w:pPr>
    </w:p>
    <w:p w14:paraId="381A4875" w14:textId="77777777" w:rsidR="007D3FFE" w:rsidRDefault="007D3FFE" w:rsidP="007D3FFE">
      <w:pPr>
        <w:jc w:val="both"/>
        <w:rPr>
          <w:rFonts w:ascii="Arial" w:eastAsia="Arial" w:hAnsi="Arial" w:cs="Arial"/>
          <w:sz w:val="22"/>
          <w:szCs w:val="22"/>
        </w:rPr>
      </w:pPr>
      <m:oMathPara>
        <m:oMath>
          <m:r>
            <w:rPr>
              <w:rFonts w:ascii="Cambria Math" w:eastAsia="Arial" w:hAnsi="Cambria Math" w:cs="Arial"/>
              <w:sz w:val="22"/>
              <w:szCs w:val="22"/>
            </w:rPr>
            <m:t xml:space="preserve">CM= </m:t>
          </m:r>
          <m:f>
            <m:fPr>
              <m:ctrlPr>
                <w:rPr>
                  <w:rFonts w:ascii="Cambria Math" w:eastAsia="Arial" w:hAnsi="Cambria Math" w:cs="Arial"/>
                  <w:i/>
                  <w:sz w:val="22"/>
                  <w:szCs w:val="22"/>
                </w:rPr>
              </m:ctrlPr>
            </m:fPr>
            <m:num>
              <m:nary>
                <m:naryPr>
                  <m:limLoc m:val="undOvr"/>
                  <m:subHide m:val="1"/>
                  <m:supHide m:val="1"/>
                  <m:ctrlPr>
                    <w:rPr>
                      <w:rFonts w:ascii="Cambria Math" w:eastAsia="Arial" w:hAnsi="Cambria Math" w:cs="Arial"/>
                      <w:i/>
                      <w:sz w:val="22"/>
                      <w:szCs w:val="22"/>
                    </w:rPr>
                  </m:ctrlPr>
                </m:naryPr>
                <m:sub/>
                <m:sup/>
                <m:e>
                  <m:r>
                    <w:rPr>
                      <w:rFonts w:ascii="Cambria Math" w:eastAsia="Arial" w:hAnsi="Cambria Math" w:cs="Arial"/>
                      <w:sz w:val="22"/>
                      <w:szCs w:val="22"/>
                    </w:rPr>
                    <m:t>z</m:t>
                  </m:r>
                  <m:sSub>
                    <m:sSubPr>
                      <m:ctrlPr>
                        <w:rPr>
                          <w:rFonts w:ascii="Cambria Math" w:eastAsia="Arial" w:hAnsi="Cambria Math" w:cs="Arial"/>
                          <w:i/>
                          <w:sz w:val="22"/>
                          <w:szCs w:val="22"/>
                        </w:rPr>
                      </m:ctrlPr>
                    </m:sSubPr>
                    <m:e>
                      <m:r>
                        <w:rPr>
                          <w:rFonts w:ascii="Cambria Math" w:eastAsia="Arial" w:hAnsi="Cambria Math" w:cs="Arial"/>
                          <w:sz w:val="22"/>
                          <w:szCs w:val="22"/>
                        </w:rPr>
                        <m:t>s</m:t>
                      </m:r>
                    </m:e>
                    <m:sub>
                      <m:r>
                        <w:rPr>
                          <w:rFonts w:ascii="Cambria Math" w:eastAsia="Arial" w:hAnsi="Cambria Math" w:cs="Arial"/>
                          <w:sz w:val="22"/>
                          <w:szCs w:val="22"/>
                        </w:rPr>
                        <m:t>v</m:t>
                      </m:r>
                    </m:sub>
                  </m:sSub>
                  <m:d>
                    <m:dPr>
                      <m:ctrlPr>
                        <w:rPr>
                          <w:rFonts w:ascii="Cambria Math" w:eastAsia="Arial" w:hAnsi="Cambria Math" w:cs="Arial"/>
                          <w:i/>
                          <w:sz w:val="22"/>
                          <w:szCs w:val="22"/>
                        </w:rPr>
                      </m:ctrlPr>
                    </m:dPr>
                    <m:e>
                      <m:r>
                        <w:rPr>
                          <w:rFonts w:ascii="Cambria Math" w:eastAsia="Arial" w:hAnsi="Cambria Math" w:cs="Arial"/>
                          <w:sz w:val="22"/>
                          <w:szCs w:val="22"/>
                        </w:rPr>
                        <m:t>z</m:t>
                      </m:r>
                    </m:e>
                  </m:d>
                  <m:r>
                    <w:rPr>
                      <w:rFonts w:ascii="Cambria Math" w:eastAsia="Arial" w:hAnsi="Cambria Math" w:cs="Arial"/>
                      <w:sz w:val="22"/>
                      <w:szCs w:val="22"/>
                    </w:rPr>
                    <m:t xml:space="preserve"> dz</m:t>
                  </m:r>
                </m:e>
              </m:nary>
            </m:num>
            <m:den>
              <m:sSub>
                <m:sSubPr>
                  <m:ctrlPr>
                    <w:rPr>
                      <w:rFonts w:ascii="Cambria Math" w:eastAsia="Arial" w:hAnsi="Cambria Math" w:cs="Arial"/>
                      <w:i/>
                      <w:sz w:val="22"/>
                      <w:szCs w:val="22"/>
                    </w:rPr>
                  </m:ctrlPr>
                </m:sSubPr>
                <m:e>
                  <m:r>
                    <w:rPr>
                      <w:rFonts w:ascii="Cambria Math" w:eastAsia="Arial" w:hAnsi="Cambria Math" w:cs="Arial"/>
                      <w:sz w:val="22"/>
                      <w:szCs w:val="22"/>
                    </w:rPr>
                    <m:t>s</m:t>
                  </m:r>
                </m:e>
                <m:sub>
                  <m:r>
                    <w:rPr>
                      <w:rFonts w:ascii="Cambria Math" w:eastAsia="Arial" w:hAnsi="Cambria Math" w:cs="Arial"/>
                      <w:sz w:val="22"/>
                      <w:szCs w:val="22"/>
                    </w:rPr>
                    <m:t>v</m:t>
                  </m:r>
                </m:sub>
              </m:sSub>
              <m:d>
                <m:dPr>
                  <m:ctrlPr>
                    <w:rPr>
                      <w:rFonts w:ascii="Cambria Math" w:eastAsia="Arial" w:hAnsi="Cambria Math" w:cs="Arial"/>
                      <w:i/>
                      <w:sz w:val="22"/>
                      <w:szCs w:val="22"/>
                    </w:rPr>
                  </m:ctrlPr>
                </m:dPr>
                <m:e>
                  <m:r>
                    <w:rPr>
                      <w:rFonts w:ascii="Cambria Math" w:eastAsia="Arial" w:hAnsi="Cambria Math" w:cs="Arial"/>
                      <w:sz w:val="22"/>
                      <w:szCs w:val="22"/>
                    </w:rPr>
                    <m:t>z</m:t>
                  </m:r>
                </m:e>
              </m:d>
              <m:r>
                <w:rPr>
                  <w:rFonts w:ascii="Cambria Math" w:eastAsia="Arial" w:hAnsi="Cambria Math" w:cs="Arial"/>
                  <w:sz w:val="22"/>
                  <w:szCs w:val="22"/>
                </w:rPr>
                <m:t>dz</m:t>
              </m:r>
            </m:den>
          </m:f>
        </m:oMath>
      </m:oMathPara>
    </w:p>
    <w:p w14:paraId="635A7CDB" w14:textId="77777777" w:rsidR="007D3FFE" w:rsidRDefault="007D3FFE" w:rsidP="007D3FFE">
      <w:pPr>
        <w:jc w:val="both"/>
        <w:rPr>
          <w:rFonts w:ascii="Arial" w:eastAsia="Arial" w:hAnsi="Arial" w:cs="Arial"/>
          <w:sz w:val="22"/>
          <w:szCs w:val="22"/>
        </w:rPr>
      </w:pPr>
    </w:p>
    <w:p w14:paraId="2174BAEC" w14:textId="3BA12EB9" w:rsidR="007D3FFE" w:rsidRDefault="007D3FFE" w:rsidP="007D3FFE">
      <w:pPr>
        <w:jc w:val="both"/>
        <w:rPr>
          <w:rFonts w:ascii="Arial" w:eastAsia="Arial" w:hAnsi="Arial" w:cs="Arial"/>
          <w:sz w:val="22"/>
          <w:szCs w:val="22"/>
        </w:rPr>
      </w:pPr>
      <w:r>
        <w:rPr>
          <w:rFonts w:ascii="Arial" w:eastAsia="Arial" w:hAnsi="Arial" w:cs="Arial"/>
          <w:sz w:val="22"/>
          <w:szCs w:val="22"/>
        </w:rPr>
        <w:t xml:space="preserve">Where CM is the resulting centre of mass in metres, z is the depth in metres, and </w:t>
      </w:r>
      <w:proofErr w:type="spellStart"/>
      <w:r>
        <w:rPr>
          <w:rFonts w:ascii="Arial" w:eastAsia="Arial" w:hAnsi="Arial" w:cs="Arial"/>
          <w:sz w:val="22"/>
          <w:szCs w:val="22"/>
        </w:rPr>
        <w:t>sv</w:t>
      </w:r>
      <w:proofErr w:type="spellEnd"/>
      <w:r>
        <w:rPr>
          <w:rFonts w:ascii="Arial" w:eastAsia="Arial" w:hAnsi="Arial" w:cs="Arial"/>
          <w:sz w:val="22"/>
          <w:szCs w:val="22"/>
        </w:rPr>
        <w:t xml:space="preserve">(z) is the volume backscattering at depth z. Note that all CM calculations were performed using linear units denoted by </w:t>
      </w:r>
      <w:proofErr w:type="spellStart"/>
      <w:r>
        <w:rPr>
          <w:rFonts w:ascii="Arial" w:eastAsia="Arial" w:hAnsi="Arial" w:cs="Arial"/>
          <w:sz w:val="22"/>
          <w:szCs w:val="22"/>
        </w:rPr>
        <w:t>s</w:t>
      </w:r>
      <w:r w:rsidRPr="00054455">
        <w:rPr>
          <w:rFonts w:ascii="Arial" w:eastAsia="Arial" w:hAnsi="Arial" w:cs="Arial"/>
          <w:sz w:val="22"/>
          <w:szCs w:val="22"/>
          <w:vertAlign w:val="subscript"/>
        </w:rPr>
        <w:t>v</w:t>
      </w:r>
      <w:proofErr w:type="spellEnd"/>
      <w:r>
        <w:rPr>
          <w:rFonts w:ascii="Arial" w:eastAsia="Arial" w:hAnsi="Arial" w:cs="Arial"/>
          <w:sz w:val="22"/>
          <w:szCs w:val="22"/>
        </w:rPr>
        <w:t xml:space="preserve"> (in comparison to units presented in figures, </w:t>
      </w:r>
      <w:proofErr w:type="spellStart"/>
      <w:r>
        <w:rPr>
          <w:rFonts w:ascii="Arial" w:eastAsia="Arial" w:hAnsi="Arial" w:cs="Arial"/>
          <w:sz w:val="22"/>
          <w:szCs w:val="22"/>
        </w:rPr>
        <w:t>S</w:t>
      </w:r>
      <w:r w:rsidRPr="00054455">
        <w:rPr>
          <w:rFonts w:ascii="Arial" w:eastAsia="Arial" w:hAnsi="Arial" w:cs="Arial"/>
          <w:sz w:val="22"/>
          <w:szCs w:val="22"/>
          <w:vertAlign w:val="subscript"/>
        </w:rPr>
        <w:t>v</w:t>
      </w:r>
      <w:proofErr w:type="spellEnd"/>
      <w:r>
        <w:rPr>
          <w:rFonts w:ascii="Arial" w:eastAsia="Arial" w:hAnsi="Arial" w:cs="Arial"/>
          <w:sz w:val="22"/>
          <w:szCs w:val="22"/>
        </w:rPr>
        <w:t>, where (</w:t>
      </w:r>
      <m:oMath>
        <m:sSub>
          <m:sSubPr>
            <m:ctrlPr>
              <w:rPr>
                <w:rFonts w:ascii="Cambria Math" w:eastAsia="Arial" w:hAnsi="Cambria Math" w:cs="Arial"/>
                <w:i/>
                <w:sz w:val="22"/>
                <w:szCs w:val="22"/>
              </w:rPr>
            </m:ctrlPr>
          </m:sSubPr>
          <m:e>
            <m:r>
              <w:rPr>
                <w:rFonts w:ascii="Cambria Math" w:eastAsia="Arial" w:hAnsi="Cambria Math" w:cs="Arial"/>
                <w:sz w:val="22"/>
                <w:szCs w:val="22"/>
              </w:rPr>
              <m:t>S</m:t>
            </m:r>
          </m:e>
          <m:sub>
            <m:r>
              <w:rPr>
                <w:rFonts w:ascii="Cambria Math" w:eastAsia="Arial" w:hAnsi="Cambria Math" w:cs="Arial"/>
                <w:sz w:val="22"/>
                <w:szCs w:val="22"/>
              </w:rPr>
              <m:t>v</m:t>
            </m:r>
          </m:sub>
        </m:sSub>
        <m:r>
          <w:rPr>
            <w:rFonts w:ascii="Cambria Math" w:eastAsia="Arial" w:hAnsi="Cambria Math" w:cs="Arial"/>
            <w:sz w:val="22"/>
            <w:szCs w:val="22"/>
          </w:rPr>
          <m:t xml:space="preserve">=10 </m:t>
        </m:r>
        <m:sSub>
          <m:sSubPr>
            <m:ctrlPr>
              <w:rPr>
                <w:rFonts w:ascii="Cambria Math" w:eastAsia="Arial" w:hAnsi="Cambria Math" w:cs="Arial"/>
                <w:i/>
                <w:sz w:val="22"/>
                <w:szCs w:val="22"/>
              </w:rPr>
            </m:ctrlPr>
          </m:sSubPr>
          <m:e>
            <m:r>
              <w:rPr>
                <w:rFonts w:ascii="Cambria Math" w:eastAsia="Arial" w:hAnsi="Cambria Math" w:cs="Arial"/>
                <w:sz w:val="22"/>
                <w:szCs w:val="22"/>
              </w:rPr>
              <m:t>log</m:t>
            </m:r>
          </m:e>
          <m:sub>
            <m:r>
              <w:rPr>
                <w:rFonts w:ascii="Cambria Math" w:eastAsia="Arial" w:hAnsi="Cambria Math" w:cs="Arial"/>
                <w:sz w:val="22"/>
                <w:szCs w:val="22"/>
              </w:rPr>
              <m:t>10</m:t>
            </m:r>
          </m:sub>
        </m:sSub>
        <m:r>
          <w:rPr>
            <w:rFonts w:ascii="Cambria Math" w:eastAsia="Arial" w:hAnsi="Cambria Math" w:cs="Arial"/>
            <w:sz w:val="22"/>
            <w:szCs w:val="22"/>
          </w:rPr>
          <m:t>(</m:t>
        </m:r>
        <m:sSub>
          <m:sSubPr>
            <m:ctrlPr>
              <w:rPr>
                <w:rFonts w:ascii="Cambria Math" w:eastAsia="Arial" w:hAnsi="Cambria Math" w:cs="Arial"/>
                <w:i/>
                <w:sz w:val="22"/>
                <w:szCs w:val="22"/>
              </w:rPr>
            </m:ctrlPr>
          </m:sSubPr>
          <m:e>
            <m:r>
              <w:rPr>
                <w:rFonts w:ascii="Cambria Math" w:eastAsia="Arial" w:hAnsi="Cambria Math" w:cs="Arial"/>
                <w:sz w:val="22"/>
                <w:szCs w:val="22"/>
              </w:rPr>
              <m:t>s</m:t>
            </m:r>
          </m:e>
          <m:sub>
            <m:r>
              <w:rPr>
                <w:rFonts w:ascii="Cambria Math" w:eastAsia="Arial" w:hAnsi="Cambria Math" w:cs="Arial"/>
                <w:sz w:val="22"/>
                <w:szCs w:val="22"/>
              </w:rPr>
              <m:t>v</m:t>
            </m:r>
          </m:sub>
        </m:sSub>
        <m:r>
          <w:rPr>
            <w:rFonts w:ascii="Cambria Math" w:eastAsia="Arial" w:hAnsi="Cambria Math" w:cs="Arial"/>
            <w:sz w:val="22"/>
            <w:szCs w:val="22"/>
          </w:rPr>
          <m:t>)</m:t>
        </m:r>
      </m:oMath>
      <w:r>
        <w:rPr>
          <w:rFonts w:ascii="Arial" w:eastAsia="Arial" w:hAnsi="Arial" w:cs="Arial"/>
          <w:sz w:val="22"/>
          <w:szCs w:val="22"/>
        </w:rPr>
        <w:t xml:space="preserve">)). </w:t>
      </w:r>
    </w:p>
    <w:p w14:paraId="1633AFA7" w14:textId="77777777" w:rsidR="007D3FFE" w:rsidRDefault="007D3FFE" w:rsidP="007D3FFE">
      <w:pPr>
        <w:jc w:val="both"/>
        <w:rPr>
          <w:rFonts w:ascii="Arial" w:eastAsia="Arial" w:hAnsi="Arial" w:cs="Arial"/>
          <w:sz w:val="22"/>
          <w:szCs w:val="22"/>
        </w:rPr>
      </w:pPr>
    </w:p>
    <w:p w14:paraId="57E64AD2" w14:textId="77777777" w:rsidR="007D3FFE" w:rsidRDefault="007D3FFE" w:rsidP="007D3FFE">
      <w:pPr>
        <w:jc w:val="both"/>
        <w:rPr>
          <w:rFonts w:ascii="Arial" w:eastAsia="Arial" w:hAnsi="Arial" w:cs="Arial"/>
          <w:sz w:val="22"/>
          <w:szCs w:val="22"/>
        </w:rPr>
      </w:pPr>
      <w:r>
        <w:rPr>
          <w:rFonts w:ascii="Arial" w:eastAsia="Arial" w:hAnsi="Arial" w:cs="Arial"/>
          <w:sz w:val="22"/>
          <w:szCs w:val="22"/>
        </w:rPr>
        <w:t xml:space="preserve"> A fluorometer was installed as an auxiliary unit on a Seabird 16+ CTD, deployed on the mooring at 24-38 m (Table S1). Data were smoothed using a three-day Butterworth filter, and scaled using in-situ chlorophyll samples collected in the area as per Table 1, since no </w:t>
      </w:r>
      <w:r>
        <w:rPr>
          <w:rFonts w:ascii="Arial" w:eastAsia="Arial" w:hAnsi="Arial" w:cs="Arial"/>
          <w:i/>
          <w:sz w:val="22"/>
          <w:szCs w:val="22"/>
        </w:rPr>
        <w:t>in situ</w:t>
      </w:r>
      <w:r>
        <w:rPr>
          <w:rFonts w:ascii="Arial" w:eastAsia="Arial" w:hAnsi="Arial" w:cs="Arial"/>
          <w:sz w:val="22"/>
          <w:szCs w:val="22"/>
        </w:rPr>
        <w:t xml:space="preserve"> calibrations were conducted for the fluorometer sensors. We varied the magnitude of the chlorophyll time series by </w:t>
      </w:r>
      <w:r w:rsidRPr="00E67190">
        <w:rPr>
          <w:rFonts w:ascii="Arial" w:eastAsia="Arial" w:hAnsi="Arial" w:cs="Arial"/>
          <w:sz w:val="22"/>
          <w:szCs w:val="22"/>
        </w:rPr>
        <w:t>±</w:t>
      </w:r>
      <w:r>
        <w:rPr>
          <w:rFonts w:ascii="Arial" w:eastAsia="Arial" w:hAnsi="Arial" w:cs="Arial"/>
          <w:sz w:val="22"/>
          <w:szCs w:val="22"/>
        </w:rPr>
        <w:t xml:space="preserve">50% to investigate sensitivity on the depth of the isolume (Figure S2). </w:t>
      </w:r>
    </w:p>
    <w:p w14:paraId="38D13A20" w14:textId="77777777" w:rsidR="007D3FFE" w:rsidRDefault="007D3FFE" w:rsidP="007D3FFE">
      <w:pPr>
        <w:jc w:val="both"/>
        <w:rPr>
          <w:rFonts w:ascii="Arial" w:eastAsia="Arial" w:hAnsi="Arial" w:cs="Arial"/>
          <w:sz w:val="22"/>
          <w:szCs w:val="22"/>
        </w:rPr>
      </w:pPr>
      <w:bookmarkStart w:id="1" w:name="_2et92p0" w:colFirst="0" w:colLast="0"/>
      <w:bookmarkEnd w:id="1"/>
    </w:p>
    <w:p w14:paraId="4DAF9D50" w14:textId="77777777" w:rsidR="007D3FFE" w:rsidRDefault="007D3FFE" w:rsidP="007D3FFE">
      <w:pPr>
        <w:jc w:val="both"/>
        <w:rPr>
          <w:rFonts w:ascii="Arial" w:eastAsia="Arial" w:hAnsi="Arial" w:cs="Arial"/>
          <w:i/>
          <w:sz w:val="22"/>
          <w:szCs w:val="22"/>
          <w:u w:val="single"/>
        </w:rPr>
      </w:pPr>
      <w:bookmarkStart w:id="2" w:name="_tyjcwt" w:colFirst="0" w:colLast="0"/>
      <w:bookmarkEnd w:id="2"/>
      <w:r>
        <w:rPr>
          <w:rFonts w:ascii="Arial" w:eastAsia="Arial" w:hAnsi="Arial" w:cs="Arial"/>
          <w:i/>
          <w:sz w:val="22"/>
          <w:szCs w:val="22"/>
          <w:u w:val="single"/>
        </w:rPr>
        <w:t>Underwater light calculations</w:t>
      </w:r>
    </w:p>
    <w:p w14:paraId="6532EF09" w14:textId="77777777" w:rsidR="007D3FFE" w:rsidRDefault="007D3FFE" w:rsidP="007D3FFE">
      <w:pPr>
        <w:jc w:val="both"/>
        <w:rPr>
          <w:rFonts w:ascii="Arial" w:eastAsia="Arial" w:hAnsi="Arial" w:cs="Arial"/>
          <w:sz w:val="22"/>
          <w:szCs w:val="22"/>
          <w:u w:val="single"/>
        </w:rPr>
      </w:pPr>
    </w:p>
    <w:p w14:paraId="6E091877" w14:textId="1D7F8713" w:rsidR="007D3FFE" w:rsidRDefault="007D3FFE" w:rsidP="007D3FFE">
      <w:pPr>
        <w:jc w:val="both"/>
        <w:rPr>
          <w:rFonts w:ascii="Arial" w:eastAsia="Arial" w:hAnsi="Arial" w:cs="Arial"/>
          <w:sz w:val="22"/>
          <w:szCs w:val="22"/>
        </w:rPr>
      </w:pPr>
      <w:r>
        <w:rPr>
          <w:rFonts w:ascii="Arial" w:eastAsia="Arial" w:hAnsi="Arial" w:cs="Arial"/>
          <w:sz w:val="22"/>
          <w:szCs w:val="22"/>
        </w:rPr>
        <w:t>Atmospheric irradiance (</w:t>
      </w:r>
      <m:oMath>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E</m:t>
            </m:r>
          </m:e>
          <m:sub>
            <m:r>
              <w:rPr>
                <w:rFonts w:ascii="Cambria Math" w:eastAsia="Cambria Math" w:hAnsi="Cambria Math" w:cs="Cambria Math"/>
                <w:sz w:val="22"/>
                <w:szCs w:val="22"/>
              </w:rPr>
              <m:t>PAR</m:t>
            </m:r>
          </m:sub>
        </m:sSub>
      </m:oMath>
      <w:r>
        <w:rPr>
          <w:rFonts w:ascii="Arial" w:eastAsia="Arial" w:hAnsi="Arial" w:cs="Arial"/>
          <w:sz w:val="22"/>
          <w:szCs w:val="22"/>
        </w:rPr>
        <w:t xml:space="preserve">) was modelled from a multi-year </w:t>
      </w:r>
      <m:oMath>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E</m:t>
            </m:r>
          </m:e>
          <m:sub>
            <m:r>
              <w:rPr>
                <w:rFonts w:ascii="Cambria Math" w:eastAsia="Cambria Math" w:hAnsi="Cambria Math" w:cs="Cambria Math"/>
                <w:sz w:val="22"/>
                <w:szCs w:val="22"/>
              </w:rPr>
              <m:t>PAR</m:t>
            </m:r>
          </m:sub>
        </m:sSub>
      </m:oMath>
      <w:r>
        <w:rPr>
          <w:rFonts w:ascii="Arial" w:eastAsia="Arial" w:hAnsi="Arial" w:cs="Arial"/>
          <w:sz w:val="22"/>
          <w:szCs w:val="22"/>
        </w:rPr>
        <w:t xml:space="preserve"> time series collected at Kongsfjorden (Ny-</w:t>
      </w:r>
      <w:proofErr w:type="spellStart"/>
      <w:r>
        <w:rPr>
          <w:rFonts w:ascii="Arial" w:eastAsia="Arial" w:hAnsi="Arial" w:cs="Arial"/>
          <w:sz w:val="22"/>
          <w:szCs w:val="22"/>
        </w:rPr>
        <w:t>Ålesund</w:t>
      </w:r>
      <w:proofErr w:type="spellEnd"/>
      <w:r>
        <w:rPr>
          <w:rFonts w:ascii="Arial" w:eastAsia="Arial" w:hAnsi="Arial" w:cs="Arial"/>
          <w:sz w:val="22"/>
          <w:szCs w:val="22"/>
        </w:rPr>
        <w:t xml:space="preserve">, Svalbard) </w:t>
      </w:r>
      <w:r w:rsidR="009A349E">
        <w:rPr>
          <w:rFonts w:ascii="Arial" w:eastAsia="Arial" w:hAnsi="Arial" w:cs="Arial"/>
          <w:sz w:val="22"/>
          <w:szCs w:val="22"/>
        </w:rPr>
        <w:fldChar w:fldCharType="begin" w:fldLock="1"/>
      </w:r>
      <w:r w:rsidR="009A349E">
        <w:rPr>
          <w:rFonts w:ascii="Arial" w:eastAsia="Arial" w:hAnsi="Arial" w:cs="Arial"/>
          <w:sz w:val="22"/>
          <w:szCs w:val="22"/>
        </w:rPr>
        <w:instrText>ADDIN CSL_CITATION {"citationItems":[{"id":"ITEM-1","itemData":{"author":[{"dropping-particle":"","family":"Cohen","given":"Jonathan H.","non-dropping-particle":"","parse-names":false,"suffix":""},{"dropping-particle":"","family":"Berge","given":"Jørgen","non-dropping-particle":"","parse-names":false,"suffix":""},{"dropping-particle":"","family":"Moline","given":"Mark A.","non-dropping-particle":"","parse-names":false,"suffix":""},{"dropping-particle":"","family":"Johnsen","given":"Geir H","non-dropping-particle":"","parse-names":false,"suffix":""},{"dropping-particle":"","family":"Zolich","given":"Artur P","non-dropping-particle":"","parse-names":false,"suffix":""}],"chapter-number":"3","container-title":"Polar Night Marine Ecology","id":"ITEM-1","issued":{"date-parts":[["2020"]]},"page":"37-67","publisher":"Springer","title":"Light in the Polar Night","type":"chapter"},"uris":["http://www.mendeley.com/documents/?uuid=f09eedfe-3685-4746-91d7-32effd65d404"]},{"id":"ITEM-2","itemData":{"ISBN":"978-82-326-3507-8","ISSN":"1503-8181","abstract":"digital fulltext not avialable","author":[{"dropping-particle":"","family":"Zolich","given":"Artur","non-dropping-particle":"","parse-names":false,"suffix":""}],"id":"ITEM-2","issued":{"date-parts":[["2018"]]},"publisher":"NTNU","title":"Systems Integration and Communication in Autonomous Unmanned Vehicles in Marine Environments","type":"thesis"},"uris":["http://www.mendeley.com/documents/?uuid=cf3ed690-1a57-3709-a7aa-bfa32b65e565"]}],"mendeley":{"formattedCitation":"(4,5)","plainTextFormattedCitation":"(4,5)","previouslyFormattedCitation":"(4,5)"},"properties":{"noteIndex":0},"schema":"https://github.com/citation-style-language/schema/raw/master/csl-citation.json"}</w:instrText>
      </w:r>
      <w:r w:rsidR="009A349E">
        <w:rPr>
          <w:rFonts w:ascii="Arial" w:eastAsia="Arial" w:hAnsi="Arial" w:cs="Arial"/>
          <w:sz w:val="22"/>
          <w:szCs w:val="22"/>
        </w:rPr>
        <w:fldChar w:fldCharType="separate"/>
      </w:r>
      <w:r w:rsidR="009A349E" w:rsidRPr="009A349E">
        <w:rPr>
          <w:rFonts w:ascii="Arial" w:eastAsia="Arial" w:hAnsi="Arial" w:cs="Arial"/>
          <w:noProof/>
          <w:sz w:val="22"/>
          <w:szCs w:val="22"/>
        </w:rPr>
        <w:t>(4,5)</w:t>
      </w:r>
      <w:r w:rsidR="009A349E">
        <w:rPr>
          <w:rFonts w:ascii="Arial" w:eastAsia="Arial" w:hAnsi="Arial" w:cs="Arial"/>
          <w:sz w:val="22"/>
          <w:szCs w:val="22"/>
        </w:rPr>
        <w:fldChar w:fldCharType="end"/>
      </w:r>
      <w:r>
        <w:rPr>
          <w:rFonts w:ascii="Arial" w:eastAsia="Arial" w:hAnsi="Arial" w:cs="Arial"/>
          <w:sz w:val="22"/>
          <w:szCs w:val="22"/>
        </w:rPr>
        <w:t xml:space="preserve"> and solar altitude using Equation 1.</w:t>
      </w:r>
    </w:p>
    <w:p w14:paraId="6DFC7228" w14:textId="77777777" w:rsidR="007D3FFE" w:rsidRDefault="007D3FFE" w:rsidP="00054455">
      <w:pPr>
        <w:numPr>
          <w:ilvl w:val="0"/>
          <w:numId w:val="1"/>
        </w:numPr>
        <w:jc w:val="both"/>
        <w:rPr>
          <w:rFonts w:ascii="Arial" w:eastAsia="Arial" w:hAnsi="Arial" w:cs="Arial"/>
          <w:sz w:val="22"/>
          <w:szCs w:val="22"/>
        </w:rPr>
      </w:pPr>
      <m:oMath>
        <m:r>
          <w:rPr>
            <w:rFonts w:ascii="Cambria Math" w:eastAsia="Cambria Math" w:hAnsi="Cambria Math" w:cs="Cambria Math"/>
            <w:sz w:val="22"/>
            <w:szCs w:val="22"/>
          </w:rPr>
          <m:t xml:space="preserve">  </m:t>
        </m:r>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E</m:t>
            </m:r>
          </m:e>
          <m:sub>
            <m:r>
              <w:rPr>
                <w:rFonts w:ascii="Cambria Math" w:eastAsia="Cambria Math" w:hAnsi="Cambria Math" w:cs="Cambria Math"/>
                <w:sz w:val="22"/>
                <w:szCs w:val="22"/>
              </w:rPr>
              <m:t>PAR</m:t>
            </m:r>
          </m:sub>
        </m:sSub>
        <m:r>
          <w:rPr>
            <w:rFonts w:ascii="Cambria Math" w:eastAsia="Cambria Math" w:hAnsi="Cambria Math" w:cs="Cambria Math"/>
            <w:sz w:val="22"/>
            <w:szCs w:val="22"/>
          </w:rPr>
          <m:t xml:space="preserve">= </m:t>
        </m:r>
        <m:sSup>
          <m:sSupPr>
            <m:ctrlPr>
              <w:rPr>
                <w:rFonts w:ascii="Cambria Math" w:eastAsia="Cambria Math" w:hAnsi="Cambria Math" w:cs="Cambria Math"/>
                <w:sz w:val="22"/>
                <w:szCs w:val="22"/>
              </w:rPr>
            </m:ctrlPr>
          </m:sSupPr>
          <m:e>
            <m:r>
              <w:rPr>
                <w:rFonts w:ascii="Cambria Math" w:eastAsia="Cambria Math" w:hAnsi="Cambria Math" w:cs="Cambria Math"/>
                <w:sz w:val="22"/>
                <w:szCs w:val="22"/>
              </w:rPr>
              <m:t xml:space="preserve">10   </m:t>
            </m:r>
          </m:e>
          <m:sup>
            <m:f>
              <m:fPr>
                <m:ctrlPr>
                  <w:rPr>
                    <w:rFonts w:ascii="Cambria Math" w:eastAsia="Cambria Math" w:hAnsi="Cambria Math" w:cs="Cambria Math"/>
                    <w:sz w:val="28"/>
                    <w:szCs w:val="28"/>
                  </w:rPr>
                </m:ctrlPr>
              </m:fPr>
              <m:num>
                <m:d>
                  <m:dPr>
                    <m:ctrlPr>
                      <w:rPr>
                        <w:rFonts w:ascii="Cambria Math" w:eastAsia="Cambria Math" w:hAnsi="Cambria Math" w:cs="Cambria Math"/>
                        <w:sz w:val="28"/>
                        <w:szCs w:val="28"/>
                      </w:rPr>
                    </m:ctrlPr>
                  </m:dPr>
                  <m:e>
                    <m:r>
                      <w:rPr>
                        <w:rFonts w:ascii="Cambria Math" w:eastAsia="Cambria Math" w:hAnsi="Cambria Math" w:cs="Cambria Math"/>
                        <w:sz w:val="28"/>
                        <w:szCs w:val="28"/>
                      </w:rPr>
                      <m:t>y0+a0</m:t>
                    </m:r>
                  </m:e>
                </m:d>
              </m:num>
              <m:den>
                <m:r>
                  <w:rPr>
                    <w:rFonts w:ascii="Cambria Math" w:eastAsia="Cambria Math" w:hAnsi="Cambria Math" w:cs="Cambria Math"/>
                    <w:sz w:val="28"/>
                    <w:szCs w:val="28"/>
                  </w:rPr>
                  <m:t>1+</m:t>
                </m:r>
                <m:sSup>
                  <m:sSupPr>
                    <m:ctrlPr>
                      <w:rPr>
                        <w:rFonts w:ascii="Cambria Math" w:eastAsia="Cambria Math" w:hAnsi="Cambria Math" w:cs="Cambria Math"/>
                        <w:sz w:val="28"/>
                        <w:szCs w:val="28"/>
                      </w:rPr>
                    </m:ctrlPr>
                  </m:sSupPr>
                  <m:e>
                    <m:r>
                      <w:rPr>
                        <w:rFonts w:ascii="Cambria Math" w:eastAsia="Cambria Math" w:hAnsi="Cambria Math" w:cs="Cambria Math"/>
                        <w:sz w:val="28"/>
                        <w:szCs w:val="28"/>
                      </w:rPr>
                      <m:t>e</m:t>
                    </m:r>
                  </m:e>
                  <m:sup>
                    <m:r>
                      <w:rPr>
                        <w:rFonts w:ascii="Cambria Math" w:eastAsia="Cambria Math" w:hAnsi="Cambria Math" w:cs="Cambria Math"/>
                        <w:sz w:val="28"/>
                        <w:szCs w:val="28"/>
                      </w:rPr>
                      <m:t>-((S-E10)/b0)</m:t>
                    </m:r>
                  </m:sup>
                </m:sSup>
              </m:den>
            </m:f>
          </m:sup>
        </m:sSup>
      </m:oMath>
      <w:r>
        <w:rPr>
          <w:rFonts w:ascii="Arial" w:eastAsia="Arial" w:hAnsi="Arial" w:cs="Arial"/>
          <w:sz w:val="22"/>
          <w:szCs w:val="22"/>
        </w:rPr>
        <w:t xml:space="preserve">    </w:t>
      </w:r>
    </w:p>
    <w:p w14:paraId="08B45C26" w14:textId="77777777" w:rsidR="007D3FFE" w:rsidRDefault="007D3FFE" w:rsidP="007D3FFE">
      <w:pPr>
        <w:jc w:val="both"/>
        <w:rPr>
          <w:rFonts w:ascii="Arial" w:eastAsia="Arial" w:hAnsi="Arial" w:cs="Arial"/>
          <w:sz w:val="22"/>
          <w:szCs w:val="22"/>
        </w:rPr>
      </w:pPr>
    </w:p>
    <w:p w14:paraId="0A3FDBC6" w14:textId="77777777" w:rsidR="007D3FFE" w:rsidRDefault="007D3FFE" w:rsidP="007D3FFE">
      <w:pPr>
        <w:jc w:val="both"/>
        <w:rPr>
          <w:rFonts w:ascii="Arial" w:eastAsia="Arial" w:hAnsi="Arial" w:cs="Arial"/>
          <w:sz w:val="22"/>
          <w:szCs w:val="22"/>
        </w:rPr>
      </w:pPr>
      <w:r>
        <w:rPr>
          <w:rFonts w:ascii="Arial" w:eastAsia="Arial" w:hAnsi="Arial" w:cs="Arial"/>
          <w:sz w:val="22"/>
          <w:szCs w:val="22"/>
        </w:rPr>
        <w:t xml:space="preserve">Where y0, a0, E10, and b0 are constants with the values of -5.5882, 7.3168, -4.9378, and 3.2856 respectively. S is the solar elevation in degrees (calculated using the </w:t>
      </w:r>
      <w:proofErr w:type="spellStart"/>
      <w:r>
        <w:rPr>
          <w:rFonts w:ascii="Arial" w:eastAsia="Arial" w:hAnsi="Arial" w:cs="Arial"/>
          <w:sz w:val="22"/>
          <w:szCs w:val="22"/>
        </w:rPr>
        <w:t>Matlab</w:t>
      </w:r>
      <w:proofErr w:type="spellEnd"/>
      <w:r>
        <w:rPr>
          <w:rFonts w:ascii="Arial" w:eastAsia="Arial" w:hAnsi="Arial" w:cs="Arial"/>
          <w:sz w:val="22"/>
          <w:szCs w:val="22"/>
        </w:rPr>
        <w:t xml:space="preserve"> package </w:t>
      </w:r>
      <w:proofErr w:type="spellStart"/>
      <w:r>
        <w:rPr>
          <w:rFonts w:ascii="Arial" w:eastAsia="Arial" w:hAnsi="Arial" w:cs="Arial"/>
          <w:i/>
          <w:sz w:val="22"/>
          <w:szCs w:val="22"/>
        </w:rPr>
        <w:t>SolarAzEl</w:t>
      </w:r>
      <w:proofErr w:type="spellEnd"/>
      <w:r>
        <w:rPr>
          <w:rFonts w:ascii="Arial" w:eastAsia="Arial" w:hAnsi="Arial" w:cs="Arial"/>
          <w:sz w:val="22"/>
          <w:szCs w:val="22"/>
        </w:rPr>
        <w:t xml:space="preserve"> (</w:t>
      </w:r>
      <w:hyperlink r:id="rId8">
        <w:r>
          <w:rPr>
            <w:rFonts w:ascii="Arial" w:eastAsia="Arial" w:hAnsi="Arial" w:cs="Arial"/>
            <w:color w:val="1155CC"/>
            <w:sz w:val="22"/>
            <w:szCs w:val="22"/>
            <w:u w:val="single"/>
          </w:rPr>
          <w:t>https://www.mathworks.com/matlabcentral/mlc-downloads/downloads/submissions/23051/versions/2/previews/SolarAzEl.m/index.html</w:t>
        </w:r>
      </w:hyperlink>
      <w:r>
        <w:rPr>
          <w:rFonts w:ascii="Arial" w:eastAsia="Arial" w:hAnsi="Arial" w:cs="Arial"/>
          <w:sz w:val="22"/>
          <w:szCs w:val="22"/>
        </w:rPr>
        <w:t>).</w:t>
      </w:r>
    </w:p>
    <w:p w14:paraId="4EDEF6B9" w14:textId="77777777" w:rsidR="007D3FFE" w:rsidRDefault="007D3FFE" w:rsidP="007D3FFE">
      <w:pPr>
        <w:jc w:val="both"/>
        <w:rPr>
          <w:rFonts w:ascii="Arial" w:eastAsia="Arial" w:hAnsi="Arial" w:cs="Arial"/>
          <w:sz w:val="22"/>
          <w:szCs w:val="22"/>
        </w:rPr>
      </w:pPr>
    </w:p>
    <w:p w14:paraId="5AABEF19" w14:textId="445813E6" w:rsidR="007D3FFE" w:rsidRDefault="007D3FFE" w:rsidP="007D3FFE">
      <w:pPr>
        <w:jc w:val="both"/>
        <w:rPr>
          <w:rFonts w:ascii="Arial" w:eastAsia="Arial" w:hAnsi="Arial" w:cs="Arial"/>
          <w:sz w:val="22"/>
          <w:szCs w:val="22"/>
        </w:rPr>
      </w:pPr>
      <w:r>
        <w:rPr>
          <w:rFonts w:ascii="Arial" w:eastAsia="Arial" w:hAnsi="Arial" w:cs="Arial"/>
          <w:sz w:val="22"/>
          <w:szCs w:val="22"/>
        </w:rPr>
        <w:t>We estimated the diffuse attenuation coefficient (</w:t>
      </w:r>
      <m:oMath>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K</m:t>
            </m:r>
          </m:e>
          <m:sub>
            <m:r>
              <w:rPr>
                <w:rFonts w:ascii="Cambria Math" w:eastAsia="Cambria Math" w:hAnsi="Cambria Math" w:cs="Cambria Math"/>
                <w:sz w:val="22"/>
                <w:szCs w:val="22"/>
              </w:rPr>
              <m:t>d</m:t>
            </m:r>
          </m:sub>
        </m:sSub>
      </m:oMath>
      <w:r>
        <w:rPr>
          <w:rFonts w:ascii="Arial" w:eastAsia="Arial" w:hAnsi="Arial" w:cs="Arial"/>
          <w:sz w:val="22"/>
          <w:szCs w:val="22"/>
        </w:rPr>
        <w:t xml:space="preserve">) as a function of chlorophyll using the scaled fluorescence time series for 2013-14 and published </w:t>
      </w:r>
      <m:oMath>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K</m:t>
            </m:r>
          </m:e>
          <m:sub>
            <m:r>
              <w:rPr>
                <w:rFonts w:ascii="Cambria Math" w:eastAsia="Cambria Math" w:hAnsi="Cambria Math" w:cs="Cambria Math"/>
                <w:sz w:val="22"/>
                <w:szCs w:val="22"/>
              </w:rPr>
              <m:t>d</m:t>
            </m:r>
          </m:sub>
        </m:sSub>
        <m:r>
          <w:rPr>
            <w:rFonts w:ascii="Cambria Math" w:eastAsia="Cambria Math" w:hAnsi="Cambria Math" w:cs="Cambria Math"/>
            <w:sz w:val="22"/>
            <w:szCs w:val="22"/>
          </w:rPr>
          <m:t xml:space="preserve"> </m:t>
        </m:r>
      </m:oMath>
      <w:r>
        <w:rPr>
          <w:rFonts w:ascii="Arial" w:eastAsia="Arial" w:hAnsi="Arial" w:cs="Arial"/>
          <w:sz w:val="22"/>
          <w:szCs w:val="22"/>
        </w:rPr>
        <w:t>values (0.15 m</w:t>
      </w:r>
      <w:r>
        <w:rPr>
          <w:rFonts w:ascii="Arial" w:eastAsia="Arial" w:hAnsi="Arial" w:cs="Arial"/>
          <w:sz w:val="22"/>
          <w:szCs w:val="22"/>
          <w:vertAlign w:val="superscript"/>
        </w:rPr>
        <w:t>-1</w:t>
      </w:r>
      <w:r>
        <w:rPr>
          <w:rFonts w:ascii="Arial" w:eastAsia="Arial" w:hAnsi="Arial" w:cs="Arial"/>
          <w:sz w:val="22"/>
          <w:szCs w:val="22"/>
        </w:rPr>
        <w:t xml:space="preserve"> for non-bloom conditions and 0.6 m</w:t>
      </w:r>
      <w:r>
        <w:rPr>
          <w:rFonts w:ascii="Arial" w:eastAsia="Arial" w:hAnsi="Arial" w:cs="Arial"/>
          <w:sz w:val="22"/>
          <w:szCs w:val="22"/>
          <w:vertAlign w:val="superscript"/>
        </w:rPr>
        <w:t>-1</w:t>
      </w:r>
      <w:r>
        <w:rPr>
          <w:rFonts w:ascii="Arial" w:eastAsia="Arial" w:hAnsi="Arial" w:cs="Arial"/>
          <w:sz w:val="22"/>
          <w:szCs w:val="22"/>
        </w:rPr>
        <w:t xml:space="preserve"> for spring bloom conditions;</w:t>
      </w:r>
      <w:r w:rsidR="009A349E">
        <w:rPr>
          <w:rFonts w:ascii="Arial" w:eastAsia="Arial" w:hAnsi="Arial" w:cs="Arial"/>
          <w:sz w:val="22"/>
          <w:szCs w:val="22"/>
        </w:rPr>
        <w:t xml:space="preserve"> </w:t>
      </w:r>
      <w:r w:rsidR="009A349E">
        <w:rPr>
          <w:rFonts w:ascii="Arial" w:eastAsia="Arial" w:hAnsi="Arial" w:cs="Arial"/>
          <w:sz w:val="22"/>
          <w:szCs w:val="22"/>
        </w:rPr>
        <w:fldChar w:fldCharType="begin" w:fldLock="1"/>
      </w:r>
      <w:r w:rsidR="009A349E">
        <w:rPr>
          <w:rFonts w:ascii="Arial" w:eastAsia="Arial" w:hAnsi="Arial" w:cs="Arial"/>
          <w:sz w:val="22"/>
          <w:szCs w:val="22"/>
        </w:rPr>
        <w:instrText>ADDIN CSL_CITATION {"citationItems":[{"id":"ITEM-1","itemData":{"DOI":"10.1007/s002270000481","ISSN":"0025-3162","author":[{"dropping-particle":"","family":"Hanelt","given":"D.","non-dropping-particle":"","parse-names":false,"suffix":""},{"dropping-particle":"","family":"Tüg","given":"H.","non-dropping-particle":"","parse-names":false,"suffix":""},{"dropping-particle":"","family":"Bischof","given":"K.","non-dropping-particle":"","parse-names":false,"suffix":""},{"dropping-particle":"","family":"Groß","given":"C.","non-dropping-particle":"","parse-names":false,"suffix":""},{"dropping-particle":"","family":"Lippert","given":"H.","non-dropping-particle":"","parse-names":false,"suffix":""},{"dropping-particle":"","family":"Sawall","given":"T.","non-dropping-particle":"","parse-names":false,"suffix":""},{"dropping-particle":"","family":"Wiencke","given":"C.","non-dropping-particle":"","parse-names":false,"suffix":""}],"container-title":"Marine Biology","id":"ITEM-1","issue":"3","issued":{"date-parts":[["2001","3","19"]]},"page":"649-658","title":"Light regime in an Arctic fjord: a study related to stratospheric ozone depletion as a basis for determination of UV effects on algal growth","type":"article-journal","volume":"138"},"uris":["http://www.mendeley.com/documents/?uuid=c7a4bf77-78d8-40ca-a82d-ec389b22297e"]},{"id":"ITEM-2","itemData":{"DOI":"10.1007/978-3-319-46425-1_5","author":[{"dropping-particle":"","family":"Pavlov","given":"Alexey K.","non-dropping-particle":"","parse-names":false,"suffix":""},{"dropping-particle":"","family":"Leu","given":"Eva","non-dropping-particle":"","parse-names":false,"suffix":""},{"dropping-particle":"","family":"Hanelt","given":"Dieter","non-dropping-particle":"","parse-names":false,"suffix":""},{"dropping-particle":"","family":"Bartsch","given":"Inka","non-dropping-particle":"","parse-names":false,"suffix":""},{"dropping-particle":"","family":"Karsten","given":"Ulf","non-dropping-particle":"","parse-names":false,"suffix":""},{"dropping-particle":"","family":"Hudson","given":"Stephen R.","non-dropping-particle":"","parse-names":false,"suffix":""},{"dropping-particle":"","family":"Gallet","given":"Jean-Charles","non-dropping-particle":"","parse-names":false,"suffix":""},{"dropping-particle":"","family":"Cottier","given":"Finlo","non-dropping-particle":"","parse-names":false,"suffix":""},{"dropping-particle":"","family":"Cohen","given":"Jonathan H.","non-dropping-particle":"","parse-names":false,"suffix":""},{"dropping-particle":"","family":"Berge","given":"Jørgen","non-dropping-particle":"","parse-names":false,"suffix":""},{"dropping-particle":"","family":"Johnsen","given":"Geir","non-dropping-particle":"","parse-names":false,"suffix":""},{"dropping-particle":"","family":"Maturilli","given":"Marion","non-dropping-particle":"","parse-names":false,"suffix":""},{"dropping-particle":"","family":"Kowalczuk","given":"Piotr","non-dropping-particle":"","parse-names":false,"suffix":""},{"dropping-particle":"","family":"Sagan","given":"Sławomir","non-dropping-particle":"","parse-names":false,"suffix":""},{"dropping-particle":"","family":"Meler","given":"Justyna","non-dropping-particle":"","parse-names":false,"suffix":""},{"dropping-particle":"","family":"Granskog","given":"Mats A.","non-dropping-particle":"","parse-names":false,"suffix":""}],"container-title":"The Ecosystem of Kongsfjorden, Svalbard","id":"ITEM-2","issued":{"date-parts":[["2019"]]},"page":"137-170","title":"The Underwater Light Climate in Kongsfjorden and Its Ecological Implications","type":"chapter"},"uris":["http://www.mendeley.com/documents/?uuid=e8e9831c-cd8e-30cf-b003-6c85d096f6e2"]}],"mendeley":{"formattedCitation":"(6,7)","plainTextFormattedCitation":"(6,7)","previouslyFormattedCitation":"(6,7)"},"properties":{"noteIndex":0},"schema":"https://github.com/citation-style-language/schema/raw/master/csl-citation.json"}</w:instrText>
      </w:r>
      <w:r w:rsidR="009A349E">
        <w:rPr>
          <w:rFonts w:ascii="Arial" w:eastAsia="Arial" w:hAnsi="Arial" w:cs="Arial"/>
          <w:sz w:val="22"/>
          <w:szCs w:val="22"/>
        </w:rPr>
        <w:fldChar w:fldCharType="separate"/>
      </w:r>
      <w:r w:rsidR="009A349E" w:rsidRPr="009A349E">
        <w:rPr>
          <w:rFonts w:ascii="Arial" w:eastAsia="Arial" w:hAnsi="Arial" w:cs="Arial"/>
          <w:noProof/>
          <w:sz w:val="22"/>
          <w:szCs w:val="22"/>
        </w:rPr>
        <w:t>(6,7)</w:t>
      </w:r>
      <w:r w:rsidR="009A349E">
        <w:rPr>
          <w:rFonts w:ascii="Arial" w:eastAsia="Arial" w:hAnsi="Arial" w:cs="Arial"/>
          <w:sz w:val="22"/>
          <w:szCs w:val="22"/>
        </w:rPr>
        <w:fldChar w:fldCharType="end"/>
      </w:r>
      <w:r>
        <w:rPr>
          <w:rFonts w:ascii="Arial" w:eastAsia="Arial" w:hAnsi="Arial" w:cs="Arial"/>
          <w:sz w:val="22"/>
          <w:szCs w:val="22"/>
        </w:rPr>
        <w:t xml:space="preserve">). These data points formed end-members of a linear relationship between chlorophyll and </w:t>
      </w:r>
      <m:oMath>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K</m:t>
            </m:r>
          </m:e>
          <m:sub>
            <m:r>
              <w:rPr>
                <w:rFonts w:ascii="Cambria Math" w:eastAsia="Cambria Math" w:hAnsi="Cambria Math" w:cs="Cambria Math"/>
                <w:sz w:val="22"/>
                <w:szCs w:val="22"/>
              </w:rPr>
              <m:t>d</m:t>
            </m:r>
          </m:sub>
        </m:sSub>
      </m:oMath>
      <w:r w:rsidR="009A349E">
        <w:rPr>
          <w:rFonts w:ascii="Arial" w:eastAsia="Arial" w:hAnsi="Arial" w:cs="Arial"/>
          <w:sz w:val="22"/>
          <w:szCs w:val="22"/>
        </w:rPr>
        <w:t xml:space="preserve"> </w:t>
      </w:r>
      <w:r w:rsidR="009A349E">
        <w:rPr>
          <w:rFonts w:ascii="Arial" w:eastAsia="Arial" w:hAnsi="Arial" w:cs="Arial"/>
          <w:sz w:val="22"/>
          <w:szCs w:val="22"/>
        </w:rPr>
        <w:fldChar w:fldCharType="begin" w:fldLock="1"/>
      </w:r>
      <w:r w:rsidR="009A349E">
        <w:rPr>
          <w:rFonts w:ascii="Arial" w:eastAsia="Arial" w:hAnsi="Arial" w:cs="Arial"/>
          <w:sz w:val="22"/>
          <w:szCs w:val="22"/>
        </w:rPr>
        <w:instrText>ADDIN CSL_CITATION {"citationItems":[{"id":"ITEM-1","itemData":{"author":[{"dropping-particle":"","family":"Morel","given":"Andre","non-dropping-particle":"","parse-names":false,"suffix":""},{"dropping-particle":"","family":"Maritorena","given":"S","non-dropping-particle":"","parse-names":false,"suffix":""}],"container-title":"Journal of Geophysical Research","id":"ITEM-1","issue":"C4","issued":{"date-parts":[["2001"]]},"page":"7163-7180","title":"Bio-optical properties of oceanic waters' A reappraisal","type":"article-journal","volume":"106"},"uris":["http://www.mendeley.com/documents/?uuid=6b093130-afd5-4629-8b34-e556c43f7499"]}],"mendeley":{"formattedCitation":"(8)","plainTextFormattedCitation":"(8)"},"properties":{"noteIndex":0},"schema":"https://github.com/citation-style-language/schema/raw/master/csl-citation.json"}</w:instrText>
      </w:r>
      <w:r w:rsidR="009A349E">
        <w:rPr>
          <w:rFonts w:ascii="Arial" w:eastAsia="Arial" w:hAnsi="Arial" w:cs="Arial"/>
          <w:sz w:val="22"/>
          <w:szCs w:val="22"/>
        </w:rPr>
        <w:fldChar w:fldCharType="separate"/>
      </w:r>
      <w:r w:rsidR="009A349E" w:rsidRPr="009A349E">
        <w:rPr>
          <w:rFonts w:ascii="Arial" w:eastAsia="Arial" w:hAnsi="Arial" w:cs="Arial"/>
          <w:noProof/>
          <w:sz w:val="22"/>
          <w:szCs w:val="22"/>
        </w:rPr>
        <w:t>(8)</w:t>
      </w:r>
      <w:r w:rsidR="009A349E">
        <w:rPr>
          <w:rFonts w:ascii="Arial" w:eastAsia="Arial" w:hAnsi="Arial" w:cs="Arial"/>
          <w:sz w:val="22"/>
          <w:szCs w:val="22"/>
        </w:rPr>
        <w:fldChar w:fldCharType="end"/>
      </w:r>
      <w:r>
        <w:rPr>
          <w:rFonts w:ascii="Arial" w:eastAsia="Arial" w:hAnsi="Arial" w:cs="Arial"/>
          <w:sz w:val="22"/>
          <w:szCs w:val="22"/>
        </w:rPr>
        <w:t xml:space="preserve">, which we used to convert the chlorophyll time series to an annual time series of diffuse attenuation based on data from 2013-14 (Equation 2). </w:t>
      </w:r>
    </w:p>
    <w:p w14:paraId="11006E66" w14:textId="77777777" w:rsidR="007D3FFE" w:rsidRDefault="007D3FFE" w:rsidP="007D3FFE">
      <w:pPr>
        <w:jc w:val="both"/>
        <w:rPr>
          <w:rFonts w:ascii="Arial" w:eastAsia="Arial" w:hAnsi="Arial" w:cs="Arial"/>
          <w:sz w:val="22"/>
          <w:szCs w:val="22"/>
        </w:rPr>
      </w:pPr>
    </w:p>
    <w:p w14:paraId="5897EA23" w14:textId="77777777" w:rsidR="007D3FFE" w:rsidRDefault="007D3FFE" w:rsidP="00054455">
      <w:pPr>
        <w:numPr>
          <w:ilvl w:val="0"/>
          <w:numId w:val="1"/>
        </w:numPr>
        <w:jc w:val="both"/>
        <w:rPr>
          <w:rFonts w:ascii="Arial" w:eastAsia="Arial" w:hAnsi="Arial" w:cs="Arial"/>
          <w:sz w:val="22"/>
          <w:szCs w:val="22"/>
        </w:rPr>
      </w:pPr>
      <w:r>
        <w:rPr>
          <w:rFonts w:ascii="Arial" w:eastAsia="Arial" w:hAnsi="Arial" w:cs="Arial"/>
          <w:sz w:val="22"/>
          <w:szCs w:val="22"/>
        </w:rPr>
        <w:t xml:space="preserve"> </w:t>
      </w:r>
      <m:oMath>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K</m:t>
            </m:r>
          </m:e>
          <m:sub>
            <m:r>
              <w:rPr>
                <w:rFonts w:ascii="Cambria Math" w:eastAsia="Cambria Math" w:hAnsi="Cambria Math" w:cs="Cambria Math"/>
                <w:sz w:val="22"/>
                <w:szCs w:val="22"/>
              </w:rPr>
              <m:t>d</m:t>
            </m:r>
          </m:sub>
        </m:sSub>
        <m:r>
          <w:rPr>
            <w:rFonts w:ascii="Cambria Math" w:eastAsia="Cambria Math" w:hAnsi="Cambria Math" w:cs="Cambria Math"/>
            <w:sz w:val="22"/>
            <w:szCs w:val="22"/>
          </w:rPr>
          <m:t>=0.313 P+0.15</m:t>
        </m:r>
      </m:oMath>
      <w:r>
        <w:rPr>
          <w:rFonts w:ascii="Arial" w:eastAsia="Arial" w:hAnsi="Arial" w:cs="Arial"/>
          <w:sz w:val="22"/>
          <w:szCs w:val="22"/>
        </w:rPr>
        <w:t xml:space="preserve"> (Figure S2). </w:t>
      </w:r>
    </w:p>
    <w:p w14:paraId="56FE2B90" w14:textId="77777777" w:rsidR="007D3FFE" w:rsidRDefault="007D3FFE" w:rsidP="007D3FFE">
      <w:pPr>
        <w:jc w:val="both"/>
        <w:rPr>
          <w:rFonts w:ascii="Arial" w:eastAsia="Arial" w:hAnsi="Arial" w:cs="Arial"/>
          <w:sz w:val="22"/>
          <w:szCs w:val="22"/>
        </w:rPr>
      </w:pPr>
    </w:p>
    <w:p w14:paraId="6FDA0DE6" w14:textId="77777777" w:rsidR="007D3FFE" w:rsidRDefault="007D3FFE" w:rsidP="007D3FFE">
      <w:pPr>
        <w:jc w:val="both"/>
        <w:rPr>
          <w:rFonts w:ascii="Arial" w:eastAsia="Arial" w:hAnsi="Arial" w:cs="Arial"/>
          <w:sz w:val="22"/>
          <w:szCs w:val="22"/>
        </w:rPr>
      </w:pPr>
      <w:r>
        <w:rPr>
          <w:rFonts w:ascii="Arial" w:eastAsia="Arial" w:hAnsi="Arial" w:cs="Arial"/>
          <w:sz w:val="22"/>
          <w:szCs w:val="22"/>
        </w:rPr>
        <w:t xml:space="preserve">Downwelling underwater </w:t>
      </w:r>
      <w:proofErr w:type="gramStart"/>
      <w:r>
        <w:rPr>
          <w:rFonts w:ascii="Arial" w:eastAsia="Arial" w:hAnsi="Arial" w:cs="Arial"/>
          <w:sz w:val="22"/>
          <w:szCs w:val="22"/>
        </w:rPr>
        <w:t>light  (</w:t>
      </w:r>
      <w:proofErr w:type="gramEnd"/>
      <m:oMath>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E</m:t>
            </m:r>
          </m:e>
          <m:sub>
            <m:r>
              <w:rPr>
                <w:rFonts w:ascii="Cambria Math" w:eastAsia="Cambria Math" w:hAnsi="Cambria Math" w:cs="Cambria Math"/>
                <w:sz w:val="22"/>
                <w:szCs w:val="22"/>
              </w:rPr>
              <m:t>ad</m:t>
            </m:r>
          </m:sub>
        </m:sSub>
      </m:oMath>
      <w:r>
        <w:rPr>
          <w:rFonts w:ascii="Arial" w:eastAsia="Arial" w:hAnsi="Arial" w:cs="Arial"/>
          <w:sz w:val="22"/>
          <w:szCs w:val="22"/>
        </w:rPr>
        <w:t>) with depth was then defined as a function of downwelling atmospheric irradiance (</w:t>
      </w:r>
      <m:oMath>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E</m:t>
            </m:r>
          </m:e>
          <m:sub>
            <m:r>
              <w:rPr>
                <w:rFonts w:ascii="Cambria Math" w:eastAsia="Cambria Math" w:hAnsi="Cambria Math" w:cs="Cambria Math"/>
                <w:sz w:val="22"/>
                <w:szCs w:val="22"/>
              </w:rPr>
              <m:t>PAR</m:t>
            </m:r>
          </m:sub>
        </m:sSub>
      </m:oMath>
      <w:r>
        <w:rPr>
          <w:rFonts w:ascii="Arial" w:eastAsia="Arial" w:hAnsi="Arial" w:cs="Arial"/>
          <w:sz w:val="22"/>
          <w:szCs w:val="22"/>
        </w:rPr>
        <w:t>), diffuse attenuation (</w:t>
      </w:r>
      <m:oMath>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K</m:t>
            </m:r>
          </m:e>
          <m:sub>
            <m:r>
              <w:rPr>
                <w:rFonts w:ascii="Cambria Math" w:eastAsia="Cambria Math" w:hAnsi="Cambria Math" w:cs="Cambria Math"/>
                <w:sz w:val="22"/>
                <w:szCs w:val="22"/>
              </w:rPr>
              <m:t>d</m:t>
            </m:r>
          </m:sub>
        </m:sSub>
      </m:oMath>
      <w:r>
        <w:rPr>
          <w:rFonts w:ascii="Arial" w:eastAsia="Arial" w:hAnsi="Arial" w:cs="Arial"/>
          <w:sz w:val="22"/>
          <w:szCs w:val="22"/>
        </w:rPr>
        <w:t xml:space="preserve">), and depth (z) </w:t>
      </w:r>
    </w:p>
    <w:p w14:paraId="1B54218D" w14:textId="77777777" w:rsidR="007D3FFE" w:rsidRDefault="007D3FFE" w:rsidP="007D3FFE">
      <w:pPr>
        <w:jc w:val="both"/>
        <w:rPr>
          <w:rFonts w:ascii="Arial" w:eastAsia="Arial" w:hAnsi="Arial" w:cs="Arial"/>
          <w:sz w:val="22"/>
          <w:szCs w:val="22"/>
        </w:rPr>
      </w:pPr>
    </w:p>
    <w:p w14:paraId="0597CE68" w14:textId="77777777" w:rsidR="007D3FFE" w:rsidRDefault="005D6D36" w:rsidP="00054455">
      <w:pPr>
        <w:numPr>
          <w:ilvl w:val="0"/>
          <w:numId w:val="1"/>
        </w:numPr>
        <w:jc w:val="both"/>
        <w:rPr>
          <w:rFonts w:ascii="Arial" w:eastAsia="Arial" w:hAnsi="Arial" w:cs="Arial"/>
          <w:sz w:val="22"/>
          <w:szCs w:val="22"/>
        </w:rPr>
      </w:pPr>
      <m:oMath>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E</m:t>
            </m:r>
          </m:e>
          <m:sub>
            <m:r>
              <w:rPr>
                <w:rFonts w:ascii="Cambria Math" w:eastAsia="Cambria Math" w:hAnsi="Cambria Math" w:cs="Cambria Math"/>
                <w:sz w:val="22"/>
                <w:szCs w:val="22"/>
              </w:rPr>
              <m:t>a</m:t>
            </m:r>
          </m:sub>
        </m:sSub>
        <m:r>
          <w:rPr>
            <w:rFonts w:ascii="Cambria Math" w:eastAsia="Cambria Math" w:hAnsi="Cambria Math" w:cs="Cambria Math"/>
            <w:sz w:val="22"/>
            <w:szCs w:val="22"/>
          </w:rPr>
          <m:t>=</m:t>
        </m:r>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E</m:t>
            </m:r>
          </m:e>
          <m:sub>
            <m:r>
              <w:rPr>
                <w:rFonts w:ascii="Cambria Math" w:eastAsia="Cambria Math" w:hAnsi="Cambria Math" w:cs="Cambria Math"/>
                <w:sz w:val="22"/>
                <w:szCs w:val="22"/>
              </w:rPr>
              <m:t>d</m:t>
            </m:r>
          </m:sub>
        </m:sSub>
        <m:sSup>
          <m:sSupPr>
            <m:ctrlPr>
              <w:rPr>
                <w:rFonts w:ascii="Cambria Math" w:eastAsia="Cambria Math" w:hAnsi="Cambria Math" w:cs="Cambria Math"/>
                <w:sz w:val="22"/>
                <w:szCs w:val="22"/>
              </w:rPr>
            </m:ctrlPr>
          </m:sSupPr>
          <m:e>
            <m:r>
              <w:rPr>
                <w:rFonts w:ascii="Cambria Math" w:eastAsia="Cambria Math" w:hAnsi="Cambria Math" w:cs="Cambria Math"/>
                <w:sz w:val="22"/>
                <w:szCs w:val="22"/>
              </w:rPr>
              <m:t>e</m:t>
            </m:r>
          </m:e>
          <m:sup>
            <m:sSub>
              <m:sSubPr>
                <m:ctrlPr>
                  <w:rPr>
                    <w:rFonts w:ascii="Cambria Math" w:eastAsia="Cambria Math" w:hAnsi="Cambria Math" w:cs="Cambria Math"/>
                    <w:sz w:val="22"/>
                    <w:szCs w:val="22"/>
                  </w:rPr>
                </m:ctrlPr>
              </m:sSubPr>
              <m:e>
                <m:r>
                  <w:rPr>
                    <w:rFonts w:ascii="Cambria Math" w:eastAsia="Cambria Math" w:hAnsi="Cambria Math" w:cs="Cambria Math"/>
                    <w:sz w:val="22"/>
                    <w:szCs w:val="22"/>
                  </w:rPr>
                  <m:t>K</m:t>
                </m:r>
              </m:e>
              <m:sub>
                <m:r>
                  <w:rPr>
                    <w:rFonts w:ascii="Cambria Math" w:eastAsia="Cambria Math" w:hAnsi="Cambria Math" w:cs="Cambria Math"/>
                    <w:sz w:val="22"/>
                    <w:szCs w:val="22"/>
                  </w:rPr>
                  <m:t>d</m:t>
                </m:r>
              </m:sub>
            </m:sSub>
            <m:r>
              <w:rPr>
                <w:rFonts w:ascii="Cambria Math" w:eastAsia="Cambria Math" w:hAnsi="Cambria Math" w:cs="Cambria Math"/>
                <w:sz w:val="22"/>
                <w:szCs w:val="22"/>
              </w:rPr>
              <m:t>z</m:t>
            </m:r>
          </m:sup>
        </m:sSup>
      </m:oMath>
      <w:r w:rsidR="007D3FFE">
        <w:rPr>
          <w:rFonts w:ascii="Arial" w:eastAsia="Arial" w:hAnsi="Arial" w:cs="Arial"/>
          <w:sz w:val="22"/>
          <w:szCs w:val="22"/>
        </w:rPr>
        <w:t xml:space="preserve"> </w:t>
      </w:r>
    </w:p>
    <w:p w14:paraId="2BD61764" w14:textId="77777777" w:rsidR="007D3FFE" w:rsidRDefault="007D3FFE" w:rsidP="007D3FFE">
      <w:pPr>
        <w:jc w:val="both"/>
        <w:rPr>
          <w:rFonts w:ascii="Arial" w:eastAsia="Arial" w:hAnsi="Arial" w:cs="Arial"/>
          <w:sz w:val="22"/>
          <w:szCs w:val="22"/>
        </w:rPr>
      </w:pPr>
    </w:p>
    <w:p w14:paraId="4F4C263A" w14:textId="77777777" w:rsidR="007D3FFE" w:rsidRDefault="007D3FFE" w:rsidP="007D3FFE">
      <w:pPr>
        <w:jc w:val="both"/>
        <w:rPr>
          <w:rFonts w:ascii="Arial" w:eastAsia="Arial" w:hAnsi="Arial" w:cs="Arial"/>
          <w:i/>
          <w:sz w:val="22"/>
          <w:szCs w:val="22"/>
          <w:u w:val="single"/>
        </w:rPr>
      </w:pPr>
    </w:p>
    <w:p w14:paraId="3763632D" w14:textId="77777777" w:rsidR="007D3FFE" w:rsidRDefault="007D3FFE" w:rsidP="007D3FFE">
      <w:pPr>
        <w:jc w:val="both"/>
        <w:rPr>
          <w:rFonts w:ascii="Arial" w:eastAsia="Arial" w:hAnsi="Arial" w:cs="Arial"/>
          <w:i/>
          <w:sz w:val="22"/>
          <w:szCs w:val="22"/>
          <w:u w:val="single"/>
        </w:rPr>
      </w:pPr>
      <w:r>
        <w:rPr>
          <w:rFonts w:ascii="Arial" w:eastAsia="Arial" w:hAnsi="Arial" w:cs="Arial"/>
          <w:i/>
          <w:sz w:val="22"/>
          <w:szCs w:val="22"/>
          <w:u w:val="single"/>
        </w:rPr>
        <w:t>Periodicity</w:t>
      </w:r>
    </w:p>
    <w:p w14:paraId="7AE08298" w14:textId="77777777" w:rsidR="007D3FFE" w:rsidRDefault="007D3FFE" w:rsidP="007D3FFE">
      <w:pPr>
        <w:jc w:val="both"/>
        <w:rPr>
          <w:rFonts w:ascii="Arial" w:eastAsia="Arial" w:hAnsi="Arial" w:cs="Arial"/>
          <w:sz w:val="22"/>
          <w:szCs w:val="22"/>
        </w:rPr>
      </w:pPr>
    </w:p>
    <w:p w14:paraId="11FF0BD7" w14:textId="77777777" w:rsidR="007D3FFE" w:rsidRDefault="007D3FFE" w:rsidP="007D3FFE">
      <w:pPr>
        <w:jc w:val="both"/>
        <w:rPr>
          <w:rFonts w:ascii="Arial" w:eastAsia="Arial" w:hAnsi="Arial" w:cs="Arial"/>
          <w:sz w:val="22"/>
          <w:szCs w:val="22"/>
        </w:rPr>
      </w:pPr>
      <w:r>
        <w:rPr>
          <w:rFonts w:ascii="Arial" w:eastAsia="Arial" w:hAnsi="Arial" w:cs="Arial"/>
          <w:sz w:val="22"/>
          <w:szCs w:val="22"/>
        </w:rPr>
        <w:t>We calculated Lomb-</w:t>
      </w:r>
      <w:proofErr w:type="spellStart"/>
      <w:r>
        <w:rPr>
          <w:rFonts w:ascii="Arial" w:eastAsia="Arial" w:hAnsi="Arial" w:cs="Arial"/>
          <w:sz w:val="22"/>
          <w:szCs w:val="22"/>
        </w:rPr>
        <w:t>Scargle</w:t>
      </w:r>
      <w:proofErr w:type="spellEnd"/>
      <w:r>
        <w:rPr>
          <w:rFonts w:ascii="Arial" w:eastAsia="Arial" w:hAnsi="Arial" w:cs="Arial"/>
          <w:sz w:val="22"/>
          <w:szCs w:val="22"/>
        </w:rPr>
        <w:t xml:space="preserve"> periodograms (as per Last et al. (2016) using the </w:t>
      </w:r>
      <w:proofErr w:type="spellStart"/>
      <w:r>
        <w:rPr>
          <w:rFonts w:ascii="Arial" w:eastAsia="Arial" w:hAnsi="Arial" w:cs="Arial"/>
          <w:sz w:val="22"/>
          <w:szCs w:val="22"/>
        </w:rPr>
        <w:t>Matlab</w:t>
      </w:r>
      <w:proofErr w:type="spellEnd"/>
      <w:r>
        <w:rPr>
          <w:rFonts w:ascii="Arial" w:eastAsia="Arial" w:hAnsi="Arial" w:cs="Arial"/>
          <w:sz w:val="22"/>
          <w:szCs w:val="22"/>
        </w:rPr>
        <w:t xml:space="preserve"> Package </w:t>
      </w:r>
      <w:r>
        <w:rPr>
          <w:rFonts w:ascii="Arial" w:eastAsia="Arial" w:hAnsi="Arial" w:cs="Arial"/>
          <w:i/>
          <w:sz w:val="22"/>
          <w:szCs w:val="22"/>
        </w:rPr>
        <w:t xml:space="preserve">Lomb </w:t>
      </w:r>
      <w:r>
        <w:rPr>
          <w:rFonts w:ascii="Arial" w:eastAsia="Arial" w:hAnsi="Arial" w:cs="Arial"/>
          <w:sz w:val="22"/>
          <w:szCs w:val="22"/>
        </w:rPr>
        <w:t>(</w:t>
      </w:r>
      <w:hyperlink r:id="rId9">
        <w:r>
          <w:rPr>
            <w:rFonts w:ascii="Arial" w:eastAsia="Arial" w:hAnsi="Arial" w:cs="Arial"/>
            <w:color w:val="954F72"/>
            <w:sz w:val="22"/>
            <w:szCs w:val="22"/>
            <w:u w:val="single"/>
          </w:rPr>
          <w:t>https://uk.mathworks.com/matlabcentral/fileexchange/22215-lomb-normalized-periodogram?focused=5108122&amp;s_tid=mwa_osa_a&amp;tab=function</w:t>
        </w:r>
      </w:hyperlink>
      <w:r>
        <w:rPr>
          <w:rFonts w:ascii="Arial" w:eastAsia="Arial" w:hAnsi="Arial" w:cs="Arial"/>
          <w:sz w:val="22"/>
          <w:szCs w:val="22"/>
        </w:rPr>
        <w:t xml:space="preserve">) to compare periodicity for four points through the year in 2013-14. We extracted 10-day segments of data to represent spring (15-March to 25-March); summer (10-June to 20-June); autumn (30-August to 09-September); winter (16-December to 21-December). These 10-day periods were selected to span the data plotted in Figure 1e-h. </w:t>
      </w:r>
    </w:p>
    <w:p w14:paraId="0075EC15" w14:textId="2918680B" w:rsidR="007D3FFE" w:rsidRDefault="007D3FFE" w:rsidP="007D3FFE">
      <w:pPr>
        <w:rPr>
          <w:rFonts w:ascii="Arial" w:eastAsia="Arial" w:hAnsi="Arial" w:cs="Arial"/>
          <w:b/>
          <w:sz w:val="22"/>
          <w:szCs w:val="22"/>
          <w:u w:val="single"/>
        </w:rPr>
      </w:pPr>
    </w:p>
    <w:p w14:paraId="285C34BB" w14:textId="326FAD66" w:rsidR="009A349E" w:rsidRDefault="009A349E" w:rsidP="007D3FFE">
      <w:pPr>
        <w:rPr>
          <w:rFonts w:ascii="Arial" w:eastAsia="Arial" w:hAnsi="Arial" w:cs="Arial"/>
          <w:b/>
          <w:sz w:val="22"/>
          <w:szCs w:val="22"/>
          <w:u w:val="single"/>
        </w:rPr>
      </w:pPr>
      <w:r>
        <w:rPr>
          <w:rFonts w:ascii="Arial" w:eastAsia="Arial" w:hAnsi="Arial" w:cs="Arial"/>
          <w:b/>
          <w:sz w:val="22"/>
          <w:szCs w:val="22"/>
          <w:u w:val="single"/>
        </w:rPr>
        <w:t>References for supplementary material</w:t>
      </w:r>
    </w:p>
    <w:p w14:paraId="015BF60E" w14:textId="77777777" w:rsidR="009A349E" w:rsidRDefault="009A349E" w:rsidP="007D3FFE">
      <w:pPr>
        <w:rPr>
          <w:rFonts w:ascii="Arial" w:eastAsia="Arial" w:hAnsi="Arial" w:cs="Arial"/>
          <w:b/>
          <w:sz w:val="22"/>
          <w:szCs w:val="22"/>
          <w:u w:val="single"/>
        </w:rPr>
      </w:pPr>
    </w:p>
    <w:p w14:paraId="296B282B" w14:textId="386B68DA" w:rsidR="009A349E" w:rsidRPr="009A349E" w:rsidRDefault="009A349E" w:rsidP="009A349E">
      <w:pPr>
        <w:widowControl w:val="0"/>
        <w:autoSpaceDE w:val="0"/>
        <w:autoSpaceDN w:val="0"/>
        <w:adjustRightInd w:val="0"/>
        <w:ind w:left="640" w:hanging="640"/>
        <w:rPr>
          <w:rFonts w:ascii="Arial" w:hAnsi="Arial" w:cs="Arial"/>
          <w:noProof/>
          <w:sz w:val="22"/>
        </w:rPr>
      </w:pPr>
      <w:r>
        <w:rPr>
          <w:rFonts w:ascii="Arial" w:eastAsia="Arial" w:hAnsi="Arial" w:cs="Arial"/>
          <w:b/>
          <w:sz w:val="22"/>
          <w:szCs w:val="22"/>
          <w:u w:val="single"/>
        </w:rPr>
        <w:fldChar w:fldCharType="begin" w:fldLock="1"/>
      </w:r>
      <w:r>
        <w:rPr>
          <w:rFonts w:ascii="Arial" w:eastAsia="Arial" w:hAnsi="Arial" w:cs="Arial"/>
          <w:b/>
          <w:sz w:val="22"/>
          <w:szCs w:val="22"/>
          <w:u w:val="single"/>
        </w:rPr>
        <w:instrText xml:space="preserve">ADDIN Mendeley Bibliography CSL_BIBLIOGRAPHY </w:instrText>
      </w:r>
      <w:r>
        <w:rPr>
          <w:rFonts w:ascii="Arial" w:eastAsia="Arial" w:hAnsi="Arial" w:cs="Arial"/>
          <w:b/>
          <w:sz w:val="22"/>
          <w:szCs w:val="22"/>
          <w:u w:val="single"/>
        </w:rPr>
        <w:fldChar w:fldCharType="separate"/>
      </w:r>
      <w:r w:rsidRPr="009A349E">
        <w:rPr>
          <w:rFonts w:ascii="Arial" w:hAnsi="Arial" w:cs="Arial"/>
          <w:noProof/>
          <w:sz w:val="22"/>
        </w:rPr>
        <w:t xml:space="preserve">1. </w:t>
      </w:r>
      <w:r w:rsidRPr="009A349E">
        <w:rPr>
          <w:rFonts w:ascii="Arial" w:hAnsi="Arial" w:cs="Arial"/>
          <w:noProof/>
          <w:sz w:val="22"/>
        </w:rPr>
        <w:tab/>
        <w:t xml:space="preserve">Deines KL. Backscatter estimation using broadband acoustic Doppler current profilers. In: Proceedings of the IEEE Sixth Working Conference on Current Measurements. 1999. p. 249–53. </w:t>
      </w:r>
    </w:p>
    <w:p w14:paraId="0EF0BDF6" w14:textId="77777777" w:rsidR="009A349E" w:rsidRPr="009A349E" w:rsidRDefault="009A349E" w:rsidP="009A349E">
      <w:pPr>
        <w:widowControl w:val="0"/>
        <w:autoSpaceDE w:val="0"/>
        <w:autoSpaceDN w:val="0"/>
        <w:adjustRightInd w:val="0"/>
        <w:ind w:left="640" w:hanging="640"/>
        <w:rPr>
          <w:rFonts w:ascii="Arial" w:hAnsi="Arial" w:cs="Arial"/>
          <w:noProof/>
          <w:sz w:val="22"/>
        </w:rPr>
      </w:pPr>
      <w:r w:rsidRPr="009A349E">
        <w:rPr>
          <w:rFonts w:ascii="Arial" w:hAnsi="Arial" w:cs="Arial"/>
          <w:noProof/>
          <w:sz w:val="22"/>
        </w:rPr>
        <w:t xml:space="preserve">2. </w:t>
      </w:r>
      <w:r w:rsidRPr="009A349E">
        <w:rPr>
          <w:rFonts w:ascii="Arial" w:hAnsi="Arial" w:cs="Arial"/>
          <w:noProof/>
          <w:sz w:val="22"/>
        </w:rPr>
        <w:tab/>
        <w:t>Wallace MI, Cottier FR, Berge J, Tarling GA, Griffiths C, Brierley AS. Comparison of zooplankton vertical migration in an ice-free and a seasonally ice-covered Arctic fjord: An insight into the influence of sea ice cover on zooplankton behavior. Limnol Oceanogr [Internet]. 2010;55(2):831–45. Available from: http://nora.nerc.ac.uk/14855/</w:t>
      </w:r>
    </w:p>
    <w:p w14:paraId="44B42CA8" w14:textId="77777777" w:rsidR="009A349E" w:rsidRPr="009A349E" w:rsidRDefault="009A349E" w:rsidP="009A349E">
      <w:pPr>
        <w:widowControl w:val="0"/>
        <w:autoSpaceDE w:val="0"/>
        <w:autoSpaceDN w:val="0"/>
        <w:adjustRightInd w:val="0"/>
        <w:ind w:left="640" w:hanging="640"/>
        <w:rPr>
          <w:rFonts w:ascii="Arial" w:hAnsi="Arial" w:cs="Arial"/>
          <w:noProof/>
          <w:sz w:val="22"/>
        </w:rPr>
      </w:pPr>
      <w:r w:rsidRPr="009A349E">
        <w:rPr>
          <w:rFonts w:ascii="Arial" w:hAnsi="Arial" w:cs="Arial"/>
          <w:noProof/>
          <w:sz w:val="22"/>
        </w:rPr>
        <w:t xml:space="preserve">3. </w:t>
      </w:r>
      <w:r w:rsidRPr="009A349E">
        <w:rPr>
          <w:rFonts w:ascii="Arial" w:hAnsi="Arial" w:cs="Arial"/>
          <w:noProof/>
          <w:sz w:val="22"/>
        </w:rPr>
        <w:tab/>
        <w:t xml:space="preserve">Urmy SS, Horne JK, Barbee DH. Measuring the vertical distributional variability of pelagic fauna in Monterey Bay. ICES J Mar Sci. 2012;69(2):184–96. </w:t>
      </w:r>
    </w:p>
    <w:p w14:paraId="4F21FBE7" w14:textId="77777777" w:rsidR="009A349E" w:rsidRPr="009A349E" w:rsidRDefault="009A349E" w:rsidP="009A349E">
      <w:pPr>
        <w:widowControl w:val="0"/>
        <w:autoSpaceDE w:val="0"/>
        <w:autoSpaceDN w:val="0"/>
        <w:adjustRightInd w:val="0"/>
        <w:ind w:left="640" w:hanging="640"/>
        <w:rPr>
          <w:rFonts w:ascii="Arial" w:hAnsi="Arial" w:cs="Arial"/>
          <w:noProof/>
          <w:sz w:val="22"/>
        </w:rPr>
      </w:pPr>
      <w:r w:rsidRPr="009A349E">
        <w:rPr>
          <w:rFonts w:ascii="Arial" w:hAnsi="Arial" w:cs="Arial"/>
          <w:noProof/>
          <w:sz w:val="22"/>
        </w:rPr>
        <w:t xml:space="preserve">4. </w:t>
      </w:r>
      <w:r w:rsidRPr="009A349E">
        <w:rPr>
          <w:rFonts w:ascii="Arial" w:hAnsi="Arial" w:cs="Arial"/>
          <w:noProof/>
          <w:sz w:val="22"/>
        </w:rPr>
        <w:tab/>
        <w:t xml:space="preserve">Cohen JH, Berge J, Moline MA, Johnsen GH, Zolich AP. Light in the Polar Night. In: Polar Night Marine Ecology. Springer; 2020. p. 37–67. </w:t>
      </w:r>
    </w:p>
    <w:p w14:paraId="65C9A2B5" w14:textId="77777777" w:rsidR="009A349E" w:rsidRPr="009A349E" w:rsidRDefault="009A349E" w:rsidP="009A349E">
      <w:pPr>
        <w:widowControl w:val="0"/>
        <w:autoSpaceDE w:val="0"/>
        <w:autoSpaceDN w:val="0"/>
        <w:adjustRightInd w:val="0"/>
        <w:ind w:left="640" w:hanging="640"/>
        <w:rPr>
          <w:rFonts w:ascii="Arial" w:hAnsi="Arial" w:cs="Arial"/>
          <w:noProof/>
          <w:sz w:val="22"/>
        </w:rPr>
      </w:pPr>
      <w:r w:rsidRPr="009A349E">
        <w:rPr>
          <w:rFonts w:ascii="Arial" w:hAnsi="Arial" w:cs="Arial"/>
          <w:noProof/>
          <w:sz w:val="22"/>
        </w:rPr>
        <w:t xml:space="preserve">5. </w:t>
      </w:r>
      <w:r w:rsidRPr="009A349E">
        <w:rPr>
          <w:rFonts w:ascii="Arial" w:hAnsi="Arial" w:cs="Arial"/>
          <w:noProof/>
          <w:sz w:val="22"/>
        </w:rPr>
        <w:tab/>
        <w:t>Zolich A. Systems Integration and Communication in Autonomous Unmanned Vehicles in Marine Environments [Internet]. NTNU; 2018 [cited 2021 Jan 6]. Available from: https://ntnuopen.ntnu.no/ntnu-xmlui/handle/11250/2584513</w:t>
      </w:r>
    </w:p>
    <w:p w14:paraId="0373F923" w14:textId="77777777" w:rsidR="009A349E" w:rsidRPr="009A349E" w:rsidRDefault="009A349E" w:rsidP="009A349E">
      <w:pPr>
        <w:widowControl w:val="0"/>
        <w:autoSpaceDE w:val="0"/>
        <w:autoSpaceDN w:val="0"/>
        <w:adjustRightInd w:val="0"/>
        <w:ind w:left="640" w:hanging="640"/>
        <w:rPr>
          <w:rFonts w:ascii="Arial" w:hAnsi="Arial" w:cs="Arial"/>
          <w:noProof/>
          <w:sz w:val="22"/>
        </w:rPr>
      </w:pPr>
      <w:r w:rsidRPr="009A349E">
        <w:rPr>
          <w:rFonts w:ascii="Arial" w:hAnsi="Arial" w:cs="Arial"/>
          <w:noProof/>
          <w:sz w:val="22"/>
        </w:rPr>
        <w:t xml:space="preserve">6. </w:t>
      </w:r>
      <w:r w:rsidRPr="009A349E">
        <w:rPr>
          <w:rFonts w:ascii="Arial" w:hAnsi="Arial" w:cs="Arial"/>
          <w:noProof/>
          <w:sz w:val="22"/>
        </w:rPr>
        <w:tab/>
        <w:t>Hanelt D, Tüg H, Bischof K, Groß C, Lippert H, Sawall T, et al. Light regime in an Arctic fjord: a study related to stratospheric ozone depletion as a basis for determination of UV effects on algal growth. Mar Biol [Internet]. 2001 Mar 19;138(3):649–58. Available from: http://link.springer.com/10.1007/s002270000481</w:t>
      </w:r>
    </w:p>
    <w:p w14:paraId="13295F1A" w14:textId="77777777" w:rsidR="009A349E" w:rsidRPr="009A349E" w:rsidRDefault="009A349E" w:rsidP="009A349E">
      <w:pPr>
        <w:widowControl w:val="0"/>
        <w:autoSpaceDE w:val="0"/>
        <w:autoSpaceDN w:val="0"/>
        <w:adjustRightInd w:val="0"/>
        <w:ind w:left="640" w:hanging="640"/>
        <w:rPr>
          <w:rFonts w:ascii="Arial" w:hAnsi="Arial" w:cs="Arial"/>
          <w:noProof/>
          <w:sz w:val="22"/>
        </w:rPr>
      </w:pPr>
      <w:r w:rsidRPr="009A349E">
        <w:rPr>
          <w:rFonts w:ascii="Arial" w:hAnsi="Arial" w:cs="Arial"/>
          <w:noProof/>
          <w:sz w:val="22"/>
        </w:rPr>
        <w:t xml:space="preserve">7. </w:t>
      </w:r>
      <w:r w:rsidRPr="009A349E">
        <w:rPr>
          <w:rFonts w:ascii="Arial" w:hAnsi="Arial" w:cs="Arial"/>
          <w:noProof/>
          <w:sz w:val="22"/>
        </w:rPr>
        <w:tab/>
        <w:t xml:space="preserve">Pavlov AK, Leu E, Hanelt D, Bartsch I, Karsten U, Hudson SR, et al. The Underwater Light Climate in Kongsfjorden and Its Ecological Implications. In: The Ecosystem of Kongsfjorden, Svalbard. 2019. p. 137–70. </w:t>
      </w:r>
    </w:p>
    <w:p w14:paraId="35322271" w14:textId="77777777" w:rsidR="009A349E" w:rsidRPr="009A349E" w:rsidRDefault="009A349E" w:rsidP="009A349E">
      <w:pPr>
        <w:widowControl w:val="0"/>
        <w:autoSpaceDE w:val="0"/>
        <w:autoSpaceDN w:val="0"/>
        <w:adjustRightInd w:val="0"/>
        <w:ind w:left="640" w:hanging="640"/>
        <w:rPr>
          <w:rFonts w:ascii="Arial" w:hAnsi="Arial" w:cs="Arial"/>
          <w:noProof/>
          <w:sz w:val="22"/>
        </w:rPr>
      </w:pPr>
      <w:r w:rsidRPr="009A349E">
        <w:rPr>
          <w:rFonts w:ascii="Arial" w:hAnsi="Arial" w:cs="Arial"/>
          <w:noProof/>
          <w:sz w:val="22"/>
        </w:rPr>
        <w:t xml:space="preserve">8. </w:t>
      </w:r>
      <w:r w:rsidRPr="009A349E">
        <w:rPr>
          <w:rFonts w:ascii="Arial" w:hAnsi="Arial" w:cs="Arial"/>
          <w:noProof/>
          <w:sz w:val="22"/>
        </w:rPr>
        <w:tab/>
        <w:t xml:space="preserve">Morel A, Maritorena S. Bio-optical properties of oceanic waters’ A reappraisal. J Geophys Res. 2001;106(C4):7163–80. </w:t>
      </w:r>
    </w:p>
    <w:p w14:paraId="46EEA537" w14:textId="5F601327" w:rsidR="007D3FFE" w:rsidRDefault="009A349E" w:rsidP="009A349E">
      <w:pPr>
        <w:widowControl w:val="0"/>
        <w:autoSpaceDE w:val="0"/>
        <w:autoSpaceDN w:val="0"/>
        <w:adjustRightInd w:val="0"/>
        <w:ind w:left="640" w:hanging="640"/>
        <w:rPr>
          <w:rFonts w:ascii="Arial" w:eastAsia="Arial" w:hAnsi="Arial" w:cs="Arial"/>
          <w:b/>
          <w:sz w:val="22"/>
          <w:szCs w:val="22"/>
          <w:u w:val="single"/>
        </w:rPr>
      </w:pPr>
      <w:r>
        <w:rPr>
          <w:rFonts w:ascii="Arial" w:eastAsia="Arial" w:hAnsi="Arial" w:cs="Arial"/>
          <w:b/>
          <w:sz w:val="22"/>
          <w:szCs w:val="22"/>
          <w:u w:val="single"/>
        </w:rPr>
        <w:fldChar w:fldCharType="end"/>
      </w:r>
    </w:p>
    <w:p w14:paraId="4C4502AD" w14:textId="77777777" w:rsidR="007D3FFE" w:rsidRDefault="007D3FFE" w:rsidP="007D3FFE">
      <w:pPr>
        <w:rPr>
          <w:rFonts w:ascii="Arial" w:eastAsia="Arial" w:hAnsi="Arial" w:cs="Arial"/>
          <w:b/>
          <w:sz w:val="22"/>
          <w:szCs w:val="22"/>
        </w:rPr>
      </w:pPr>
      <w:r>
        <w:br w:type="page"/>
      </w:r>
    </w:p>
    <w:p w14:paraId="0E848808" w14:textId="77777777" w:rsidR="007D3FFE" w:rsidRDefault="007D3FFE" w:rsidP="007D3FFE">
      <w:pPr>
        <w:rPr>
          <w:rFonts w:ascii="Arial" w:eastAsia="Arial" w:hAnsi="Arial" w:cs="Arial"/>
          <w:b/>
          <w:sz w:val="22"/>
          <w:szCs w:val="22"/>
          <w:u w:val="single"/>
        </w:rPr>
      </w:pPr>
      <w:r>
        <w:rPr>
          <w:rFonts w:ascii="Arial" w:eastAsia="Arial" w:hAnsi="Arial" w:cs="Arial"/>
          <w:b/>
          <w:sz w:val="22"/>
          <w:szCs w:val="22"/>
        </w:rPr>
        <w:lastRenderedPageBreak/>
        <w:t>Supplementary figures:</w:t>
      </w:r>
    </w:p>
    <w:p w14:paraId="0D6364F0" w14:textId="77777777" w:rsidR="007D3FFE" w:rsidRDefault="007D3FFE" w:rsidP="007D3FFE">
      <w:pPr>
        <w:rPr>
          <w:rFonts w:ascii="Arial" w:eastAsia="Arial" w:hAnsi="Arial" w:cs="Arial"/>
          <w:sz w:val="22"/>
          <w:szCs w:val="22"/>
        </w:rPr>
      </w:pPr>
    </w:p>
    <w:p w14:paraId="39241059" w14:textId="77777777" w:rsidR="007D3FFE" w:rsidRDefault="007D3FFE" w:rsidP="007D3FFE">
      <w:r>
        <w:rPr>
          <w:rFonts w:ascii="Arial" w:eastAsia="Arial" w:hAnsi="Arial" w:cs="Arial"/>
          <w:sz w:val="22"/>
          <w:szCs w:val="22"/>
        </w:rPr>
        <w:t xml:space="preserve">Figure S1: Conversion from scaled fluorescence (green line) to </w:t>
      </w:r>
      <w:proofErr w:type="spellStart"/>
      <w:r>
        <w:rPr>
          <w:rFonts w:ascii="Arial" w:eastAsia="Arial" w:hAnsi="Arial" w:cs="Arial"/>
          <w:sz w:val="22"/>
          <w:szCs w:val="22"/>
        </w:rPr>
        <w:t>Kd</w:t>
      </w:r>
      <w:proofErr w:type="spellEnd"/>
      <w:r>
        <w:rPr>
          <w:rFonts w:ascii="Arial" w:eastAsia="Arial" w:hAnsi="Arial" w:cs="Arial"/>
          <w:sz w:val="22"/>
          <w:szCs w:val="22"/>
        </w:rPr>
        <w:t xml:space="preserve"> (red line) using 2013-14 data, and the range of </w:t>
      </w:r>
      <w:proofErr w:type="spellStart"/>
      <w:r>
        <w:rPr>
          <w:rFonts w:ascii="Arial" w:eastAsia="Arial" w:hAnsi="Arial" w:cs="Arial"/>
          <w:sz w:val="22"/>
          <w:szCs w:val="22"/>
        </w:rPr>
        <w:t>K</w:t>
      </w:r>
      <w:r w:rsidRPr="00054455">
        <w:rPr>
          <w:rFonts w:ascii="Arial" w:eastAsia="Arial" w:hAnsi="Arial" w:cs="Arial"/>
          <w:sz w:val="22"/>
          <w:szCs w:val="22"/>
          <w:vertAlign w:val="subscript"/>
        </w:rPr>
        <w:t>d</w:t>
      </w:r>
      <w:proofErr w:type="spellEnd"/>
      <w:r>
        <w:rPr>
          <w:rFonts w:ascii="Arial" w:eastAsia="Arial" w:hAnsi="Arial" w:cs="Arial"/>
          <w:sz w:val="22"/>
          <w:szCs w:val="22"/>
        </w:rPr>
        <w:t xml:space="preserve"> (diffuse attenuation coefficient) values expected from </w:t>
      </w:r>
      <w:proofErr w:type="spellStart"/>
      <w:r>
        <w:rPr>
          <w:rFonts w:ascii="Arial" w:eastAsia="Arial" w:hAnsi="Arial" w:cs="Arial"/>
          <w:sz w:val="22"/>
          <w:szCs w:val="22"/>
        </w:rPr>
        <w:t>Hanelt</w:t>
      </w:r>
      <w:proofErr w:type="spellEnd"/>
      <w:r>
        <w:rPr>
          <w:rFonts w:ascii="Arial" w:eastAsia="Arial" w:hAnsi="Arial" w:cs="Arial"/>
          <w:sz w:val="22"/>
          <w:szCs w:val="22"/>
        </w:rPr>
        <w:t xml:space="preserve"> </w:t>
      </w:r>
      <w:r>
        <w:rPr>
          <w:rFonts w:ascii="Arial" w:eastAsia="Arial" w:hAnsi="Arial" w:cs="Arial"/>
          <w:i/>
          <w:sz w:val="22"/>
          <w:szCs w:val="22"/>
        </w:rPr>
        <w:t>et al.</w:t>
      </w:r>
      <w:r>
        <w:rPr>
          <w:rFonts w:ascii="Arial" w:eastAsia="Arial" w:hAnsi="Arial" w:cs="Arial"/>
          <w:sz w:val="22"/>
          <w:szCs w:val="22"/>
        </w:rPr>
        <w:t xml:space="preserve"> (2001) shown in red diamonds.</w:t>
      </w:r>
    </w:p>
    <w:p w14:paraId="3793F2E9" w14:textId="77777777" w:rsidR="007D3FFE" w:rsidRDefault="007D3FFE" w:rsidP="007D3FFE">
      <w:pPr>
        <w:rPr>
          <w:rFonts w:ascii="Arial" w:eastAsia="Arial" w:hAnsi="Arial" w:cs="Arial"/>
          <w:sz w:val="22"/>
          <w:szCs w:val="22"/>
        </w:rPr>
      </w:pPr>
    </w:p>
    <w:p w14:paraId="41DAA08C" w14:textId="26314F59" w:rsidR="007D3FFE" w:rsidRDefault="007D3FFE" w:rsidP="007D3FFE">
      <w:pPr>
        <w:rPr>
          <w:rFonts w:ascii="Arial" w:eastAsia="Arial" w:hAnsi="Arial" w:cs="Arial"/>
          <w:sz w:val="22"/>
          <w:szCs w:val="22"/>
        </w:rPr>
      </w:pPr>
      <w:r w:rsidRPr="00651CD7">
        <w:rPr>
          <w:noProof/>
        </w:rPr>
        <w:t xml:space="preserve"> </w:t>
      </w:r>
      <w:r w:rsidRPr="00651CD7">
        <w:rPr>
          <w:noProof/>
        </w:rPr>
        <w:drawing>
          <wp:inline distT="0" distB="0" distL="0" distR="0" wp14:anchorId="55E66A61" wp14:editId="038BF86A">
            <wp:extent cx="6120130" cy="4088765"/>
            <wp:effectExtent l="0" t="0" r="127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4088765"/>
                    </a:xfrm>
                    <a:prstGeom prst="rect">
                      <a:avLst/>
                    </a:prstGeom>
                  </pic:spPr>
                </pic:pic>
              </a:graphicData>
            </a:graphic>
          </wp:inline>
        </w:drawing>
      </w:r>
    </w:p>
    <w:p w14:paraId="7B4DF4C5" w14:textId="77777777" w:rsidR="007D3FFE" w:rsidRDefault="007D3FFE" w:rsidP="007D3FFE">
      <w:pPr>
        <w:rPr>
          <w:rFonts w:ascii="Arial" w:eastAsia="Arial" w:hAnsi="Arial" w:cs="Arial"/>
          <w:sz w:val="22"/>
          <w:szCs w:val="22"/>
        </w:rPr>
      </w:pPr>
    </w:p>
    <w:p w14:paraId="78B42891" w14:textId="77777777" w:rsidR="007D3FFE" w:rsidRDefault="007D3FFE" w:rsidP="007D3FFE">
      <w:pPr>
        <w:rPr>
          <w:rFonts w:ascii="Arial" w:eastAsia="Arial" w:hAnsi="Arial" w:cs="Arial"/>
          <w:sz w:val="22"/>
          <w:szCs w:val="22"/>
        </w:rPr>
      </w:pPr>
    </w:p>
    <w:p w14:paraId="32853E62" w14:textId="77777777" w:rsidR="007D3FFE" w:rsidRDefault="007D3FFE" w:rsidP="007D3FFE">
      <w:pPr>
        <w:rPr>
          <w:rFonts w:ascii="Arial" w:eastAsia="Arial" w:hAnsi="Arial" w:cs="Arial"/>
          <w:sz w:val="22"/>
          <w:szCs w:val="22"/>
        </w:rPr>
      </w:pPr>
      <w:r>
        <w:br w:type="page"/>
      </w:r>
    </w:p>
    <w:p w14:paraId="3CB70B3F" w14:textId="77777777" w:rsidR="007D3FFE" w:rsidRDefault="007D3FFE" w:rsidP="007D3FFE">
      <w:pPr>
        <w:rPr>
          <w:rFonts w:ascii="Arial" w:eastAsia="Arial" w:hAnsi="Arial" w:cs="Arial"/>
          <w:sz w:val="22"/>
          <w:szCs w:val="22"/>
        </w:rPr>
      </w:pPr>
      <w:r>
        <w:rPr>
          <w:rFonts w:ascii="Arial" w:eastAsia="Arial" w:hAnsi="Arial" w:cs="Arial"/>
          <w:sz w:val="22"/>
          <w:szCs w:val="22"/>
        </w:rPr>
        <w:lastRenderedPageBreak/>
        <w:t>Figure S2: The magnitude of the chlorophyll time series is varied (</w:t>
      </w:r>
      <w:r>
        <w:rPr>
          <w:rFonts w:ascii="Noto Sans Symbols" w:eastAsia="Noto Sans Symbols" w:hAnsi="Noto Sans Symbols" w:cs="Noto Sans Symbols"/>
          <w:sz w:val="22"/>
          <w:szCs w:val="22"/>
        </w:rPr>
        <w:t>±</w:t>
      </w:r>
      <w:r>
        <w:rPr>
          <w:rFonts w:ascii="Arial" w:eastAsia="Arial" w:hAnsi="Arial" w:cs="Arial"/>
          <w:sz w:val="22"/>
          <w:szCs w:val="22"/>
        </w:rPr>
        <w:t xml:space="preserve">50%) to demonstrate the effect on isolume depth. The solid line reflects the chlorophyll magnitude used in the study, and the dotted and dashed lines show the isolume as a consequence of increasing and decreasing the overall magnitude by 50% respectively. </w:t>
      </w:r>
    </w:p>
    <w:p w14:paraId="55373AF7" w14:textId="77777777" w:rsidR="007D3FFE" w:rsidRDefault="007D3FFE" w:rsidP="007D3FFE">
      <w:pPr>
        <w:rPr>
          <w:rFonts w:ascii="Arial" w:eastAsia="Arial" w:hAnsi="Arial" w:cs="Arial"/>
          <w:sz w:val="22"/>
          <w:szCs w:val="22"/>
        </w:rPr>
      </w:pPr>
      <w:r>
        <w:rPr>
          <w:rFonts w:ascii="Arial" w:eastAsia="Arial" w:hAnsi="Arial" w:cs="Arial"/>
          <w:noProof/>
          <w:sz w:val="22"/>
          <w:szCs w:val="22"/>
        </w:rPr>
        <w:drawing>
          <wp:inline distT="114300" distB="114300" distL="114300" distR="114300" wp14:anchorId="2BC5A093" wp14:editId="57ADE55E">
            <wp:extent cx="6180773" cy="462222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180773" cy="4622220"/>
                    </a:xfrm>
                    <a:prstGeom prst="rect">
                      <a:avLst/>
                    </a:prstGeom>
                    <a:ln/>
                  </pic:spPr>
                </pic:pic>
              </a:graphicData>
            </a:graphic>
          </wp:inline>
        </w:drawing>
      </w:r>
    </w:p>
    <w:p w14:paraId="42DDEFB8" w14:textId="77777777" w:rsidR="007D3FFE" w:rsidRDefault="007D3FFE" w:rsidP="007D3FFE">
      <w:pPr>
        <w:jc w:val="both"/>
        <w:rPr>
          <w:rFonts w:ascii="Arial" w:eastAsia="Arial" w:hAnsi="Arial" w:cs="Arial"/>
          <w:sz w:val="22"/>
          <w:szCs w:val="22"/>
        </w:rPr>
      </w:pPr>
      <w:r>
        <w:br w:type="page"/>
      </w:r>
    </w:p>
    <w:p w14:paraId="57424573" w14:textId="77777777" w:rsidR="007D3FFE" w:rsidRDefault="007D3FFE" w:rsidP="007D3FFE">
      <w:pPr>
        <w:jc w:val="both"/>
        <w:rPr>
          <w:rFonts w:ascii="Arial" w:eastAsia="Arial" w:hAnsi="Arial" w:cs="Arial"/>
          <w:sz w:val="22"/>
          <w:szCs w:val="22"/>
        </w:rPr>
      </w:pPr>
      <w:r>
        <w:rPr>
          <w:rFonts w:ascii="Arial" w:eastAsia="Arial" w:hAnsi="Arial" w:cs="Arial"/>
          <w:sz w:val="22"/>
          <w:szCs w:val="22"/>
        </w:rPr>
        <w:lastRenderedPageBreak/>
        <w:t>Figure S3: Lomb-</w:t>
      </w:r>
      <w:proofErr w:type="spellStart"/>
      <w:r>
        <w:rPr>
          <w:rFonts w:ascii="Arial" w:eastAsia="Arial" w:hAnsi="Arial" w:cs="Arial"/>
          <w:sz w:val="22"/>
          <w:szCs w:val="22"/>
        </w:rPr>
        <w:t>scargle</w:t>
      </w:r>
      <w:proofErr w:type="spellEnd"/>
      <w:r>
        <w:rPr>
          <w:rFonts w:ascii="Arial" w:eastAsia="Arial" w:hAnsi="Arial" w:cs="Arial"/>
          <w:sz w:val="22"/>
          <w:szCs w:val="22"/>
        </w:rPr>
        <w:t xml:space="preserve"> periodograms calculated at 30 m for four different time periods (corresponding to Figure 1e-h) across the 2013-14 sampling period. We tested periodicity from 10-day excerpts in the </w:t>
      </w:r>
      <w:proofErr w:type="gramStart"/>
      <w:r>
        <w:rPr>
          <w:rFonts w:ascii="Arial" w:eastAsia="Arial" w:hAnsi="Arial" w:cs="Arial"/>
          <w:sz w:val="22"/>
          <w:szCs w:val="22"/>
        </w:rPr>
        <w:t>0-2 day</w:t>
      </w:r>
      <w:proofErr w:type="gramEnd"/>
      <w:r>
        <w:rPr>
          <w:rFonts w:ascii="Arial" w:eastAsia="Arial" w:hAnsi="Arial" w:cs="Arial"/>
          <w:sz w:val="22"/>
          <w:szCs w:val="22"/>
        </w:rPr>
        <w:t xml:space="preserve"> range (f), P shows an indication of periodicity strength. Horizontal dashed line is at the p = 0.05 level of significance. In spring and autumn (albeit to a lesser extent), clear signals of periodicity are seen at the diel scale (Days = 1). In summer and winter, periodicity is much more variable, and no clear peak is seen.</w:t>
      </w:r>
    </w:p>
    <w:p w14:paraId="246F444A" w14:textId="77777777" w:rsidR="007D3FFE" w:rsidRDefault="007D3FFE" w:rsidP="007D3FFE">
      <w:pPr>
        <w:jc w:val="both"/>
        <w:rPr>
          <w:rFonts w:ascii="Arial" w:eastAsia="Arial" w:hAnsi="Arial" w:cs="Arial"/>
          <w:sz w:val="22"/>
          <w:szCs w:val="22"/>
        </w:rPr>
      </w:pPr>
    </w:p>
    <w:p w14:paraId="5B9B99DB" w14:textId="77777777" w:rsidR="007D3FFE" w:rsidRDefault="007D3FFE" w:rsidP="007D3FFE">
      <w:pPr>
        <w:jc w:val="both"/>
        <w:rPr>
          <w:rFonts w:ascii="Arial" w:eastAsia="Arial" w:hAnsi="Arial" w:cs="Arial"/>
          <w:sz w:val="22"/>
          <w:szCs w:val="22"/>
        </w:rPr>
      </w:pPr>
      <w:r>
        <w:rPr>
          <w:rFonts w:ascii="Arial" w:eastAsia="Arial" w:hAnsi="Arial" w:cs="Arial"/>
          <w:noProof/>
          <w:sz w:val="22"/>
          <w:szCs w:val="22"/>
        </w:rPr>
        <w:drawing>
          <wp:inline distT="114300" distB="114300" distL="114300" distR="114300" wp14:anchorId="4545294E" wp14:editId="094E6D3B">
            <wp:extent cx="6119820" cy="49022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6119820" cy="4902200"/>
                    </a:xfrm>
                    <a:prstGeom prst="rect">
                      <a:avLst/>
                    </a:prstGeom>
                    <a:ln/>
                  </pic:spPr>
                </pic:pic>
              </a:graphicData>
            </a:graphic>
          </wp:inline>
        </w:drawing>
      </w:r>
    </w:p>
    <w:p w14:paraId="7B6A51A1" w14:textId="77777777" w:rsidR="007D3FFE" w:rsidRDefault="007D3FFE" w:rsidP="007D3FFE">
      <w:pPr>
        <w:rPr>
          <w:rFonts w:ascii="Arial" w:eastAsia="Arial" w:hAnsi="Arial" w:cs="Arial"/>
          <w:sz w:val="22"/>
          <w:szCs w:val="22"/>
        </w:rPr>
      </w:pPr>
    </w:p>
    <w:p w14:paraId="38CA7CFB" w14:textId="77777777" w:rsidR="007D3FFE" w:rsidRDefault="007D3FFE" w:rsidP="007D3FFE">
      <w:pPr>
        <w:rPr>
          <w:rFonts w:ascii="Arial" w:eastAsia="Arial" w:hAnsi="Arial" w:cs="Arial"/>
          <w:sz w:val="22"/>
          <w:szCs w:val="22"/>
        </w:rPr>
      </w:pPr>
    </w:p>
    <w:p w14:paraId="4B298DD0" w14:textId="77777777" w:rsidR="007D3FFE" w:rsidRDefault="007D3FFE" w:rsidP="007D3FFE">
      <w:pPr>
        <w:rPr>
          <w:rFonts w:ascii="Arial" w:eastAsia="Arial" w:hAnsi="Arial" w:cs="Arial"/>
          <w:b/>
          <w:sz w:val="22"/>
          <w:szCs w:val="22"/>
        </w:rPr>
      </w:pPr>
      <w:r>
        <w:br w:type="page"/>
      </w:r>
    </w:p>
    <w:p w14:paraId="14323C3B" w14:textId="77777777" w:rsidR="007D3FFE" w:rsidRDefault="007D3FFE" w:rsidP="007D3FFE">
      <w:pPr>
        <w:rPr>
          <w:rFonts w:ascii="Arial" w:eastAsia="Arial" w:hAnsi="Arial" w:cs="Arial"/>
          <w:sz w:val="22"/>
          <w:szCs w:val="22"/>
        </w:rPr>
      </w:pPr>
      <w:r>
        <w:rPr>
          <w:rFonts w:ascii="Arial" w:eastAsia="Arial" w:hAnsi="Arial" w:cs="Arial"/>
          <w:b/>
          <w:sz w:val="22"/>
          <w:szCs w:val="22"/>
        </w:rPr>
        <w:lastRenderedPageBreak/>
        <w:t>Supplementary table:</w:t>
      </w:r>
    </w:p>
    <w:p w14:paraId="663D6AD7" w14:textId="77777777" w:rsidR="007D3FFE" w:rsidRDefault="007D3FFE" w:rsidP="007D3FFE">
      <w:pPr>
        <w:rPr>
          <w:rFonts w:ascii="Arial" w:eastAsia="Arial" w:hAnsi="Arial" w:cs="Arial"/>
          <w:sz w:val="22"/>
          <w:szCs w:val="22"/>
        </w:rPr>
      </w:pPr>
    </w:p>
    <w:p w14:paraId="5D3897EA" w14:textId="77777777" w:rsidR="007D3FFE" w:rsidRDefault="007D3FFE" w:rsidP="007D3FFE">
      <w:pPr>
        <w:rPr>
          <w:rFonts w:ascii="Arial" w:eastAsia="Arial" w:hAnsi="Arial" w:cs="Arial"/>
          <w:sz w:val="22"/>
          <w:szCs w:val="22"/>
        </w:rPr>
      </w:pPr>
      <w:r>
        <w:rPr>
          <w:rFonts w:ascii="Arial" w:eastAsia="Arial" w:hAnsi="Arial" w:cs="Arial"/>
          <w:sz w:val="22"/>
          <w:szCs w:val="22"/>
        </w:rPr>
        <w:t xml:space="preserve">Table S1: Details of mooring deployments. </w:t>
      </w:r>
    </w:p>
    <w:p w14:paraId="5F28D5BB" w14:textId="77777777" w:rsidR="007D3FFE" w:rsidRDefault="007D3FFE" w:rsidP="007D3FFE"/>
    <w:tbl>
      <w:tblPr>
        <w:tblW w:w="90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8"/>
        <w:gridCol w:w="1451"/>
        <w:gridCol w:w="1277"/>
        <w:gridCol w:w="1408"/>
        <w:gridCol w:w="1488"/>
        <w:gridCol w:w="1058"/>
        <w:gridCol w:w="1329"/>
      </w:tblGrid>
      <w:tr w:rsidR="007D3FFE" w14:paraId="6A0076E8" w14:textId="77777777" w:rsidTr="00C45238">
        <w:tc>
          <w:tcPr>
            <w:tcW w:w="998" w:type="dxa"/>
          </w:tcPr>
          <w:p w14:paraId="3C9C4C16" w14:textId="77777777" w:rsidR="007D3FFE" w:rsidRDefault="007D3FFE" w:rsidP="00C45238">
            <w:pPr>
              <w:rPr>
                <w:rFonts w:ascii="Arial" w:eastAsia="Arial" w:hAnsi="Arial" w:cs="Arial"/>
                <w:sz w:val="22"/>
                <w:szCs w:val="22"/>
              </w:rPr>
            </w:pPr>
            <w:r>
              <w:rPr>
                <w:rFonts w:ascii="Arial" w:eastAsia="Arial" w:hAnsi="Arial" w:cs="Arial"/>
                <w:sz w:val="22"/>
                <w:szCs w:val="22"/>
              </w:rPr>
              <w:t>Year</w:t>
            </w:r>
          </w:p>
        </w:tc>
        <w:tc>
          <w:tcPr>
            <w:tcW w:w="1451" w:type="dxa"/>
          </w:tcPr>
          <w:p w14:paraId="531FCA13" w14:textId="77777777" w:rsidR="007D3FFE" w:rsidRDefault="007D3FFE" w:rsidP="00C45238">
            <w:pPr>
              <w:rPr>
                <w:rFonts w:ascii="Arial" w:eastAsia="Arial" w:hAnsi="Arial" w:cs="Arial"/>
                <w:sz w:val="22"/>
                <w:szCs w:val="22"/>
              </w:rPr>
            </w:pPr>
            <w:r>
              <w:rPr>
                <w:rFonts w:ascii="Arial" w:eastAsia="Arial" w:hAnsi="Arial" w:cs="Arial"/>
                <w:sz w:val="22"/>
                <w:szCs w:val="22"/>
              </w:rPr>
              <w:t>Deployment</w:t>
            </w:r>
          </w:p>
        </w:tc>
        <w:tc>
          <w:tcPr>
            <w:tcW w:w="1277" w:type="dxa"/>
          </w:tcPr>
          <w:p w14:paraId="05980BD4" w14:textId="77777777" w:rsidR="007D3FFE" w:rsidRDefault="007D3FFE" w:rsidP="00C45238">
            <w:pPr>
              <w:rPr>
                <w:rFonts w:ascii="Arial" w:eastAsia="Arial" w:hAnsi="Arial" w:cs="Arial"/>
                <w:sz w:val="22"/>
                <w:szCs w:val="22"/>
              </w:rPr>
            </w:pPr>
            <w:r>
              <w:rPr>
                <w:rFonts w:ascii="Arial" w:eastAsia="Arial" w:hAnsi="Arial" w:cs="Arial"/>
                <w:sz w:val="22"/>
                <w:szCs w:val="22"/>
              </w:rPr>
              <w:t>Recovery</w:t>
            </w:r>
          </w:p>
        </w:tc>
        <w:tc>
          <w:tcPr>
            <w:tcW w:w="1408" w:type="dxa"/>
          </w:tcPr>
          <w:p w14:paraId="350A7E16" w14:textId="77777777" w:rsidR="007D3FFE" w:rsidRDefault="007D3FFE" w:rsidP="00C45238">
            <w:pPr>
              <w:rPr>
                <w:rFonts w:ascii="Arial" w:eastAsia="Arial" w:hAnsi="Arial" w:cs="Arial"/>
                <w:sz w:val="22"/>
                <w:szCs w:val="22"/>
              </w:rPr>
            </w:pPr>
            <w:r>
              <w:rPr>
                <w:rFonts w:ascii="Arial" w:eastAsia="Arial" w:hAnsi="Arial" w:cs="Arial"/>
                <w:sz w:val="22"/>
                <w:szCs w:val="22"/>
              </w:rPr>
              <w:t>Depth of fluorometer</w:t>
            </w:r>
          </w:p>
        </w:tc>
        <w:tc>
          <w:tcPr>
            <w:tcW w:w="1488" w:type="dxa"/>
          </w:tcPr>
          <w:p w14:paraId="6E93E310" w14:textId="77777777" w:rsidR="007D3FFE" w:rsidRDefault="007D3FFE" w:rsidP="00C45238">
            <w:pPr>
              <w:rPr>
                <w:rFonts w:ascii="Arial" w:eastAsia="Arial" w:hAnsi="Arial" w:cs="Arial"/>
                <w:sz w:val="22"/>
                <w:szCs w:val="22"/>
              </w:rPr>
            </w:pPr>
            <w:r>
              <w:rPr>
                <w:rFonts w:ascii="Arial" w:eastAsia="Arial" w:hAnsi="Arial" w:cs="Arial"/>
                <w:sz w:val="22"/>
                <w:szCs w:val="22"/>
              </w:rPr>
              <w:t>Date and value of chlorophyll sample (summarised in (</w:t>
            </w:r>
            <w:proofErr w:type="spellStart"/>
            <w:r>
              <w:rPr>
                <w:rFonts w:ascii="Arial" w:eastAsia="Arial" w:hAnsi="Arial" w:cs="Arial"/>
                <w:sz w:val="22"/>
                <w:szCs w:val="22"/>
              </w:rPr>
              <w:t>Hegseth</w:t>
            </w:r>
            <w:proofErr w:type="spellEnd"/>
            <w:r>
              <w:rPr>
                <w:rFonts w:ascii="Arial" w:eastAsia="Arial" w:hAnsi="Arial" w:cs="Arial"/>
                <w:sz w:val="22"/>
                <w:szCs w:val="22"/>
              </w:rPr>
              <w:t xml:space="preserve"> </w:t>
            </w:r>
            <w:r>
              <w:rPr>
                <w:rFonts w:ascii="Arial" w:eastAsia="Arial" w:hAnsi="Arial" w:cs="Arial"/>
                <w:i/>
                <w:sz w:val="22"/>
                <w:szCs w:val="22"/>
              </w:rPr>
              <w:t>et al.</w:t>
            </w:r>
            <w:r>
              <w:rPr>
                <w:rFonts w:ascii="Arial" w:eastAsia="Arial" w:hAnsi="Arial" w:cs="Arial"/>
                <w:sz w:val="22"/>
                <w:szCs w:val="22"/>
              </w:rPr>
              <w:t>, 2019)</w:t>
            </w:r>
          </w:p>
        </w:tc>
        <w:tc>
          <w:tcPr>
            <w:tcW w:w="1058" w:type="dxa"/>
          </w:tcPr>
          <w:p w14:paraId="3A7ACB2F" w14:textId="77777777" w:rsidR="007D3FFE" w:rsidRDefault="007D3FFE" w:rsidP="00C45238">
            <w:pPr>
              <w:rPr>
                <w:rFonts w:ascii="Arial" w:eastAsia="Arial" w:hAnsi="Arial" w:cs="Arial"/>
                <w:sz w:val="22"/>
                <w:szCs w:val="22"/>
              </w:rPr>
            </w:pPr>
            <w:r>
              <w:rPr>
                <w:rFonts w:ascii="Arial" w:eastAsia="Arial" w:hAnsi="Arial" w:cs="Arial"/>
                <w:sz w:val="22"/>
                <w:szCs w:val="22"/>
              </w:rPr>
              <w:t>Depth of upwards looking ADCP (m)</w:t>
            </w:r>
          </w:p>
        </w:tc>
        <w:tc>
          <w:tcPr>
            <w:tcW w:w="1329" w:type="dxa"/>
          </w:tcPr>
          <w:p w14:paraId="13D192FC" w14:textId="77777777" w:rsidR="007D3FFE" w:rsidRDefault="007D3FFE" w:rsidP="00C45238">
            <w:pPr>
              <w:rPr>
                <w:rFonts w:ascii="Arial" w:eastAsia="Arial" w:hAnsi="Arial" w:cs="Arial"/>
                <w:sz w:val="22"/>
                <w:szCs w:val="22"/>
              </w:rPr>
            </w:pPr>
            <w:r>
              <w:rPr>
                <w:rFonts w:ascii="Arial" w:eastAsia="Arial" w:hAnsi="Arial" w:cs="Arial"/>
                <w:sz w:val="22"/>
                <w:szCs w:val="22"/>
              </w:rPr>
              <w:t>Depth of downwards looking ADCP (m)</w:t>
            </w:r>
          </w:p>
        </w:tc>
      </w:tr>
      <w:tr w:rsidR="007D3FFE" w14:paraId="79D2106C" w14:textId="77777777" w:rsidTr="00C45238">
        <w:tc>
          <w:tcPr>
            <w:tcW w:w="998" w:type="dxa"/>
          </w:tcPr>
          <w:p w14:paraId="2EDE8650" w14:textId="77777777" w:rsidR="007D3FFE" w:rsidRDefault="007D3FFE" w:rsidP="00C45238">
            <w:pPr>
              <w:rPr>
                <w:rFonts w:ascii="Arial" w:eastAsia="Arial" w:hAnsi="Arial" w:cs="Arial"/>
                <w:sz w:val="22"/>
                <w:szCs w:val="22"/>
              </w:rPr>
            </w:pPr>
            <w:r>
              <w:rPr>
                <w:rFonts w:ascii="Arial" w:eastAsia="Arial" w:hAnsi="Arial" w:cs="Arial"/>
                <w:sz w:val="22"/>
                <w:szCs w:val="22"/>
              </w:rPr>
              <w:t>2007-08</w:t>
            </w:r>
          </w:p>
        </w:tc>
        <w:tc>
          <w:tcPr>
            <w:tcW w:w="1451" w:type="dxa"/>
          </w:tcPr>
          <w:p w14:paraId="29D37159" w14:textId="77777777" w:rsidR="007D3FFE" w:rsidRDefault="007D3FFE" w:rsidP="00C45238">
            <w:pPr>
              <w:rPr>
                <w:rFonts w:ascii="Arial" w:eastAsia="Arial" w:hAnsi="Arial" w:cs="Arial"/>
                <w:sz w:val="22"/>
                <w:szCs w:val="22"/>
              </w:rPr>
            </w:pPr>
            <w:r>
              <w:rPr>
                <w:rFonts w:ascii="Arial" w:eastAsia="Arial" w:hAnsi="Arial" w:cs="Arial"/>
                <w:sz w:val="22"/>
                <w:szCs w:val="22"/>
              </w:rPr>
              <w:t>31-Aug-2007</w:t>
            </w:r>
          </w:p>
        </w:tc>
        <w:tc>
          <w:tcPr>
            <w:tcW w:w="1277" w:type="dxa"/>
          </w:tcPr>
          <w:p w14:paraId="2FB02558" w14:textId="77777777" w:rsidR="007D3FFE" w:rsidRDefault="007D3FFE" w:rsidP="00C45238">
            <w:pPr>
              <w:rPr>
                <w:rFonts w:ascii="Arial" w:eastAsia="Arial" w:hAnsi="Arial" w:cs="Arial"/>
                <w:sz w:val="22"/>
                <w:szCs w:val="22"/>
              </w:rPr>
            </w:pPr>
            <w:r>
              <w:rPr>
                <w:rFonts w:ascii="Arial" w:eastAsia="Arial" w:hAnsi="Arial" w:cs="Arial"/>
                <w:sz w:val="22"/>
                <w:szCs w:val="22"/>
              </w:rPr>
              <w:t>17-Aug-2008</w:t>
            </w:r>
          </w:p>
        </w:tc>
        <w:tc>
          <w:tcPr>
            <w:tcW w:w="1408" w:type="dxa"/>
          </w:tcPr>
          <w:p w14:paraId="13957BC9" w14:textId="77777777" w:rsidR="007D3FFE" w:rsidRDefault="007D3FFE" w:rsidP="00C45238">
            <w:pPr>
              <w:rPr>
                <w:rFonts w:ascii="Arial" w:eastAsia="Arial" w:hAnsi="Arial" w:cs="Arial"/>
                <w:sz w:val="22"/>
                <w:szCs w:val="22"/>
              </w:rPr>
            </w:pPr>
            <w:r>
              <w:rPr>
                <w:rFonts w:ascii="Arial" w:eastAsia="Arial" w:hAnsi="Arial" w:cs="Arial"/>
                <w:sz w:val="22"/>
                <w:szCs w:val="22"/>
              </w:rPr>
              <w:t>31.5</w:t>
            </w:r>
          </w:p>
        </w:tc>
        <w:tc>
          <w:tcPr>
            <w:tcW w:w="1488" w:type="dxa"/>
          </w:tcPr>
          <w:p w14:paraId="68BA8730" w14:textId="77777777" w:rsidR="007D3FFE" w:rsidRDefault="007D3FFE" w:rsidP="00C45238">
            <w:pPr>
              <w:rPr>
                <w:rFonts w:ascii="Arial" w:eastAsia="Arial" w:hAnsi="Arial" w:cs="Arial"/>
                <w:sz w:val="22"/>
                <w:szCs w:val="22"/>
              </w:rPr>
            </w:pPr>
            <w:r>
              <w:rPr>
                <w:rFonts w:ascii="Arial" w:eastAsia="Arial" w:hAnsi="Arial" w:cs="Arial"/>
                <w:sz w:val="22"/>
                <w:szCs w:val="22"/>
              </w:rPr>
              <w:t xml:space="preserve">2.0 </w:t>
            </w:r>
            <w:r>
              <w:rPr>
                <w:rFonts w:ascii="Noto Sans Symbols" w:eastAsia="Noto Sans Symbols" w:hAnsi="Noto Sans Symbols" w:cs="Noto Sans Symbols"/>
                <w:sz w:val="22"/>
                <w:szCs w:val="22"/>
              </w:rPr>
              <w:t>μ</w:t>
            </w:r>
            <w:r>
              <w:rPr>
                <w:rFonts w:ascii="Arial" w:eastAsia="Arial" w:hAnsi="Arial" w:cs="Arial"/>
                <w:sz w:val="22"/>
                <w:szCs w:val="22"/>
              </w:rPr>
              <w:t>gL</w:t>
            </w:r>
            <w:r>
              <w:rPr>
                <w:rFonts w:ascii="Arial" w:eastAsia="Arial" w:hAnsi="Arial" w:cs="Arial"/>
                <w:sz w:val="22"/>
                <w:szCs w:val="22"/>
                <w:vertAlign w:val="superscript"/>
              </w:rPr>
              <w:t>-1</w:t>
            </w:r>
            <w:r>
              <w:rPr>
                <w:rFonts w:ascii="Arial" w:eastAsia="Arial" w:hAnsi="Arial" w:cs="Arial"/>
                <w:sz w:val="22"/>
                <w:szCs w:val="22"/>
              </w:rPr>
              <w:t xml:space="preserve">, </w:t>
            </w:r>
          </w:p>
          <w:p w14:paraId="56E12CFB" w14:textId="77777777" w:rsidR="007D3FFE" w:rsidRDefault="007D3FFE" w:rsidP="00C45238">
            <w:pPr>
              <w:rPr>
                <w:rFonts w:ascii="Arial" w:eastAsia="Arial" w:hAnsi="Arial" w:cs="Arial"/>
                <w:sz w:val="22"/>
                <w:szCs w:val="22"/>
              </w:rPr>
            </w:pPr>
            <w:r>
              <w:rPr>
                <w:rFonts w:ascii="Arial" w:eastAsia="Arial" w:hAnsi="Arial" w:cs="Arial"/>
                <w:sz w:val="22"/>
                <w:szCs w:val="22"/>
              </w:rPr>
              <w:t>01 May ‘08</w:t>
            </w:r>
          </w:p>
        </w:tc>
        <w:tc>
          <w:tcPr>
            <w:tcW w:w="1058" w:type="dxa"/>
          </w:tcPr>
          <w:p w14:paraId="17876C48" w14:textId="77777777" w:rsidR="007D3FFE" w:rsidRDefault="007D3FFE" w:rsidP="00C45238">
            <w:pPr>
              <w:rPr>
                <w:rFonts w:ascii="Arial" w:eastAsia="Arial" w:hAnsi="Arial" w:cs="Arial"/>
                <w:sz w:val="22"/>
                <w:szCs w:val="22"/>
              </w:rPr>
            </w:pPr>
            <w:r>
              <w:rPr>
                <w:rFonts w:ascii="Arial" w:eastAsia="Arial" w:hAnsi="Arial" w:cs="Arial"/>
                <w:sz w:val="22"/>
                <w:szCs w:val="22"/>
              </w:rPr>
              <w:t>110</w:t>
            </w:r>
          </w:p>
        </w:tc>
        <w:tc>
          <w:tcPr>
            <w:tcW w:w="1329" w:type="dxa"/>
          </w:tcPr>
          <w:p w14:paraId="4151CA7E" w14:textId="77777777" w:rsidR="007D3FFE" w:rsidRDefault="007D3FFE" w:rsidP="00C45238">
            <w:pPr>
              <w:rPr>
                <w:rFonts w:ascii="Arial" w:eastAsia="Arial" w:hAnsi="Arial" w:cs="Arial"/>
                <w:sz w:val="22"/>
                <w:szCs w:val="22"/>
              </w:rPr>
            </w:pPr>
            <w:r>
              <w:rPr>
                <w:rFonts w:ascii="Arial" w:eastAsia="Arial" w:hAnsi="Arial" w:cs="Arial"/>
                <w:sz w:val="22"/>
                <w:szCs w:val="22"/>
              </w:rPr>
              <w:t>N/A</w:t>
            </w:r>
          </w:p>
        </w:tc>
      </w:tr>
      <w:tr w:rsidR="007D3FFE" w14:paraId="5B9A4E52" w14:textId="77777777" w:rsidTr="00C45238">
        <w:tc>
          <w:tcPr>
            <w:tcW w:w="998" w:type="dxa"/>
          </w:tcPr>
          <w:p w14:paraId="0ACCF879" w14:textId="77777777" w:rsidR="007D3FFE" w:rsidRDefault="007D3FFE" w:rsidP="00C45238">
            <w:pPr>
              <w:rPr>
                <w:rFonts w:ascii="Arial" w:eastAsia="Arial" w:hAnsi="Arial" w:cs="Arial"/>
                <w:sz w:val="22"/>
                <w:szCs w:val="22"/>
              </w:rPr>
            </w:pPr>
            <w:r>
              <w:rPr>
                <w:rFonts w:ascii="Arial" w:eastAsia="Arial" w:hAnsi="Arial" w:cs="Arial"/>
                <w:sz w:val="22"/>
                <w:szCs w:val="22"/>
              </w:rPr>
              <w:t>2008-09</w:t>
            </w:r>
          </w:p>
        </w:tc>
        <w:tc>
          <w:tcPr>
            <w:tcW w:w="1451" w:type="dxa"/>
          </w:tcPr>
          <w:p w14:paraId="7464E989" w14:textId="77777777" w:rsidR="007D3FFE" w:rsidRDefault="007D3FFE" w:rsidP="00C45238">
            <w:pPr>
              <w:rPr>
                <w:rFonts w:ascii="Arial" w:eastAsia="Arial" w:hAnsi="Arial" w:cs="Arial"/>
                <w:sz w:val="22"/>
                <w:szCs w:val="22"/>
              </w:rPr>
            </w:pPr>
            <w:r>
              <w:rPr>
                <w:rFonts w:ascii="Arial" w:eastAsia="Arial" w:hAnsi="Arial" w:cs="Arial"/>
                <w:sz w:val="22"/>
                <w:szCs w:val="22"/>
              </w:rPr>
              <w:t>04-Sep-2008</w:t>
            </w:r>
          </w:p>
        </w:tc>
        <w:tc>
          <w:tcPr>
            <w:tcW w:w="1277" w:type="dxa"/>
          </w:tcPr>
          <w:p w14:paraId="5E6013B8" w14:textId="77777777" w:rsidR="007D3FFE" w:rsidRDefault="007D3FFE" w:rsidP="00C45238">
            <w:pPr>
              <w:rPr>
                <w:rFonts w:ascii="Arial" w:eastAsia="Arial" w:hAnsi="Arial" w:cs="Arial"/>
                <w:sz w:val="22"/>
                <w:szCs w:val="22"/>
              </w:rPr>
            </w:pPr>
            <w:r>
              <w:rPr>
                <w:rFonts w:ascii="Arial" w:eastAsia="Arial" w:hAnsi="Arial" w:cs="Arial"/>
                <w:sz w:val="22"/>
                <w:szCs w:val="22"/>
              </w:rPr>
              <w:t>22-Aug-2009</w:t>
            </w:r>
          </w:p>
        </w:tc>
        <w:tc>
          <w:tcPr>
            <w:tcW w:w="1408" w:type="dxa"/>
          </w:tcPr>
          <w:p w14:paraId="26E169DD" w14:textId="77777777" w:rsidR="007D3FFE" w:rsidRDefault="007D3FFE" w:rsidP="00C45238">
            <w:pPr>
              <w:rPr>
                <w:rFonts w:ascii="Arial" w:eastAsia="Arial" w:hAnsi="Arial" w:cs="Arial"/>
                <w:sz w:val="22"/>
                <w:szCs w:val="22"/>
              </w:rPr>
            </w:pPr>
            <w:r>
              <w:rPr>
                <w:rFonts w:ascii="Arial" w:eastAsia="Arial" w:hAnsi="Arial" w:cs="Arial"/>
                <w:sz w:val="22"/>
                <w:szCs w:val="22"/>
              </w:rPr>
              <w:t>24</w:t>
            </w:r>
          </w:p>
        </w:tc>
        <w:tc>
          <w:tcPr>
            <w:tcW w:w="1488" w:type="dxa"/>
          </w:tcPr>
          <w:p w14:paraId="30A70BF8" w14:textId="77777777" w:rsidR="007D3FFE" w:rsidRDefault="007D3FFE" w:rsidP="00C45238">
            <w:pPr>
              <w:rPr>
                <w:rFonts w:ascii="Arial" w:eastAsia="Arial" w:hAnsi="Arial" w:cs="Arial"/>
                <w:sz w:val="22"/>
                <w:szCs w:val="22"/>
              </w:rPr>
            </w:pPr>
            <w:r>
              <w:rPr>
                <w:rFonts w:ascii="Arial" w:eastAsia="Arial" w:hAnsi="Arial" w:cs="Arial"/>
                <w:sz w:val="22"/>
                <w:szCs w:val="22"/>
              </w:rPr>
              <w:t xml:space="preserve">2.1 </w:t>
            </w:r>
            <w:r>
              <w:rPr>
                <w:rFonts w:ascii="Noto Sans Symbols" w:eastAsia="Noto Sans Symbols" w:hAnsi="Noto Sans Symbols" w:cs="Noto Sans Symbols"/>
                <w:sz w:val="22"/>
                <w:szCs w:val="22"/>
              </w:rPr>
              <w:t>μ</w:t>
            </w:r>
            <w:r>
              <w:rPr>
                <w:rFonts w:ascii="Arial" w:eastAsia="Arial" w:hAnsi="Arial" w:cs="Arial"/>
                <w:sz w:val="22"/>
                <w:szCs w:val="22"/>
              </w:rPr>
              <w:t>gL</w:t>
            </w:r>
            <w:r>
              <w:rPr>
                <w:rFonts w:ascii="Arial" w:eastAsia="Arial" w:hAnsi="Arial" w:cs="Arial"/>
                <w:sz w:val="22"/>
                <w:szCs w:val="22"/>
                <w:vertAlign w:val="superscript"/>
              </w:rPr>
              <w:t>-1</w:t>
            </w:r>
            <w:r>
              <w:rPr>
                <w:rFonts w:ascii="Arial" w:eastAsia="Arial" w:hAnsi="Arial" w:cs="Arial"/>
                <w:sz w:val="22"/>
                <w:szCs w:val="22"/>
              </w:rPr>
              <w:t xml:space="preserve">, </w:t>
            </w:r>
          </w:p>
          <w:p w14:paraId="1382E3EA" w14:textId="77777777" w:rsidR="007D3FFE" w:rsidRDefault="007D3FFE" w:rsidP="00C45238">
            <w:pPr>
              <w:rPr>
                <w:rFonts w:ascii="Arial" w:eastAsia="Arial" w:hAnsi="Arial" w:cs="Arial"/>
                <w:sz w:val="22"/>
                <w:szCs w:val="22"/>
              </w:rPr>
            </w:pPr>
            <w:r>
              <w:rPr>
                <w:rFonts w:ascii="Arial" w:eastAsia="Arial" w:hAnsi="Arial" w:cs="Arial"/>
                <w:sz w:val="22"/>
                <w:szCs w:val="22"/>
              </w:rPr>
              <w:t>17-20 Jul ‘09</w:t>
            </w:r>
          </w:p>
        </w:tc>
        <w:tc>
          <w:tcPr>
            <w:tcW w:w="1058" w:type="dxa"/>
          </w:tcPr>
          <w:p w14:paraId="1F6E520A" w14:textId="77777777" w:rsidR="007D3FFE" w:rsidRDefault="007D3FFE" w:rsidP="00C45238">
            <w:pPr>
              <w:rPr>
                <w:rFonts w:ascii="Arial" w:eastAsia="Arial" w:hAnsi="Arial" w:cs="Arial"/>
                <w:sz w:val="22"/>
                <w:szCs w:val="22"/>
              </w:rPr>
            </w:pPr>
            <w:r>
              <w:rPr>
                <w:rFonts w:ascii="Arial" w:eastAsia="Arial" w:hAnsi="Arial" w:cs="Arial"/>
                <w:sz w:val="22"/>
                <w:szCs w:val="22"/>
              </w:rPr>
              <w:t>101</w:t>
            </w:r>
          </w:p>
        </w:tc>
        <w:tc>
          <w:tcPr>
            <w:tcW w:w="1329" w:type="dxa"/>
          </w:tcPr>
          <w:p w14:paraId="664E0ECA" w14:textId="77777777" w:rsidR="007D3FFE" w:rsidRDefault="007D3FFE" w:rsidP="00C45238">
            <w:pPr>
              <w:rPr>
                <w:rFonts w:ascii="Arial" w:eastAsia="Arial" w:hAnsi="Arial" w:cs="Arial"/>
                <w:sz w:val="22"/>
                <w:szCs w:val="22"/>
              </w:rPr>
            </w:pPr>
            <w:r>
              <w:rPr>
                <w:rFonts w:ascii="Arial" w:eastAsia="Arial" w:hAnsi="Arial" w:cs="Arial"/>
                <w:sz w:val="22"/>
                <w:szCs w:val="22"/>
              </w:rPr>
              <w:t>N/A</w:t>
            </w:r>
          </w:p>
        </w:tc>
      </w:tr>
      <w:tr w:rsidR="007D3FFE" w14:paraId="57196B82" w14:textId="77777777" w:rsidTr="00C45238">
        <w:tc>
          <w:tcPr>
            <w:tcW w:w="998" w:type="dxa"/>
          </w:tcPr>
          <w:p w14:paraId="49BB920E" w14:textId="77777777" w:rsidR="007D3FFE" w:rsidRDefault="007D3FFE" w:rsidP="00C45238">
            <w:pPr>
              <w:rPr>
                <w:rFonts w:ascii="Arial" w:eastAsia="Arial" w:hAnsi="Arial" w:cs="Arial"/>
                <w:sz w:val="22"/>
                <w:szCs w:val="22"/>
              </w:rPr>
            </w:pPr>
            <w:r>
              <w:rPr>
                <w:rFonts w:ascii="Arial" w:eastAsia="Arial" w:hAnsi="Arial" w:cs="Arial"/>
                <w:sz w:val="22"/>
                <w:szCs w:val="22"/>
              </w:rPr>
              <w:t>2013-14</w:t>
            </w:r>
          </w:p>
        </w:tc>
        <w:tc>
          <w:tcPr>
            <w:tcW w:w="1451" w:type="dxa"/>
          </w:tcPr>
          <w:p w14:paraId="3BDEFD00" w14:textId="77777777" w:rsidR="007D3FFE" w:rsidRDefault="007D3FFE" w:rsidP="00C45238">
            <w:pPr>
              <w:rPr>
                <w:rFonts w:ascii="Arial" w:eastAsia="Arial" w:hAnsi="Arial" w:cs="Arial"/>
                <w:sz w:val="22"/>
                <w:szCs w:val="22"/>
              </w:rPr>
            </w:pPr>
            <w:r>
              <w:rPr>
                <w:rFonts w:ascii="Arial" w:eastAsia="Arial" w:hAnsi="Arial" w:cs="Arial"/>
                <w:sz w:val="22"/>
                <w:szCs w:val="22"/>
              </w:rPr>
              <w:t>06-Oct-2013</w:t>
            </w:r>
          </w:p>
        </w:tc>
        <w:tc>
          <w:tcPr>
            <w:tcW w:w="1277" w:type="dxa"/>
          </w:tcPr>
          <w:p w14:paraId="749CC1A3" w14:textId="77777777" w:rsidR="007D3FFE" w:rsidRDefault="007D3FFE" w:rsidP="00C45238">
            <w:pPr>
              <w:rPr>
                <w:rFonts w:ascii="Arial" w:eastAsia="Arial" w:hAnsi="Arial" w:cs="Arial"/>
                <w:sz w:val="22"/>
                <w:szCs w:val="22"/>
              </w:rPr>
            </w:pPr>
            <w:r>
              <w:rPr>
                <w:rFonts w:ascii="Arial" w:eastAsia="Arial" w:hAnsi="Arial" w:cs="Arial"/>
                <w:sz w:val="22"/>
                <w:szCs w:val="22"/>
              </w:rPr>
              <w:t>09-Sep-2014</w:t>
            </w:r>
          </w:p>
        </w:tc>
        <w:tc>
          <w:tcPr>
            <w:tcW w:w="1408" w:type="dxa"/>
          </w:tcPr>
          <w:p w14:paraId="3CBD85D9" w14:textId="77777777" w:rsidR="007D3FFE" w:rsidRDefault="007D3FFE" w:rsidP="00C45238">
            <w:pPr>
              <w:rPr>
                <w:rFonts w:ascii="Arial" w:eastAsia="Arial" w:hAnsi="Arial" w:cs="Arial"/>
                <w:sz w:val="22"/>
                <w:szCs w:val="22"/>
              </w:rPr>
            </w:pPr>
            <w:r>
              <w:rPr>
                <w:rFonts w:ascii="Arial" w:eastAsia="Arial" w:hAnsi="Arial" w:cs="Arial"/>
                <w:sz w:val="22"/>
                <w:szCs w:val="22"/>
              </w:rPr>
              <w:t>38</w:t>
            </w:r>
          </w:p>
        </w:tc>
        <w:tc>
          <w:tcPr>
            <w:tcW w:w="1488" w:type="dxa"/>
          </w:tcPr>
          <w:p w14:paraId="4DC4A495" w14:textId="77777777" w:rsidR="007D3FFE" w:rsidRDefault="007D3FFE" w:rsidP="00C45238">
            <w:pPr>
              <w:rPr>
                <w:rFonts w:ascii="Arial" w:eastAsia="Arial" w:hAnsi="Arial" w:cs="Arial"/>
                <w:sz w:val="22"/>
                <w:szCs w:val="22"/>
              </w:rPr>
            </w:pPr>
            <w:r>
              <w:rPr>
                <w:rFonts w:ascii="Arial" w:eastAsia="Arial" w:hAnsi="Arial" w:cs="Arial"/>
                <w:sz w:val="22"/>
                <w:szCs w:val="22"/>
              </w:rPr>
              <w:t xml:space="preserve">3.4 </w:t>
            </w:r>
            <w:r>
              <w:rPr>
                <w:rFonts w:ascii="Noto Sans Symbols" w:eastAsia="Noto Sans Symbols" w:hAnsi="Noto Sans Symbols" w:cs="Noto Sans Symbols"/>
                <w:sz w:val="22"/>
                <w:szCs w:val="22"/>
              </w:rPr>
              <w:t>μ</w:t>
            </w:r>
            <w:r>
              <w:rPr>
                <w:rFonts w:ascii="Arial" w:eastAsia="Arial" w:hAnsi="Arial" w:cs="Arial"/>
                <w:sz w:val="22"/>
                <w:szCs w:val="22"/>
              </w:rPr>
              <w:t>gL</w:t>
            </w:r>
            <w:r>
              <w:rPr>
                <w:rFonts w:ascii="Arial" w:eastAsia="Arial" w:hAnsi="Arial" w:cs="Arial"/>
                <w:sz w:val="22"/>
                <w:szCs w:val="22"/>
                <w:vertAlign w:val="superscript"/>
              </w:rPr>
              <w:t>-1</w:t>
            </w:r>
            <w:r>
              <w:rPr>
                <w:rFonts w:ascii="Arial" w:eastAsia="Arial" w:hAnsi="Arial" w:cs="Arial"/>
                <w:sz w:val="22"/>
                <w:szCs w:val="22"/>
              </w:rPr>
              <w:t xml:space="preserve">, </w:t>
            </w:r>
          </w:p>
          <w:p w14:paraId="0BEABE4D" w14:textId="77777777" w:rsidR="007D3FFE" w:rsidRDefault="007D3FFE" w:rsidP="00C45238">
            <w:pPr>
              <w:rPr>
                <w:rFonts w:ascii="Arial" w:eastAsia="Arial" w:hAnsi="Arial" w:cs="Arial"/>
                <w:sz w:val="22"/>
                <w:szCs w:val="22"/>
              </w:rPr>
            </w:pPr>
            <w:r>
              <w:rPr>
                <w:rFonts w:ascii="Arial" w:eastAsia="Arial" w:hAnsi="Arial" w:cs="Arial"/>
                <w:sz w:val="22"/>
                <w:szCs w:val="22"/>
              </w:rPr>
              <w:t>23-25 Jul ‘14</w:t>
            </w:r>
          </w:p>
        </w:tc>
        <w:tc>
          <w:tcPr>
            <w:tcW w:w="1058" w:type="dxa"/>
          </w:tcPr>
          <w:p w14:paraId="47933F1A" w14:textId="77777777" w:rsidR="007D3FFE" w:rsidRDefault="007D3FFE" w:rsidP="00C45238">
            <w:pPr>
              <w:rPr>
                <w:rFonts w:ascii="Arial" w:eastAsia="Arial" w:hAnsi="Arial" w:cs="Arial"/>
                <w:sz w:val="22"/>
                <w:szCs w:val="22"/>
              </w:rPr>
            </w:pPr>
            <w:r>
              <w:rPr>
                <w:rFonts w:ascii="Arial" w:eastAsia="Arial" w:hAnsi="Arial" w:cs="Arial"/>
                <w:sz w:val="22"/>
                <w:szCs w:val="22"/>
              </w:rPr>
              <w:t>102</w:t>
            </w:r>
          </w:p>
        </w:tc>
        <w:tc>
          <w:tcPr>
            <w:tcW w:w="1329" w:type="dxa"/>
          </w:tcPr>
          <w:p w14:paraId="76E8ABF2" w14:textId="77777777" w:rsidR="007D3FFE" w:rsidRDefault="007D3FFE" w:rsidP="00C45238">
            <w:pPr>
              <w:rPr>
                <w:rFonts w:ascii="Arial" w:eastAsia="Arial" w:hAnsi="Arial" w:cs="Arial"/>
                <w:sz w:val="22"/>
                <w:szCs w:val="22"/>
              </w:rPr>
            </w:pPr>
            <w:r>
              <w:rPr>
                <w:rFonts w:ascii="Arial" w:eastAsia="Arial" w:hAnsi="Arial" w:cs="Arial"/>
                <w:sz w:val="22"/>
                <w:szCs w:val="22"/>
              </w:rPr>
              <w:t>103</w:t>
            </w:r>
          </w:p>
        </w:tc>
      </w:tr>
    </w:tbl>
    <w:p w14:paraId="053E392A" w14:textId="77777777" w:rsidR="007D3FFE" w:rsidRDefault="007D3FFE" w:rsidP="007D3FFE">
      <w:pPr>
        <w:jc w:val="both"/>
        <w:rPr>
          <w:rFonts w:ascii="Arial" w:eastAsia="Arial" w:hAnsi="Arial" w:cs="Arial"/>
          <w:sz w:val="22"/>
          <w:szCs w:val="22"/>
        </w:rPr>
      </w:pPr>
    </w:p>
    <w:p w14:paraId="3F23B90E" w14:textId="77777777" w:rsidR="007D3FFE" w:rsidRDefault="007D3FFE" w:rsidP="007D3FFE">
      <w:pPr>
        <w:jc w:val="both"/>
        <w:rPr>
          <w:rFonts w:ascii="Arial" w:eastAsia="Arial" w:hAnsi="Arial" w:cs="Arial"/>
          <w:sz w:val="22"/>
          <w:szCs w:val="22"/>
        </w:rPr>
      </w:pPr>
    </w:p>
    <w:p w14:paraId="587F1BC9" w14:textId="77777777" w:rsidR="007D3FFE" w:rsidRDefault="007D3FFE" w:rsidP="007D3FFE">
      <w:pPr>
        <w:rPr>
          <w:rFonts w:ascii="Arial" w:eastAsia="Arial" w:hAnsi="Arial" w:cs="Arial"/>
          <w:sz w:val="22"/>
          <w:szCs w:val="22"/>
        </w:rPr>
      </w:pPr>
    </w:p>
    <w:p w14:paraId="23548965" w14:textId="77777777" w:rsidR="007969B3" w:rsidRDefault="005D6D36"/>
    <w:sectPr w:rsidR="007969B3" w:rsidSect="00054455">
      <w:headerReference w:type="default" r:id="rId13"/>
      <w:footerReference w:type="even" r:id="rId14"/>
      <w:footerReference w:type="default" r:id="rId15"/>
      <w:pgSz w:w="11906" w:h="16838"/>
      <w:pgMar w:top="1134" w:right="1134" w:bottom="1134" w:left="1134" w:header="720" w:footer="720" w:gutter="0"/>
      <w:lnNumType w:countBy="1" w:restart="continuou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FD5811" w14:textId="77777777" w:rsidR="005D6D36" w:rsidRDefault="005D6D36">
      <w:r>
        <w:separator/>
      </w:r>
    </w:p>
  </w:endnote>
  <w:endnote w:type="continuationSeparator" w:id="0">
    <w:p w14:paraId="71E22EAA" w14:textId="77777777" w:rsidR="005D6D36" w:rsidRDefault="005D6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Noto Sans Symbols">
    <w:altName w:val="Calibri"/>
    <w:panose1 w:val="020B0604020202020204"/>
    <w:charset w:val="00"/>
    <w:family w:val="auto"/>
    <w:pitch w:val="default"/>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12662" w14:textId="77777777" w:rsidR="00F06AC9" w:rsidRDefault="00CB759C">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2CEA4F0D" w14:textId="77777777" w:rsidR="00F06AC9" w:rsidRDefault="005D6D36">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24DD7" w14:textId="77777777" w:rsidR="00F06AC9" w:rsidRDefault="00CB759C">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37D12219" w14:textId="027EB6CF" w:rsidR="00F06AC9" w:rsidRDefault="00382DAA" w:rsidP="00054455">
    <w:pPr>
      <w:pBdr>
        <w:top w:val="nil"/>
        <w:left w:val="nil"/>
        <w:bottom w:val="nil"/>
        <w:right w:val="nil"/>
        <w:between w:val="nil"/>
      </w:pBdr>
      <w:tabs>
        <w:tab w:val="left" w:pos="2503"/>
      </w:tabs>
      <w:ind w:right="360"/>
      <w:rPr>
        <w:color w:val="000000"/>
      </w:rPr>
    </w:pPr>
    <w:r>
      <w:rPr>
        <w:color w:val="000000"/>
      </w:rPr>
      <w:t xml:space="preserve">Hobbs, L., Banas, N.S., Cohen, J.H., Cottier. F.R, Berge, J., and </w:t>
    </w:r>
    <w:proofErr w:type="spellStart"/>
    <w:r>
      <w:rPr>
        <w:color w:val="000000"/>
      </w:rPr>
      <w:t>Varpe</w:t>
    </w:r>
    <w:proofErr w:type="spellEnd"/>
    <w:r>
      <w:rPr>
        <w:color w:val="000000"/>
      </w:rPr>
      <w:t>, 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573C0F" w14:textId="77777777" w:rsidR="005D6D36" w:rsidRDefault="005D6D36">
      <w:r>
        <w:separator/>
      </w:r>
    </w:p>
  </w:footnote>
  <w:footnote w:type="continuationSeparator" w:id="0">
    <w:p w14:paraId="6C136B96" w14:textId="77777777" w:rsidR="005D6D36" w:rsidRDefault="005D6D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0B2EDE" w14:textId="1340DC85" w:rsidR="00382DAA" w:rsidRPr="00054455" w:rsidRDefault="00382DAA" w:rsidP="00382DAA">
    <w:pPr>
      <w:pBdr>
        <w:top w:val="nil"/>
        <w:left w:val="nil"/>
        <w:bottom w:val="nil"/>
        <w:right w:val="nil"/>
        <w:between w:val="nil"/>
      </w:pBdr>
      <w:jc w:val="center"/>
      <w:rPr>
        <w:rFonts w:ascii="Arial" w:eastAsia="Arial" w:hAnsi="Arial" w:cs="Arial"/>
        <w:bCs/>
        <w:sz w:val="22"/>
        <w:szCs w:val="22"/>
      </w:rPr>
    </w:pPr>
    <w:r w:rsidRPr="00382DAA">
      <w:rPr>
        <w:rFonts w:ascii="Arial" w:eastAsia="Arial" w:hAnsi="Arial" w:cs="Arial"/>
        <w:bCs/>
        <w:sz w:val="22"/>
        <w:szCs w:val="22"/>
      </w:rPr>
      <w:t>Supplementary</w:t>
    </w:r>
    <w:r w:rsidRPr="00054455">
      <w:rPr>
        <w:rFonts w:ascii="Arial" w:eastAsia="Arial" w:hAnsi="Arial" w:cs="Arial"/>
        <w:bCs/>
        <w:sz w:val="22"/>
        <w:szCs w:val="22"/>
      </w:rPr>
      <w:t xml:space="preserve"> methods for: “A marine zooplankton community vertically structured by light across diel to interannual timescales”</w:t>
    </w:r>
  </w:p>
  <w:p w14:paraId="496147E7" w14:textId="77777777" w:rsidR="00382DAA" w:rsidRPr="00382DAA" w:rsidRDefault="00382DAA" w:rsidP="00382DAA">
    <w:pPr>
      <w:pStyle w:val="Header"/>
      <w:rPr>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AE80288"/>
    <w:multiLevelType w:val="multilevel"/>
    <w:tmpl w:val="7A9C4E1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72130FCA"/>
    <w:multiLevelType w:val="multilevel"/>
    <w:tmpl w:val="A7BEA2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FFE"/>
    <w:rsid w:val="000322E3"/>
    <w:rsid w:val="00034B48"/>
    <w:rsid w:val="00054455"/>
    <w:rsid w:val="00117511"/>
    <w:rsid w:val="001404B9"/>
    <w:rsid w:val="001E29AB"/>
    <w:rsid w:val="00382DAA"/>
    <w:rsid w:val="003B2E4A"/>
    <w:rsid w:val="004C1079"/>
    <w:rsid w:val="004F5D84"/>
    <w:rsid w:val="005D6D36"/>
    <w:rsid w:val="00610444"/>
    <w:rsid w:val="00794FD1"/>
    <w:rsid w:val="007C6F7D"/>
    <w:rsid w:val="007D3FFE"/>
    <w:rsid w:val="008A36E1"/>
    <w:rsid w:val="00922599"/>
    <w:rsid w:val="00982D8B"/>
    <w:rsid w:val="00986C68"/>
    <w:rsid w:val="009A349E"/>
    <w:rsid w:val="00A14EB4"/>
    <w:rsid w:val="00A4766B"/>
    <w:rsid w:val="00A81392"/>
    <w:rsid w:val="00B63FB1"/>
    <w:rsid w:val="00BC5707"/>
    <w:rsid w:val="00C10B86"/>
    <w:rsid w:val="00CB1936"/>
    <w:rsid w:val="00CB759C"/>
    <w:rsid w:val="00CC2D22"/>
    <w:rsid w:val="00E965BB"/>
    <w:rsid w:val="00F45FDC"/>
    <w:rsid w:val="00F54734"/>
    <w:rsid w:val="00FC7B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92459E"/>
  <w14:defaultImageDpi w14:val="32767"/>
  <w15:chartTrackingRefBased/>
  <w15:docId w15:val="{1BE00ECB-54F1-2846-AAB2-056EB66F1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D3FFE"/>
    <w:rPr>
      <w:rFonts w:ascii="Calibri" w:eastAsia="Calibri" w:hAnsi="Calibri" w:cs="Calibri"/>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7D3FFE"/>
  </w:style>
  <w:style w:type="paragraph" w:styleId="Header">
    <w:name w:val="header"/>
    <w:basedOn w:val="Normal"/>
    <w:link w:val="HeaderChar"/>
    <w:uiPriority w:val="99"/>
    <w:unhideWhenUsed/>
    <w:rsid w:val="00382DAA"/>
    <w:pPr>
      <w:tabs>
        <w:tab w:val="center" w:pos="4680"/>
        <w:tab w:val="right" w:pos="9360"/>
      </w:tabs>
    </w:pPr>
  </w:style>
  <w:style w:type="character" w:customStyle="1" w:styleId="HeaderChar">
    <w:name w:val="Header Char"/>
    <w:basedOn w:val="DefaultParagraphFont"/>
    <w:link w:val="Header"/>
    <w:uiPriority w:val="99"/>
    <w:rsid w:val="00382DAA"/>
    <w:rPr>
      <w:rFonts w:ascii="Calibri" w:eastAsia="Calibri" w:hAnsi="Calibri" w:cs="Calibri"/>
      <w:lang w:eastAsia="en-GB"/>
    </w:rPr>
  </w:style>
  <w:style w:type="paragraph" w:styleId="Footer">
    <w:name w:val="footer"/>
    <w:basedOn w:val="Normal"/>
    <w:link w:val="FooterChar"/>
    <w:uiPriority w:val="99"/>
    <w:unhideWhenUsed/>
    <w:rsid w:val="00382DAA"/>
    <w:pPr>
      <w:tabs>
        <w:tab w:val="center" w:pos="4680"/>
        <w:tab w:val="right" w:pos="9360"/>
      </w:tabs>
    </w:pPr>
  </w:style>
  <w:style w:type="character" w:customStyle="1" w:styleId="FooterChar">
    <w:name w:val="Footer Char"/>
    <w:basedOn w:val="DefaultParagraphFont"/>
    <w:link w:val="Footer"/>
    <w:uiPriority w:val="99"/>
    <w:rsid w:val="00382DAA"/>
    <w:rPr>
      <w:rFonts w:ascii="Calibri" w:eastAsia="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thworks.com/matlabcentral/mlc-downloads/downloads/submissions/23051/versions/2/previews/SolarAzEl.m/index.html"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s://uk.mathworks.com/matlabcentral/fileexchange/22215-lomb-normalized-periodogram?focused=5108122&amp;s_tid=mwa_osa_a&amp;tab=function"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BAE82-93F8-2040-8766-CC09423D3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2819</Words>
  <Characters>16069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Hobbs</dc:creator>
  <cp:keywords/>
  <dc:description/>
  <cp:lastModifiedBy>Laura Hobbs</cp:lastModifiedBy>
  <cp:revision>3</cp:revision>
  <dcterms:created xsi:type="dcterms:W3CDTF">2021-01-21T10:45:00Z</dcterms:created>
  <dcterms:modified xsi:type="dcterms:W3CDTF">2021-01-21T19:09:00Z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http://www.zotero.org/styles/ices-journal-of-marine-science</vt:lpwstr>
  </property>
  <property fmtid="{D5CDD505-2E9C-101B-9397-08002B2CF9AE}" pid="15" name="Mendeley Recent Style Name 6_1">
    <vt:lpwstr>ICES Journal of Marine Science</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213e62fc-79c9-377f-9dbe-468b20667a17</vt:lpwstr>
  </property>
  <property fmtid="{D5CDD505-2E9C-101B-9397-08002B2CF9AE}" pid="24" name="Mendeley Citation Style_1">
    <vt:lpwstr>http://www.zotero.org/styles/vancouver</vt:lpwstr>
  </property>
</Properties>
</file>