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7CC" w:rsidRPr="00174BE3" w:rsidRDefault="001417CC" w:rsidP="001417CC">
      <w:pPr>
        <w:pStyle w:val="Heading1"/>
        <w:pageBreakBefore/>
        <w:numPr>
          <w:ilvl w:val="0"/>
          <w:numId w:val="0"/>
        </w:numPr>
      </w:pPr>
      <w:r w:rsidRPr="00174BE3">
        <w:t>Supplemental Materials</w:t>
      </w:r>
    </w:p>
    <w:p w:rsidR="001417CC" w:rsidRPr="00174BE3" w:rsidRDefault="007E599D" w:rsidP="001417CC">
      <w:pPr>
        <w:pStyle w:val="Heading2"/>
      </w:pPr>
      <w:bookmarkStart w:id="0" w:name="_Table_A-1_Healthcare"/>
      <w:bookmarkEnd w:id="0"/>
      <w:r>
        <w:t>Table S</w:t>
      </w:r>
      <w:r w:rsidR="001417CC" w:rsidRPr="00174BE3">
        <w:t>1 Healthcare resource utilization by CKD stage (commercially insured population)</w:t>
      </w:r>
    </w:p>
    <w:tbl>
      <w:tblPr>
        <w:tblW w:w="10620" w:type="dxa"/>
        <w:jc w:val="center"/>
        <w:tblLook w:val="04A0" w:firstRow="1" w:lastRow="0" w:firstColumn="1" w:lastColumn="0" w:noHBand="0" w:noVBand="1"/>
      </w:tblPr>
      <w:tblGrid>
        <w:gridCol w:w="3019"/>
        <w:gridCol w:w="1967"/>
        <w:gridCol w:w="1453"/>
        <w:gridCol w:w="3018"/>
        <w:gridCol w:w="1163"/>
      </w:tblGrid>
      <w:tr w:rsidR="001417CC" w:rsidRPr="00174BE3" w:rsidTr="006D3E7C">
        <w:trPr>
          <w:trHeight w:val="300"/>
          <w:tblHeader/>
          <w:jc w:val="center"/>
        </w:trPr>
        <w:tc>
          <w:tcPr>
            <w:tcW w:w="3019" w:type="dxa"/>
            <w:vMerge w:val="restart"/>
            <w:tcBorders>
              <w:top w:val="single" w:sz="4" w:space="0" w:color="auto"/>
              <w:left w:val="nil"/>
              <w:bottom w:val="single" w:sz="4" w:space="0" w:color="000000"/>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3420" w:type="dxa"/>
            <w:gridSpan w:val="2"/>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Annual Incidence Rate</w:t>
            </w:r>
          </w:p>
        </w:tc>
        <w:tc>
          <w:tcPr>
            <w:tcW w:w="3018" w:type="dxa"/>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1163" w:type="dxa"/>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 </w:t>
            </w:r>
          </w:p>
        </w:tc>
      </w:tr>
      <w:tr w:rsidR="001417CC" w:rsidRPr="00174BE3" w:rsidTr="006D3E7C">
        <w:trPr>
          <w:trHeight w:val="619"/>
          <w:tblHeader/>
          <w:jc w:val="center"/>
        </w:trPr>
        <w:tc>
          <w:tcPr>
            <w:tcW w:w="3019" w:type="dxa"/>
            <w:vMerge/>
            <w:tcBorders>
              <w:top w:val="single" w:sz="8" w:space="0" w:color="auto"/>
              <w:left w:val="nil"/>
              <w:bottom w:val="single" w:sz="4" w:space="0" w:color="auto"/>
              <w:right w:val="nil"/>
            </w:tcBorders>
            <w:vAlign w:val="center"/>
            <w:hideMark/>
          </w:tcPr>
          <w:p w:rsidR="001417CC" w:rsidRPr="00174BE3" w:rsidRDefault="001417CC" w:rsidP="006D3E7C">
            <w:pPr>
              <w:spacing w:after="0" w:line="240" w:lineRule="auto"/>
              <w:rPr>
                <w:rFonts w:eastAsia="Times New Roman" w:cs="Times New Roman"/>
                <w:b/>
                <w:bCs/>
                <w:sz w:val="18"/>
                <w:szCs w:val="18"/>
                <w:lang w:eastAsia="zh-CN"/>
              </w:rPr>
            </w:pPr>
          </w:p>
        </w:tc>
        <w:tc>
          <w:tcPr>
            <w:tcW w:w="1967" w:type="dxa"/>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ADPKD</w:t>
            </w:r>
            <w:r w:rsidRPr="00174BE3">
              <w:rPr>
                <w:rFonts w:eastAsia="Times New Roman" w:cs="Times New Roman"/>
                <w:b/>
                <w:bCs/>
                <w:sz w:val="18"/>
                <w:szCs w:val="18"/>
                <w:lang w:eastAsia="zh-CN"/>
              </w:rPr>
              <w:br/>
              <w:t>Cohort</w:t>
            </w:r>
            <w:r w:rsidRPr="00174BE3">
              <w:rPr>
                <w:rFonts w:eastAsia="Times New Roman" w:cs="Times New Roman"/>
                <w:b/>
                <w:bCs/>
                <w:sz w:val="18"/>
                <w:szCs w:val="18"/>
                <w:vertAlign w:val="superscript"/>
                <w:lang w:eastAsia="zh-CN"/>
              </w:rPr>
              <w:t>1</w:t>
            </w:r>
          </w:p>
        </w:tc>
        <w:tc>
          <w:tcPr>
            <w:tcW w:w="1453" w:type="dxa"/>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Non-ADPKD Cohort</w:t>
            </w:r>
          </w:p>
        </w:tc>
        <w:tc>
          <w:tcPr>
            <w:tcW w:w="3018" w:type="dxa"/>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Incidence Rate Ratio (95% CI)</w:t>
            </w:r>
            <w:r w:rsidRPr="00174BE3">
              <w:rPr>
                <w:rFonts w:eastAsia="Times New Roman" w:cs="Times New Roman"/>
                <w:b/>
                <w:bCs/>
                <w:sz w:val="18"/>
                <w:szCs w:val="18"/>
                <w:vertAlign w:val="superscript"/>
                <w:lang w:eastAsia="zh-CN"/>
              </w:rPr>
              <w:t>2</w:t>
            </w:r>
            <w:r w:rsidRPr="00174BE3">
              <w:rPr>
                <w:rFonts w:eastAsia="Times New Roman" w:cs="Times New Roman"/>
                <w:b/>
                <w:bCs/>
                <w:sz w:val="18"/>
                <w:szCs w:val="18"/>
                <w:lang w:eastAsia="zh-CN"/>
              </w:rPr>
              <w:br/>
              <w:t>[A] / [B]</w:t>
            </w:r>
          </w:p>
        </w:tc>
        <w:tc>
          <w:tcPr>
            <w:tcW w:w="1163" w:type="dxa"/>
            <w:tcBorders>
              <w:top w:val="nil"/>
              <w:left w:val="nil"/>
              <w:bottom w:val="single" w:sz="4" w:space="0" w:color="auto"/>
              <w:right w:val="nil"/>
            </w:tcBorders>
            <w:shd w:val="clear" w:color="000000" w:fill="FFFFFF"/>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p-value</w:t>
            </w:r>
          </w:p>
        </w:tc>
      </w:tr>
      <w:tr w:rsidR="001417CC" w:rsidRPr="00174BE3" w:rsidTr="006D3E7C">
        <w:trPr>
          <w:trHeight w:val="300"/>
          <w:jc w:val="center"/>
        </w:trPr>
        <w:tc>
          <w:tcPr>
            <w:tcW w:w="3019"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color w:val="000000"/>
                <w:sz w:val="18"/>
                <w:szCs w:val="18"/>
                <w:lang w:eastAsia="zh-CN"/>
              </w:rPr>
            </w:pPr>
            <w:r w:rsidRPr="00174BE3">
              <w:rPr>
                <w:rFonts w:eastAsia="Times New Roman" w:cs="Times New Roman"/>
                <w:b/>
                <w:bCs/>
                <w:color w:val="000000"/>
                <w:sz w:val="18"/>
                <w:szCs w:val="18"/>
                <w:lang w:eastAsia="zh-CN"/>
              </w:rPr>
              <w:t>Overall</w:t>
            </w:r>
          </w:p>
        </w:tc>
        <w:tc>
          <w:tcPr>
            <w:tcW w:w="1967" w:type="dxa"/>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7,861</w:t>
            </w:r>
          </w:p>
        </w:tc>
        <w:tc>
          <w:tcPr>
            <w:tcW w:w="1453" w:type="dxa"/>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22,928</w:t>
            </w:r>
          </w:p>
        </w:tc>
        <w:tc>
          <w:tcPr>
            <w:tcW w:w="3018"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163"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0.7</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3.28 [2.98, 3.61]</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5.9</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2.2</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4.14 [3.58, 4.78]</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2.8</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1.1</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1.83 [1.68, 1.99]</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22.5 ± 39.6</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9.6 ± 13.6</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2.34 [2.25, 2.45]</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color w:val="000000"/>
                <w:sz w:val="18"/>
                <w:szCs w:val="18"/>
                <w:lang w:eastAsia="zh-CN"/>
              </w:rPr>
            </w:pPr>
            <w:r w:rsidRPr="00174BE3">
              <w:rPr>
                <w:rFonts w:eastAsia="Times New Roman" w:cs="Times New Roman"/>
                <w:b/>
                <w:bCs/>
                <w:color w:val="000000"/>
                <w:sz w:val="18"/>
                <w:szCs w:val="18"/>
                <w:lang w:eastAsia="zh-CN"/>
              </w:rPr>
              <w:t>Unknown CKD Stage</w:t>
            </w:r>
            <w:r w:rsidRPr="00174BE3">
              <w:rPr>
                <w:rFonts w:eastAsia="Times New Roman" w:cs="Times New Roman"/>
                <w:b/>
                <w:bCs/>
                <w:color w:val="000000"/>
                <w:sz w:val="18"/>
                <w:szCs w:val="18"/>
                <w:vertAlign w:val="superscript"/>
                <w:lang w:eastAsia="zh-CN"/>
              </w:rPr>
              <w:t>3</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3,629</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10,495</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0.5</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1.66 [1.40, 1.96]</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4.4</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2.2</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1.93 [1.44, 2.60]</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1.5</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1.61 [1.49, 1.76]</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12.2 ± 13.4</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9.0 ± 12.5</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1.36 [1.30, 1.42]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421</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1,228</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0.4</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1.43 [0.90, 2.26]</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0.131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3.4</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2.5</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2.19 [0.99, 4.82]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0.052</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1.6</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1.2</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1.44 [1.09, 1.89]</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0.009*</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14.4 ± 14.7</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9.0 ± 11.9</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1.61 [1.42, 1.82]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II</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572</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1,667</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0.5</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2.12 [1.40, 3.21]</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3.2</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1.9</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2.73 [1.52, 4.92]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1.2</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1.30 [1.08, 1.56]</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0.006*</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15.1 ± 14.1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8.9 ± 12.0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1.69 [1.53, 1.87]</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III</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1,333</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3,907</w:t>
            </w:r>
          </w:p>
        </w:tc>
        <w:tc>
          <w:tcPr>
            <w:tcW w:w="3018" w:type="dxa"/>
            <w:tcBorders>
              <w:top w:val="nil"/>
              <w:left w:val="nil"/>
              <w:bottom w:val="nil"/>
              <w:right w:val="nil"/>
            </w:tcBorders>
            <w:shd w:val="clear" w:color="000000" w:fill="E7E6E6"/>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116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0.8</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3.36 [2.59, 4.36]</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1.1 ± 6.1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2.1</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3.98 [2.75, 5.77]</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3.1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1.5</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1.61 [1.26, 2.07]</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16.5 ± 16.6</w:t>
            </w:r>
          </w:p>
        </w:tc>
        <w:tc>
          <w:tcPr>
            <w:tcW w:w="1453"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10.3 ± 13.3</w:t>
            </w:r>
          </w:p>
        </w:tc>
        <w:tc>
          <w:tcPr>
            <w:tcW w:w="3018"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1.60 [1.50, 1.71]</w:t>
            </w:r>
          </w:p>
        </w:tc>
        <w:tc>
          <w:tcPr>
            <w:tcW w:w="1163"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IV</w:t>
            </w:r>
            <w:r w:rsidRPr="00174BE3">
              <w:rPr>
                <w:rFonts w:eastAsia="Times New Roman" w:cs="Times New Roman"/>
                <w:b/>
                <w:bCs/>
                <w:sz w:val="18"/>
                <w:szCs w:val="18"/>
                <w:vertAlign w:val="superscript"/>
                <w:lang w:eastAsia="zh-CN"/>
              </w:rPr>
              <w:t>4</w:t>
            </w:r>
          </w:p>
        </w:tc>
        <w:tc>
          <w:tcPr>
            <w:tcW w:w="1967" w:type="dxa"/>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340</w:t>
            </w:r>
          </w:p>
        </w:tc>
        <w:tc>
          <w:tcPr>
            <w:tcW w:w="1453" w:type="dxa"/>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1,007</w:t>
            </w:r>
          </w:p>
        </w:tc>
        <w:tc>
          <w:tcPr>
            <w:tcW w:w="3018"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163"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0.8</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4.54 [2.98, 6.93]</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 ± 6.6</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5.58 [3.17, 9.82]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1.2</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1.1</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1.49 [1.19, 1.87]</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27.5 ± 31.8</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10.4 ± 19.5</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2.64 [2.23, 3.12]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V</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166</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485</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0.9</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10.56 [6.36, 17.52]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lastRenderedPageBreak/>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3.4 ± 10.6</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1.4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12.92 [6.25, 26.70]</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 ± 2.3</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2.18 [1.48, 3.22]</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43.9 ± 54.1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10.5 ± 13.4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4.20 [3.36, 5.25]</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ESRD-RRT</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1,400</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4,139</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1.0</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7.07 [5.92, 8.45]</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3.0 ± 8.7</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8.60 [6.72, 11.01]</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 ± 5.1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3.04 [2.43, 3.81]</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56.7 ± 75.9</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10.7 ± 15.6</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5.29 [4.87, 5.75]</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ind w:firstLineChars="100" w:firstLine="181"/>
              <w:rPr>
                <w:rFonts w:eastAsia="Times New Roman" w:cs="Times New Roman"/>
                <w:b/>
                <w:bCs/>
                <w:sz w:val="18"/>
                <w:szCs w:val="18"/>
                <w:lang w:eastAsia="zh-CN"/>
              </w:rPr>
            </w:pPr>
            <w:r w:rsidRPr="00174BE3">
              <w:rPr>
                <w:rFonts w:eastAsia="Times New Roman" w:cs="Times New Roman"/>
                <w:b/>
                <w:bCs/>
                <w:sz w:val="18"/>
                <w:szCs w:val="18"/>
                <w:lang w:eastAsia="zh-CN"/>
              </w:rPr>
              <w:t>Dialysis</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388</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1,138</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1.1</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10.91 [8.04, 14.79]</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4.9 ± 9.6</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2.1</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14.89 [9.79, 22.64]</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2.5 ± 9.2</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6.14 [4.17, 9.03]</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119.8 ± 102.5</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10.7 ± 19.2</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11.23 [9.82, 12.85]</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019"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ind w:firstLineChars="100" w:firstLine="181"/>
              <w:rPr>
                <w:rFonts w:eastAsia="Times New Roman" w:cs="Times New Roman"/>
                <w:b/>
                <w:bCs/>
                <w:sz w:val="18"/>
                <w:szCs w:val="18"/>
                <w:lang w:eastAsia="zh-CN"/>
              </w:rPr>
            </w:pPr>
            <w:r w:rsidRPr="00174BE3">
              <w:rPr>
                <w:rFonts w:eastAsia="Times New Roman" w:cs="Times New Roman"/>
                <w:b/>
                <w:bCs/>
                <w:sz w:val="18"/>
                <w:szCs w:val="18"/>
                <w:lang w:eastAsia="zh-CN"/>
              </w:rPr>
              <w:t>Post-transplant</w:t>
            </w:r>
            <w:r w:rsidRPr="00174BE3">
              <w:rPr>
                <w:rFonts w:eastAsia="Times New Roman" w:cs="Times New Roman"/>
                <w:b/>
                <w:bCs/>
                <w:sz w:val="18"/>
                <w:szCs w:val="18"/>
                <w:vertAlign w:val="superscript"/>
                <w:lang w:eastAsia="zh-CN"/>
              </w:rPr>
              <w:t>4</w:t>
            </w:r>
          </w:p>
        </w:tc>
        <w:tc>
          <w:tcPr>
            <w:tcW w:w="1967"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1,012</w:t>
            </w:r>
          </w:p>
        </w:tc>
        <w:tc>
          <w:tcPr>
            <w:tcW w:w="1453" w:type="dxa"/>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3,001</w:t>
            </w:r>
          </w:p>
        </w:tc>
        <w:tc>
          <w:tcPr>
            <w:tcW w:w="3018"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163"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1.0</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0.4</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5.63 [4.50, 7.04]</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2.3 ± 8.2</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2.3</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6.40 [4.66, 8.80]</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019"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967"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1.7</w:t>
            </w:r>
          </w:p>
        </w:tc>
        <w:tc>
          <w:tcPr>
            <w:tcW w:w="145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1.0</w:t>
            </w:r>
          </w:p>
        </w:tc>
        <w:tc>
          <w:tcPr>
            <w:tcW w:w="3018"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1.87 [1.59, 2.19]</w:t>
            </w:r>
          </w:p>
        </w:tc>
        <w:tc>
          <w:tcPr>
            <w:tcW w:w="1163"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15"/>
          <w:jc w:val="center"/>
        </w:trPr>
        <w:tc>
          <w:tcPr>
            <w:tcW w:w="3019"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967"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32.5 ± 43.0</w:t>
            </w:r>
          </w:p>
        </w:tc>
        <w:tc>
          <w:tcPr>
            <w:tcW w:w="1453"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10.7 ± 13.9</w:t>
            </w:r>
          </w:p>
        </w:tc>
        <w:tc>
          <w:tcPr>
            <w:tcW w:w="3018"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3.03 [2.76, 3.33]</w:t>
            </w:r>
          </w:p>
        </w:tc>
        <w:tc>
          <w:tcPr>
            <w:tcW w:w="1163"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bl>
    <w:p w:rsidR="001417CC" w:rsidRPr="00174BE3" w:rsidRDefault="001417CC" w:rsidP="001417CC">
      <w:pPr>
        <w:spacing w:after="0" w:line="240" w:lineRule="auto"/>
      </w:pPr>
    </w:p>
    <w:tbl>
      <w:tblPr>
        <w:tblW w:w="10620" w:type="dxa"/>
        <w:tblLook w:val="04A0" w:firstRow="1" w:lastRow="0" w:firstColumn="1" w:lastColumn="0" w:noHBand="0" w:noVBand="1"/>
      </w:tblPr>
      <w:tblGrid>
        <w:gridCol w:w="3496"/>
        <w:gridCol w:w="294"/>
        <w:gridCol w:w="1776"/>
        <w:gridCol w:w="1776"/>
        <w:gridCol w:w="416"/>
        <w:gridCol w:w="2052"/>
        <w:gridCol w:w="810"/>
      </w:tblGrid>
      <w:tr w:rsidR="001417CC" w:rsidRPr="00174BE3" w:rsidTr="006D3E7C">
        <w:trPr>
          <w:trHeight w:val="1150"/>
        </w:trPr>
        <w:tc>
          <w:tcPr>
            <w:tcW w:w="10620" w:type="dxa"/>
            <w:gridSpan w:val="7"/>
            <w:tcBorders>
              <w:top w:val="nil"/>
              <w:left w:val="nil"/>
              <w:right w:val="nil"/>
            </w:tcBorders>
            <w:shd w:val="clear" w:color="000000" w:fill="FFFFFF"/>
            <w:hideMark/>
          </w:tcPr>
          <w:p w:rsidR="001417CC" w:rsidRPr="00174BE3" w:rsidRDefault="001417CC" w:rsidP="006D3E7C">
            <w:pPr>
              <w:pStyle w:val="FootnoteText"/>
              <w:rPr>
                <w:i/>
              </w:rPr>
            </w:pPr>
            <w:r w:rsidRPr="00174BE3">
              <w:rPr>
                <w:i/>
              </w:rPr>
              <w:t>ADPKD: autosomal dominant polycystic kidney disease; CKD: chronic kidney disease; ESRD-RRT: end stage renal disease requiring renal replacement therapy (dialysis or transplant) ICD-9-CM: International Classification of Diseases, Ninth Revision; ICD-10-CM: International Classification of Diseases, Tenth Revision; ICD-9-PCS: International Classification of Diseases, Ninth Revision, Procedures; ICD-10-PCS: International Classification of Diseases, Tenth Revision, Procedures; CPT: Current Procedural Terminology; HCPC: Healthcare Common Procedure Coding.</w:t>
            </w:r>
          </w:p>
        </w:tc>
      </w:tr>
      <w:tr w:rsidR="001417CC" w:rsidRPr="00174BE3" w:rsidTr="006D3E7C">
        <w:trPr>
          <w:trHeight w:val="300"/>
        </w:trPr>
        <w:tc>
          <w:tcPr>
            <w:tcW w:w="349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p>
          <w:p w:rsidR="001417CC" w:rsidRPr="00174BE3" w:rsidRDefault="001417CC" w:rsidP="006D3E7C">
            <w:pPr>
              <w:pStyle w:val="FootnoteText"/>
              <w:rPr>
                <w:i/>
              </w:rPr>
            </w:pPr>
            <w:r w:rsidRPr="00174BE3">
              <w:rPr>
                <w:i/>
              </w:rPr>
              <w:t>* Statistically significant at the 5% level</w:t>
            </w:r>
          </w:p>
          <w:p w:rsidR="001417CC" w:rsidRPr="00174BE3" w:rsidRDefault="001417CC" w:rsidP="006D3E7C">
            <w:pPr>
              <w:pStyle w:val="FootnoteText"/>
              <w:rPr>
                <w:b/>
              </w:rPr>
            </w:pPr>
          </w:p>
          <w:p w:rsidR="001417CC" w:rsidRPr="00174BE3" w:rsidRDefault="001417CC" w:rsidP="006D3E7C">
            <w:pPr>
              <w:pStyle w:val="FootnoteText"/>
            </w:pPr>
            <w:r w:rsidRPr="00174BE3">
              <w:rPr>
                <w:b/>
              </w:rPr>
              <w:t>Notes</w:t>
            </w:r>
            <w:r w:rsidRPr="00174BE3">
              <w:t>:</w:t>
            </w:r>
          </w:p>
        </w:tc>
        <w:tc>
          <w:tcPr>
            <w:tcW w:w="294"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177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177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41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2052"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810"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r>
      <w:tr w:rsidR="001417CC" w:rsidRPr="00174BE3" w:rsidTr="006D3E7C">
        <w:trPr>
          <w:trHeight w:val="300"/>
        </w:trPr>
        <w:tc>
          <w:tcPr>
            <w:tcW w:w="10620" w:type="dxa"/>
            <w:gridSpan w:val="7"/>
            <w:tcBorders>
              <w:top w:val="nil"/>
              <w:left w:val="nil"/>
              <w:bottom w:val="nil"/>
              <w:right w:val="nil"/>
            </w:tcBorders>
            <w:shd w:val="clear" w:color="000000" w:fill="FFFFFF"/>
            <w:noWrap/>
            <w:vAlign w:val="center"/>
            <w:hideMark/>
          </w:tcPr>
          <w:p w:rsidR="001417CC" w:rsidRPr="00174BE3" w:rsidRDefault="001417CC" w:rsidP="006D3E7C">
            <w:pPr>
              <w:pStyle w:val="FootnoteText"/>
            </w:pPr>
            <w:r>
              <w:t>1.</w:t>
            </w:r>
            <w:r w:rsidRPr="00174BE3">
              <w:t xml:space="preserve"> Diagnosis of ADPKD is defined as ICD-9-CM codes 753.13, 753.12 and ICD-10-CM codes Q61.2, Q61.3.</w:t>
            </w:r>
          </w:p>
        </w:tc>
      </w:tr>
      <w:tr w:rsidR="001417CC" w:rsidRPr="00174BE3" w:rsidTr="006D3E7C">
        <w:trPr>
          <w:trHeight w:val="450"/>
        </w:trPr>
        <w:tc>
          <w:tcPr>
            <w:tcW w:w="10620" w:type="dxa"/>
            <w:gridSpan w:val="7"/>
            <w:tcBorders>
              <w:top w:val="nil"/>
              <w:left w:val="nil"/>
              <w:bottom w:val="nil"/>
              <w:right w:val="nil"/>
            </w:tcBorders>
            <w:shd w:val="clear" w:color="000000" w:fill="FFFFFF"/>
            <w:hideMark/>
          </w:tcPr>
          <w:p w:rsidR="001417CC" w:rsidRPr="00174BE3" w:rsidRDefault="001417CC" w:rsidP="006D3E7C">
            <w:pPr>
              <w:pStyle w:val="FootnoteText"/>
            </w:pPr>
            <w:r>
              <w:t>2.</w:t>
            </w:r>
            <w:r w:rsidRPr="00174BE3">
              <w:t xml:space="preserve"> After matching, the incidence rates ratio between the ADPKD Cohort and the non-ADPKD Cohort are estimated using generalized linear models with a Poisson distribution.</w:t>
            </w:r>
          </w:p>
        </w:tc>
      </w:tr>
      <w:tr w:rsidR="001417CC" w:rsidRPr="00174BE3" w:rsidTr="006D3E7C">
        <w:trPr>
          <w:trHeight w:val="297"/>
        </w:trPr>
        <w:tc>
          <w:tcPr>
            <w:tcW w:w="10620" w:type="dxa"/>
            <w:gridSpan w:val="7"/>
            <w:tcBorders>
              <w:top w:val="nil"/>
              <w:left w:val="nil"/>
              <w:bottom w:val="nil"/>
              <w:right w:val="nil"/>
            </w:tcBorders>
            <w:shd w:val="clear" w:color="000000" w:fill="FFFFFF"/>
            <w:hideMark/>
          </w:tcPr>
          <w:p w:rsidR="001417CC" w:rsidRPr="00174BE3" w:rsidRDefault="001417CC" w:rsidP="006D3E7C">
            <w:pPr>
              <w:pStyle w:val="FootnoteText"/>
            </w:pPr>
            <w:r>
              <w:t>3.</w:t>
            </w:r>
            <w:r w:rsidRPr="00174BE3">
              <w:t xml:space="preserve"> Patients without any recorded diagnosis or procedure of CKD stage, dialysis, or renal transplant at any time are categorized into the unknown CKD stage group.</w:t>
            </w:r>
          </w:p>
        </w:tc>
      </w:tr>
      <w:tr w:rsidR="001417CC" w:rsidRPr="00174BE3" w:rsidTr="006D3E7C">
        <w:trPr>
          <w:trHeight w:val="873"/>
        </w:trPr>
        <w:tc>
          <w:tcPr>
            <w:tcW w:w="10620" w:type="dxa"/>
            <w:gridSpan w:val="7"/>
            <w:tcBorders>
              <w:top w:val="nil"/>
              <w:left w:val="nil"/>
              <w:bottom w:val="nil"/>
              <w:right w:val="nil"/>
            </w:tcBorders>
            <w:shd w:val="clear" w:color="000000" w:fill="FFFFFF"/>
            <w:hideMark/>
          </w:tcPr>
          <w:p w:rsidR="001417CC" w:rsidRPr="00174BE3" w:rsidRDefault="001417CC" w:rsidP="006D3E7C">
            <w:pPr>
              <w:pStyle w:val="FootnoteText"/>
            </w:pPr>
            <w:r>
              <w:t>4.</w:t>
            </w:r>
            <w:r w:rsidRPr="00174BE3">
              <w:t xml:space="preserve"> CKD stage I–stage V, ESRD-RRT (dialysis), and ESRD-RRT (Post-transplant) are defined using ICD-9-CM, ICD-10-CM, ICD-9-PCS, ICD-10-PCS, CPT, and HCPCS codes listed in Appendix A. Only indicators associated with disease progression (upward transition) are used for the definition of a patient’s index stage. The index stage of a patient is based on the patient’s latest stage indicator among those considered before the index date. If no stage indicator was observed before the index date, the first observed stage after the index date is defined as the patient’s index stage. </w:t>
            </w:r>
          </w:p>
        </w:tc>
      </w:tr>
    </w:tbl>
    <w:p w:rsidR="001417CC" w:rsidRPr="00174BE3" w:rsidRDefault="001417CC" w:rsidP="001417CC">
      <w:pPr>
        <w:spacing w:line="259" w:lineRule="auto"/>
        <w:rPr>
          <w:rFonts w:eastAsiaTheme="majorEastAsia" w:cstheme="majorBidi"/>
          <w:b/>
          <w:szCs w:val="26"/>
        </w:rPr>
      </w:pPr>
      <w:r w:rsidRPr="00174BE3">
        <w:br w:type="page"/>
      </w:r>
    </w:p>
    <w:p w:rsidR="001417CC" w:rsidRPr="00174BE3" w:rsidRDefault="007E599D" w:rsidP="001417CC">
      <w:pPr>
        <w:pStyle w:val="Heading2"/>
      </w:pPr>
      <w:bookmarkStart w:id="1" w:name="_Table_A-2_Healthcare"/>
      <w:bookmarkEnd w:id="1"/>
      <w:r>
        <w:lastRenderedPageBreak/>
        <w:t>Table S</w:t>
      </w:r>
      <w:bookmarkStart w:id="2" w:name="_GoBack"/>
      <w:bookmarkEnd w:id="2"/>
      <w:r w:rsidR="001417CC" w:rsidRPr="00174BE3">
        <w:t>2 Healthcare resource utilization by CKD stage (Medicare Supplemental population)</w:t>
      </w:r>
    </w:p>
    <w:tbl>
      <w:tblPr>
        <w:tblW w:w="10620" w:type="dxa"/>
        <w:jc w:val="center"/>
        <w:tblLook w:val="04A0" w:firstRow="1" w:lastRow="0" w:firstColumn="1" w:lastColumn="0" w:noHBand="0" w:noVBand="1"/>
      </w:tblPr>
      <w:tblGrid>
        <w:gridCol w:w="3150"/>
        <w:gridCol w:w="52"/>
        <w:gridCol w:w="294"/>
        <w:gridCol w:w="1094"/>
        <w:gridCol w:w="682"/>
        <w:gridCol w:w="488"/>
        <w:gridCol w:w="400"/>
        <w:gridCol w:w="888"/>
        <w:gridCol w:w="416"/>
        <w:gridCol w:w="1536"/>
        <w:gridCol w:w="1350"/>
        <w:gridCol w:w="270"/>
      </w:tblGrid>
      <w:tr w:rsidR="001417CC" w:rsidRPr="00174BE3" w:rsidTr="006D3E7C">
        <w:trPr>
          <w:trHeight w:val="300"/>
          <w:tblHeader/>
          <w:jc w:val="center"/>
        </w:trPr>
        <w:tc>
          <w:tcPr>
            <w:tcW w:w="3150" w:type="dxa"/>
            <w:vMerge w:val="restart"/>
            <w:tcBorders>
              <w:top w:val="single" w:sz="4" w:space="0" w:color="auto"/>
              <w:left w:val="nil"/>
              <w:bottom w:val="single" w:sz="4" w:space="0" w:color="000000"/>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610" w:type="dxa"/>
            <w:gridSpan w:val="5"/>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Annual Incidence Rate</w:t>
            </w:r>
          </w:p>
        </w:tc>
        <w:tc>
          <w:tcPr>
            <w:tcW w:w="400" w:type="dxa"/>
            <w:tcBorders>
              <w:top w:val="single" w:sz="4" w:space="0" w:color="auto"/>
              <w:left w:val="nil"/>
              <w:bottom w:val="nil"/>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840" w:type="dxa"/>
            <w:gridSpan w:val="3"/>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1620" w:type="dxa"/>
            <w:gridSpan w:val="2"/>
            <w:tcBorders>
              <w:top w:val="single" w:sz="4" w:space="0" w:color="auto"/>
              <w:left w:val="nil"/>
              <w:bottom w:val="single" w:sz="4" w:space="0" w:color="auto"/>
              <w:right w:val="nil"/>
            </w:tcBorders>
            <w:shd w:val="clear" w:color="000000" w:fill="FFFFFF"/>
            <w:vAlign w:val="center"/>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 </w:t>
            </w:r>
          </w:p>
        </w:tc>
      </w:tr>
      <w:tr w:rsidR="001417CC" w:rsidRPr="00174BE3" w:rsidTr="006D3E7C">
        <w:trPr>
          <w:trHeight w:val="900"/>
          <w:tblHeader/>
          <w:jc w:val="center"/>
        </w:trPr>
        <w:tc>
          <w:tcPr>
            <w:tcW w:w="3150" w:type="dxa"/>
            <w:vMerge/>
            <w:tcBorders>
              <w:top w:val="single" w:sz="8" w:space="0" w:color="auto"/>
              <w:left w:val="nil"/>
              <w:bottom w:val="single" w:sz="4" w:space="0" w:color="auto"/>
              <w:right w:val="nil"/>
            </w:tcBorders>
            <w:vAlign w:val="center"/>
            <w:hideMark/>
          </w:tcPr>
          <w:p w:rsidR="001417CC" w:rsidRPr="00174BE3" w:rsidRDefault="001417CC" w:rsidP="006D3E7C">
            <w:pPr>
              <w:spacing w:after="0" w:line="240" w:lineRule="auto"/>
              <w:rPr>
                <w:rFonts w:eastAsia="Times New Roman" w:cs="Times New Roman"/>
                <w:b/>
                <w:bCs/>
                <w:sz w:val="18"/>
                <w:szCs w:val="18"/>
                <w:lang w:eastAsia="zh-CN"/>
              </w:rPr>
            </w:pPr>
          </w:p>
        </w:tc>
        <w:tc>
          <w:tcPr>
            <w:tcW w:w="1440" w:type="dxa"/>
            <w:gridSpan w:val="3"/>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ADPKD</w:t>
            </w:r>
            <w:r w:rsidRPr="00174BE3">
              <w:rPr>
                <w:rFonts w:eastAsia="Times New Roman" w:cs="Times New Roman"/>
                <w:b/>
                <w:bCs/>
                <w:sz w:val="18"/>
                <w:szCs w:val="18"/>
                <w:lang w:eastAsia="zh-CN"/>
              </w:rPr>
              <w:br/>
              <w:t>Cohort</w:t>
            </w:r>
            <w:r w:rsidRPr="00174BE3">
              <w:rPr>
                <w:rFonts w:eastAsia="Times New Roman" w:cs="Times New Roman"/>
                <w:b/>
                <w:bCs/>
                <w:sz w:val="18"/>
                <w:szCs w:val="18"/>
                <w:vertAlign w:val="superscript"/>
                <w:lang w:eastAsia="zh-CN"/>
              </w:rPr>
              <w:t>1</w:t>
            </w:r>
          </w:p>
        </w:tc>
        <w:tc>
          <w:tcPr>
            <w:tcW w:w="1170" w:type="dxa"/>
            <w:gridSpan w:val="2"/>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Non-ADPKD Cohort</w:t>
            </w:r>
          </w:p>
        </w:tc>
        <w:tc>
          <w:tcPr>
            <w:tcW w:w="400" w:type="dxa"/>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840" w:type="dxa"/>
            <w:gridSpan w:val="3"/>
            <w:tcBorders>
              <w:top w:val="nil"/>
              <w:left w:val="nil"/>
              <w:bottom w:val="single" w:sz="4" w:space="0" w:color="auto"/>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Incidence Rate Ratio (95% CI)</w:t>
            </w:r>
            <w:r w:rsidRPr="00174BE3">
              <w:rPr>
                <w:rFonts w:eastAsia="Times New Roman" w:cs="Times New Roman"/>
                <w:b/>
                <w:bCs/>
                <w:sz w:val="18"/>
                <w:szCs w:val="18"/>
                <w:vertAlign w:val="superscript"/>
                <w:lang w:eastAsia="zh-CN"/>
              </w:rPr>
              <w:t>2</w:t>
            </w:r>
            <w:r w:rsidRPr="00174BE3">
              <w:rPr>
                <w:rFonts w:eastAsia="Times New Roman" w:cs="Times New Roman"/>
                <w:b/>
                <w:bCs/>
                <w:sz w:val="18"/>
                <w:szCs w:val="18"/>
                <w:lang w:eastAsia="zh-CN"/>
              </w:rPr>
              <w:br/>
              <w:t>[A] / [B]</w:t>
            </w:r>
          </w:p>
        </w:tc>
        <w:tc>
          <w:tcPr>
            <w:tcW w:w="1620" w:type="dxa"/>
            <w:gridSpan w:val="2"/>
            <w:tcBorders>
              <w:top w:val="nil"/>
              <w:left w:val="nil"/>
              <w:bottom w:val="single" w:sz="4" w:space="0" w:color="auto"/>
              <w:right w:val="nil"/>
            </w:tcBorders>
            <w:shd w:val="clear" w:color="000000" w:fill="FFFFFF"/>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p-value</w:t>
            </w:r>
          </w:p>
        </w:tc>
      </w:tr>
      <w:tr w:rsidR="001417CC" w:rsidRPr="00174BE3" w:rsidTr="006D3E7C">
        <w:trPr>
          <w:trHeight w:val="300"/>
          <w:jc w:val="center"/>
        </w:trPr>
        <w:tc>
          <w:tcPr>
            <w:tcW w:w="3150"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color w:val="000000"/>
                <w:sz w:val="18"/>
                <w:szCs w:val="18"/>
                <w:lang w:eastAsia="zh-CN"/>
              </w:rPr>
            </w:pPr>
            <w:r w:rsidRPr="00174BE3">
              <w:rPr>
                <w:rFonts w:eastAsia="Times New Roman" w:cs="Times New Roman"/>
                <w:b/>
                <w:bCs/>
                <w:color w:val="000000"/>
                <w:sz w:val="18"/>
                <w:szCs w:val="18"/>
                <w:lang w:eastAsia="zh-CN"/>
              </w:rPr>
              <w:t>Overall</w:t>
            </w:r>
          </w:p>
        </w:tc>
        <w:tc>
          <w:tcPr>
            <w:tcW w:w="1440" w:type="dxa"/>
            <w:gridSpan w:val="3"/>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1,366</w:t>
            </w:r>
          </w:p>
        </w:tc>
        <w:tc>
          <w:tcPr>
            <w:tcW w:w="1170" w:type="dxa"/>
            <w:gridSpan w:val="2"/>
            <w:tcBorders>
              <w:top w:val="single" w:sz="4" w:space="0" w:color="auto"/>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3,922</w:t>
            </w:r>
          </w:p>
        </w:tc>
        <w:tc>
          <w:tcPr>
            <w:tcW w:w="400" w:type="dxa"/>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620" w:type="dxa"/>
            <w:gridSpan w:val="2"/>
            <w:tcBorders>
              <w:top w:val="single" w:sz="4" w:space="0" w:color="auto"/>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0.8</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1.95 [1.74, 2.19]</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3.2 ± 9.2</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 ± 4.3</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2.26 [1.89, 2.71]</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2.1</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1.76 [1.57, 1.98]</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39.0 ± 49.8</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18.4 ± 20.0</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2.12 [1.97, 2.29]</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color w:val="000000"/>
                <w:sz w:val="18"/>
                <w:szCs w:val="18"/>
                <w:lang w:eastAsia="zh-CN"/>
              </w:rPr>
            </w:pPr>
            <w:r w:rsidRPr="00174BE3">
              <w:rPr>
                <w:rFonts w:eastAsia="Times New Roman" w:cs="Times New Roman"/>
                <w:b/>
                <w:bCs/>
                <w:color w:val="000000"/>
                <w:sz w:val="18"/>
                <w:szCs w:val="18"/>
                <w:lang w:eastAsia="zh-CN"/>
              </w:rPr>
              <w:t>Unknown CKD Stage</w:t>
            </w:r>
            <w:r w:rsidRPr="00174BE3">
              <w:rPr>
                <w:rFonts w:eastAsia="Times New Roman" w:cs="Times New Roman"/>
                <w:b/>
                <w:bCs/>
                <w:color w:val="000000"/>
                <w:sz w:val="18"/>
                <w:szCs w:val="18"/>
                <w:vertAlign w:val="superscript"/>
                <w:lang w:eastAsia="zh-CN"/>
              </w:rPr>
              <w:t>3</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397</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1,166</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0.5</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1.18 [0.92, 1.52]</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0.193</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3.3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4.2</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1.02 [0.72, 1.43]</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0.924</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0.9 ± 1.7</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1.3</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1.49 [1.19, 1.87]</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21.4 ± 16.6</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17.8 ± 19.6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1.20 [1.09, 1.33]</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13</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37</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 ± 0.3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0.4</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0.43 [0.06, 3.24]</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0.412</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0.6</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1.4</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0.26 [0.03, 2.00]</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0.196</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0.9</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0.9</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1.20 [0.47, 3.04]</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0.700</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24.4 ± 31.3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14.5 ± 10.0</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1.69 [0.82, 3.45]</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0.153</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II</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51</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147</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0.5</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0.96 [0.50, 1.85]</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0.910</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 ± 1.9</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 ± 3.5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0.75 [0.37, 1.52]</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0.430</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2.0</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2.9</w:t>
            </w:r>
          </w:p>
        </w:tc>
        <w:tc>
          <w:tcPr>
            <w:tcW w:w="400" w:type="dxa"/>
            <w:tcBorders>
              <w:top w:val="nil"/>
              <w:left w:val="nil"/>
              <w:bottom w:val="nil"/>
              <w:right w:val="nil"/>
            </w:tcBorders>
            <w:shd w:val="clear" w:color="000000" w:fill="FFFFFF"/>
            <w:vAlign w:val="center"/>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1.49 [0.65, 3.41]</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0.341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22.2 ± 16.4</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16.4 ± 14.5</w:t>
            </w:r>
          </w:p>
        </w:tc>
        <w:tc>
          <w:tcPr>
            <w:tcW w:w="400" w:type="dxa"/>
            <w:tcBorders>
              <w:top w:val="nil"/>
              <w:left w:val="nil"/>
              <w:bottom w:val="nil"/>
              <w:right w:val="nil"/>
            </w:tcBorders>
            <w:shd w:val="clear" w:color="000000" w:fill="FFFFFF"/>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1.36 [1.05, 1.76]</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0.020*</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III</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377</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1,077</w:t>
            </w:r>
          </w:p>
        </w:tc>
        <w:tc>
          <w:tcPr>
            <w:tcW w:w="400" w:type="dxa"/>
            <w:tcBorders>
              <w:top w:val="nil"/>
              <w:left w:val="nil"/>
              <w:bottom w:val="nil"/>
              <w:right w:val="nil"/>
            </w:tcBorders>
            <w:shd w:val="clear" w:color="000000" w:fill="E7E6E6"/>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2840" w:type="dxa"/>
            <w:gridSpan w:val="3"/>
            <w:tcBorders>
              <w:top w:val="nil"/>
              <w:left w:val="nil"/>
              <w:bottom w:val="nil"/>
              <w:right w:val="nil"/>
            </w:tcBorders>
            <w:shd w:val="clear" w:color="000000" w:fill="E7E6E6"/>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c>
          <w:tcPr>
            <w:tcW w:w="162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0.4 ± 0.7</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center"/>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1.63 [1.30, 2.04]</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2.6 ± 6.6</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 ± 3.8</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1.91 [1.41, 2.61]</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1.0 ± 1.7</w:t>
            </w:r>
          </w:p>
        </w:tc>
        <w:tc>
          <w:tcPr>
            <w:tcW w:w="1170" w:type="dxa"/>
            <w:gridSpan w:val="2"/>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1.5</w:t>
            </w:r>
          </w:p>
        </w:tc>
        <w:tc>
          <w:tcPr>
            <w:tcW w:w="400" w:type="dxa"/>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1.46 [1.18, 1.80]</w:t>
            </w:r>
          </w:p>
        </w:tc>
        <w:tc>
          <w:tcPr>
            <w:tcW w:w="1620" w:type="dxa"/>
            <w:gridSpan w:val="2"/>
            <w:tcBorders>
              <w:top w:val="nil"/>
              <w:left w:val="nil"/>
              <w:bottom w:val="single" w:sz="4"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25.6 ± 19.1</w:t>
            </w:r>
          </w:p>
        </w:tc>
        <w:tc>
          <w:tcPr>
            <w:tcW w:w="1170" w:type="dxa"/>
            <w:gridSpan w:val="2"/>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18.7 ± 20.5</w:t>
            </w:r>
          </w:p>
        </w:tc>
        <w:tc>
          <w:tcPr>
            <w:tcW w:w="400" w:type="dxa"/>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1.37 [1.24, 1.52]</w:t>
            </w:r>
          </w:p>
        </w:tc>
        <w:tc>
          <w:tcPr>
            <w:tcW w:w="1620" w:type="dxa"/>
            <w:gridSpan w:val="2"/>
            <w:tcBorders>
              <w:top w:val="single" w:sz="4" w:space="0" w:color="auto"/>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IV</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144</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416</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0.5 ± 0.7</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1.60 [1.16, 2.21]</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0.004*</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3.3 ± 6.1</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 ± 4.3</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1.81 [1.23, 2.66]</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0.003*</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1.1 ± 2.3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1.3</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1.65 [1.13, 2.42]</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0.010*</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28.5 ± 25.3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19.9 ± 23.2</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1.43 [1.19, 1.72]</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CKD Stage V</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36</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94</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0.8</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0.7</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2.40 [1.32, 4.35]</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0.004*</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4.1 ± 5.1</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1.7 ± 4.7</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2.48 [1.23, 5.00]</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0.011*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 ± 1.4</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1.2</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2.00 [1.23, 3.26]</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0.005*</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lastRenderedPageBreak/>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47.3 ± 38.4</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18.2 ± 15.2</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2.59 [1.89, 3.56]</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eastAsia="Times New Roman" w:cs="Times New Roman"/>
                <w:b/>
                <w:bCs/>
                <w:sz w:val="18"/>
                <w:szCs w:val="18"/>
                <w:lang w:eastAsia="zh-CN"/>
              </w:rPr>
            </w:pPr>
            <w:r w:rsidRPr="00174BE3">
              <w:rPr>
                <w:rFonts w:eastAsia="Times New Roman" w:cs="Times New Roman"/>
                <w:b/>
                <w:bCs/>
                <w:sz w:val="18"/>
                <w:szCs w:val="18"/>
                <w:lang w:eastAsia="zh-CN"/>
              </w:rPr>
              <w:t>ESRD-RRT</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348</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985</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0.9 ± 1.1</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3.22 [2.65, 3.92]</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6.5 ± 15.4</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1.6 ± 5.0</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3.99 [2.91, 5.48]</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1.7 ± 2.6</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2.42 [1.96, 2.99]</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100" w:firstLine="18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80.1 ± 78.8</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18.5 ± 20.0</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4.32 [3.81, 4.89]</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ind w:firstLineChars="100" w:firstLine="181"/>
              <w:rPr>
                <w:rFonts w:eastAsia="Times New Roman" w:cs="Times New Roman"/>
                <w:b/>
                <w:bCs/>
                <w:sz w:val="18"/>
                <w:szCs w:val="18"/>
                <w:lang w:eastAsia="zh-CN"/>
              </w:rPr>
            </w:pPr>
            <w:r w:rsidRPr="00174BE3">
              <w:rPr>
                <w:rFonts w:eastAsia="Times New Roman" w:cs="Times New Roman"/>
                <w:b/>
                <w:bCs/>
                <w:sz w:val="18"/>
                <w:szCs w:val="18"/>
                <w:lang w:eastAsia="zh-CN"/>
              </w:rPr>
              <w:t>Dialysis</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151</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423</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1.3</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0.3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3.46 [2.67, 4.48]</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9.3 ± 20.2</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2.1 ± 5.5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4.44 [2.88, 6.85]</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2.3 ± 3.0</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0.8 ± 1.5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2.85 [2.16, 3.75]</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125.9 ± 90.6</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19.1 ± 20.1</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6.60 [5.66, 7.69]</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45"/>
          <w:jc w:val="center"/>
        </w:trPr>
        <w:tc>
          <w:tcPr>
            <w:tcW w:w="315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ind w:firstLineChars="100" w:firstLine="181"/>
              <w:rPr>
                <w:rFonts w:eastAsia="Times New Roman" w:cs="Times New Roman"/>
                <w:b/>
                <w:bCs/>
                <w:sz w:val="18"/>
                <w:szCs w:val="18"/>
                <w:lang w:eastAsia="zh-CN"/>
              </w:rPr>
            </w:pPr>
            <w:r w:rsidRPr="00174BE3">
              <w:rPr>
                <w:rFonts w:eastAsia="Times New Roman" w:cs="Times New Roman"/>
                <w:b/>
                <w:bCs/>
                <w:sz w:val="18"/>
                <w:szCs w:val="18"/>
                <w:lang w:eastAsia="zh-CN"/>
              </w:rPr>
              <w:t>Post-transplant</w:t>
            </w:r>
            <w:r w:rsidRPr="00174BE3">
              <w:rPr>
                <w:rFonts w:eastAsia="Times New Roman" w:cs="Times New Roman"/>
                <w:b/>
                <w:bCs/>
                <w:sz w:val="18"/>
                <w:szCs w:val="18"/>
                <w:vertAlign w:val="superscript"/>
                <w:lang w:eastAsia="zh-CN"/>
              </w:rPr>
              <w:t>4</w:t>
            </w:r>
          </w:p>
        </w:tc>
        <w:tc>
          <w:tcPr>
            <w:tcW w:w="1440" w:type="dxa"/>
            <w:gridSpan w:val="3"/>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197</w:t>
            </w:r>
          </w:p>
        </w:tc>
        <w:tc>
          <w:tcPr>
            <w:tcW w:w="1170" w:type="dxa"/>
            <w:gridSpan w:val="2"/>
            <w:tcBorders>
              <w:top w:val="nil"/>
              <w:left w:val="nil"/>
              <w:bottom w:val="nil"/>
              <w:right w:val="nil"/>
            </w:tcBorders>
            <w:shd w:val="clear" w:color="000000" w:fill="E7E6E6"/>
            <w:noWrap/>
            <w:vAlign w:val="center"/>
            <w:hideMark/>
          </w:tcPr>
          <w:p w:rsidR="001417CC" w:rsidRPr="00174BE3" w:rsidRDefault="001417CC" w:rsidP="006D3E7C">
            <w:pPr>
              <w:spacing w:after="0" w:line="240" w:lineRule="auto"/>
              <w:jc w:val="center"/>
              <w:rPr>
                <w:rFonts w:eastAsia="Times New Roman" w:cs="Times New Roman"/>
                <w:b/>
                <w:bCs/>
                <w:sz w:val="18"/>
                <w:szCs w:val="18"/>
                <w:lang w:eastAsia="zh-CN"/>
              </w:rPr>
            </w:pPr>
            <w:r w:rsidRPr="00174BE3">
              <w:rPr>
                <w:rFonts w:eastAsia="Times New Roman" w:cs="Times New Roman"/>
                <w:b/>
                <w:bCs/>
                <w:sz w:val="18"/>
                <w:szCs w:val="18"/>
                <w:lang w:eastAsia="zh-CN"/>
              </w:rPr>
              <w:t>N = 562</w:t>
            </w:r>
          </w:p>
        </w:tc>
        <w:tc>
          <w:tcPr>
            <w:tcW w:w="400" w:type="dxa"/>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1620" w:type="dxa"/>
            <w:gridSpan w:val="2"/>
            <w:tcBorders>
              <w:top w:val="nil"/>
              <w:left w:val="nil"/>
              <w:bottom w:val="nil"/>
              <w:right w:val="nil"/>
            </w:tcBorders>
            <w:shd w:val="clear" w:color="000000" w:fill="E7E6E6"/>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admissions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0.7 ± 1.0</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0.2 ± 0.6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2.95 [2.20, 3.96]</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Inpatient days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4.4 ± 9.8</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1.3 ± 4.6</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3.43 [2.22, 5.28]</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15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Emergency room visits</w:t>
            </w:r>
          </w:p>
        </w:tc>
        <w:tc>
          <w:tcPr>
            <w:tcW w:w="14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1.2 ± 2.2</w:t>
            </w:r>
          </w:p>
        </w:tc>
        <w:tc>
          <w:tcPr>
            <w:tcW w:w="117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0.6 ± 1.5</w:t>
            </w:r>
          </w:p>
        </w:tc>
        <w:tc>
          <w:tcPr>
            <w:tcW w:w="400" w:type="dxa"/>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1.99 [1.45, 2.74]</w:t>
            </w:r>
          </w:p>
        </w:tc>
        <w:tc>
          <w:tcPr>
            <w:tcW w:w="1620" w:type="dxa"/>
            <w:gridSpan w:val="2"/>
            <w:tcBorders>
              <w:top w:val="nil"/>
              <w:left w:val="nil"/>
              <w:bottom w:val="nil"/>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15"/>
          <w:jc w:val="center"/>
        </w:trPr>
        <w:tc>
          <w:tcPr>
            <w:tcW w:w="3150"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ind w:firstLineChars="200" w:firstLine="360"/>
              <w:rPr>
                <w:rFonts w:eastAsia="Times New Roman" w:cs="Times New Roman"/>
                <w:sz w:val="18"/>
                <w:szCs w:val="18"/>
                <w:lang w:eastAsia="zh-CN"/>
              </w:rPr>
            </w:pPr>
            <w:r w:rsidRPr="00174BE3">
              <w:rPr>
                <w:rFonts w:eastAsia="Times New Roman" w:cs="Times New Roman"/>
                <w:sz w:val="18"/>
                <w:szCs w:val="18"/>
                <w:lang w:eastAsia="zh-CN"/>
              </w:rPr>
              <w:t>Outpatient visits</w:t>
            </w:r>
          </w:p>
        </w:tc>
        <w:tc>
          <w:tcPr>
            <w:tcW w:w="1440" w:type="dxa"/>
            <w:gridSpan w:val="3"/>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45.0 ± 43.1</w:t>
            </w:r>
          </w:p>
        </w:tc>
        <w:tc>
          <w:tcPr>
            <w:tcW w:w="1170" w:type="dxa"/>
            <w:gridSpan w:val="2"/>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18.1 ± 19.9</w:t>
            </w:r>
          </w:p>
        </w:tc>
        <w:tc>
          <w:tcPr>
            <w:tcW w:w="400" w:type="dxa"/>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rPr>
                <w:rFonts w:ascii="Calibri" w:eastAsia="Times New Roman" w:hAnsi="Calibri" w:cs="Calibri"/>
                <w:color w:val="000000"/>
                <w:sz w:val="18"/>
                <w:szCs w:val="18"/>
                <w:lang w:eastAsia="zh-CN"/>
              </w:rPr>
            </w:pPr>
            <w:r w:rsidRPr="00174BE3">
              <w:rPr>
                <w:rFonts w:ascii="Calibri" w:eastAsia="Times New Roman" w:hAnsi="Calibri" w:cs="Calibri"/>
                <w:color w:val="000000"/>
                <w:sz w:val="18"/>
                <w:szCs w:val="18"/>
                <w:lang w:eastAsia="zh-CN"/>
              </w:rPr>
              <w:t> </w:t>
            </w:r>
          </w:p>
        </w:tc>
        <w:tc>
          <w:tcPr>
            <w:tcW w:w="2840" w:type="dxa"/>
            <w:gridSpan w:val="3"/>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2.48 [2.11, 2.93]</w:t>
            </w:r>
          </w:p>
        </w:tc>
        <w:tc>
          <w:tcPr>
            <w:tcW w:w="1620" w:type="dxa"/>
            <w:gridSpan w:val="2"/>
            <w:tcBorders>
              <w:top w:val="nil"/>
              <w:left w:val="nil"/>
              <w:bottom w:val="single" w:sz="8" w:space="0" w:color="auto"/>
              <w:right w:val="nil"/>
            </w:tcBorders>
            <w:shd w:val="clear" w:color="000000" w:fill="FFFFFF"/>
            <w:noWrap/>
            <w:vAlign w:val="bottom"/>
            <w:hideMark/>
          </w:tcPr>
          <w:p w:rsidR="001417CC" w:rsidRPr="00174BE3" w:rsidRDefault="001417CC" w:rsidP="006D3E7C">
            <w:pPr>
              <w:spacing w:after="0" w:line="240" w:lineRule="auto"/>
              <w:jc w:val="center"/>
              <w:rPr>
                <w:rFonts w:eastAsia="Times New Roman" w:cs="Times New Roman"/>
                <w:sz w:val="18"/>
                <w:szCs w:val="18"/>
                <w:lang w:eastAsia="zh-CN"/>
              </w:rPr>
            </w:pPr>
            <w:r w:rsidRPr="00174BE3">
              <w:rPr>
                <w:rFonts w:eastAsia="Times New Roman" w:cs="Times New Roman"/>
                <w:sz w:val="18"/>
                <w:szCs w:val="18"/>
                <w:lang w:eastAsia="zh-CN"/>
              </w:rPr>
              <w:t>&lt;0.001*</w:t>
            </w:r>
          </w:p>
        </w:tc>
      </w:tr>
      <w:tr w:rsidR="001417CC" w:rsidRPr="00174BE3" w:rsidTr="006D3E7C">
        <w:trPr>
          <w:trHeight w:val="300"/>
          <w:jc w:val="center"/>
        </w:trPr>
        <w:tc>
          <w:tcPr>
            <w:tcW w:w="3496" w:type="dxa"/>
            <w:gridSpan w:val="3"/>
            <w:tcBorders>
              <w:top w:val="nil"/>
              <w:left w:val="nil"/>
              <w:bottom w:val="nil"/>
              <w:right w:val="nil"/>
            </w:tcBorders>
            <w:shd w:val="clear" w:color="000000" w:fill="FFFFFF"/>
            <w:noWrap/>
            <w:vAlign w:val="bottom"/>
            <w:hideMark/>
          </w:tcPr>
          <w:p w:rsidR="001417CC" w:rsidRPr="00174BE3" w:rsidRDefault="001417CC" w:rsidP="006D3E7C">
            <w:pPr>
              <w:pStyle w:val="FootnoteText"/>
            </w:pPr>
          </w:p>
        </w:tc>
        <w:tc>
          <w:tcPr>
            <w:tcW w:w="1776" w:type="dxa"/>
            <w:gridSpan w:val="2"/>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1776" w:type="dxa"/>
            <w:gridSpan w:val="3"/>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41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2886" w:type="dxa"/>
            <w:gridSpan w:val="2"/>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26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r>
      <w:tr w:rsidR="001417CC" w:rsidRPr="00174BE3" w:rsidTr="006D3E7C">
        <w:trPr>
          <w:trHeight w:val="1203"/>
          <w:jc w:val="center"/>
        </w:trPr>
        <w:tc>
          <w:tcPr>
            <w:tcW w:w="10616" w:type="dxa"/>
            <w:gridSpan w:val="12"/>
            <w:tcBorders>
              <w:top w:val="nil"/>
              <w:left w:val="nil"/>
              <w:right w:val="nil"/>
            </w:tcBorders>
            <w:shd w:val="clear" w:color="000000" w:fill="FFFFFF"/>
            <w:hideMark/>
          </w:tcPr>
          <w:p w:rsidR="001417CC" w:rsidRPr="00174BE3" w:rsidRDefault="001417CC" w:rsidP="006D3E7C">
            <w:pPr>
              <w:pStyle w:val="FootnoteText"/>
              <w:rPr>
                <w:i/>
              </w:rPr>
            </w:pPr>
            <w:r w:rsidRPr="00174BE3">
              <w:rPr>
                <w:i/>
              </w:rPr>
              <w:t>ADPKD: autosomal dominant polycystic kidney disease; CKD: chronic kidney disease; ESRD-RRT: end stage renal disease requiring renal replacement therapy (dialysis or transplant); ICD-9-CM: International Classification of Diseases, Ninth Revision; ICD-10-CM: International Classification of Diseases, Tenth Revision; ICD-9-PCS: International Classification of Diseases, Ninth Revision, Procedures; ICD-10-PCS: International Classification of Diseases, Tenth Revision, Procedures; CPT: Current Procedural Terminology; HCPC: Healthcare Common Procedure Coding.</w:t>
            </w:r>
          </w:p>
          <w:p w:rsidR="001417CC" w:rsidRPr="00174BE3" w:rsidRDefault="001417CC" w:rsidP="006D3E7C">
            <w:pPr>
              <w:pStyle w:val="FootnoteText"/>
              <w:rPr>
                <w:i/>
              </w:rPr>
            </w:pPr>
          </w:p>
          <w:p w:rsidR="001417CC" w:rsidRPr="00174BE3" w:rsidRDefault="001417CC" w:rsidP="006D3E7C">
            <w:pPr>
              <w:pStyle w:val="FootnoteText"/>
              <w:rPr>
                <w:i/>
              </w:rPr>
            </w:pPr>
            <w:r w:rsidRPr="00174BE3">
              <w:rPr>
                <w:i/>
              </w:rPr>
              <w:t>* Statistically significant at the 5% level</w:t>
            </w:r>
          </w:p>
          <w:p w:rsidR="001417CC" w:rsidRPr="00174BE3" w:rsidRDefault="001417CC" w:rsidP="006D3E7C">
            <w:pPr>
              <w:pStyle w:val="FootnoteText"/>
            </w:pPr>
          </w:p>
        </w:tc>
      </w:tr>
      <w:tr w:rsidR="001417CC" w:rsidRPr="00174BE3" w:rsidTr="006D3E7C">
        <w:trPr>
          <w:trHeight w:val="300"/>
          <w:jc w:val="center"/>
        </w:trPr>
        <w:tc>
          <w:tcPr>
            <w:tcW w:w="3202" w:type="dxa"/>
            <w:gridSpan w:val="2"/>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rPr>
                <w:b/>
              </w:rPr>
              <w:t>Notes</w:t>
            </w:r>
            <w:r w:rsidRPr="00174BE3">
              <w:t>:</w:t>
            </w:r>
          </w:p>
        </w:tc>
        <w:tc>
          <w:tcPr>
            <w:tcW w:w="294"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1776" w:type="dxa"/>
            <w:gridSpan w:val="2"/>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1776" w:type="dxa"/>
            <w:gridSpan w:val="3"/>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41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2886" w:type="dxa"/>
            <w:gridSpan w:val="2"/>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c>
          <w:tcPr>
            <w:tcW w:w="266" w:type="dxa"/>
            <w:tcBorders>
              <w:top w:val="nil"/>
              <w:left w:val="nil"/>
              <w:bottom w:val="nil"/>
              <w:right w:val="nil"/>
            </w:tcBorders>
            <w:shd w:val="clear" w:color="000000" w:fill="FFFFFF"/>
            <w:noWrap/>
            <w:vAlign w:val="bottom"/>
            <w:hideMark/>
          </w:tcPr>
          <w:p w:rsidR="001417CC" w:rsidRPr="00174BE3" w:rsidRDefault="001417CC" w:rsidP="006D3E7C">
            <w:pPr>
              <w:pStyle w:val="FootnoteText"/>
            </w:pPr>
            <w:r w:rsidRPr="00174BE3">
              <w:t> </w:t>
            </w:r>
          </w:p>
        </w:tc>
      </w:tr>
      <w:tr w:rsidR="001417CC" w:rsidRPr="00174BE3" w:rsidTr="006D3E7C">
        <w:trPr>
          <w:trHeight w:val="300"/>
          <w:jc w:val="center"/>
        </w:trPr>
        <w:tc>
          <w:tcPr>
            <w:tcW w:w="10616" w:type="dxa"/>
            <w:gridSpan w:val="12"/>
            <w:tcBorders>
              <w:top w:val="nil"/>
              <w:left w:val="nil"/>
              <w:bottom w:val="nil"/>
              <w:right w:val="nil"/>
            </w:tcBorders>
            <w:shd w:val="clear" w:color="000000" w:fill="FFFFFF"/>
            <w:noWrap/>
            <w:vAlign w:val="center"/>
            <w:hideMark/>
          </w:tcPr>
          <w:p w:rsidR="001417CC" w:rsidRPr="00174BE3" w:rsidRDefault="001417CC" w:rsidP="006D3E7C">
            <w:pPr>
              <w:pStyle w:val="FootnoteText"/>
            </w:pPr>
            <w:r>
              <w:t>1.</w:t>
            </w:r>
            <w:r w:rsidRPr="00174BE3">
              <w:t xml:space="preserve"> Diagnosis of ADPKD is defined as ICD-9-CM codes 753.13, 753.12 and ICD-10-CM codes Q61.2, Q61.3.</w:t>
            </w:r>
          </w:p>
        </w:tc>
      </w:tr>
      <w:tr w:rsidR="001417CC" w:rsidRPr="00174BE3" w:rsidTr="006D3E7C">
        <w:trPr>
          <w:trHeight w:val="477"/>
          <w:jc w:val="center"/>
        </w:trPr>
        <w:tc>
          <w:tcPr>
            <w:tcW w:w="10616" w:type="dxa"/>
            <w:gridSpan w:val="12"/>
            <w:tcBorders>
              <w:top w:val="nil"/>
              <w:left w:val="nil"/>
              <w:bottom w:val="nil"/>
              <w:right w:val="nil"/>
            </w:tcBorders>
            <w:shd w:val="clear" w:color="000000" w:fill="FFFFFF"/>
            <w:hideMark/>
          </w:tcPr>
          <w:p w:rsidR="001417CC" w:rsidRPr="00174BE3" w:rsidRDefault="001417CC" w:rsidP="006D3E7C">
            <w:pPr>
              <w:pStyle w:val="FootnoteText"/>
            </w:pPr>
            <w:r>
              <w:t>2.</w:t>
            </w:r>
            <w:r w:rsidRPr="00174BE3">
              <w:t xml:space="preserve"> After matching, the incidence rates ratio between the ADPKD Cohort and the non-ADPKD Cohort are estimated using generalized linear models with a Poisson distribution.</w:t>
            </w:r>
          </w:p>
        </w:tc>
      </w:tr>
      <w:tr w:rsidR="001417CC" w:rsidRPr="00174BE3" w:rsidTr="006D3E7C">
        <w:trPr>
          <w:trHeight w:val="270"/>
          <w:jc w:val="center"/>
        </w:trPr>
        <w:tc>
          <w:tcPr>
            <w:tcW w:w="10616" w:type="dxa"/>
            <w:gridSpan w:val="12"/>
            <w:tcBorders>
              <w:top w:val="nil"/>
              <w:left w:val="nil"/>
              <w:bottom w:val="nil"/>
              <w:right w:val="nil"/>
            </w:tcBorders>
            <w:shd w:val="clear" w:color="000000" w:fill="FFFFFF"/>
            <w:hideMark/>
          </w:tcPr>
          <w:p w:rsidR="001417CC" w:rsidRPr="00174BE3" w:rsidRDefault="001417CC" w:rsidP="006D3E7C">
            <w:pPr>
              <w:pStyle w:val="FootnoteText"/>
            </w:pPr>
            <w:r>
              <w:t>3.</w:t>
            </w:r>
            <w:r w:rsidRPr="00174BE3">
              <w:t xml:space="preserve"> Patients without any recorded diagnosis or procedure of CKD stage, dialysis, or renal transplant at any time are categorized into the unknown CKD stage group.</w:t>
            </w:r>
          </w:p>
        </w:tc>
      </w:tr>
      <w:tr w:rsidR="001417CC" w:rsidRPr="00174BE3" w:rsidTr="006D3E7C">
        <w:trPr>
          <w:trHeight w:val="900"/>
          <w:jc w:val="center"/>
        </w:trPr>
        <w:tc>
          <w:tcPr>
            <w:tcW w:w="10616" w:type="dxa"/>
            <w:gridSpan w:val="12"/>
            <w:tcBorders>
              <w:top w:val="nil"/>
              <w:left w:val="nil"/>
              <w:bottom w:val="nil"/>
              <w:right w:val="nil"/>
            </w:tcBorders>
            <w:shd w:val="clear" w:color="000000" w:fill="FFFFFF"/>
            <w:hideMark/>
          </w:tcPr>
          <w:p w:rsidR="001417CC" w:rsidRPr="00174BE3" w:rsidRDefault="001417CC" w:rsidP="006D3E7C">
            <w:pPr>
              <w:pStyle w:val="FootnoteText"/>
            </w:pPr>
            <w:r>
              <w:t>4.</w:t>
            </w:r>
            <w:r w:rsidRPr="00174BE3">
              <w:t xml:space="preserve"> CKD stage I–stage V, ESRD-RRT (dialysis), and ESRD-RRT (Post-transplant) are defined using ICD-9-CM, ICD-10-CM, ICD-9-PCS, ICD-10-PCS, CPT, and HCPCS codes listed in Appendix A. Only indicators associated with disease progression (upward transition) are used for the definition of a patient’s index stage. The index stage of a patient is based on the patient’s latest stage indicator among those considered before the index date. If no stage indicator was observed before the index date, the first observed stage after the index date is defined as the patient’s index stage. </w:t>
            </w:r>
          </w:p>
        </w:tc>
      </w:tr>
    </w:tbl>
    <w:p w:rsidR="00F63F0D" w:rsidRDefault="00F63F0D"/>
    <w:sectPr w:rsidR="00F63F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6A8C09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51D05626"/>
    <w:multiLevelType w:val="multilevel"/>
    <w:tmpl w:val="83C46E7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9794470"/>
    <w:multiLevelType w:val="multilevel"/>
    <w:tmpl w:val="1BD29E50"/>
    <w:lvl w:ilvl="0">
      <w:start w:val="1"/>
      <w:numFmt w:val="decimal"/>
      <w:lvlText w:val="%1"/>
      <w:lvlJc w:val="left"/>
      <w:pPr>
        <w:ind w:left="432" w:hanging="432"/>
      </w:pPr>
      <w:rPr>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95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7CC"/>
    <w:rsid w:val="001417CC"/>
    <w:rsid w:val="007E599D"/>
    <w:rsid w:val="00F44256"/>
    <w:rsid w:val="00F63F0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FF1E"/>
  <w15:chartTrackingRefBased/>
  <w15:docId w15:val="{9932A184-C74D-4A23-AF3F-FBC07250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7CC"/>
    <w:pPr>
      <w:spacing w:line="480" w:lineRule="auto"/>
    </w:pPr>
    <w:rPr>
      <w:rFonts w:ascii="Times New Roman" w:hAnsi="Times New Roman"/>
      <w:sz w:val="24"/>
      <w:lang w:val="en-US"/>
    </w:rPr>
  </w:style>
  <w:style w:type="paragraph" w:styleId="Heading1">
    <w:name w:val="heading 1"/>
    <w:aliases w:val="AG Heading 1"/>
    <w:basedOn w:val="Normal"/>
    <w:next w:val="Normal"/>
    <w:link w:val="Heading1Char"/>
    <w:autoRedefine/>
    <w:uiPriority w:val="9"/>
    <w:qFormat/>
    <w:rsid w:val="00F44256"/>
    <w:pPr>
      <w:keepNext/>
      <w:keepLines/>
      <w:numPr>
        <w:numId w:val="2"/>
      </w:numPr>
      <w:suppressAutoHyphens/>
      <w:spacing w:before="600" w:after="360" w:line="240" w:lineRule="auto"/>
      <w:ind w:left="810" w:hanging="432"/>
      <w:outlineLvl w:val="0"/>
    </w:pPr>
    <w:rPr>
      <w:rFonts w:eastAsiaTheme="majorEastAsia" w:cs="Times New Roman"/>
      <w:b/>
      <w:color w:val="000000" w:themeColor="text1"/>
      <w:szCs w:val="32"/>
      <w:lang w:eastAsia="ar-SA"/>
    </w:rPr>
  </w:style>
  <w:style w:type="paragraph" w:styleId="Heading2">
    <w:name w:val="heading 2"/>
    <w:basedOn w:val="Normal"/>
    <w:next w:val="Normal"/>
    <w:link w:val="Heading2Char"/>
    <w:uiPriority w:val="9"/>
    <w:unhideWhenUsed/>
    <w:qFormat/>
    <w:rsid w:val="001417CC"/>
    <w:pPr>
      <w:keepNext/>
      <w:keepLines/>
      <w:spacing w:before="120" w:after="12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G Heading 1 Char"/>
    <w:basedOn w:val="DefaultParagraphFont"/>
    <w:link w:val="Heading1"/>
    <w:uiPriority w:val="9"/>
    <w:rsid w:val="00F44256"/>
    <w:rPr>
      <w:rFonts w:ascii="Times New Roman" w:eastAsiaTheme="majorEastAsia" w:hAnsi="Times New Roman" w:cs="Times New Roman"/>
      <w:b/>
      <w:color w:val="000000" w:themeColor="text1"/>
      <w:sz w:val="24"/>
      <w:szCs w:val="32"/>
      <w:lang w:val="en-US" w:eastAsia="ar-SA"/>
    </w:rPr>
  </w:style>
  <w:style w:type="character" w:customStyle="1" w:styleId="Heading2Char">
    <w:name w:val="Heading 2 Char"/>
    <w:basedOn w:val="DefaultParagraphFont"/>
    <w:link w:val="Heading2"/>
    <w:uiPriority w:val="9"/>
    <w:rsid w:val="001417CC"/>
    <w:rPr>
      <w:rFonts w:ascii="Times New Roman" w:eastAsiaTheme="majorEastAsia" w:hAnsi="Times New Roman" w:cstheme="majorBidi"/>
      <w:b/>
      <w:sz w:val="24"/>
      <w:szCs w:val="26"/>
      <w:lang w:val="en-US"/>
    </w:rPr>
  </w:style>
  <w:style w:type="paragraph" w:styleId="FootnoteText">
    <w:name w:val="footnote text"/>
    <w:basedOn w:val="Normal"/>
    <w:link w:val="FootnoteTextChar"/>
    <w:uiPriority w:val="99"/>
    <w:unhideWhenUsed/>
    <w:rsid w:val="001417CC"/>
    <w:pPr>
      <w:spacing w:after="0" w:line="240" w:lineRule="auto"/>
    </w:pPr>
    <w:rPr>
      <w:sz w:val="20"/>
      <w:szCs w:val="20"/>
    </w:rPr>
  </w:style>
  <w:style w:type="character" w:customStyle="1" w:styleId="FootnoteTextChar">
    <w:name w:val="Footnote Text Char"/>
    <w:basedOn w:val="DefaultParagraphFont"/>
    <w:link w:val="FootnoteText"/>
    <w:uiPriority w:val="99"/>
    <w:rsid w:val="001417CC"/>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Analysis Group</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Rochette</dc:creator>
  <cp:keywords/>
  <dc:description/>
  <cp:lastModifiedBy>Samuel Rochette</cp:lastModifiedBy>
  <cp:revision>2</cp:revision>
  <dcterms:created xsi:type="dcterms:W3CDTF">2020-10-19T18:16:00Z</dcterms:created>
  <dcterms:modified xsi:type="dcterms:W3CDTF">2020-10-19T21:16:00Z</dcterms:modified>
</cp:coreProperties>
</file>