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117A13B7" w14:textId="603FF521" w:rsidR="003327E1" w:rsidRDefault="001B0C34" w:rsidP="003327E1">
      <w:pPr>
        <w:spacing w:after="0" w:line="480" w:lineRule="auto"/>
        <w:rPr>
          <w:rFonts w:cs="Times New Roman"/>
        </w:rPr>
      </w:pPr>
      <w:r>
        <w:rPr>
          <w:rFonts w:cs="Times New Roman"/>
          <w:noProof/>
          <w:lang w:val="nb-NO" w:eastAsia="nb-NO"/>
        </w:rPr>
        <w:drawing>
          <wp:inline distT="0" distB="0" distL="0" distR="0" wp14:anchorId="10ABD29A" wp14:editId="082D8852">
            <wp:extent cx="5301700" cy="6876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1_revis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1700" cy="6876000"/>
                    </a:xfrm>
                    <a:prstGeom prst="rect">
                      <a:avLst/>
                    </a:prstGeom>
                  </pic:spPr>
                </pic:pic>
              </a:graphicData>
            </a:graphic>
          </wp:inline>
        </w:drawing>
      </w:r>
    </w:p>
    <w:p w14:paraId="74B745BB" w14:textId="0839DB98" w:rsidR="003327E1" w:rsidRDefault="003327E1" w:rsidP="003327E1">
      <w:pPr>
        <w:spacing w:after="0"/>
        <w:jc w:val="both"/>
        <w:rPr>
          <w:rFonts w:cs="Times New Roman"/>
        </w:rPr>
      </w:pPr>
      <w:r w:rsidRPr="000D2051">
        <w:rPr>
          <w:rFonts w:cs="Times New Roman"/>
          <w:b/>
        </w:rPr>
        <w:t>Supplementary Figure 1</w:t>
      </w:r>
      <w:r w:rsidRPr="000D2051">
        <w:rPr>
          <w:rFonts w:cs="Times New Roman"/>
        </w:rPr>
        <w:t>. 2-D orthoslice</w:t>
      </w:r>
      <w:r>
        <w:rPr>
          <w:rFonts w:cs="Times New Roman"/>
        </w:rPr>
        <w:t xml:space="preserve"> </w:t>
      </w:r>
      <w:r w:rsidRPr="000D2051">
        <w:rPr>
          <w:rFonts w:cs="Times New Roman"/>
        </w:rPr>
        <w:t xml:space="preserve">across </w:t>
      </w:r>
      <w:r>
        <w:rPr>
          <w:rFonts w:cs="Times New Roman"/>
        </w:rPr>
        <w:t xml:space="preserve">the synthetic peat core that was spiked with basaltic </w:t>
      </w:r>
      <w:r w:rsidR="001B0C34">
        <w:rPr>
          <w:rFonts w:cs="Times New Roman"/>
        </w:rPr>
        <w:t>glass shards</w:t>
      </w:r>
      <w:r>
        <w:rPr>
          <w:rFonts w:cs="Times New Roman"/>
        </w:rPr>
        <w:t xml:space="preserve">. The histogram highlights the approximate greyscale value of plastic and air (blue), chalk (see section 3.2.2) and partial volume-affected </w:t>
      </w:r>
      <w:r w:rsidR="001B0C34">
        <w:rPr>
          <w:rFonts w:cs="Times New Roman"/>
        </w:rPr>
        <w:t xml:space="preserve">glass </w:t>
      </w:r>
      <w:r>
        <w:rPr>
          <w:rFonts w:cs="Times New Roman"/>
        </w:rPr>
        <w:t xml:space="preserve">(red), as well as pure </w:t>
      </w:r>
      <w:r w:rsidR="001B0C34">
        <w:rPr>
          <w:rFonts w:cs="Times New Roman"/>
        </w:rPr>
        <w:t xml:space="preserve">glass </w:t>
      </w:r>
      <w:r>
        <w:rPr>
          <w:rFonts w:cs="Times New Roman"/>
        </w:rPr>
        <w:t xml:space="preserve">(green).    </w:t>
      </w:r>
    </w:p>
    <w:p w14:paraId="0BF7AB37" w14:textId="77777777" w:rsidR="003327E1" w:rsidRDefault="003327E1" w:rsidP="003327E1">
      <w:pPr>
        <w:spacing w:after="0" w:line="480" w:lineRule="auto"/>
        <w:rPr>
          <w:rFonts w:cs="Times New Roman"/>
        </w:rPr>
      </w:pPr>
      <w:r>
        <w:rPr>
          <w:rFonts w:cs="Times New Roman"/>
          <w:noProof/>
          <w:lang w:val="nb-NO" w:eastAsia="nb-NO"/>
        </w:rPr>
        <w:lastRenderedPageBreak/>
        <w:drawing>
          <wp:inline distT="0" distB="0" distL="0" distR="0" wp14:anchorId="017419AE" wp14:editId="5E09DA56">
            <wp:extent cx="2999314"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2_poros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314" cy="3240000"/>
                    </a:xfrm>
                    <a:prstGeom prst="rect">
                      <a:avLst/>
                    </a:prstGeom>
                  </pic:spPr>
                </pic:pic>
              </a:graphicData>
            </a:graphic>
          </wp:inline>
        </w:drawing>
      </w:r>
    </w:p>
    <w:p w14:paraId="3770146E" w14:textId="3C876A11" w:rsidR="003327E1" w:rsidRDefault="003327E1" w:rsidP="003327E1">
      <w:pPr>
        <w:spacing w:after="0"/>
        <w:jc w:val="both"/>
        <w:rPr>
          <w:rFonts w:cs="Times New Roman"/>
          <w:szCs w:val="24"/>
        </w:rPr>
      </w:pPr>
      <w:r w:rsidRPr="007D1B08">
        <w:rPr>
          <w:rFonts w:cs="Times New Roman"/>
          <w:b/>
        </w:rPr>
        <w:t>Supplementary Figure 2</w:t>
      </w:r>
      <w:r w:rsidRPr="007D1B08">
        <w:rPr>
          <w:rFonts w:cs="Times New Roman"/>
        </w:rPr>
        <w:t xml:space="preserve">.  Close-up 2-D orthoslice and 3-D volume rendering  </w:t>
      </w:r>
      <w:r>
        <w:rPr>
          <w:rFonts w:cs="Times New Roman"/>
        </w:rPr>
        <w:t xml:space="preserve">of our </w:t>
      </w:r>
      <w:r w:rsidRPr="007D1B08">
        <w:rPr>
          <w:rFonts w:cs="Times New Roman"/>
        </w:rPr>
        <w:t xml:space="preserve">minerogenic </w:t>
      </w:r>
      <w:r>
        <w:rPr>
          <w:rFonts w:cs="Times New Roman"/>
        </w:rPr>
        <w:t xml:space="preserve">synthetic core spiked with </w:t>
      </w:r>
      <w:r w:rsidR="001B0C34">
        <w:rPr>
          <w:rFonts w:cs="Times New Roman"/>
        </w:rPr>
        <w:t xml:space="preserve">glass of intermediate composition </w:t>
      </w:r>
      <w:r>
        <w:rPr>
          <w:rFonts w:cs="Times New Roman"/>
        </w:rPr>
        <w:t xml:space="preserve">(see section 3.2.3 and Fig. 5). The color gradient highlights the blended CT grayscale range along the transition between </w:t>
      </w:r>
      <w:r w:rsidRPr="00114EF0">
        <w:rPr>
          <w:rFonts w:cs="Times New Roman"/>
          <w:szCs w:val="24"/>
        </w:rPr>
        <w:t>air-filled pores (~0.001 g/cm</w:t>
      </w:r>
      <w:r w:rsidRPr="007D1B08">
        <w:rPr>
          <w:rFonts w:cs="Times New Roman"/>
          <w:szCs w:val="24"/>
          <w:vertAlign w:val="superscript"/>
        </w:rPr>
        <w:t>3</w:t>
      </w:r>
      <w:r>
        <w:rPr>
          <w:rFonts w:cs="Times New Roman"/>
          <w:szCs w:val="24"/>
        </w:rPr>
        <w:t>, in blue</w:t>
      </w:r>
      <w:r w:rsidRPr="00114EF0">
        <w:rPr>
          <w:rFonts w:cs="Times New Roman"/>
          <w:szCs w:val="24"/>
        </w:rPr>
        <w:t>) and silty cl</w:t>
      </w:r>
      <w:r>
        <w:rPr>
          <w:rFonts w:cs="Times New Roman"/>
          <w:szCs w:val="24"/>
        </w:rPr>
        <w:t>ay (~2.65 g/cm</w:t>
      </w:r>
      <w:r w:rsidRPr="007D1B08">
        <w:rPr>
          <w:rFonts w:cs="Times New Roman"/>
          <w:szCs w:val="24"/>
          <w:vertAlign w:val="superscript"/>
        </w:rPr>
        <w:t>3</w:t>
      </w:r>
      <w:r>
        <w:rPr>
          <w:rFonts w:cs="Times New Roman"/>
          <w:szCs w:val="24"/>
        </w:rPr>
        <w:t xml:space="preserve">, in red). </w:t>
      </w:r>
    </w:p>
    <w:p w14:paraId="61CC8352" w14:textId="77777777" w:rsidR="003327E1" w:rsidRDefault="003327E1" w:rsidP="003327E1">
      <w:pPr>
        <w:spacing w:before="240"/>
        <w:jc w:val="both"/>
        <w:rPr>
          <w:rFonts w:cs="Times New Roman"/>
          <w:b/>
          <w:szCs w:val="24"/>
        </w:rPr>
      </w:pPr>
      <w:r w:rsidRPr="007D1B08">
        <w:rPr>
          <w:rFonts w:cs="Times New Roman"/>
          <w:b/>
          <w:szCs w:val="24"/>
        </w:rPr>
        <w:t xml:space="preserve">1.1 Porosity extraction </w:t>
      </w:r>
    </w:p>
    <w:p w14:paraId="7DD6C5F0" w14:textId="0AA9F027" w:rsidR="003327E1" w:rsidRDefault="003327E1" w:rsidP="003327E1">
      <w:pPr>
        <w:spacing w:after="0"/>
        <w:jc w:val="both"/>
        <w:rPr>
          <w:rFonts w:cs="Times New Roman"/>
          <w:szCs w:val="24"/>
        </w:rPr>
      </w:pPr>
      <w:r>
        <w:rPr>
          <w:rFonts w:cs="Times New Roman"/>
          <w:szCs w:val="24"/>
        </w:rPr>
        <w:t xml:space="preserve">The porosity extraction approach that we applied for this study (also see section 3.2.3 of the main manuscript) consists of multiple steps in </w:t>
      </w:r>
      <w:r>
        <w:rPr>
          <w:rFonts w:cs="Times New Roman"/>
        </w:rPr>
        <w:t xml:space="preserve">version </w:t>
      </w:r>
      <w:r w:rsidRPr="009264F7">
        <w:rPr>
          <w:rFonts w:cs="Times New Roman"/>
        </w:rPr>
        <w:t>9.1.1</w:t>
      </w:r>
      <w:r>
        <w:rPr>
          <w:rFonts w:cs="Times New Roman"/>
        </w:rPr>
        <w:t xml:space="preserve"> of the Avizo software</w:t>
      </w:r>
      <w:r>
        <w:rPr>
          <w:rFonts w:cs="Times New Roman"/>
          <w:szCs w:val="24"/>
        </w:rPr>
        <w:t xml:space="preserve"> (see Suppl. Fig. 3). First step is the iterative identification of the CT grayscale range of the transition between pores and sediment. Next, we employed the </w:t>
      </w:r>
      <w:r w:rsidRPr="0063427E">
        <w:rPr>
          <w:rFonts w:cs="Times New Roman"/>
          <w:i/>
          <w:szCs w:val="24"/>
        </w:rPr>
        <w:t>closing</w:t>
      </w:r>
      <w:r>
        <w:rPr>
          <w:rFonts w:cs="Times New Roman"/>
          <w:szCs w:val="24"/>
        </w:rPr>
        <w:t xml:space="preserve"> tool (precise, ball type, size 8 px) to identify spheres (possible pores) as separate objects. To avoid misidentification of fuzzier smaller objects, we subsequently used the  </w:t>
      </w:r>
      <w:r w:rsidRPr="0063427E">
        <w:rPr>
          <w:rFonts w:cs="Times New Roman"/>
          <w:i/>
          <w:szCs w:val="24"/>
        </w:rPr>
        <w:t>grayscale reconstruction</w:t>
      </w:r>
      <w:r>
        <w:rPr>
          <w:rFonts w:cs="Times New Roman"/>
          <w:szCs w:val="24"/>
        </w:rPr>
        <w:t xml:space="preserve"> tool by attaching the raw 3-D volume rendering as an input image (Input A) and the aforementioned </w:t>
      </w:r>
      <w:r w:rsidRPr="0063427E">
        <w:rPr>
          <w:rFonts w:cs="Times New Roman"/>
          <w:i/>
          <w:szCs w:val="24"/>
        </w:rPr>
        <w:t>closing</w:t>
      </w:r>
      <w:r>
        <w:rPr>
          <w:rFonts w:cs="Times New Roman"/>
          <w:szCs w:val="24"/>
        </w:rPr>
        <w:t xml:space="preserve"> tool results as a marker image – Input B (Suppl. Fig. 3). To highlight the differences between raw and processed data, we then subtracted Input B from Input A with the </w:t>
      </w:r>
      <w:r w:rsidRPr="0012751C">
        <w:rPr>
          <w:rFonts w:cs="Times New Roman"/>
          <w:i/>
          <w:szCs w:val="24"/>
        </w:rPr>
        <w:t>Arithmetic</w:t>
      </w:r>
      <w:r w:rsidRPr="0063427E">
        <w:rPr>
          <w:rFonts w:cs="Times New Roman"/>
          <w:szCs w:val="24"/>
        </w:rPr>
        <w:t xml:space="preserve"> module</w:t>
      </w:r>
      <w:r>
        <w:rPr>
          <w:rFonts w:cs="Times New Roman"/>
          <w:szCs w:val="24"/>
        </w:rPr>
        <w:t xml:space="preserve">. Next, the </w:t>
      </w:r>
      <w:r w:rsidRPr="0012751C">
        <w:rPr>
          <w:rFonts w:cs="Times New Roman"/>
          <w:i/>
          <w:szCs w:val="24"/>
        </w:rPr>
        <w:t>Auto Thresholding</w:t>
      </w:r>
      <w:r>
        <w:rPr>
          <w:rFonts w:cs="Times New Roman"/>
          <w:szCs w:val="24"/>
        </w:rPr>
        <w:t xml:space="preserve"> module was used to separate voxels into two classes (in this case, pores and non-pores). Finally, boundaries were smoothed with the </w:t>
      </w:r>
      <w:r w:rsidRPr="0012751C">
        <w:rPr>
          <w:rFonts w:cs="Times New Roman"/>
          <w:i/>
          <w:szCs w:val="24"/>
        </w:rPr>
        <w:t xml:space="preserve">dilation </w:t>
      </w:r>
      <w:r>
        <w:rPr>
          <w:rFonts w:cs="Times New Roman"/>
          <w:szCs w:val="24"/>
        </w:rPr>
        <w:t xml:space="preserve">module (using the same size applied for </w:t>
      </w:r>
      <w:r w:rsidRPr="00B52B8A">
        <w:rPr>
          <w:rFonts w:cs="Times New Roman"/>
          <w:i/>
          <w:szCs w:val="24"/>
        </w:rPr>
        <w:t>closing</w:t>
      </w:r>
      <w:r>
        <w:rPr>
          <w:rFonts w:cs="Times New Roman"/>
          <w:szCs w:val="24"/>
        </w:rPr>
        <w:t xml:space="preserve"> – 8 px). </w:t>
      </w:r>
      <w:bookmarkStart w:id="1" w:name="_Hlk24897250"/>
      <w:r>
        <w:rPr>
          <w:rFonts w:cs="Times New Roman"/>
          <w:szCs w:val="24"/>
        </w:rPr>
        <w:t xml:space="preserve">The above steps visualize porosity: to remove it from scans while highlighting </w:t>
      </w:r>
      <w:r w:rsidR="001B0C34">
        <w:rPr>
          <w:rFonts w:cs="Times New Roman"/>
          <w:szCs w:val="24"/>
        </w:rPr>
        <w:t>glass shards</w:t>
      </w:r>
      <w:r>
        <w:rPr>
          <w:rFonts w:cs="Times New Roman"/>
          <w:szCs w:val="24"/>
        </w:rPr>
        <w:t xml:space="preserve">, the raw data should be transformed into a binary file that distinguishes tephra from non-tephra using the </w:t>
      </w:r>
      <w:r w:rsidRPr="00B52B8A">
        <w:rPr>
          <w:rFonts w:cs="Times New Roman"/>
          <w:i/>
          <w:szCs w:val="24"/>
        </w:rPr>
        <w:t>Interactive</w:t>
      </w:r>
      <w:r>
        <w:rPr>
          <w:rFonts w:cs="Times New Roman"/>
          <w:szCs w:val="24"/>
        </w:rPr>
        <w:t xml:space="preserve"> </w:t>
      </w:r>
      <w:r w:rsidRPr="00B52B8A">
        <w:rPr>
          <w:rFonts w:cs="Times New Roman"/>
          <w:i/>
          <w:szCs w:val="24"/>
        </w:rPr>
        <w:t>Thresholding module</w:t>
      </w:r>
      <w:r>
        <w:rPr>
          <w:rFonts w:cs="Times New Roman"/>
          <w:szCs w:val="24"/>
        </w:rPr>
        <w:t xml:space="preserve">. Identified porosity of a similar CT density as tephra can then be extracted using the </w:t>
      </w:r>
      <w:r w:rsidRPr="00B52B8A">
        <w:rPr>
          <w:rFonts w:cs="Times New Roman"/>
          <w:i/>
          <w:szCs w:val="24"/>
        </w:rPr>
        <w:t>Arithmetic</w:t>
      </w:r>
      <w:r>
        <w:rPr>
          <w:rFonts w:cs="Times New Roman"/>
          <w:szCs w:val="24"/>
        </w:rPr>
        <w:t xml:space="preserve"> module (Arithmetic 2 in Suppl. Fig. 3) – subtracting pores identified with the </w:t>
      </w:r>
      <w:r w:rsidRPr="00B52B8A">
        <w:rPr>
          <w:rFonts w:cs="Times New Roman"/>
          <w:i/>
          <w:szCs w:val="24"/>
        </w:rPr>
        <w:t>dilation</w:t>
      </w:r>
      <w:r>
        <w:rPr>
          <w:rFonts w:cs="Times New Roman"/>
          <w:szCs w:val="24"/>
        </w:rPr>
        <w:t xml:space="preserve"> module (see above) from the </w:t>
      </w:r>
      <w:r w:rsidRPr="00B52B8A">
        <w:rPr>
          <w:rFonts w:cs="Times New Roman"/>
          <w:i/>
          <w:szCs w:val="24"/>
        </w:rPr>
        <w:t>Interactive Thresholding</w:t>
      </w:r>
      <w:r>
        <w:rPr>
          <w:rFonts w:cs="Times New Roman"/>
          <w:szCs w:val="24"/>
        </w:rPr>
        <w:t xml:space="preserve"> results. Fig. 5B shows the impact of the outlined method on </w:t>
      </w:r>
      <w:r w:rsidR="001B0C34">
        <w:rPr>
          <w:rFonts w:cs="Times New Roman"/>
          <w:szCs w:val="24"/>
        </w:rPr>
        <w:t>glass shard</w:t>
      </w:r>
      <w:r>
        <w:rPr>
          <w:rFonts w:cs="Times New Roman"/>
          <w:szCs w:val="24"/>
        </w:rPr>
        <w:t xml:space="preserve"> visualization (porosity is extracted from CT imagery on the right). </w:t>
      </w:r>
    </w:p>
    <w:p w14:paraId="337490A2" w14:textId="77777777" w:rsidR="003327E1" w:rsidRDefault="003327E1" w:rsidP="003327E1">
      <w:pPr>
        <w:keepNext/>
        <w:spacing w:after="0" w:line="480" w:lineRule="auto"/>
        <w:jc w:val="both"/>
      </w:pPr>
      <w:r>
        <w:rPr>
          <w:noProof/>
          <w:lang w:val="nb-NO" w:eastAsia="nb-NO"/>
        </w:rPr>
        <w:lastRenderedPageBreak/>
        <w:drawing>
          <wp:inline distT="0" distB="0" distL="0" distR="0" wp14:anchorId="3B0A02F0" wp14:editId="0A1F937F">
            <wp:extent cx="3375603" cy="3348000"/>
            <wp:effectExtent l="0" t="0" r="0" b="5080"/>
            <wp:docPr id="32" name="Bilde 32"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rosity-extraction method.png"/>
                    <pic:cNvPicPr/>
                  </pic:nvPicPr>
                  <pic:blipFill>
                    <a:blip r:embed="rId10"/>
                    <a:stretch>
                      <a:fillRect/>
                    </a:stretch>
                  </pic:blipFill>
                  <pic:spPr>
                    <a:xfrm>
                      <a:off x="0" y="0"/>
                      <a:ext cx="3375603" cy="3348000"/>
                    </a:xfrm>
                    <a:prstGeom prst="rect">
                      <a:avLst/>
                    </a:prstGeom>
                  </pic:spPr>
                </pic:pic>
              </a:graphicData>
            </a:graphic>
          </wp:inline>
        </w:drawing>
      </w:r>
    </w:p>
    <w:p w14:paraId="19DD67DA" w14:textId="2E77B8DA" w:rsidR="003327E1" w:rsidRPr="00B45862" w:rsidRDefault="003327E1" w:rsidP="003327E1">
      <w:pPr>
        <w:keepNext/>
        <w:spacing w:after="0"/>
        <w:jc w:val="both"/>
        <w:rPr>
          <w:rFonts w:cs="Times New Roman"/>
        </w:rPr>
      </w:pPr>
      <w:r w:rsidRPr="007D1B08">
        <w:rPr>
          <w:rFonts w:cs="Times New Roman"/>
          <w:b/>
        </w:rPr>
        <w:t xml:space="preserve">Supplementary Figure </w:t>
      </w:r>
      <w:r>
        <w:rPr>
          <w:rFonts w:cs="Times New Roman"/>
          <w:b/>
        </w:rPr>
        <w:t>3</w:t>
      </w:r>
      <w:r w:rsidRPr="007D1B08">
        <w:rPr>
          <w:rFonts w:cs="Times New Roman"/>
        </w:rPr>
        <w:t>.</w:t>
      </w:r>
      <w:r>
        <w:rPr>
          <w:rFonts w:cs="Times New Roman"/>
        </w:rPr>
        <w:t xml:space="preserve"> The applied and described porosity extraction method, as seen in the project view of version </w:t>
      </w:r>
      <w:r w:rsidRPr="009264F7">
        <w:rPr>
          <w:rFonts w:cs="Times New Roman"/>
        </w:rPr>
        <w:t>9.1.1</w:t>
      </w:r>
      <w:r>
        <w:rPr>
          <w:rFonts w:cs="Times New Roman"/>
        </w:rPr>
        <w:t xml:space="preserve"> of the Avizo software. See Figs. 5A and 5B for before-after results. </w:t>
      </w:r>
    </w:p>
    <w:bookmarkEnd w:id="1"/>
    <w:p w14:paraId="5DE5D73B" w14:textId="77777777" w:rsidR="003327E1" w:rsidRDefault="003327E1" w:rsidP="003327E1">
      <w:pPr>
        <w:spacing w:after="0" w:line="480" w:lineRule="auto"/>
        <w:rPr>
          <w:rFonts w:cs="Times New Roman"/>
          <w:b/>
        </w:rPr>
      </w:pPr>
      <w:r>
        <w:rPr>
          <w:rFonts w:cs="Times New Roman"/>
          <w:b/>
          <w:noProof/>
          <w:lang w:val="nb-NO" w:eastAsia="nb-NO"/>
        </w:rPr>
        <w:lastRenderedPageBreak/>
        <w:drawing>
          <wp:inline distT="0" distB="0" distL="0" distR="0" wp14:anchorId="786A2E99" wp14:editId="6A3985B6">
            <wp:extent cx="5041402" cy="502920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4_2 columns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402" cy="5029209"/>
                    </a:xfrm>
                    <a:prstGeom prst="rect">
                      <a:avLst/>
                    </a:prstGeom>
                  </pic:spPr>
                </pic:pic>
              </a:graphicData>
            </a:graphic>
          </wp:inline>
        </w:drawing>
      </w:r>
    </w:p>
    <w:p w14:paraId="557EE5BF" w14:textId="4EAAAA3E" w:rsidR="003327E1" w:rsidRPr="00B45862" w:rsidRDefault="003327E1" w:rsidP="003327E1">
      <w:pPr>
        <w:spacing w:after="0"/>
        <w:jc w:val="both"/>
        <w:rPr>
          <w:rFonts w:cs="Times New Roman"/>
          <w:szCs w:val="24"/>
        </w:rPr>
      </w:pPr>
      <w:r w:rsidRPr="00DF2C9D">
        <w:rPr>
          <w:rFonts w:cs="Times New Roman"/>
          <w:b/>
          <w:szCs w:val="24"/>
        </w:rPr>
        <w:t>Supplementar</w:t>
      </w:r>
      <w:r>
        <w:rPr>
          <w:rFonts w:cs="Times New Roman"/>
          <w:b/>
          <w:szCs w:val="24"/>
        </w:rPr>
        <w:t>y Figure 4</w:t>
      </w:r>
      <w:r w:rsidRPr="00595629">
        <w:rPr>
          <w:rFonts w:cs="Times New Roman"/>
          <w:b/>
          <w:szCs w:val="24"/>
        </w:rPr>
        <w:t>.</w:t>
      </w:r>
      <w:r>
        <w:rPr>
          <w:rFonts w:cs="Times New Roman"/>
          <w:b/>
          <w:szCs w:val="24"/>
        </w:rPr>
        <w:t xml:space="preserve"> </w:t>
      </w:r>
      <w:r>
        <w:rPr>
          <w:rFonts w:cs="Times New Roman"/>
          <w:szCs w:val="24"/>
        </w:rPr>
        <w:t xml:space="preserve">Inter-connected 2-D CT orthoslices and 3-D representations of </w:t>
      </w:r>
      <w:r w:rsidR="00A51979">
        <w:rPr>
          <w:rFonts w:cs="Times New Roman"/>
          <w:szCs w:val="24"/>
        </w:rPr>
        <w:t>glass of intermediate composition</w:t>
      </w:r>
      <w:r>
        <w:rPr>
          <w:rFonts w:cs="Times New Roman"/>
          <w:szCs w:val="24"/>
        </w:rPr>
        <w:t xml:space="preserve"> in the synthetic minerogenic cores scanned for this study. The histograms show the grayscale value distribution of each scan in grey, while highlighting the range of partial-volume affected </w:t>
      </w:r>
      <w:r w:rsidR="00A51979">
        <w:rPr>
          <w:rFonts w:cs="Times New Roman"/>
          <w:szCs w:val="24"/>
        </w:rPr>
        <w:t>glass</w:t>
      </w:r>
      <w:r>
        <w:rPr>
          <w:rFonts w:cs="Times New Roman"/>
          <w:szCs w:val="24"/>
        </w:rPr>
        <w:t xml:space="preserve"> in red and pure </w:t>
      </w:r>
      <w:r w:rsidR="00A51979">
        <w:rPr>
          <w:rFonts w:cs="Times New Roman"/>
          <w:szCs w:val="24"/>
        </w:rPr>
        <w:t>glass</w:t>
      </w:r>
      <w:r>
        <w:rPr>
          <w:rFonts w:cs="Times New Roman"/>
          <w:szCs w:val="24"/>
        </w:rPr>
        <w:t xml:space="preserve"> in green. (</w:t>
      </w:r>
      <w:r w:rsidRPr="003327E1">
        <w:rPr>
          <w:rFonts w:cs="Times New Roman"/>
          <w:b/>
          <w:i/>
          <w:szCs w:val="24"/>
        </w:rPr>
        <w:t>A</w:t>
      </w:r>
      <w:r>
        <w:rPr>
          <w:rFonts w:cs="Times New Roman"/>
          <w:szCs w:val="24"/>
        </w:rPr>
        <w:t>) visualizations based on unprocessed data. (</w:t>
      </w:r>
      <w:r w:rsidRPr="003327E1">
        <w:rPr>
          <w:rFonts w:cs="Times New Roman"/>
          <w:b/>
          <w:i/>
          <w:szCs w:val="24"/>
        </w:rPr>
        <w:t>B</w:t>
      </w:r>
      <w:r>
        <w:rPr>
          <w:rFonts w:cs="Times New Roman"/>
          <w:szCs w:val="24"/>
        </w:rPr>
        <w:t>) visualization following the extraction of porosity as outlined in paragraph 1.1 above. (</w:t>
      </w:r>
      <w:r w:rsidRPr="003327E1">
        <w:rPr>
          <w:rFonts w:cs="Times New Roman"/>
          <w:b/>
          <w:i/>
          <w:szCs w:val="24"/>
        </w:rPr>
        <w:t>C</w:t>
      </w:r>
      <w:r>
        <w:rPr>
          <w:rFonts w:cs="Times New Roman"/>
          <w:szCs w:val="24"/>
        </w:rPr>
        <w:t xml:space="preserve">) visualization following the application of the Sobel edge detection filter (see section 3.2.3 in the main text). The position of each added </w:t>
      </w:r>
      <w:r w:rsidR="00A51979">
        <w:rPr>
          <w:rFonts w:cs="Times New Roman"/>
          <w:szCs w:val="24"/>
        </w:rPr>
        <w:t>glass</w:t>
      </w:r>
      <w:r>
        <w:rPr>
          <w:rFonts w:cs="Times New Roman"/>
          <w:szCs w:val="24"/>
        </w:rPr>
        <w:t xml:space="preserve"> </w:t>
      </w:r>
      <w:r w:rsidR="00775D86">
        <w:rPr>
          <w:rFonts w:cs="Times New Roman"/>
          <w:szCs w:val="24"/>
        </w:rPr>
        <w:t>concentration</w:t>
      </w:r>
      <w:r>
        <w:rPr>
          <w:rFonts w:cs="Times New Roman"/>
          <w:szCs w:val="24"/>
        </w:rPr>
        <w:t xml:space="preserve"> is highlighted with a red dash (and letter; see Fig. 1). </w:t>
      </w:r>
    </w:p>
    <w:p w14:paraId="0040BF23" w14:textId="77777777" w:rsidR="003327E1" w:rsidRPr="00B45862" w:rsidRDefault="003327E1" w:rsidP="003327E1">
      <w:pPr>
        <w:spacing w:before="240"/>
        <w:jc w:val="both"/>
        <w:rPr>
          <w:rFonts w:cs="Times New Roman"/>
          <w:b/>
          <w:szCs w:val="24"/>
        </w:rPr>
      </w:pPr>
      <w:r>
        <w:rPr>
          <w:rFonts w:cs="Times New Roman"/>
          <w:b/>
          <w:szCs w:val="24"/>
        </w:rPr>
        <w:t>1.2</w:t>
      </w:r>
      <w:r w:rsidRPr="007D1B08">
        <w:rPr>
          <w:rFonts w:cs="Times New Roman"/>
          <w:b/>
          <w:szCs w:val="24"/>
        </w:rPr>
        <w:t xml:space="preserve"> </w:t>
      </w:r>
      <w:r>
        <w:rPr>
          <w:rFonts w:cs="Times New Roman"/>
          <w:b/>
          <w:szCs w:val="24"/>
        </w:rPr>
        <w:t>Grain size analysis</w:t>
      </w:r>
      <w:r w:rsidRPr="007D1B08">
        <w:rPr>
          <w:rFonts w:cs="Times New Roman"/>
          <w:b/>
          <w:szCs w:val="24"/>
        </w:rPr>
        <w:t xml:space="preserve"> </w:t>
      </w:r>
    </w:p>
    <w:p w14:paraId="4EF140A9" w14:textId="77777777" w:rsidR="003327E1" w:rsidRPr="00B45862" w:rsidRDefault="003327E1" w:rsidP="003327E1">
      <w:pPr>
        <w:spacing w:after="0"/>
        <w:jc w:val="both"/>
        <w:rPr>
          <w:rFonts w:cs="Times New Roman"/>
          <w:szCs w:val="24"/>
        </w:rPr>
      </w:pPr>
      <w:r>
        <w:rPr>
          <w:rFonts w:cs="Times New Roman"/>
          <w:szCs w:val="24"/>
        </w:rPr>
        <w:t xml:space="preserve">As outlined in 3.2.3, we used grain size analysis to assess the possibility that heavier and larger basaltic shards in our minerogenic core sank through the fine silty clay that top each layer of gravity-settled host sediment (see section 2.13). To do so, we took out slices of sediment at 0.1 cm intervals along a 0.4 cm transect across horizon b (see Fig. 5). The extracted 5 samples were then measured in triplicate on a Mastersizer 3000 with a Hydro SV sampler. To disperse particles, we added a few drops of aqueous 5 % </w:t>
      </w:r>
      <w:r w:rsidRPr="00121923">
        <w:rPr>
          <w:rFonts w:cs="Times New Roman"/>
          <w:szCs w:val="24"/>
        </w:rPr>
        <w:t>Na</w:t>
      </w:r>
      <w:r w:rsidRPr="00121923">
        <w:rPr>
          <w:rFonts w:cs="Times New Roman"/>
          <w:szCs w:val="24"/>
          <w:vertAlign w:val="subscript"/>
        </w:rPr>
        <w:t>2</w:t>
      </w:r>
      <w:r w:rsidRPr="00121923">
        <w:rPr>
          <w:rFonts w:cs="Times New Roman"/>
          <w:szCs w:val="24"/>
        </w:rPr>
        <w:t>CO</w:t>
      </w:r>
      <w:r w:rsidRPr="00121923">
        <w:rPr>
          <w:rFonts w:cs="Times New Roman"/>
          <w:szCs w:val="24"/>
          <w:vertAlign w:val="subscript"/>
        </w:rPr>
        <w:t>3</w:t>
      </w:r>
      <w:r>
        <w:rPr>
          <w:rFonts w:cs="Times New Roman"/>
          <w:szCs w:val="24"/>
        </w:rPr>
        <w:t xml:space="preserve"> and applied 40 s. of ultrasonic treatment. </w:t>
      </w:r>
    </w:p>
    <w:p w14:paraId="184A6DEA" w14:textId="77777777" w:rsidR="003327E1" w:rsidRDefault="003327E1" w:rsidP="003327E1">
      <w:pPr>
        <w:spacing w:after="0" w:line="480" w:lineRule="auto"/>
        <w:jc w:val="both"/>
        <w:rPr>
          <w:rFonts w:cs="Times New Roman"/>
          <w:szCs w:val="24"/>
        </w:rPr>
      </w:pPr>
      <w:r>
        <w:rPr>
          <w:rFonts w:cs="Times New Roman"/>
          <w:noProof/>
          <w:szCs w:val="24"/>
          <w:lang w:val="nb-NO" w:eastAsia="nb-NO"/>
        </w:rPr>
        <w:lastRenderedPageBreak/>
        <w:drawing>
          <wp:inline distT="0" distB="0" distL="0" distR="0" wp14:anchorId="0CDCD1CE" wp14:editId="5CFBB85E">
            <wp:extent cx="5321817" cy="1664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4_grain siz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1817" cy="1664211"/>
                    </a:xfrm>
                    <a:prstGeom prst="rect">
                      <a:avLst/>
                    </a:prstGeom>
                  </pic:spPr>
                </pic:pic>
              </a:graphicData>
            </a:graphic>
          </wp:inline>
        </w:drawing>
      </w:r>
    </w:p>
    <w:p w14:paraId="7A6755B0" w14:textId="44422A3F" w:rsidR="003327E1" w:rsidRPr="00B45862" w:rsidRDefault="003327E1" w:rsidP="003327E1">
      <w:pPr>
        <w:spacing w:after="0"/>
        <w:jc w:val="both"/>
        <w:rPr>
          <w:rFonts w:cs="Times New Roman"/>
          <w:szCs w:val="24"/>
        </w:rPr>
      </w:pPr>
      <w:r>
        <w:rPr>
          <w:rFonts w:cs="Times New Roman"/>
          <w:b/>
          <w:szCs w:val="24"/>
        </w:rPr>
        <w:t>Supplementary Figure 5</w:t>
      </w:r>
      <w:r w:rsidRPr="00AB4AA3">
        <w:rPr>
          <w:rFonts w:cs="Times New Roman"/>
          <w:b/>
          <w:szCs w:val="24"/>
        </w:rPr>
        <w:t>.</w:t>
      </w:r>
      <w:r>
        <w:rPr>
          <w:rFonts w:cs="Times New Roman"/>
          <w:b/>
          <w:szCs w:val="24"/>
        </w:rPr>
        <w:t xml:space="preserve"> </w:t>
      </w:r>
      <w:r>
        <w:rPr>
          <w:rFonts w:cs="Times New Roman"/>
          <w:szCs w:val="24"/>
        </w:rPr>
        <w:t>Mean grain size data plotted alongside 2-D orthoslice and 3-D volume rendering data from the analyzed depth interval (ho</w:t>
      </w:r>
      <w:r w:rsidR="00A51979">
        <w:rPr>
          <w:rFonts w:cs="Times New Roman"/>
          <w:szCs w:val="24"/>
        </w:rPr>
        <w:t>rizon b in Fig. 5). Basaltic glass</w:t>
      </w:r>
      <w:r>
        <w:rPr>
          <w:rFonts w:cs="Times New Roman"/>
          <w:szCs w:val="24"/>
        </w:rPr>
        <w:t xml:space="preserve"> (in red), originally dis</w:t>
      </w:r>
      <w:r w:rsidR="00A51979">
        <w:rPr>
          <w:rFonts w:cs="Times New Roman"/>
          <w:szCs w:val="24"/>
        </w:rPr>
        <w:t>persed ~1.1 cm depth, has sunk</w:t>
      </w:r>
      <w:r>
        <w:rPr>
          <w:rFonts w:cs="Times New Roman"/>
          <w:szCs w:val="24"/>
        </w:rPr>
        <w:t xml:space="preserve"> through the fine-grained silts ~1.2 cm depth that settled on top of the underlying density-settled (see section 2.1.3) host sediment.</w:t>
      </w: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nb-NO" w:eastAsia="nb-NO"/>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7D77FA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6163A">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7D77FA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6163A">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nb-NO" w:eastAsia="nb-NO"/>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60C29B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6163A">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60C29B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6163A">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nb-NO" w:eastAsia="nb-NO"/>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1B0C34"/>
    <w:rsid w:val="00267D18"/>
    <w:rsid w:val="00274347"/>
    <w:rsid w:val="002868E2"/>
    <w:rsid w:val="002869C3"/>
    <w:rsid w:val="002936E4"/>
    <w:rsid w:val="002B4A57"/>
    <w:rsid w:val="002C74CA"/>
    <w:rsid w:val="003123F4"/>
    <w:rsid w:val="003327E1"/>
    <w:rsid w:val="003544FB"/>
    <w:rsid w:val="0036163A"/>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75D86"/>
    <w:rsid w:val="00790BB3"/>
    <w:rsid w:val="007C206C"/>
    <w:rsid w:val="00817DD6"/>
    <w:rsid w:val="0083759F"/>
    <w:rsid w:val="00885156"/>
    <w:rsid w:val="009151AA"/>
    <w:rsid w:val="0093429D"/>
    <w:rsid w:val="00943573"/>
    <w:rsid w:val="00964134"/>
    <w:rsid w:val="00970F7D"/>
    <w:rsid w:val="00994A3D"/>
    <w:rsid w:val="009C2B12"/>
    <w:rsid w:val="00A174D9"/>
    <w:rsid w:val="00A5197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3EB89BA-667F-4571-B42D-4349D5247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5</Pages>
  <Words>676</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WvdBilt</cp:lastModifiedBy>
  <cp:revision>4</cp:revision>
  <cp:lastPrinted>2013-10-03T12:51:00Z</cp:lastPrinted>
  <dcterms:created xsi:type="dcterms:W3CDTF">2020-12-13T19:45:00Z</dcterms:created>
  <dcterms:modified xsi:type="dcterms:W3CDTF">2020-12-16T22:09:00Z</dcterms:modified>
</cp:coreProperties>
</file>