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E7C13C6" w14:textId="77777777" w:rsidR="00994A3D" w:rsidRDefault="00994A3D" w:rsidP="002C5319">
      <w:pPr>
        <w:pStyle w:val="Heading1"/>
        <w:numPr>
          <w:ilvl w:val="0"/>
          <w:numId w:val="14"/>
        </w:numPr>
      </w:pPr>
      <w:r w:rsidRPr="0001436A">
        <w:t>Supplementary</w:t>
      </w:r>
      <w:r w:rsidR="008B4038">
        <w:t xml:space="preserve"> Figure</w:t>
      </w:r>
      <w:r w:rsidR="00D556B9">
        <w:t>s</w:t>
      </w:r>
    </w:p>
    <w:p w14:paraId="790F862B" w14:textId="77777777" w:rsidR="007F5380" w:rsidRPr="007F5380" w:rsidRDefault="007F5380" w:rsidP="007F5380">
      <w:pPr>
        <w:keepNext/>
      </w:pPr>
    </w:p>
    <w:p w14:paraId="639B078B" w14:textId="77777777" w:rsidR="00D556B9" w:rsidRDefault="006A343D" w:rsidP="007F5380">
      <w:pPr>
        <w:jc w:val="center"/>
      </w:pPr>
      <w:r w:rsidRPr="006A343D">
        <w:rPr>
          <w:noProof/>
        </w:rPr>
        <w:drawing>
          <wp:inline distT="0" distB="0" distL="0" distR="0" wp14:anchorId="18F58908" wp14:editId="1E96A4B7">
            <wp:extent cx="6165246" cy="320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0" r="22883" b="15656"/>
                    <a:stretch/>
                  </pic:blipFill>
                  <pic:spPr bwMode="auto">
                    <a:xfrm>
                      <a:off x="0" y="0"/>
                      <a:ext cx="6165246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D5D4D" w14:textId="77777777" w:rsidR="00643B35" w:rsidRDefault="00994A3D" w:rsidP="00643B35">
      <w:pPr>
        <w:keepNext/>
        <w:rPr>
          <w:rFonts w:cs="Times New Roman"/>
          <w:szCs w:val="24"/>
        </w:rPr>
      </w:pPr>
      <w:r w:rsidRPr="00643B35">
        <w:rPr>
          <w:b/>
        </w:rPr>
        <w:t>Supplementary</w:t>
      </w:r>
      <w:r w:rsidR="008B4038" w:rsidRPr="00643B35">
        <w:rPr>
          <w:b/>
        </w:rPr>
        <w:t xml:space="preserve"> Figure</w:t>
      </w:r>
      <w:r w:rsidR="007F5380" w:rsidRPr="0001436A">
        <w:rPr>
          <w:rFonts w:cs="Times New Roman"/>
          <w:b/>
          <w:szCs w:val="24"/>
        </w:rPr>
        <w:t xml:space="preserve"> </w:t>
      </w:r>
      <w:r w:rsidR="00150040">
        <w:rPr>
          <w:rFonts w:cs="Times New Roman"/>
          <w:b/>
          <w:szCs w:val="24"/>
        </w:rPr>
        <w:t>S</w:t>
      </w:r>
      <w:r w:rsidR="007F5380">
        <w:rPr>
          <w:rFonts w:cs="Times New Roman"/>
          <w:b/>
          <w:szCs w:val="24"/>
        </w:rPr>
        <w:t>1</w:t>
      </w:r>
      <w:r w:rsidR="007F5380" w:rsidRPr="0001436A">
        <w:rPr>
          <w:rFonts w:cs="Times New Roman"/>
          <w:b/>
          <w:szCs w:val="24"/>
        </w:rPr>
        <w:t>.</w:t>
      </w:r>
      <w:r w:rsidR="007F5380" w:rsidRPr="001549D3">
        <w:rPr>
          <w:rFonts w:cs="Times New Roman"/>
          <w:szCs w:val="24"/>
        </w:rPr>
        <w:t xml:space="preserve"> </w:t>
      </w:r>
      <w:r w:rsidR="007F5380">
        <w:rPr>
          <w:rFonts w:cs="Times New Roman"/>
          <w:b/>
          <w:szCs w:val="24"/>
        </w:rPr>
        <w:t>Plot of activated fraction versus the dry diameter.</w:t>
      </w:r>
      <w:r w:rsidR="007F5380">
        <w:rPr>
          <w:rFonts w:cs="Times New Roman"/>
          <w:szCs w:val="24"/>
        </w:rPr>
        <w:t xml:space="preserve"> </w:t>
      </w:r>
      <w:r w:rsidR="00643B35" w:rsidRPr="00643B35">
        <w:rPr>
          <w:rFonts w:cs="Times New Roman"/>
          <w:szCs w:val="24"/>
        </w:rPr>
        <w:t xml:space="preserve">This figure illustrated how the activated fraction is used to determine critical diameter for a population of aerosol. The diameter at the point at which the activated fraction is equal to 0.5, indicating that 50% of the particles were able to activate as CCN is defined as the critical diameter. </w:t>
      </w:r>
    </w:p>
    <w:p w14:paraId="5D712BD6" w14:textId="77777777" w:rsidR="00570D30" w:rsidRPr="00643B35" w:rsidRDefault="00643B35" w:rsidP="00643B35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9AB9AEA" w14:textId="77777777" w:rsidR="00994A3D" w:rsidRPr="001549D3" w:rsidRDefault="00680F96" w:rsidP="00994A3D">
      <w:pPr>
        <w:keepNext/>
        <w:jc w:val="center"/>
        <w:rPr>
          <w:rFonts w:cs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1439CBC9" wp14:editId="084BA68E">
            <wp:extent cx="5023899" cy="49625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1142" cy="496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14277" w14:textId="7BC0CD34" w:rsidR="006538D4" w:rsidRPr="00643B35" w:rsidRDefault="00994A3D" w:rsidP="00643B35">
      <w:pPr>
        <w:keepNext/>
        <w:rPr>
          <w:rFonts w:cs="Times New Roman"/>
          <w:b/>
          <w:szCs w:val="24"/>
        </w:rPr>
        <w:sectPr w:rsidR="006538D4" w:rsidRPr="00643B35" w:rsidSect="0093429D">
          <w:headerReference w:type="even" r:id="rId10"/>
          <w:footerReference w:type="even" r:id="rId11"/>
          <w:footerReference w:type="default" r:id="rId12"/>
          <w:headerReference w:type="first" r:id="rId13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r w:rsidRPr="0001436A">
        <w:rPr>
          <w:rFonts w:cs="Times New Roman"/>
          <w:b/>
          <w:szCs w:val="24"/>
        </w:rPr>
        <w:t xml:space="preserve">Supplementary Figure </w:t>
      </w:r>
      <w:r w:rsidR="00150040">
        <w:rPr>
          <w:rFonts w:cs="Times New Roman"/>
          <w:b/>
          <w:szCs w:val="24"/>
        </w:rPr>
        <w:t>S</w:t>
      </w:r>
      <w:r w:rsidR="004E3D5A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5602B5" w:rsidRPr="005602B5">
        <w:rPr>
          <w:rFonts w:cs="Times New Roman"/>
          <w:b/>
          <w:szCs w:val="24"/>
        </w:rPr>
        <w:t>Comparison between measured TOC and DOC concentrations in the SML.</w:t>
      </w:r>
      <w:r w:rsidR="005602B5">
        <w:rPr>
          <w:rFonts w:cs="Times New Roman"/>
          <w:szCs w:val="24"/>
        </w:rPr>
        <w:t xml:space="preserve"> </w:t>
      </w:r>
      <w:r w:rsidR="00570D30">
        <w:t xml:space="preserve">This </w:t>
      </w:r>
      <w:r w:rsidR="00570D30" w:rsidRPr="00570D30">
        <w:t>figure shows that the concentrations of TOC and DOC measured in the SML are</w:t>
      </w:r>
      <w:r w:rsidR="00570D30">
        <w:t xml:space="preserve"> remarkably</w:t>
      </w:r>
      <w:r w:rsidR="00570D30" w:rsidRPr="00570D30">
        <w:t xml:space="preserve"> similar. At stations where both TOC and DOC concentrations were measured, the mean </w:t>
      </w:r>
      <w:r w:rsidR="00570D30">
        <w:t>difference in the concentration</w:t>
      </w:r>
      <w:r w:rsidR="00570D30" w:rsidRPr="00570D30">
        <w:t xml:space="preserve"> was </w:t>
      </w:r>
      <w:r w:rsidR="00570D30">
        <w:t xml:space="preserve">calculated and determined to be </w:t>
      </w:r>
      <w:r w:rsidR="00570D30" w:rsidRPr="00570D30">
        <w:t xml:space="preserve">3.94%. For stations where only TOC or DOC was measured the equation: DOC = TOC - (TOC x 0.0394) was used to convert between the two measurements. </w:t>
      </w:r>
    </w:p>
    <w:p w14:paraId="736FDCCA" w14:textId="77777777" w:rsidR="006538D4" w:rsidRDefault="00994A3D" w:rsidP="006538D4">
      <w:pPr>
        <w:pStyle w:val="Heading1"/>
        <w:numPr>
          <w:ilvl w:val="0"/>
          <w:numId w:val="14"/>
        </w:numPr>
      </w:pPr>
      <w:r w:rsidRPr="00BE1D4C">
        <w:lastRenderedPageBreak/>
        <w:t xml:space="preserve">Supplementary </w:t>
      </w:r>
      <w:r w:rsidR="006538D4">
        <w:t>Table</w:t>
      </w:r>
    </w:p>
    <w:p w14:paraId="3AE196DF" w14:textId="6E4D4C05" w:rsidR="00994A3D" w:rsidRPr="00616C20" w:rsidRDefault="00F836D0" w:rsidP="00616C20">
      <w:r w:rsidRPr="00D32685">
        <w:rPr>
          <w:rFonts w:cs="Times New Roman"/>
          <w:color w:val="000000"/>
          <w:shd w:val="clear" w:color="auto" w:fill="FFFFFF"/>
        </w:rPr>
        <w:t xml:space="preserve">The molar concentration of each </w:t>
      </w:r>
      <w:r w:rsidR="001462F3">
        <w:rPr>
          <w:rFonts w:cs="Times New Roman"/>
          <w:color w:val="000000"/>
          <w:shd w:val="clear" w:color="auto" w:fill="FFFFFF"/>
        </w:rPr>
        <w:t>cation</w:t>
      </w:r>
      <w:r w:rsidRPr="00D32685">
        <w:rPr>
          <w:rFonts w:cs="Times New Roman"/>
          <w:color w:val="000000"/>
          <w:shd w:val="clear" w:color="auto" w:fill="FFFFFF"/>
        </w:rPr>
        <w:t xml:space="preserve"> and </w:t>
      </w:r>
      <w:r w:rsidR="001462F3">
        <w:rPr>
          <w:rFonts w:cs="Times New Roman"/>
          <w:color w:val="000000"/>
          <w:shd w:val="clear" w:color="auto" w:fill="FFFFFF"/>
        </w:rPr>
        <w:t>anion</w:t>
      </w:r>
      <w:r w:rsidRPr="00D32685">
        <w:rPr>
          <w:rFonts w:cs="Times New Roman"/>
          <w:color w:val="000000"/>
          <w:shd w:val="clear" w:color="auto" w:fill="FFFFFF"/>
        </w:rPr>
        <w:t xml:space="preserve"> listed in Table S1 was</w:t>
      </w:r>
      <w:r w:rsidR="005602B5" w:rsidRPr="00616C20">
        <w:rPr>
          <w:color w:val="000000"/>
          <w:shd w:val="clear" w:color="auto" w:fill="FFFFFF"/>
        </w:rPr>
        <w:t xml:space="preserve"> measured </w:t>
      </w:r>
      <w:r w:rsidRPr="00D32685">
        <w:rPr>
          <w:rFonts w:cs="Times New Roman"/>
          <w:color w:val="000000"/>
          <w:shd w:val="clear" w:color="auto" w:fill="FFFFFF"/>
        </w:rPr>
        <w:t xml:space="preserve">using ion chromatography. </w:t>
      </w:r>
      <w:r w:rsidR="00643B35">
        <w:rPr>
          <w:rFonts w:cs="Times New Roman"/>
          <w:color w:val="000000"/>
          <w:shd w:val="clear" w:color="auto" w:fill="FFFFFF"/>
        </w:rPr>
        <w:t>Using these</w:t>
      </w:r>
      <w:r w:rsidRPr="00D32685">
        <w:rPr>
          <w:rFonts w:cs="Times New Roman"/>
          <w:color w:val="000000"/>
          <w:shd w:val="clear" w:color="auto" w:fill="FFFFFF"/>
        </w:rPr>
        <w:t xml:space="preserve"> data and </w:t>
      </w:r>
      <w:r w:rsidR="00643B35">
        <w:rPr>
          <w:rFonts w:cs="Times New Roman"/>
          <w:color w:val="000000"/>
          <w:shd w:val="clear" w:color="auto" w:fill="FFFFFF"/>
        </w:rPr>
        <w:t xml:space="preserve">the </w:t>
      </w:r>
      <w:r w:rsidRPr="00D32685">
        <w:rPr>
          <w:rFonts w:cs="Times New Roman"/>
          <w:color w:val="000000"/>
          <w:shd w:val="clear" w:color="auto" w:fill="FFFFFF"/>
        </w:rPr>
        <w:t xml:space="preserve">stoichiometry </w:t>
      </w:r>
      <w:r w:rsidR="00643B35">
        <w:rPr>
          <w:rFonts w:cs="Times New Roman"/>
          <w:color w:val="000000"/>
          <w:shd w:val="clear" w:color="auto" w:fill="FFFFFF"/>
        </w:rPr>
        <w:t xml:space="preserve">of the most </w:t>
      </w:r>
      <w:r w:rsidR="00E62474">
        <w:rPr>
          <w:rFonts w:cs="Times New Roman"/>
          <w:color w:val="000000"/>
          <w:shd w:val="clear" w:color="auto" w:fill="FFFFFF"/>
        </w:rPr>
        <w:t>abundance</w:t>
      </w:r>
      <w:r w:rsidR="00643B35">
        <w:rPr>
          <w:rFonts w:cs="Times New Roman"/>
          <w:color w:val="000000"/>
          <w:shd w:val="clear" w:color="auto" w:fill="FFFFFF"/>
        </w:rPr>
        <w:t xml:space="preserve"> salts found sea water, the </w:t>
      </w:r>
      <w:r w:rsidRPr="00D32685">
        <w:rPr>
          <w:rFonts w:cs="Times New Roman"/>
          <w:color w:val="000000"/>
          <w:shd w:val="clear" w:color="auto" w:fill="FFFFFF"/>
        </w:rPr>
        <w:t>relative concentration of salts was determined by pairing the positive ions with negative ions to predict</w:t>
      </w:r>
      <w:r w:rsidR="005602B5" w:rsidRPr="00616C20">
        <w:rPr>
          <w:color w:val="000000"/>
          <w:shd w:val="clear" w:color="auto" w:fill="FFFFFF"/>
        </w:rPr>
        <w:t xml:space="preserve"> concentrations </w:t>
      </w:r>
      <w:r w:rsidRPr="00D32685">
        <w:rPr>
          <w:rFonts w:cs="Times New Roman"/>
          <w:color w:val="000000"/>
          <w:shd w:val="clear" w:color="auto" w:fill="FFFFFF"/>
        </w:rPr>
        <w:t xml:space="preserve">of sodium chloride, magnesium chloride, magnesium sulfate, and sodium sulfate. While other compounds found in seawater were not considered, </w:t>
      </w:r>
      <w:r w:rsidRPr="00D32685">
        <w:rPr>
          <w:rFonts w:cs="Times New Roman"/>
        </w:rPr>
        <w:t xml:space="preserve">these four compounds comprised at least 95% of the mass of the salts in each </w:t>
      </w:r>
      <w:r w:rsidR="005602B5" w:rsidRPr="00616C20">
        <w:t>SML</w:t>
      </w:r>
      <w:r w:rsidRPr="00D32685">
        <w:rPr>
          <w:rFonts w:cs="Times New Roman"/>
        </w:rPr>
        <w:t xml:space="preserve"> sample</w:t>
      </w:r>
      <w:r w:rsidR="005602B5" w:rsidRPr="00616C20">
        <w:t>.</w:t>
      </w:r>
      <w:r w:rsidR="005602B5">
        <w:rPr>
          <w:rFonts w:cs="Times New Roman"/>
          <w:szCs w:val="24"/>
        </w:rPr>
        <w:t xml:space="preserve"> </w:t>
      </w:r>
    </w:p>
    <w:p w14:paraId="0C3609B0" w14:textId="77777777" w:rsidR="00643B35" w:rsidRDefault="00643B35" w:rsidP="006538D4">
      <w:r w:rsidRPr="00643B35">
        <w:rPr>
          <w:b/>
        </w:rPr>
        <w:t>Supplementary Table T1.</w:t>
      </w:r>
      <w:r w:rsidRPr="00643B35">
        <w:t xml:space="preserve"> </w:t>
      </w:r>
      <w:r w:rsidRPr="00643B35">
        <w:rPr>
          <w:b/>
        </w:rPr>
        <w:t xml:space="preserve">Ion chromatography measurements of SML and DSML samples.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8"/>
        <w:gridCol w:w="1410"/>
        <w:gridCol w:w="1277"/>
        <w:gridCol w:w="819"/>
        <w:gridCol w:w="819"/>
        <w:gridCol w:w="1196"/>
        <w:gridCol w:w="1277"/>
        <w:gridCol w:w="1437"/>
        <w:gridCol w:w="1437"/>
        <w:gridCol w:w="1437"/>
        <w:gridCol w:w="1282"/>
      </w:tblGrid>
      <w:tr w:rsidR="00F836D0" w:rsidRPr="005A64A0" w14:paraId="7A5901B9" w14:textId="77777777" w:rsidTr="00D33A47">
        <w:trPr>
          <w:trHeight w:val="31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62C2" w14:textId="77777777" w:rsidR="005A64A0" w:rsidRPr="005A64A0" w:rsidRDefault="005A64A0" w:rsidP="005A64A0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5A54" w14:textId="77777777" w:rsidR="005A64A0" w:rsidRPr="005A64A0" w:rsidRDefault="005A64A0" w:rsidP="005A64A0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1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94F03" w14:textId="77777777" w:rsidR="005A64A0" w:rsidRPr="005A64A0" w:rsidRDefault="00D33A47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Concentration (</w:t>
            </w:r>
            <w:r w:rsidR="005A64A0" w:rsidRPr="005A64A0">
              <w:rPr>
                <w:rFonts w:eastAsia="Times New Roman" w:cs="Times New Roman"/>
                <w:color w:val="000000"/>
                <w:szCs w:val="24"/>
              </w:rPr>
              <w:t>mg/L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  <w:tr w:rsidR="00F836D0" w:rsidRPr="005A64A0" w14:paraId="243A08B5" w14:textId="77777777" w:rsidTr="00B53C7F">
        <w:trPr>
          <w:trHeight w:val="37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1C07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bookmarkStart w:id="0" w:name="_Hlk57658009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2245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6FDC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Cl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6A5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Br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9281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NO</w:t>
            </w:r>
            <w:r w:rsidRPr="005A64A0">
              <w:rPr>
                <w:rFonts w:eastAsia="Times New Roman" w:cs="Times New Roman"/>
                <w:color w:val="000000"/>
                <w:szCs w:val="24"/>
                <w:vertAlign w:val="subscript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18EF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SO</w:t>
            </w:r>
            <w:r w:rsidRPr="005A64A0">
              <w:rPr>
                <w:rFonts w:eastAsia="Times New Roman" w:cs="Times New Roman"/>
                <w:color w:val="000000"/>
                <w:szCs w:val="24"/>
                <w:vertAlign w:val="subscript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59E6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9491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NH</w:t>
            </w:r>
            <w:r w:rsidRPr="005A64A0">
              <w:rPr>
                <w:rFonts w:eastAsia="Times New Roman" w:cs="Times New Roman"/>
                <w:color w:val="000000"/>
                <w:szCs w:val="24"/>
                <w:vertAlign w:val="subscript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2125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5132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Mg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EA50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Ca</w:t>
            </w:r>
          </w:p>
        </w:tc>
      </w:tr>
      <w:bookmarkEnd w:id="0"/>
      <w:tr w:rsidR="00F836D0" w:rsidRPr="005A64A0" w14:paraId="37A843F8" w14:textId="77777777" w:rsidTr="00F836D0">
        <w:trPr>
          <w:trHeight w:val="315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D527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SML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B5C" w14:textId="77777777" w:rsidR="00F836D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N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AAMES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3</w:t>
            </w:r>
          </w:p>
          <w:p w14:paraId="7D9E3B5D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S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tation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61E9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20</w:t>
            </w:r>
            <w:r w:rsidR="00D33A47"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333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FCB0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91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CBFE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CA62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2</w:t>
            </w:r>
            <w:r w:rsidR="00D33A47"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998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D5DC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11</w:t>
            </w:r>
            <w:r w:rsidR="00D33A47"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652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44F9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B53C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412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A226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D33A47"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450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8677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434</w:t>
            </w:r>
          </w:p>
        </w:tc>
      </w:tr>
      <w:tr w:rsidR="00F836D0" w:rsidRPr="005A64A0" w14:paraId="7494E6B1" w14:textId="77777777" w:rsidTr="00F836D0">
        <w:trPr>
          <w:trHeight w:val="315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5889" w14:textId="77777777" w:rsidR="005A64A0" w:rsidRPr="005A64A0" w:rsidRDefault="005A64A0" w:rsidP="005A64A0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58A2" w14:textId="77777777" w:rsidR="00F836D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N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AAMES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3</w:t>
            </w:r>
          </w:p>
          <w:p w14:paraId="32262907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S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tation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6</w:t>
            </w:r>
            <w:r w:rsidR="00D33A47">
              <w:rPr>
                <w:rFonts w:eastAsia="Times New Roman" w:cs="Times New Roman"/>
                <w:color w:val="000000"/>
                <w:szCs w:val="24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B3C7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C903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4B57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F484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305E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3368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EB88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9693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5AE5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F836D0" w:rsidRPr="005A64A0" w14:paraId="7BAF1914" w14:textId="77777777" w:rsidTr="00F836D0">
        <w:trPr>
          <w:trHeight w:val="315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1CE6" w14:textId="77777777" w:rsidR="005A64A0" w:rsidRPr="005A64A0" w:rsidRDefault="005A64A0" w:rsidP="005A64A0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C20" w14:textId="77777777" w:rsidR="00F836D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N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AAMES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4</w:t>
            </w:r>
          </w:p>
          <w:p w14:paraId="20D316C9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S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tation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EAB8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13</w:t>
            </w:r>
            <w:r w:rsidR="00D33A47"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742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7C8B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C952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2D0D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D33A47"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749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1287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7</w:t>
            </w:r>
            <w:r w:rsidR="00D33A47"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720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B7D5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4AB5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459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E3E8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D33A47"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3989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383</w:t>
            </w:r>
          </w:p>
        </w:tc>
      </w:tr>
      <w:tr w:rsidR="00F836D0" w:rsidRPr="005A64A0" w14:paraId="3FF52109" w14:textId="77777777" w:rsidTr="00F836D0">
        <w:trPr>
          <w:trHeight w:val="315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0C14" w14:textId="77777777" w:rsidR="005A64A0" w:rsidRPr="005A64A0" w:rsidRDefault="005A64A0" w:rsidP="005A64A0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FD3" w14:textId="77777777" w:rsidR="00F836D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N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AAMES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4</w:t>
            </w:r>
          </w:p>
          <w:p w14:paraId="69AFC335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S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tation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B521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14</w:t>
            </w:r>
            <w:r w:rsidR="00D33A47"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057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638B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99F1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B992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D33A47"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848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FC2A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8</w:t>
            </w:r>
            <w:r w:rsidR="00D33A47"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003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C734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D79A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415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143F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D33A47"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A4E7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406</w:t>
            </w:r>
          </w:p>
        </w:tc>
      </w:tr>
      <w:tr w:rsidR="00F836D0" w:rsidRPr="005A64A0" w14:paraId="5CEAA180" w14:textId="77777777" w:rsidTr="00F836D0">
        <w:trPr>
          <w:trHeight w:val="31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3E6C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DSML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7B24" w14:textId="77777777" w:rsidR="00F836D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N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AAMES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3</w:t>
            </w:r>
          </w:p>
          <w:p w14:paraId="78B4FFF9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S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tation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E2E0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6.4 ± 0.8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891D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D9ED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425F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40 ± 3.8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1839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8.5 ± 0.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F0CA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0.03 ± 0.03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440F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0.58 ± 0.03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C2A7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10.1 ± 0.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33EC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3.5 ± 0.5</w:t>
            </w:r>
          </w:p>
        </w:tc>
      </w:tr>
      <w:tr w:rsidR="00F836D0" w:rsidRPr="005A64A0" w14:paraId="493CA250" w14:textId="77777777" w:rsidTr="00F836D0">
        <w:trPr>
          <w:trHeight w:val="31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9141" w14:textId="77777777" w:rsidR="005A64A0" w:rsidRPr="005A64A0" w:rsidRDefault="005A64A0" w:rsidP="005A64A0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37B8" w14:textId="77777777" w:rsidR="00F836D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N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AAMES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3</w:t>
            </w:r>
          </w:p>
          <w:p w14:paraId="03253DCD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S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tation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9E8A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3.4 ± 0.2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EF65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EFAD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8E98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45 ± 4.3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59C0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5.5 ± 0.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F064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0.03 ± 0.03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1DC6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0.28 ± 0.05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E88E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10.3 ± 0.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6F31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8.1 ± 0.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F836D0" w:rsidRPr="005A64A0" w14:paraId="348F6BBC" w14:textId="77777777" w:rsidTr="00F836D0">
        <w:trPr>
          <w:trHeight w:val="31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A61D" w14:textId="77777777" w:rsidR="005A64A0" w:rsidRPr="005A64A0" w:rsidRDefault="005A64A0" w:rsidP="005A64A0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7236" w14:textId="77777777" w:rsidR="00F836D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N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AAMES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4</w:t>
            </w:r>
          </w:p>
          <w:p w14:paraId="177A6CFE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S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tation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0AEA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2.2 ± 0.2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8726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&lt;0.01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BC55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&lt;0.01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E8B7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25 ± 0.7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742C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6.2 ± 0.1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7E98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0.03 ± 0.03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796B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0.68 ± 0.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C7FA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5.0  ± 0.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8DF3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2.2 ± 0.2</w:t>
            </w:r>
          </w:p>
        </w:tc>
      </w:tr>
      <w:tr w:rsidR="00F836D0" w:rsidRPr="005A64A0" w14:paraId="14579809" w14:textId="77777777" w:rsidTr="00F836D0">
        <w:trPr>
          <w:trHeight w:val="31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D792" w14:textId="77777777" w:rsidR="005A64A0" w:rsidRPr="005A64A0" w:rsidRDefault="005A64A0" w:rsidP="005A64A0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F8CC" w14:textId="77777777" w:rsidR="00F836D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N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AAMES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4</w:t>
            </w:r>
          </w:p>
          <w:p w14:paraId="014B6E39" w14:textId="77777777" w:rsidR="005A64A0" w:rsidRPr="005A64A0" w:rsidRDefault="005A64A0" w:rsidP="005A64A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S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 xml:space="preserve">tation </w:t>
            </w:r>
            <w:r w:rsidRPr="005A64A0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3874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2.2 ± 0.2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9960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&lt;0.01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D802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A04A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25 ± 2.3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0F5F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6.0 ± 0.3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9D34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0.03 ± 0.03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D119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0.41 ± 0.05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7390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5.8 ± 0.</w:t>
            </w:r>
            <w:r w:rsidR="00F836D0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4017" w14:textId="77777777" w:rsidR="005A64A0" w:rsidRPr="005A64A0" w:rsidRDefault="005A64A0" w:rsidP="00F836D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4A0">
              <w:rPr>
                <w:rFonts w:eastAsia="Times New Roman" w:cs="Times New Roman"/>
                <w:color w:val="000000"/>
                <w:szCs w:val="24"/>
              </w:rPr>
              <w:t>2.2 ± 0.1</w:t>
            </w:r>
          </w:p>
        </w:tc>
      </w:tr>
    </w:tbl>
    <w:p w14:paraId="7F705766" w14:textId="77777777" w:rsidR="00D33A47" w:rsidRDefault="00D33A47" w:rsidP="00D33A47"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*</w:t>
      </w:r>
      <w:r w:rsidRPr="00D33A47">
        <w:rPr>
          <w:color w:val="000000"/>
          <w:shd w:val="clear" w:color="auto" w:fill="FFFFFF"/>
        </w:rPr>
        <w:t xml:space="preserve"> </w:t>
      </w:r>
      <w:r w:rsidRPr="00D33A47">
        <w:rPr>
          <w:color w:val="000000"/>
          <w:sz w:val="20"/>
          <w:shd w:val="clear" w:color="auto" w:fill="FFFFFF"/>
        </w:rPr>
        <w:t>No IC data available for NAAMES 3 Station 6 sample so the composition was assumed to be the same as the NAAMES 3 Station 1 sample.</w:t>
      </w:r>
    </w:p>
    <w:p w14:paraId="13D5E4DC" w14:textId="77777777" w:rsidR="006538D4" w:rsidRPr="006538D4" w:rsidRDefault="006538D4" w:rsidP="00F836D0">
      <w:pPr>
        <w:keepNext/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616C20">
      <w:headerReference w:type="even" r:id="rId14"/>
      <w:footerReference w:type="even" r:id="rId15"/>
      <w:footerReference w:type="default" r:id="rId16"/>
      <w:headerReference w:type="first" r:id="rId17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49CB5" w14:textId="77777777" w:rsidR="003342D8" w:rsidRDefault="003342D8" w:rsidP="00117666">
      <w:pPr>
        <w:spacing w:after="0"/>
      </w:pPr>
      <w:r>
        <w:separator/>
      </w:r>
    </w:p>
  </w:endnote>
  <w:endnote w:type="continuationSeparator" w:id="0">
    <w:p w14:paraId="37EEE20F" w14:textId="77777777" w:rsidR="003342D8" w:rsidRDefault="003342D8" w:rsidP="00117666">
      <w:pPr>
        <w:spacing w:after="0"/>
      </w:pPr>
      <w:r>
        <w:continuationSeparator/>
      </w:r>
    </w:p>
  </w:endnote>
  <w:endnote w:type="continuationNotice" w:id="1">
    <w:p w14:paraId="1223B606" w14:textId="77777777" w:rsidR="003342D8" w:rsidRDefault="003342D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1461" w14:textId="78E11099" w:rsidR="00995F6A" w:rsidRPr="00577C4C" w:rsidRDefault="003342D8">
    <w:pPr>
      <w:rPr>
        <w:color w:val="C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0F06" w14:textId="0665FCE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3DD946" wp14:editId="19C5114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B3DA9F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538D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DD94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7.6pt;margin-top:0;width:118.8pt;height:31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cxMwIAAGEEAAAOAAAAZHJzL2Uyb0RvYy54bWysVF1v2jAUfZ+0/2D5fSRQoC0iVKwV0yTU&#10;VoKpz8ZxSKT4Y7YhYb9+x06gqNvTtBfn+t7j43vvuc78oZU1OQrrKq0yOhyklAjFdV6pfUZ/bFdf&#10;7ihxnqmc1VqJjJ6Eow+Lz5/mjZmJkS51nQtLQKLcrDEZLb03syRxvBSSuYE2QiFYaCuZx9buk9yy&#10;BuyyTkZpOk0abXNjNRfOwfvUBeki8heF4P6lKJzwpM4ocvNxtXHdhTVZzNlsb5kpK96nwf4hC8kq&#10;hUsvVE/MM3Kw1R9UsuJWO134Adcy0UVRcRFrQDXD9EM1m5IZEWtBc5y5tMn9P1r+fHy1pMqhHdqj&#10;mIRGW9F68lW3BC70pzFuBtjGAOhb+IE9+x2coey2sDJ8URBBHFSnS3cDGw+HJund7RQhjtjN/WSa&#10;TgJN8n7aWOe/CS1JMDJqoV5sKjuune+gZ0i4TOlVVddRwVqRJqPTm0kaD1wiIK9VwIo4Cz1NqKjL&#10;PFi+3bV9mTudn1Cl1d2cOMNXFVJZM+dfmcVgIHsMu3/BUtQaV+reoqTU9tff/AEPvRClpMGgZdT9&#10;PDArKKm/Kyh5PxyPQevjZjy5HWFjryO764g6yEeNWR7iWRkezYD39dksrJZveBPLcCtCTHHcnVF/&#10;Nh99N/54U1wslxGEWTTMr9XG8EAdGhYavW3fmDW9Gh46PuvzSLLZB1E6bDjpzPLgIU1ULDS46yqU&#10;DhvMcdS8f3PhoVzvI+r9z7D4DQ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30KcxMwIAAGE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EB3DA9F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538D4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0037A8C0" w:rsidR="00995F6A" w:rsidRPr="001C47F7" w:rsidRDefault="003342D8" w:rsidP="001C47F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3C117461" w:rsidR="00995F6A" w:rsidRPr="001C47F7" w:rsidRDefault="003342D8" w:rsidP="001C4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34AA4" w14:textId="77777777" w:rsidR="003342D8" w:rsidRDefault="003342D8" w:rsidP="00117666">
      <w:pPr>
        <w:spacing w:after="0"/>
      </w:pPr>
      <w:r>
        <w:separator/>
      </w:r>
    </w:p>
  </w:footnote>
  <w:footnote w:type="continuationSeparator" w:id="0">
    <w:p w14:paraId="107C3EBF" w14:textId="77777777" w:rsidR="003342D8" w:rsidRDefault="003342D8" w:rsidP="00117666">
      <w:pPr>
        <w:spacing w:after="0"/>
      </w:pPr>
      <w:r>
        <w:continuationSeparator/>
      </w:r>
    </w:p>
  </w:footnote>
  <w:footnote w:type="continuationNotice" w:id="1">
    <w:p w14:paraId="0A479599" w14:textId="77777777" w:rsidR="003342D8" w:rsidRDefault="003342D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D5920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5EE5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455749A8" wp14:editId="40B178B0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2276E2" w:rsidR="00995F6A" w:rsidRPr="009151AA" w:rsidRDefault="003342D8" w:rsidP="001C47F7">
    <w:pPr>
      <w:pStyle w:val="Header"/>
      <w:rPr>
        <w:rFonts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0DF72D68" w:rsidR="00995F6A" w:rsidRDefault="006B5217" w:rsidP="0093429D"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57030"/>
    <w:rsid w:val="00077D53"/>
    <w:rsid w:val="000D0F4B"/>
    <w:rsid w:val="000D7FEC"/>
    <w:rsid w:val="00105AF8"/>
    <w:rsid w:val="00105FD9"/>
    <w:rsid w:val="00117666"/>
    <w:rsid w:val="0014027E"/>
    <w:rsid w:val="001462F3"/>
    <w:rsid w:val="00150040"/>
    <w:rsid w:val="001549D3"/>
    <w:rsid w:val="00157507"/>
    <w:rsid w:val="00160065"/>
    <w:rsid w:val="00177D84"/>
    <w:rsid w:val="00195F3C"/>
    <w:rsid w:val="001B1B68"/>
    <w:rsid w:val="001C47F7"/>
    <w:rsid w:val="001C4AC2"/>
    <w:rsid w:val="002217EC"/>
    <w:rsid w:val="002344ED"/>
    <w:rsid w:val="00267D18"/>
    <w:rsid w:val="00274347"/>
    <w:rsid w:val="002868E2"/>
    <w:rsid w:val="002869C3"/>
    <w:rsid w:val="002936E4"/>
    <w:rsid w:val="00296371"/>
    <w:rsid w:val="002B4A57"/>
    <w:rsid w:val="002C5319"/>
    <w:rsid w:val="002C74CA"/>
    <w:rsid w:val="002F17AF"/>
    <w:rsid w:val="003123F4"/>
    <w:rsid w:val="003342D8"/>
    <w:rsid w:val="003544FB"/>
    <w:rsid w:val="00392193"/>
    <w:rsid w:val="00395648"/>
    <w:rsid w:val="003D2F2D"/>
    <w:rsid w:val="00401590"/>
    <w:rsid w:val="004160B2"/>
    <w:rsid w:val="00447801"/>
    <w:rsid w:val="00452E9C"/>
    <w:rsid w:val="004735C8"/>
    <w:rsid w:val="004947A6"/>
    <w:rsid w:val="004961FF"/>
    <w:rsid w:val="004A7831"/>
    <w:rsid w:val="004E3D5A"/>
    <w:rsid w:val="004F24CC"/>
    <w:rsid w:val="00517A89"/>
    <w:rsid w:val="005250F2"/>
    <w:rsid w:val="005602B5"/>
    <w:rsid w:val="00570D30"/>
    <w:rsid w:val="00575CDB"/>
    <w:rsid w:val="00593EEA"/>
    <w:rsid w:val="005A5EEE"/>
    <w:rsid w:val="005A64A0"/>
    <w:rsid w:val="005D4FDC"/>
    <w:rsid w:val="006035AA"/>
    <w:rsid w:val="00616C20"/>
    <w:rsid w:val="006375C7"/>
    <w:rsid w:val="00643B35"/>
    <w:rsid w:val="006538D4"/>
    <w:rsid w:val="00654E8F"/>
    <w:rsid w:val="00660D05"/>
    <w:rsid w:val="00680F96"/>
    <w:rsid w:val="006820B1"/>
    <w:rsid w:val="006A343D"/>
    <w:rsid w:val="006B5217"/>
    <w:rsid w:val="006B7D14"/>
    <w:rsid w:val="006E2EED"/>
    <w:rsid w:val="006F33C7"/>
    <w:rsid w:val="00701727"/>
    <w:rsid w:val="0070566C"/>
    <w:rsid w:val="00714C50"/>
    <w:rsid w:val="00725A7D"/>
    <w:rsid w:val="007501BE"/>
    <w:rsid w:val="00754C89"/>
    <w:rsid w:val="00777586"/>
    <w:rsid w:val="00790BB3"/>
    <w:rsid w:val="007A751A"/>
    <w:rsid w:val="007C206C"/>
    <w:rsid w:val="007E7484"/>
    <w:rsid w:val="007F5380"/>
    <w:rsid w:val="00817DD6"/>
    <w:rsid w:val="0083759F"/>
    <w:rsid w:val="00844F13"/>
    <w:rsid w:val="00885156"/>
    <w:rsid w:val="008B4038"/>
    <w:rsid w:val="009151AA"/>
    <w:rsid w:val="0093429D"/>
    <w:rsid w:val="00943573"/>
    <w:rsid w:val="00964134"/>
    <w:rsid w:val="0096756B"/>
    <w:rsid w:val="00970F7D"/>
    <w:rsid w:val="00994A3D"/>
    <w:rsid w:val="009C2B12"/>
    <w:rsid w:val="009F6793"/>
    <w:rsid w:val="00A174D9"/>
    <w:rsid w:val="00A334BB"/>
    <w:rsid w:val="00A411D9"/>
    <w:rsid w:val="00A72426"/>
    <w:rsid w:val="00AA4D24"/>
    <w:rsid w:val="00AB6715"/>
    <w:rsid w:val="00B1671E"/>
    <w:rsid w:val="00B25EB8"/>
    <w:rsid w:val="00B37F4D"/>
    <w:rsid w:val="00B41FE5"/>
    <w:rsid w:val="00B53C7F"/>
    <w:rsid w:val="00B8459C"/>
    <w:rsid w:val="00BE1D4C"/>
    <w:rsid w:val="00BE78AA"/>
    <w:rsid w:val="00C0260C"/>
    <w:rsid w:val="00C216CB"/>
    <w:rsid w:val="00C327A2"/>
    <w:rsid w:val="00C52A7B"/>
    <w:rsid w:val="00C549CD"/>
    <w:rsid w:val="00C56BAF"/>
    <w:rsid w:val="00C679AA"/>
    <w:rsid w:val="00C75972"/>
    <w:rsid w:val="00CD066B"/>
    <w:rsid w:val="00CE4FEE"/>
    <w:rsid w:val="00D060CF"/>
    <w:rsid w:val="00D33A47"/>
    <w:rsid w:val="00D556B9"/>
    <w:rsid w:val="00D84BAC"/>
    <w:rsid w:val="00DA15A7"/>
    <w:rsid w:val="00DA618E"/>
    <w:rsid w:val="00DB59C3"/>
    <w:rsid w:val="00DC259A"/>
    <w:rsid w:val="00DE23E8"/>
    <w:rsid w:val="00E25C25"/>
    <w:rsid w:val="00E52377"/>
    <w:rsid w:val="00E537AD"/>
    <w:rsid w:val="00E62474"/>
    <w:rsid w:val="00E64E17"/>
    <w:rsid w:val="00E866C9"/>
    <w:rsid w:val="00EA3D3C"/>
    <w:rsid w:val="00EC090A"/>
    <w:rsid w:val="00EC79DD"/>
    <w:rsid w:val="00ED20B5"/>
    <w:rsid w:val="00F46900"/>
    <w:rsid w:val="00F61D89"/>
    <w:rsid w:val="00F7365E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BE1D4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A72692-EB20-46D2-BB3B-EB2EB7B9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Gonçalo Vargas</cp:lastModifiedBy>
  <cp:revision>4</cp:revision>
  <cp:lastPrinted>2013-10-03T12:51:00Z</cp:lastPrinted>
  <dcterms:created xsi:type="dcterms:W3CDTF">2020-12-14T17:44:00Z</dcterms:created>
  <dcterms:modified xsi:type="dcterms:W3CDTF">2020-12-22T13:20:00Z</dcterms:modified>
</cp:coreProperties>
</file>