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E743E" w14:textId="4A8A45F6" w:rsidR="005D04F8" w:rsidRDefault="005D04F8" w:rsidP="004808B3">
      <w:pPr>
        <w:autoSpaceDE w:val="0"/>
        <w:autoSpaceDN w:val="0"/>
        <w:adjustRightInd w:val="0"/>
        <w:spacing w:after="200" w:line="360" w:lineRule="auto"/>
        <w:rPr>
          <w:rFonts w:ascii="Times New Roman" w:hAnsi="Times New Roman" w:cs="Times New Roman"/>
          <w:bCs/>
          <w:sz w:val="28"/>
          <w:szCs w:val="28"/>
          <w:lang w:val="en-GB"/>
        </w:rPr>
      </w:pPr>
      <w:r>
        <w:rPr>
          <w:rFonts w:ascii="Times New Roman" w:hAnsi="Times New Roman" w:cs="Times New Roman"/>
          <w:b/>
          <w:bCs/>
          <w:sz w:val="28"/>
          <w:szCs w:val="28"/>
          <w:lang w:val="en-GB"/>
        </w:rPr>
        <w:t>Appendix S1:</w:t>
      </w:r>
      <w:r w:rsidR="004808B3">
        <w:rPr>
          <w:rFonts w:ascii="Times New Roman" w:hAnsi="Times New Roman" w:cs="Times New Roman"/>
          <w:b/>
          <w:bCs/>
          <w:sz w:val="28"/>
          <w:szCs w:val="28"/>
          <w:lang w:val="en-GB"/>
        </w:rPr>
        <w:t xml:space="preserve"> Figures</w:t>
      </w:r>
    </w:p>
    <w:p w14:paraId="1926AAA2" w14:textId="0BAA332F" w:rsidR="005D04F8" w:rsidRPr="005D04F8" w:rsidRDefault="005D04F8" w:rsidP="005D04F8">
      <w:pPr>
        <w:autoSpaceDE w:val="0"/>
        <w:autoSpaceDN w:val="0"/>
        <w:adjustRightInd w:val="0"/>
        <w:spacing w:after="200" w:line="360" w:lineRule="auto"/>
        <w:jc w:val="both"/>
        <w:rPr>
          <w:rFonts w:ascii="Times New Roman" w:hAnsi="Times New Roman" w:cs="Times New Roman"/>
          <w:bCs/>
          <w:sz w:val="24"/>
          <w:szCs w:val="24"/>
          <w:lang w:val="en-GB"/>
        </w:rPr>
      </w:pPr>
      <w:r w:rsidRPr="005D04F8">
        <w:rPr>
          <w:rFonts w:ascii="Times New Roman" w:hAnsi="Times New Roman" w:cs="Times New Roman"/>
          <w:bCs/>
          <w:sz w:val="24"/>
          <w:szCs w:val="24"/>
          <w:lang w:val="en-GB"/>
        </w:rPr>
        <w:t>Giorgia Ausilio, Håkan Sand, Johan Månsson, Karen Marie Mathisen, Camilla Wikenros</w:t>
      </w:r>
    </w:p>
    <w:p w14:paraId="038ABD40" w14:textId="78536825" w:rsidR="005D04F8" w:rsidRDefault="005D04F8" w:rsidP="005D04F8">
      <w:pPr>
        <w:spacing w:after="150" w:line="300" w:lineRule="atLeast"/>
        <w:jc w:val="both"/>
        <w:rPr>
          <w:rFonts w:ascii="Times New Roman" w:eastAsia="Times New Roman" w:hAnsi="Times New Roman" w:cs="Times New Roman"/>
          <w:sz w:val="24"/>
          <w:szCs w:val="24"/>
          <w:lang w:val="en-GB" w:eastAsia="en-GB"/>
        </w:rPr>
      </w:pPr>
      <w:r w:rsidRPr="005D04F8">
        <w:rPr>
          <w:rFonts w:ascii="Times New Roman" w:eastAsia="Times New Roman" w:hAnsi="Times New Roman" w:cs="Times New Roman"/>
          <w:sz w:val="24"/>
          <w:szCs w:val="24"/>
          <w:lang w:val="en-GB" w:eastAsia="en-GB"/>
        </w:rPr>
        <w:t>Ecological effects of wolves in anthropogenic landscapes: potential for trophic cascade is context-dependent</w:t>
      </w:r>
    </w:p>
    <w:p w14:paraId="32CF5B70" w14:textId="35533FBE" w:rsidR="005D04F8" w:rsidRPr="005D04F8" w:rsidRDefault="007446FD" w:rsidP="005D04F8">
      <w:pPr>
        <w:spacing w:after="150" w:line="300" w:lineRule="atLeast"/>
        <w:jc w:val="both"/>
        <w:rPr>
          <w:rFonts w:ascii="Times New Roman" w:eastAsia="Times New Roman" w:hAnsi="Times New Roman" w:cs="Times New Roman"/>
          <w:i/>
          <w:sz w:val="24"/>
          <w:szCs w:val="24"/>
          <w:lang w:val="en-GB" w:eastAsia="en-GB"/>
        </w:rPr>
      </w:pPr>
      <w:r>
        <w:rPr>
          <w:rFonts w:ascii="Times New Roman" w:eastAsia="Times New Roman" w:hAnsi="Times New Roman" w:cs="Times New Roman"/>
          <w:i/>
          <w:sz w:val="24"/>
          <w:szCs w:val="24"/>
          <w:lang w:val="en-GB" w:eastAsia="en-GB"/>
        </w:rPr>
        <w:t>Frontiers in Ecology and Evolution</w:t>
      </w:r>
    </w:p>
    <w:p w14:paraId="1B7A4CE5" w14:textId="7957E722" w:rsidR="005D04F8" w:rsidRDefault="005D04F8" w:rsidP="004808B3">
      <w:pPr>
        <w:autoSpaceDE w:val="0"/>
        <w:autoSpaceDN w:val="0"/>
        <w:adjustRightInd w:val="0"/>
        <w:spacing w:after="200" w:line="360" w:lineRule="auto"/>
        <w:rPr>
          <w:rFonts w:ascii="Times New Roman" w:hAnsi="Times New Roman" w:cs="Times New Roman"/>
          <w:b/>
          <w:bCs/>
          <w:sz w:val="28"/>
          <w:szCs w:val="28"/>
          <w:lang w:val="en-GB"/>
        </w:rPr>
      </w:pPr>
    </w:p>
    <w:p w14:paraId="3C4AECC7" w14:textId="4B1FEB47"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2291D511" w14:textId="00F9A4C4"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0432A94E" w14:textId="0E48C029"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1800B00D" w14:textId="01E1C949"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4DF39A89" w14:textId="73C86A75"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6AA9017D" w14:textId="0F2B58BC"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0CF7DB39" w14:textId="52382514"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4EF3618E" w14:textId="5D6531B7"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0E31254E" w14:textId="5E95C977"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335EB079" w14:textId="5B55563C"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73DA1675" w14:textId="7DA0E114"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1FE7AE62" w14:textId="77777777" w:rsidR="00B705D5" w:rsidRDefault="00B705D5" w:rsidP="004808B3">
      <w:pPr>
        <w:autoSpaceDE w:val="0"/>
        <w:autoSpaceDN w:val="0"/>
        <w:adjustRightInd w:val="0"/>
        <w:spacing w:after="200" w:line="360" w:lineRule="auto"/>
        <w:rPr>
          <w:rFonts w:ascii="Times New Roman" w:hAnsi="Times New Roman" w:cs="Times New Roman"/>
          <w:b/>
          <w:bCs/>
          <w:sz w:val="28"/>
          <w:szCs w:val="28"/>
          <w:lang w:val="en-GB"/>
        </w:rPr>
      </w:pPr>
    </w:p>
    <w:p w14:paraId="5BB29926" w14:textId="77777777" w:rsidR="004808B3" w:rsidRDefault="004808B3" w:rsidP="004808B3">
      <w:pPr>
        <w:autoSpaceDE w:val="0"/>
        <w:autoSpaceDN w:val="0"/>
        <w:adjustRightInd w:val="0"/>
        <w:spacing w:after="200" w:line="360" w:lineRule="auto"/>
        <w:rPr>
          <w:rFonts w:ascii="Times New Roman" w:hAnsi="Times New Roman" w:cs="Times New Roman"/>
          <w:b/>
          <w:bCs/>
          <w:sz w:val="28"/>
          <w:szCs w:val="28"/>
          <w:lang w:val="en-GB"/>
        </w:rPr>
      </w:pPr>
      <w:r>
        <w:rPr>
          <w:rFonts w:ascii="Calibri" w:hAnsi="Calibri" w:cs="Calibri"/>
          <w:noProof/>
          <w:lang w:val="en-GB" w:eastAsia="en-GB"/>
        </w:rPr>
        <w:lastRenderedPageBreak/>
        <w:drawing>
          <wp:inline distT="0" distB="0" distL="0" distR="0" wp14:anchorId="1F40A9E8" wp14:editId="0EC2E647">
            <wp:extent cx="5225415" cy="241681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t="15829" b="11072"/>
                    <a:stretch>
                      <a:fillRect/>
                    </a:stretch>
                  </pic:blipFill>
                  <pic:spPr bwMode="auto">
                    <a:xfrm>
                      <a:off x="0" y="0"/>
                      <a:ext cx="5225415" cy="2416810"/>
                    </a:xfrm>
                    <a:prstGeom prst="rect">
                      <a:avLst/>
                    </a:prstGeom>
                    <a:noFill/>
                    <a:ln>
                      <a:noFill/>
                    </a:ln>
                  </pic:spPr>
                </pic:pic>
              </a:graphicData>
            </a:graphic>
          </wp:inline>
        </w:drawing>
      </w:r>
    </w:p>
    <w:p w14:paraId="6DAA3685" w14:textId="6501153E" w:rsidR="004808B3" w:rsidRPr="005D04F8" w:rsidRDefault="005D04F8" w:rsidP="005D04F8">
      <w:pPr>
        <w:autoSpaceDE w:val="0"/>
        <w:autoSpaceDN w:val="0"/>
        <w:adjustRightInd w:val="0"/>
        <w:spacing w:after="200" w:line="480" w:lineRule="auto"/>
        <w:rPr>
          <w:rFonts w:ascii="Times New Roman" w:hAnsi="Times New Roman" w:cs="Times New Roman"/>
          <w:b/>
          <w:bCs/>
          <w:sz w:val="24"/>
          <w:szCs w:val="24"/>
          <w:lang w:val="en-GB"/>
        </w:rPr>
      </w:pPr>
      <w:r w:rsidRPr="005D04F8">
        <w:rPr>
          <w:rFonts w:ascii="Times New Roman" w:hAnsi="Times New Roman" w:cs="Times New Roman"/>
          <w:b/>
          <w:bCs/>
          <w:sz w:val="24"/>
          <w:szCs w:val="24"/>
          <w:lang w:val="en-GB"/>
        </w:rPr>
        <w:t xml:space="preserve">Figure </w:t>
      </w:r>
      <w:r w:rsidR="003836B8">
        <w:rPr>
          <w:rFonts w:ascii="Times New Roman" w:hAnsi="Times New Roman" w:cs="Times New Roman"/>
          <w:b/>
          <w:bCs/>
          <w:sz w:val="24"/>
          <w:szCs w:val="24"/>
          <w:lang w:val="en-GB"/>
        </w:rPr>
        <w:t>S</w:t>
      </w:r>
      <w:r w:rsidRPr="005D04F8">
        <w:rPr>
          <w:rFonts w:ascii="Times New Roman" w:hAnsi="Times New Roman" w:cs="Times New Roman"/>
          <w:b/>
          <w:bCs/>
          <w:sz w:val="24"/>
          <w:szCs w:val="24"/>
          <w:lang w:val="en-GB"/>
        </w:rPr>
        <w:t>1</w:t>
      </w:r>
    </w:p>
    <w:p w14:paraId="35FA85DA" w14:textId="2D7D7535" w:rsidR="004808B3" w:rsidRPr="005D04F8" w:rsidRDefault="004808B3" w:rsidP="005D04F8">
      <w:pPr>
        <w:autoSpaceDE w:val="0"/>
        <w:autoSpaceDN w:val="0"/>
        <w:adjustRightInd w:val="0"/>
        <w:spacing w:line="480" w:lineRule="auto"/>
        <w:jc w:val="both"/>
        <w:rPr>
          <w:rFonts w:ascii="Times New Roman" w:hAnsi="Times New Roman" w:cs="Times New Roman"/>
          <w:color w:val="FF0000"/>
          <w:sz w:val="24"/>
          <w:szCs w:val="24"/>
          <w:lang w:val="en-US"/>
        </w:rPr>
      </w:pPr>
      <w:r w:rsidRPr="005D04F8">
        <w:rPr>
          <w:rFonts w:ascii="Times New Roman" w:hAnsi="Times New Roman" w:cs="Times New Roman"/>
          <w:sz w:val="24"/>
          <w:szCs w:val="24"/>
          <w:lang w:val="en-GB"/>
        </w:rPr>
        <w:t xml:space="preserve">Distribution of the sample </w:t>
      </w:r>
      <w:r w:rsidR="00B91F37">
        <w:rPr>
          <w:rFonts w:ascii="Times New Roman" w:hAnsi="Times New Roman" w:cs="Times New Roman"/>
          <w:sz w:val="24"/>
          <w:szCs w:val="24"/>
          <w:lang w:val="en-GB"/>
        </w:rPr>
        <w:t>plots</w:t>
      </w:r>
      <w:r w:rsidRPr="005D04F8">
        <w:rPr>
          <w:rFonts w:ascii="Times New Roman" w:hAnsi="Times New Roman" w:cs="Times New Roman"/>
          <w:sz w:val="24"/>
          <w:szCs w:val="24"/>
          <w:lang w:val="en-GB"/>
        </w:rPr>
        <w:t xml:space="preserve"> </w:t>
      </w:r>
      <w:r w:rsidR="00B91F37">
        <w:rPr>
          <w:rFonts w:ascii="Times New Roman" w:hAnsi="Times New Roman" w:cs="Times New Roman"/>
          <w:sz w:val="24"/>
          <w:szCs w:val="24"/>
          <w:lang w:val="en-GB"/>
        </w:rPr>
        <w:t xml:space="preserve">(black points) </w:t>
      </w:r>
      <w:r w:rsidRPr="005D04F8">
        <w:rPr>
          <w:rFonts w:ascii="Times New Roman" w:hAnsi="Times New Roman" w:cs="Times New Roman"/>
          <w:sz w:val="24"/>
          <w:szCs w:val="24"/>
          <w:lang w:val="en-GB"/>
        </w:rPr>
        <w:t xml:space="preserve">in the county of Värmland where moose browsing and pellet groups were surveyed from 2003-2016 (only three years out of 13 are shown to visualize the pattern). Plots were either classified as (I) inside a wolf territory or (II) outside a wolf territory. Wolf territory borders </w:t>
      </w:r>
      <w:proofErr w:type="gramStart"/>
      <w:r w:rsidRPr="005D04F8">
        <w:rPr>
          <w:rFonts w:ascii="Times New Roman" w:hAnsi="Times New Roman" w:cs="Times New Roman"/>
          <w:sz w:val="24"/>
          <w:szCs w:val="24"/>
          <w:lang w:val="en-GB"/>
        </w:rPr>
        <w:t>were based</w:t>
      </w:r>
      <w:proofErr w:type="gramEnd"/>
      <w:r w:rsidRPr="005D04F8">
        <w:rPr>
          <w:rFonts w:ascii="Times New Roman" w:hAnsi="Times New Roman" w:cs="Times New Roman"/>
          <w:sz w:val="24"/>
          <w:szCs w:val="24"/>
          <w:lang w:val="en-GB"/>
        </w:rPr>
        <w:t xml:space="preserve"> on the annual monitoring data (grey polygons) and average wolf territory size in Scandinavia (circles; Mattisson et al., 2013). Maps created using ArcGIS 10.2.2 (</w:t>
      </w:r>
      <w:hyperlink r:id="rId8" w:history="1">
        <w:r w:rsidRPr="005D04F8">
          <w:rPr>
            <w:rFonts w:ascii="Times New Roman" w:hAnsi="Times New Roman" w:cs="Times New Roman"/>
            <w:sz w:val="24"/>
            <w:szCs w:val="24"/>
            <w:lang w:val="en-US"/>
          </w:rPr>
          <w:t>http://support.esri.com/Products/Desktop/arcgis-desktop/arcmap/10-2-2</w:t>
        </w:r>
      </w:hyperlink>
      <w:r w:rsidRPr="005D04F8">
        <w:rPr>
          <w:rFonts w:ascii="Times New Roman" w:hAnsi="Times New Roman" w:cs="Times New Roman"/>
          <w:sz w:val="24"/>
          <w:szCs w:val="24"/>
          <w:lang w:val="en-US"/>
        </w:rPr>
        <w:t>)</w:t>
      </w:r>
    </w:p>
    <w:p w14:paraId="66EDC7A5" w14:textId="77777777" w:rsidR="004808B3" w:rsidRPr="005D04F8" w:rsidRDefault="004808B3" w:rsidP="005D04F8">
      <w:pPr>
        <w:autoSpaceDE w:val="0"/>
        <w:autoSpaceDN w:val="0"/>
        <w:adjustRightInd w:val="0"/>
        <w:spacing w:line="480" w:lineRule="auto"/>
        <w:jc w:val="both"/>
        <w:rPr>
          <w:rFonts w:ascii="Times New Roman" w:hAnsi="Times New Roman" w:cs="Times New Roman"/>
          <w:b/>
          <w:bCs/>
          <w:sz w:val="24"/>
          <w:szCs w:val="24"/>
          <w:lang w:val="en-US"/>
        </w:rPr>
      </w:pPr>
    </w:p>
    <w:p w14:paraId="4B1101C6" w14:textId="77777777" w:rsidR="004808B3" w:rsidRPr="005D04F8" w:rsidRDefault="004808B3" w:rsidP="005D04F8">
      <w:pPr>
        <w:autoSpaceDE w:val="0"/>
        <w:autoSpaceDN w:val="0"/>
        <w:adjustRightInd w:val="0"/>
        <w:spacing w:line="480" w:lineRule="auto"/>
        <w:jc w:val="both"/>
        <w:rPr>
          <w:rFonts w:ascii="Times New Roman" w:hAnsi="Times New Roman" w:cs="Times New Roman"/>
          <w:b/>
          <w:bCs/>
          <w:sz w:val="24"/>
          <w:szCs w:val="24"/>
          <w:lang w:val="en-US"/>
        </w:rPr>
      </w:pPr>
    </w:p>
    <w:p w14:paraId="667DD3EE" w14:textId="77777777" w:rsidR="004808B3" w:rsidRPr="005D04F8" w:rsidRDefault="004808B3" w:rsidP="005D04F8">
      <w:pPr>
        <w:autoSpaceDE w:val="0"/>
        <w:autoSpaceDN w:val="0"/>
        <w:adjustRightInd w:val="0"/>
        <w:spacing w:line="480" w:lineRule="auto"/>
        <w:jc w:val="both"/>
        <w:rPr>
          <w:rFonts w:ascii="Times New Roman" w:hAnsi="Times New Roman" w:cs="Times New Roman"/>
          <w:b/>
          <w:bCs/>
          <w:sz w:val="24"/>
          <w:szCs w:val="24"/>
          <w:lang w:val="en-US"/>
        </w:rPr>
      </w:pPr>
    </w:p>
    <w:p w14:paraId="04384AD9" w14:textId="7CDA2B4C" w:rsidR="004808B3" w:rsidRDefault="004808B3" w:rsidP="005D04F8">
      <w:pPr>
        <w:autoSpaceDE w:val="0"/>
        <w:autoSpaceDN w:val="0"/>
        <w:adjustRightInd w:val="0"/>
        <w:spacing w:line="480" w:lineRule="auto"/>
        <w:jc w:val="both"/>
        <w:rPr>
          <w:rFonts w:ascii="Times New Roman" w:hAnsi="Times New Roman" w:cs="Times New Roman"/>
          <w:b/>
          <w:bCs/>
          <w:sz w:val="24"/>
          <w:szCs w:val="24"/>
          <w:lang w:val="en-US"/>
        </w:rPr>
      </w:pPr>
    </w:p>
    <w:p w14:paraId="77A3FF24" w14:textId="5C236E75" w:rsidR="00254674" w:rsidRDefault="00B705D5" w:rsidP="00254674">
      <w:pPr>
        <w:autoSpaceDE w:val="0"/>
        <w:autoSpaceDN w:val="0"/>
        <w:adjustRightInd w:val="0"/>
        <w:spacing w:after="200" w:line="48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GB" w:eastAsia="en-GB"/>
        </w:rPr>
        <w:lastRenderedPageBreak/>
        <w:drawing>
          <wp:inline distT="0" distB="0" distL="0" distR="0" wp14:anchorId="56515A37" wp14:editId="6FFDDEC4">
            <wp:extent cx="5760720" cy="2445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plot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445567"/>
                    </a:xfrm>
                    <a:prstGeom prst="rect">
                      <a:avLst/>
                    </a:prstGeom>
                  </pic:spPr>
                </pic:pic>
              </a:graphicData>
            </a:graphic>
          </wp:inline>
        </w:drawing>
      </w:r>
    </w:p>
    <w:p w14:paraId="01D517E6" w14:textId="076DE029" w:rsidR="00254674" w:rsidRPr="005D04F8" w:rsidRDefault="00254674" w:rsidP="00254674">
      <w:pPr>
        <w:autoSpaceDE w:val="0"/>
        <w:autoSpaceDN w:val="0"/>
        <w:adjustRightInd w:val="0"/>
        <w:spacing w:after="200" w:line="480" w:lineRule="auto"/>
        <w:rPr>
          <w:rFonts w:ascii="Times New Roman" w:hAnsi="Times New Roman" w:cs="Times New Roman"/>
          <w:b/>
          <w:bCs/>
          <w:sz w:val="24"/>
          <w:szCs w:val="24"/>
          <w:lang w:val="en-GB"/>
        </w:rPr>
      </w:pPr>
      <w:r w:rsidRPr="005D04F8">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S2</w:t>
      </w:r>
    </w:p>
    <w:p w14:paraId="670294B7" w14:textId="69B270CD" w:rsidR="00254674" w:rsidRPr="00B705D5" w:rsidRDefault="00B705D5" w:rsidP="00254674">
      <w:pPr>
        <w:autoSpaceDE w:val="0"/>
        <w:autoSpaceDN w:val="0"/>
        <w:adjustRightInd w:val="0"/>
        <w:spacing w:line="48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GB"/>
        </w:rPr>
        <w:t xml:space="preserve">Variance inflation factors (VIF) values for each variable used in our models </w:t>
      </w:r>
      <w:proofErr w:type="gramStart"/>
      <w:r>
        <w:rPr>
          <w:rFonts w:ascii="Times New Roman" w:hAnsi="Times New Roman" w:cs="Times New Roman"/>
          <w:sz w:val="24"/>
          <w:szCs w:val="24"/>
          <w:lang w:val="en-GB"/>
        </w:rPr>
        <w:t>were obtained</w:t>
      </w:r>
      <w:proofErr w:type="gramEnd"/>
      <w:r>
        <w:rPr>
          <w:rFonts w:ascii="Times New Roman" w:hAnsi="Times New Roman" w:cs="Times New Roman"/>
          <w:sz w:val="24"/>
          <w:szCs w:val="24"/>
          <w:lang w:val="en-GB"/>
        </w:rPr>
        <w:t xml:space="preserve"> from the multicollinearity analysis performed using the R package “</w:t>
      </w:r>
      <w:r>
        <w:rPr>
          <w:rFonts w:ascii="Times New Roman" w:hAnsi="Times New Roman" w:cs="Times New Roman"/>
          <w:i/>
          <w:sz w:val="24"/>
          <w:szCs w:val="24"/>
          <w:lang w:val="en-GB"/>
        </w:rPr>
        <w:t xml:space="preserve">performance” </w:t>
      </w:r>
      <w:r>
        <w:rPr>
          <w:rFonts w:ascii="Times New Roman" w:hAnsi="Times New Roman" w:cs="Times New Roman"/>
          <w:sz w:val="24"/>
          <w:szCs w:val="24"/>
          <w:lang w:val="en-GB"/>
        </w:rPr>
        <w:t>(</w:t>
      </w:r>
      <w:r>
        <w:rPr>
          <w:rFonts w:ascii="Times New Roman" w:hAnsi="Times New Roman"/>
          <w:color w:val="1A1A1A"/>
          <w:lang w:val="en-US"/>
        </w:rPr>
        <w:t xml:space="preserve">Lüdecke et al., 2020). </w:t>
      </w:r>
      <w:r>
        <w:rPr>
          <w:rFonts w:ascii="Times New Roman" w:hAnsi="Times New Roman" w:cs="Times New Roman"/>
          <w:lang w:val="en-US"/>
        </w:rPr>
        <w:t xml:space="preserve">Values of VIF exceeding 10 are often indicative of multicollinearity (Mason et al., 1989; Allison, 2001; </w:t>
      </w:r>
      <w:proofErr w:type="spellStart"/>
      <w:r>
        <w:rPr>
          <w:rFonts w:ascii="Times New Roman" w:hAnsi="Times New Roman" w:cs="Times New Roman"/>
          <w:lang w:val="en-US"/>
        </w:rPr>
        <w:t>Pallant</w:t>
      </w:r>
      <w:proofErr w:type="spellEnd"/>
      <w:r>
        <w:rPr>
          <w:rFonts w:ascii="Times New Roman" w:hAnsi="Times New Roman" w:cs="Times New Roman"/>
          <w:lang w:val="en-US"/>
        </w:rPr>
        <w:t xml:space="preserve">, 2013). </w:t>
      </w:r>
    </w:p>
    <w:p w14:paraId="58BC0AAE" w14:textId="02135AF7"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30ECA042" w14:textId="0712557A"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6565DE5E" w14:textId="59DD8AC5"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24E3B559" w14:textId="77777777" w:rsidR="001B159E" w:rsidRDefault="001B159E" w:rsidP="005D04F8">
      <w:pPr>
        <w:autoSpaceDE w:val="0"/>
        <w:autoSpaceDN w:val="0"/>
        <w:adjustRightInd w:val="0"/>
        <w:spacing w:line="480" w:lineRule="auto"/>
        <w:jc w:val="both"/>
        <w:rPr>
          <w:rFonts w:ascii="Times New Roman" w:hAnsi="Times New Roman" w:cs="Times New Roman"/>
          <w:b/>
          <w:bCs/>
          <w:noProof/>
          <w:sz w:val="24"/>
          <w:szCs w:val="24"/>
          <w:lang w:val="en-GB" w:eastAsia="en-GB"/>
        </w:rPr>
      </w:pPr>
    </w:p>
    <w:p w14:paraId="2321854E" w14:textId="5CDE11E8"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6E7C336E" w14:textId="3F2843E1"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06C0F22C" w14:textId="24796A1F"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60E8F257" w14:textId="54DE7560"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7549CF3F" w14:textId="30CE2388" w:rsidR="006811E8" w:rsidRDefault="006811E8" w:rsidP="005D04F8">
      <w:pPr>
        <w:autoSpaceDE w:val="0"/>
        <w:autoSpaceDN w:val="0"/>
        <w:adjustRightInd w:val="0"/>
        <w:spacing w:line="480" w:lineRule="auto"/>
        <w:jc w:val="both"/>
        <w:rPr>
          <w:rFonts w:ascii="Times New Roman" w:hAnsi="Times New Roman" w:cs="Times New Roman"/>
          <w:b/>
          <w:bCs/>
          <w:sz w:val="24"/>
          <w:szCs w:val="24"/>
          <w:lang w:val="en-US"/>
        </w:rPr>
      </w:pPr>
    </w:p>
    <w:p w14:paraId="6F35E342" w14:textId="0C348B65" w:rsidR="006811E8" w:rsidRDefault="00F93DB7" w:rsidP="005D04F8">
      <w:pPr>
        <w:autoSpaceDE w:val="0"/>
        <w:autoSpaceDN w:val="0"/>
        <w:adjustRightInd w:val="0"/>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8"/>
          <w:szCs w:val="28"/>
          <w:lang w:val="en-GB" w:eastAsia="en-GB"/>
        </w:rPr>
        <w:drawing>
          <wp:inline distT="0" distB="0" distL="0" distR="0" wp14:anchorId="56D45D8F" wp14:editId="2971A756">
            <wp:extent cx="5760720" cy="437493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lot11.tiff"/>
                    <pic:cNvPicPr/>
                  </pic:nvPicPr>
                  <pic:blipFill>
                    <a:blip r:embed="rId10">
                      <a:extLst>
                        <a:ext uri="{28A0092B-C50C-407E-A947-70E740481C1C}">
                          <a14:useLocalDpi xmlns:a14="http://schemas.microsoft.com/office/drawing/2010/main" val="0"/>
                        </a:ext>
                      </a:extLst>
                    </a:blip>
                    <a:stretch>
                      <a:fillRect/>
                    </a:stretch>
                  </pic:blipFill>
                  <pic:spPr>
                    <a:xfrm>
                      <a:off x="0" y="0"/>
                      <a:ext cx="5760720" cy="4374937"/>
                    </a:xfrm>
                    <a:prstGeom prst="rect">
                      <a:avLst/>
                    </a:prstGeom>
                  </pic:spPr>
                </pic:pic>
              </a:graphicData>
            </a:graphic>
          </wp:inline>
        </w:drawing>
      </w:r>
    </w:p>
    <w:p w14:paraId="6D3772AE" w14:textId="177CC635" w:rsidR="004808B3" w:rsidRPr="005D04F8" w:rsidRDefault="00510FC6" w:rsidP="005D04F8">
      <w:pPr>
        <w:autoSpaceDE w:val="0"/>
        <w:autoSpaceDN w:val="0"/>
        <w:adjustRightInd w:val="0"/>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w:t>
      </w:r>
      <w:r w:rsidR="005D04F8" w:rsidRPr="005D04F8">
        <w:rPr>
          <w:rFonts w:ascii="Times New Roman" w:hAnsi="Times New Roman" w:cs="Times New Roman"/>
          <w:b/>
          <w:bCs/>
          <w:sz w:val="24"/>
          <w:szCs w:val="24"/>
          <w:lang w:val="en-US"/>
        </w:rPr>
        <w:t xml:space="preserve">igure </w:t>
      </w:r>
      <w:r w:rsidR="003836B8">
        <w:rPr>
          <w:rFonts w:ascii="Times New Roman" w:hAnsi="Times New Roman" w:cs="Times New Roman"/>
          <w:b/>
          <w:bCs/>
          <w:sz w:val="24"/>
          <w:szCs w:val="24"/>
          <w:lang w:val="en-US"/>
        </w:rPr>
        <w:t>S</w:t>
      </w:r>
      <w:r w:rsidR="006811E8">
        <w:rPr>
          <w:rFonts w:ascii="Times New Roman" w:hAnsi="Times New Roman" w:cs="Times New Roman"/>
          <w:b/>
          <w:bCs/>
          <w:sz w:val="24"/>
          <w:szCs w:val="24"/>
          <w:lang w:val="en-US"/>
        </w:rPr>
        <w:t>3</w:t>
      </w:r>
    </w:p>
    <w:p w14:paraId="03377433" w14:textId="793BC0E3" w:rsidR="004808B3" w:rsidRDefault="004808B3" w:rsidP="005D04F8">
      <w:pPr>
        <w:autoSpaceDE w:val="0"/>
        <w:autoSpaceDN w:val="0"/>
        <w:adjustRightInd w:val="0"/>
        <w:spacing w:line="480" w:lineRule="auto"/>
        <w:jc w:val="both"/>
        <w:rPr>
          <w:rFonts w:ascii="Times New Roman" w:hAnsi="Times New Roman" w:cs="Times New Roman"/>
          <w:sz w:val="24"/>
          <w:szCs w:val="24"/>
          <w:lang w:val="en-US"/>
        </w:rPr>
      </w:pPr>
      <w:r w:rsidRPr="005D04F8">
        <w:rPr>
          <w:rFonts w:ascii="Times New Roman" w:hAnsi="Times New Roman" w:cs="Times New Roman"/>
          <w:sz w:val="24"/>
          <w:szCs w:val="24"/>
          <w:lang w:val="en-US"/>
        </w:rPr>
        <w:t>Forest-plots of main effect coefficients from top probability models for moose presence (a) and browsing damage presence (b). Estimates are from logistic regression models. Wolf presence and RAWO (rowan, aspen, willow and oak) presence were defined as two-categorical variables</w:t>
      </w:r>
      <w:r w:rsidRPr="005D04F8">
        <w:rPr>
          <w:rFonts w:ascii="Times New Roman" w:hAnsi="Times New Roman" w:cs="Times New Roman"/>
          <w:i/>
          <w:iCs/>
          <w:sz w:val="24"/>
          <w:szCs w:val="24"/>
          <w:lang w:val="en-US"/>
        </w:rPr>
        <w:t xml:space="preserve"> </w:t>
      </w:r>
      <w:r w:rsidRPr="005D04F8">
        <w:rPr>
          <w:rFonts w:ascii="Times New Roman" w:hAnsi="Times New Roman" w:cs="Times New Roman"/>
          <w:sz w:val="24"/>
          <w:szCs w:val="24"/>
          <w:lang w:val="en-US"/>
        </w:rPr>
        <w:t>(presence and absence)</w:t>
      </w:r>
      <w:proofErr w:type="gramStart"/>
      <w:r w:rsidRPr="005D04F8">
        <w:rPr>
          <w:rFonts w:ascii="Times New Roman" w:hAnsi="Times New Roman" w:cs="Times New Roman"/>
          <w:sz w:val="24"/>
          <w:szCs w:val="24"/>
          <w:lang w:val="en-US"/>
        </w:rPr>
        <w:t>,</w:t>
      </w:r>
      <w:proofErr w:type="gramEnd"/>
      <w:r w:rsidRPr="005D04F8">
        <w:rPr>
          <w:rFonts w:ascii="Times New Roman" w:hAnsi="Times New Roman" w:cs="Times New Roman"/>
          <w:sz w:val="24"/>
          <w:szCs w:val="24"/>
          <w:lang w:val="en-US"/>
        </w:rPr>
        <w:t xml:space="preserve"> Bars represent 95% confidence intervals. </w:t>
      </w:r>
      <w:r w:rsidR="00554614">
        <w:rPr>
          <w:rFonts w:ascii="Times New Roman" w:hAnsi="Times New Roman" w:cs="Times New Roman"/>
          <w:sz w:val="24"/>
          <w:szCs w:val="24"/>
          <w:lang w:val="en-US"/>
        </w:rPr>
        <w:t>Forest stage was defined as a four-categorical variable (</w:t>
      </w:r>
      <w:proofErr w:type="gramStart"/>
      <w:r w:rsidR="00554614">
        <w:rPr>
          <w:rFonts w:ascii="Times New Roman" w:hAnsi="Times New Roman" w:cs="Times New Roman"/>
          <w:sz w:val="24"/>
          <w:szCs w:val="24"/>
          <w:lang w:val="en-US"/>
        </w:rPr>
        <w:t>1=</w:t>
      </w:r>
      <w:proofErr w:type="gramEnd"/>
      <w:r w:rsidR="00554614">
        <w:rPr>
          <w:rFonts w:ascii="Times New Roman" w:hAnsi="Times New Roman" w:cs="Times New Roman"/>
          <w:sz w:val="24"/>
          <w:szCs w:val="24"/>
          <w:lang w:val="en-US"/>
        </w:rPr>
        <w:t xml:space="preserve">clear-cut; 2= young forest; 3= thinned). </w:t>
      </w:r>
      <w:r w:rsidRPr="005D04F8">
        <w:rPr>
          <w:rFonts w:ascii="Times New Roman" w:hAnsi="Times New Roman" w:cs="Times New Roman"/>
          <w:sz w:val="24"/>
          <w:szCs w:val="24"/>
          <w:lang w:val="en-US"/>
        </w:rPr>
        <w:t>The vertical intercept (x =</w:t>
      </w:r>
      <w:proofErr w:type="gramStart"/>
      <w:r w:rsidRPr="005D04F8">
        <w:rPr>
          <w:rFonts w:ascii="Times New Roman" w:hAnsi="Times New Roman" w:cs="Times New Roman"/>
          <w:sz w:val="24"/>
          <w:szCs w:val="24"/>
          <w:lang w:val="en-US"/>
        </w:rPr>
        <w:t>1</w:t>
      </w:r>
      <w:proofErr w:type="gramEnd"/>
      <w:r w:rsidR="00510FC6">
        <w:rPr>
          <w:rFonts w:ascii="Times New Roman" w:hAnsi="Times New Roman" w:cs="Times New Roman"/>
          <w:sz w:val="24"/>
          <w:szCs w:val="24"/>
          <w:lang w:val="en-US"/>
        </w:rPr>
        <w:t>; dashed line</w:t>
      </w:r>
      <w:r w:rsidRPr="005D04F8">
        <w:rPr>
          <w:rFonts w:ascii="Times New Roman" w:hAnsi="Times New Roman" w:cs="Times New Roman"/>
          <w:sz w:val="24"/>
          <w:szCs w:val="24"/>
          <w:lang w:val="en-US"/>
        </w:rPr>
        <w:t xml:space="preserve">) is the neutral line which indicates no effect. Odds ratios greater than 1 indicate positive associations (i.e. the presence of one event increases the odds of the other event; the blue dots), whereas odds ratios smaller than </w:t>
      </w:r>
      <w:proofErr w:type="gramStart"/>
      <w:r w:rsidRPr="005D04F8">
        <w:rPr>
          <w:rFonts w:ascii="Times New Roman" w:hAnsi="Times New Roman" w:cs="Times New Roman"/>
          <w:sz w:val="24"/>
          <w:szCs w:val="24"/>
          <w:lang w:val="en-US"/>
        </w:rPr>
        <w:t>1</w:t>
      </w:r>
      <w:proofErr w:type="gramEnd"/>
      <w:r w:rsidRPr="005D04F8">
        <w:rPr>
          <w:rFonts w:ascii="Times New Roman" w:hAnsi="Times New Roman" w:cs="Times New Roman"/>
          <w:sz w:val="24"/>
          <w:szCs w:val="24"/>
          <w:lang w:val="en-US"/>
        </w:rPr>
        <w:t xml:space="preserve"> indicate negative associations (</w:t>
      </w:r>
      <w:r w:rsidRPr="005D04F8">
        <w:rPr>
          <w:rFonts w:ascii="Times New Roman" w:hAnsi="Times New Roman" w:cs="Times New Roman"/>
          <w:color w:val="222222"/>
          <w:sz w:val="24"/>
          <w:szCs w:val="24"/>
          <w:highlight w:val="white"/>
          <w:lang w:val="en-GB"/>
        </w:rPr>
        <w:t xml:space="preserve">i.e. the presence of one event reduces the odds of the other event; these are the </w:t>
      </w:r>
      <w:r w:rsidRPr="005D04F8">
        <w:rPr>
          <w:rFonts w:ascii="Times New Roman" w:hAnsi="Times New Roman" w:cs="Times New Roman"/>
          <w:sz w:val="24"/>
          <w:szCs w:val="24"/>
          <w:lang w:val="en-US"/>
        </w:rPr>
        <w:t xml:space="preserve">red dots). </w:t>
      </w:r>
    </w:p>
    <w:p w14:paraId="44A30215" w14:textId="61490B79" w:rsidR="002B30B8" w:rsidRDefault="002B30B8" w:rsidP="005D04F8">
      <w:pPr>
        <w:autoSpaceDE w:val="0"/>
        <w:autoSpaceDN w:val="0"/>
        <w:adjustRightInd w:val="0"/>
        <w:spacing w:line="480" w:lineRule="auto"/>
        <w:jc w:val="both"/>
        <w:rPr>
          <w:rFonts w:ascii="Times New Roman" w:hAnsi="Times New Roman" w:cs="Times New Roman"/>
          <w:sz w:val="24"/>
          <w:szCs w:val="24"/>
          <w:lang w:val="en-US"/>
        </w:rPr>
      </w:pPr>
    </w:p>
    <w:p w14:paraId="4A55866D" w14:textId="44E893B0" w:rsidR="002B30B8" w:rsidRPr="002B30B8" w:rsidRDefault="002B30B8" w:rsidP="005D04F8">
      <w:pPr>
        <w:autoSpaceDE w:val="0"/>
        <w:autoSpaceDN w:val="0"/>
        <w:adjustRightInd w:val="0"/>
        <w:spacing w:line="480" w:lineRule="auto"/>
        <w:jc w:val="both"/>
        <w:rPr>
          <w:rFonts w:ascii="Times New Roman" w:hAnsi="Times New Roman" w:cs="Times New Roman"/>
          <w:b/>
          <w:sz w:val="24"/>
          <w:szCs w:val="24"/>
          <w:lang w:val="en-US"/>
        </w:rPr>
      </w:pPr>
      <w:r w:rsidRPr="007446FD">
        <w:rPr>
          <w:rFonts w:ascii="Times New Roman" w:hAnsi="Times New Roman" w:cs="Times New Roman"/>
          <w:b/>
          <w:color w:val="1C1D1E"/>
          <w:sz w:val="24"/>
          <w:szCs w:val="24"/>
          <w:shd w:val="clear" w:color="auto" w:fill="FFFFFF"/>
          <w:lang w:val="en-GB"/>
        </w:rPr>
        <w:t>Literature Citations</w:t>
      </w:r>
    </w:p>
    <w:p w14:paraId="01718D17" w14:textId="41AEB7B9" w:rsidR="00116139" w:rsidRPr="002B30B8" w:rsidRDefault="002B30B8" w:rsidP="005D04F8">
      <w:pPr>
        <w:spacing w:line="480" w:lineRule="auto"/>
        <w:rPr>
          <w:rFonts w:ascii="Times New Roman" w:hAnsi="Times New Roman" w:cs="Times New Roman"/>
          <w:sz w:val="24"/>
          <w:szCs w:val="24"/>
          <w:lang w:val="en-US"/>
        </w:rPr>
      </w:pPr>
      <w:r w:rsidRPr="002B30B8">
        <w:rPr>
          <w:rFonts w:ascii="Times New Roman" w:hAnsi="Times New Roman" w:cs="Times New Roman"/>
          <w:sz w:val="24"/>
          <w:szCs w:val="24"/>
          <w:lang w:val="en-GB"/>
        </w:rPr>
        <w:t xml:space="preserve">Mattisson, J., et al., </w:t>
      </w:r>
      <w:r w:rsidRPr="002B30B8">
        <w:rPr>
          <w:rFonts w:ascii="Times New Roman" w:hAnsi="Times New Roman" w:cs="Times New Roman"/>
          <w:i/>
          <w:sz w:val="24"/>
          <w:szCs w:val="24"/>
          <w:lang w:val="en-GB"/>
        </w:rPr>
        <w:t>Home range size variation in a recovering wolf population: evaluating the effect of environmental, demographic, and social factors.</w:t>
      </w:r>
      <w:r w:rsidRPr="002B30B8">
        <w:rPr>
          <w:rFonts w:ascii="Times New Roman" w:hAnsi="Times New Roman" w:cs="Times New Roman"/>
          <w:sz w:val="24"/>
          <w:szCs w:val="24"/>
          <w:lang w:val="en-GB"/>
        </w:rPr>
        <w:t xml:space="preserve"> </w:t>
      </w:r>
      <w:r w:rsidRPr="002B30B8">
        <w:rPr>
          <w:rFonts w:ascii="Times New Roman" w:hAnsi="Times New Roman" w:cs="Times New Roman"/>
          <w:sz w:val="24"/>
          <w:szCs w:val="24"/>
        </w:rPr>
        <w:t xml:space="preserve">Oecologia, 2013. </w:t>
      </w:r>
      <w:r w:rsidRPr="002B30B8">
        <w:rPr>
          <w:rFonts w:ascii="Times New Roman" w:hAnsi="Times New Roman" w:cs="Times New Roman"/>
          <w:b/>
          <w:sz w:val="24"/>
          <w:szCs w:val="24"/>
        </w:rPr>
        <w:t>173</w:t>
      </w:r>
      <w:r w:rsidRPr="002B30B8">
        <w:rPr>
          <w:rFonts w:ascii="Times New Roman" w:hAnsi="Times New Roman" w:cs="Times New Roman"/>
          <w:sz w:val="24"/>
          <w:szCs w:val="24"/>
        </w:rPr>
        <w:t>(3): p. 813-825.</w:t>
      </w:r>
      <w:bookmarkStart w:id="0" w:name="_GoBack"/>
      <w:bookmarkEnd w:id="0"/>
    </w:p>
    <w:sectPr w:rsidR="00116139" w:rsidRPr="002B30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8B3"/>
    <w:rsid w:val="000C7435"/>
    <w:rsid w:val="00116139"/>
    <w:rsid w:val="001B159E"/>
    <w:rsid w:val="001F1E47"/>
    <w:rsid w:val="00254674"/>
    <w:rsid w:val="002B30B8"/>
    <w:rsid w:val="003836B8"/>
    <w:rsid w:val="004808B3"/>
    <w:rsid w:val="00510FC6"/>
    <w:rsid w:val="00554614"/>
    <w:rsid w:val="005D04F8"/>
    <w:rsid w:val="005E595C"/>
    <w:rsid w:val="006811E8"/>
    <w:rsid w:val="007446FD"/>
    <w:rsid w:val="00B705D5"/>
    <w:rsid w:val="00B91F37"/>
    <w:rsid w:val="00C114F2"/>
    <w:rsid w:val="00F93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76F06"/>
  <w15:chartTrackingRefBased/>
  <w15:docId w15:val="{6BA7B5DB-57DD-46F8-82E3-149124FE7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8B3"/>
    <w:rPr>
      <w:rFonts w:eastAsiaTheme="minorEastAsia"/>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D04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2546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961966">
      <w:bodyDiv w:val="1"/>
      <w:marLeft w:val="0"/>
      <w:marRight w:val="0"/>
      <w:marTop w:val="0"/>
      <w:marBottom w:val="0"/>
      <w:divBdr>
        <w:top w:val="none" w:sz="0" w:space="0" w:color="auto"/>
        <w:left w:val="none" w:sz="0" w:space="0" w:color="auto"/>
        <w:bottom w:val="none" w:sz="0" w:space="0" w:color="auto"/>
        <w:right w:val="none" w:sz="0" w:space="0" w:color="auto"/>
      </w:divBdr>
      <w:divsChild>
        <w:div w:id="2014333490">
          <w:marLeft w:val="0"/>
          <w:marRight w:val="0"/>
          <w:marTop w:val="0"/>
          <w:marBottom w:val="0"/>
          <w:divBdr>
            <w:top w:val="none" w:sz="0" w:space="0" w:color="auto"/>
            <w:left w:val="none" w:sz="0" w:space="0" w:color="auto"/>
            <w:bottom w:val="none" w:sz="0" w:space="0" w:color="auto"/>
            <w:right w:val="none" w:sz="0" w:space="0" w:color="auto"/>
          </w:divBdr>
          <w:divsChild>
            <w:div w:id="18442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port.esri.com/Products/Desktop/arcgis-desktop/arcmap/10-2-2"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tiff"/><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4509F57390F8B4AAD7B38C220066E3A" ma:contentTypeVersion="10" ma:contentTypeDescription="Opprett et nytt dokument." ma:contentTypeScope="" ma:versionID="dcf2c1d7a4b20856ba049a7adf91182c">
  <xsd:schema xmlns:xsd="http://www.w3.org/2001/XMLSchema" xmlns:xs="http://www.w3.org/2001/XMLSchema" xmlns:p="http://schemas.microsoft.com/office/2006/metadata/properties" xmlns:ns3="f726c149-3d4e-4ac8-8b90-aab2410c13ec" targetNamespace="http://schemas.microsoft.com/office/2006/metadata/properties" ma:root="true" ma:fieldsID="bff14777c2c7ea9fdfdd362a3e233dfb" ns3:_="">
    <xsd:import namespace="f726c149-3d4e-4ac8-8b90-aab2410c13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6c149-3d4e-4ac8-8b90-aab2410c1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6E11AA-A011-45F9-B340-D0C27E7BD3B1}">
  <ds:schemaRefs>
    <ds:schemaRef ds:uri="http://schemas.microsoft.com/sharepoint/v3/contenttype/forms"/>
  </ds:schemaRefs>
</ds:datastoreItem>
</file>

<file path=customXml/itemProps2.xml><?xml version="1.0" encoding="utf-8"?>
<ds:datastoreItem xmlns:ds="http://schemas.openxmlformats.org/officeDocument/2006/customXml" ds:itemID="{1427EFE3-2636-49BA-99B0-063BFDDA1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6c149-3d4e-4ac8-8b90-aab2410c1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ABCF06-F4AD-4DF2-AC56-78A08CDF7D79}">
  <ds:schemaRefs>
    <ds:schemaRef ds:uri="http://schemas.microsoft.com/office/infopath/2007/PartnerControls"/>
    <ds:schemaRef ds:uri="http://purl.org/dc/dcmitype/"/>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f726c149-3d4e-4ac8-8b90-aab2410c13e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Høgskolen i Hedmark</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Myriam Ausilio</dc:creator>
  <cp:keywords/>
  <dc:description/>
  <cp:lastModifiedBy>Giorgia Myriam Ausilio</cp:lastModifiedBy>
  <cp:revision>2</cp:revision>
  <dcterms:created xsi:type="dcterms:W3CDTF">2020-12-15T08:27:00Z</dcterms:created>
  <dcterms:modified xsi:type="dcterms:W3CDTF">2020-12-15T08:27:00Z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0x010100E4509F57390F8B4AAD7B38C220066E3A</vt:lpwstr>
  </property>
</Properties>
</file>