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0" w:rsidRPr="001C0989" w:rsidRDefault="00922930">
      <w:pPr>
        <w:rPr>
          <w:rFonts w:cstheme="minorHAnsi"/>
          <w:b/>
          <w:color w:val="C00000"/>
        </w:rPr>
      </w:pPr>
      <w:r w:rsidRPr="001C0989">
        <w:rPr>
          <w:rFonts w:cstheme="minorHAnsi"/>
          <w:b/>
          <w:color w:val="C00000"/>
        </w:rPr>
        <w:t>Modelled evaluation of modfications in viral load monitoring</w:t>
      </w:r>
      <w:r w:rsidR="007274ED" w:rsidRPr="001C0989">
        <w:rPr>
          <w:rFonts w:cstheme="minorHAnsi"/>
          <w:b/>
          <w:color w:val="C00000"/>
        </w:rPr>
        <w:t xml:space="preserve"> in the context of sub-Saharan Africa</w:t>
      </w:r>
      <w:r w:rsidR="00A05A2D" w:rsidRPr="001C0989">
        <w:rPr>
          <w:rFonts w:cstheme="minorHAnsi"/>
          <w:b/>
          <w:color w:val="C00000"/>
        </w:rPr>
        <w:t>: modelling to inform WHO guidelines</w:t>
      </w:r>
    </w:p>
    <w:p w:rsidR="007274ED" w:rsidRDefault="007274ED">
      <w:pPr>
        <w:rPr>
          <w:rFonts w:cstheme="minorHAnsi"/>
          <w:color w:val="000000" w:themeColor="text1"/>
        </w:rPr>
      </w:pPr>
    </w:p>
    <w:p w:rsidR="00237A6B" w:rsidRDefault="00237A6B">
      <w:pPr>
        <w:rPr>
          <w:rFonts w:cstheme="minorHAnsi"/>
          <w:color w:val="000000" w:themeColor="text1"/>
        </w:rPr>
      </w:pPr>
      <w:r>
        <w:rPr>
          <w:rFonts w:cstheme="minorHAnsi"/>
          <w:color w:val="000000" w:themeColor="text1"/>
        </w:rPr>
        <w:t>Andrew Phillips, Lovleen Bansi-Matharu, Valentina Cambiano, on behalf of the HIV Modelling Consortium</w:t>
      </w:r>
    </w:p>
    <w:p w:rsidR="001C0989" w:rsidRDefault="001C0989" w:rsidP="001C0989">
      <w:pPr>
        <w:rPr>
          <w:rFonts w:cstheme="minorHAnsi"/>
          <w:color w:val="000000" w:themeColor="text1"/>
        </w:rPr>
      </w:pPr>
      <w:r>
        <w:rPr>
          <w:rFonts w:cstheme="minorHAnsi"/>
          <w:color w:val="000000" w:themeColor="text1"/>
        </w:rPr>
        <w:t>Institute for Global Health, UCL, London, UK.</w:t>
      </w:r>
    </w:p>
    <w:p w:rsidR="001C0989" w:rsidRDefault="001C0989">
      <w:pPr>
        <w:rPr>
          <w:rFonts w:cstheme="minorHAnsi"/>
          <w:color w:val="000000" w:themeColor="text1"/>
        </w:rPr>
      </w:pPr>
      <w:r>
        <w:rPr>
          <w:rFonts w:cstheme="minorHAnsi"/>
          <w:color w:val="000000" w:themeColor="text1"/>
        </w:rPr>
        <w:t>Correspondence: andrew.phillips@ucl.ac.uk</w:t>
      </w:r>
    </w:p>
    <w:p w:rsidR="005F2ECB" w:rsidRDefault="005F2ECB">
      <w:pPr>
        <w:rPr>
          <w:rFonts w:cstheme="minorHAnsi"/>
          <w:color w:val="000000" w:themeColor="text1"/>
        </w:rPr>
      </w:pPr>
    </w:p>
    <w:p w:rsidR="007274ED" w:rsidRPr="001C0989" w:rsidRDefault="007274ED">
      <w:pPr>
        <w:rPr>
          <w:rFonts w:cstheme="minorHAnsi"/>
          <w:b/>
          <w:color w:val="C00000"/>
        </w:rPr>
      </w:pPr>
      <w:r w:rsidRPr="001C0989">
        <w:rPr>
          <w:rFonts w:cstheme="minorHAnsi"/>
          <w:b/>
          <w:color w:val="C00000"/>
        </w:rPr>
        <w:t>Introduction</w:t>
      </w:r>
    </w:p>
    <w:p w:rsidR="007274ED" w:rsidRDefault="00AC1017">
      <w:pPr>
        <w:rPr>
          <w:rFonts w:cstheme="minorHAnsi"/>
          <w:color w:val="000000" w:themeColor="text1"/>
        </w:rPr>
      </w:pPr>
      <w:r>
        <w:rPr>
          <w:rFonts w:cstheme="minorHAnsi"/>
          <w:color w:val="000000" w:themeColor="text1"/>
        </w:rPr>
        <w:t>WHO has a recommended algorithm for viral load monitoring of people on ART and informing decisions on switching to a new line of therapy.  Viral load testing is recommended at 6 and 12 months after start of ART and 12 monthly thereafter; if the viral load is found to be &gt; 1000 copies/mL the recommendation is to give an enhanced adherence intervention and to re-measure in 6 months.  If the viral load level remains above 1000 then it is recommended to switch to a second line regimen.  Consideration has been given to modifications of the algorithm in several aspects</w:t>
      </w:r>
      <w:r w:rsidR="00DC4117">
        <w:rPr>
          <w:rFonts w:cstheme="minorHAnsi"/>
          <w:color w:val="000000" w:themeColor="text1"/>
        </w:rPr>
        <w:t xml:space="preserve">, including in the timing of the first viral load, the time period between the initial viral load &gt; 1000 and the next measurement, and in the requirement for a second viral load value &gt; 1000 before switching regimen.  Some of these considerations are likely to be dependent on whether the first line regimen is an efavirenz-based regimen (usually in the form of tenofovir DF, lamivudine, efavirenz (TLE)) or, as is now strongly recommended, a dolutegravir-based regimen (usually in the form of tenofovir DF, lamivudine, dolutegravir (TLD)).   We applied an existing model of HIV transmission, progression and the effect of specific ARVs, which explicitly considers drug resistance and ARV adherence, to inform the potential effects of such changes.  </w:t>
      </w:r>
    </w:p>
    <w:p w:rsidR="00A919E5" w:rsidRDefault="00A919E5">
      <w:pPr>
        <w:rPr>
          <w:rFonts w:cstheme="minorHAnsi"/>
          <w:b/>
          <w:color w:val="000000" w:themeColor="text1"/>
        </w:rPr>
      </w:pPr>
    </w:p>
    <w:p w:rsidR="007274ED" w:rsidRPr="001C0989" w:rsidRDefault="007274ED">
      <w:pPr>
        <w:rPr>
          <w:rFonts w:cstheme="minorHAnsi"/>
          <w:b/>
          <w:color w:val="C00000"/>
        </w:rPr>
      </w:pPr>
      <w:r w:rsidRPr="001C0989">
        <w:rPr>
          <w:rFonts w:cstheme="minorHAnsi"/>
          <w:b/>
          <w:color w:val="C00000"/>
        </w:rPr>
        <w:t>Methods</w:t>
      </w:r>
    </w:p>
    <w:p w:rsidR="00922930" w:rsidRDefault="007274ED" w:rsidP="007274ED">
      <w:pPr>
        <w:rPr>
          <w:rFonts w:cstheme="minorHAnsi"/>
          <w:color w:val="000000" w:themeColor="text1"/>
        </w:rPr>
      </w:pPr>
      <w:r>
        <w:rPr>
          <w:rFonts w:cstheme="minorHAnsi"/>
          <w:color w:val="000000" w:themeColor="text1"/>
        </w:rPr>
        <w:t>HIV Synthesis is an i</w:t>
      </w:r>
      <w:r w:rsidRPr="002D5C72">
        <w:rPr>
          <w:rFonts w:cstheme="minorHAnsi"/>
          <w:color w:val="000000" w:themeColor="text1"/>
        </w:rPr>
        <w:t>ndividual based simulation model</w:t>
      </w:r>
      <w:r>
        <w:rPr>
          <w:rFonts w:cstheme="minorHAnsi"/>
          <w:color w:val="000000" w:themeColor="text1"/>
        </w:rPr>
        <w:t xml:space="preserve"> which has been described previously</w:t>
      </w:r>
      <w:r w:rsidR="003D221A">
        <w:rPr>
          <w:rFonts w:cstheme="minorHAnsi"/>
          <w:color w:val="000000" w:themeColor="text1"/>
        </w:rPr>
        <w:t xml:space="preserve"> (e.g. 1-</w:t>
      </w:r>
      <w:r w:rsidR="00A64DD1">
        <w:rPr>
          <w:rFonts w:cstheme="minorHAnsi"/>
          <w:color w:val="000000" w:themeColor="text1"/>
        </w:rPr>
        <w:t>2</w:t>
      </w:r>
      <w:r w:rsidR="003D221A">
        <w:rPr>
          <w:rFonts w:cstheme="minorHAnsi"/>
          <w:color w:val="000000" w:themeColor="text1"/>
        </w:rPr>
        <w:t>)</w:t>
      </w:r>
      <w:r w:rsidRPr="002D5C72">
        <w:rPr>
          <w:rFonts w:cstheme="minorHAnsi"/>
          <w:color w:val="000000" w:themeColor="text1"/>
        </w:rPr>
        <w:t>.</w:t>
      </w:r>
      <w:r>
        <w:rPr>
          <w:rFonts w:cstheme="minorHAnsi"/>
          <w:color w:val="000000" w:themeColor="text1"/>
        </w:rPr>
        <w:t xml:space="preserve">  </w:t>
      </w:r>
      <w:r w:rsidRPr="002D5C72">
        <w:rPr>
          <w:rFonts w:cstheme="minorHAnsi"/>
          <w:color w:val="000000" w:themeColor="text1"/>
        </w:rPr>
        <w:t xml:space="preserve">Each time the model </w:t>
      </w:r>
      <w:r>
        <w:rPr>
          <w:rFonts w:cstheme="minorHAnsi"/>
          <w:color w:val="000000" w:themeColor="text1"/>
        </w:rPr>
        <w:t xml:space="preserve">program </w:t>
      </w:r>
      <w:r w:rsidRPr="002D5C72">
        <w:rPr>
          <w:rFonts w:cstheme="minorHAnsi"/>
          <w:color w:val="000000" w:themeColor="text1"/>
        </w:rPr>
        <w:t xml:space="preserve">is run it creates </w:t>
      </w:r>
      <w:r>
        <w:rPr>
          <w:rFonts w:cstheme="minorHAnsi"/>
          <w:color w:val="000000" w:themeColor="text1"/>
        </w:rPr>
        <w:t xml:space="preserve">a simulated </w:t>
      </w:r>
      <w:r w:rsidRPr="002D5C72">
        <w:rPr>
          <w:rFonts w:cstheme="minorHAnsi"/>
          <w:color w:val="000000" w:themeColor="text1"/>
        </w:rPr>
        <w:t xml:space="preserve">data set of </w:t>
      </w:r>
      <w:r>
        <w:rPr>
          <w:rFonts w:cstheme="minorHAnsi"/>
          <w:color w:val="000000" w:themeColor="text1"/>
        </w:rPr>
        <w:t xml:space="preserve">attributes of a </w:t>
      </w:r>
      <w:r w:rsidRPr="002D5C72">
        <w:rPr>
          <w:rFonts w:cstheme="minorHAnsi"/>
          <w:color w:val="000000" w:themeColor="text1"/>
        </w:rPr>
        <w:t>population of adults from 1989 to 2020 and beyond -  with updates every 3 month period on variables including the following</w:t>
      </w:r>
      <w:r>
        <w:rPr>
          <w:rFonts w:cstheme="minorHAnsi"/>
          <w:color w:val="000000" w:themeColor="text1"/>
        </w:rPr>
        <w:t xml:space="preserve"> on the e</w:t>
      </w:r>
      <w:r w:rsidRPr="002D5C72">
        <w:rPr>
          <w:rFonts w:cstheme="minorHAnsi"/>
          <w:color w:val="000000" w:themeColor="text1"/>
        </w:rPr>
        <w:t>ntire adult population</w:t>
      </w:r>
      <w:r>
        <w:rPr>
          <w:rFonts w:cstheme="minorHAnsi"/>
          <w:color w:val="000000" w:themeColor="text1"/>
        </w:rPr>
        <w:t>: a</w:t>
      </w:r>
      <w:r w:rsidRPr="002D5C72">
        <w:rPr>
          <w:rFonts w:cstheme="minorHAnsi"/>
          <w:color w:val="000000" w:themeColor="text1"/>
        </w:rPr>
        <w:t>ge</w:t>
      </w:r>
      <w:r>
        <w:rPr>
          <w:rFonts w:cstheme="minorHAnsi"/>
          <w:color w:val="000000" w:themeColor="text1"/>
        </w:rPr>
        <w:t>, g</w:t>
      </w:r>
      <w:r w:rsidRPr="002D5C72">
        <w:rPr>
          <w:rFonts w:cstheme="minorHAnsi"/>
          <w:color w:val="000000" w:themeColor="text1"/>
        </w:rPr>
        <w:t>ender</w:t>
      </w:r>
      <w:r>
        <w:rPr>
          <w:rFonts w:cstheme="minorHAnsi"/>
          <w:color w:val="000000" w:themeColor="text1"/>
        </w:rPr>
        <w:t>, primary and short term c</w:t>
      </w:r>
      <w:r w:rsidRPr="002D5C72">
        <w:rPr>
          <w:rFonts w:cstheme="minorHAnsi"/>
          <w:color w:val="000000" w:themeColor="text1"/>
        </w:rPr>
        <w:t xml:space="preserve">ondomless sex </w:t>
      </w:r>
      <w:r>
        <w:rPr>
          <w:rFonts w:cstheme="minorHAnsi"/>
          <w:color w:val="000000" w:themeColor="text1"/>
        </w:rPr>
        <w:t xml:space="preserve">partners, </w:t>
      </w:r>
      <w:r w:rsidRPr="002D5C72">
        <w:rPr>
          <w:rFonts w:cstheme="minorHAnsi"/>
          <w:color w:val="000000" w:themeColor="text1"/>
        </w:rPr>
        <w:t>HIV testing</w:t>
      </w:r>
      <w:r>
        <w:rPr>
          <w:rFonts w:cstheme="minorHAnsi"/>
          <w:color w:val="000000" w:themeColor="text1"/>
        </w:rPr>
        <w:t xml:space="preserve">, male circumcision, presence of an other sexually transmitted infection, and use of PrEP.  In </w:t>
      </w:r>
      <w:r w:rsidRPr="002D5C72">
        <w:rPr>
          <w:rFonts w:cstheme="minorHAnsi"/>
          <w:color w:val="000000" w:themeColor="text1"/>
        </w:rPr>
        <w:t>HIV positive people</w:t>
      </w:r>
      <w:r>
        <w:rPr>
          <w:rFonts w:cstheme="minorHAnsi"/>
          <w:color w:val="000000" w:themeColor="text1"/>
        </w:rPr>
        <w:t xml:space="preserve"> variables include t</w:t>
      </w:r>
      <w:r w:rsidRPr="002D5C72">
        <w:rPr>
          <w:rFonts w:cstheme="minorHAnsi"/>
          <w:color w:val="000000" w:themeColor="text1"/>
        </w:rPr>
        <w:t>ime from infection</w:t>
      </w:r>
      <w:r>
        <w:rPr>
          <w:rFonts w:cstheme="minorHAnsi"/>
          <w:color w:val="000000" w:themeColor="text1"/>
        </w:rPr>
        <w:t xml:space="preserve">, </w:t>
      </w:r>
      <w:r w:rsidRPr="002D5C72">
        <w:rPr>
          <w:rFonts w:cstheme="minorHAnsi"/>
          <w:color w:val="000000" w:themeColor="text1"/>
        </w:rPr>
        <w:t>CD4 count</w:t>
      </w:r>
      <w:r>
        <w:rPr>
          <w:rFonts w:cstheme="minorHAnsi"/>
          <w:color w:val="000000" w:themeColor="text1"/>
        </w:rPr>
        <w:t>, v</w:t>
      </w:r>
      <w:r w:rsidRPr="002D5C72">
        <w:rPr>
          <w:rFonts w:cstheme="minorHAnsi"/>
          <w:color w:val="000000" w:themeColor="text1"/>
        </w:rPr>
        <w:t>iral load</w:t>
      </w:r>
      <w:r>
        <w:rPr>
          <w:rFonts w:cstheme="minorHAnsi"/>
          <w:color w:val="000000" w:themeColor="text1"/>
        </w:rPr>
        <w:t>, s</w:t>
      </w:r>
      <w:r w:rsidRPr="002D5C72">
        <w:rPr>
          <w:rFonts w:cstheme="minorHAnsi"/>
          <w:color w:val="000000" w:themeColor="text1"/>
        </w:rPr>
        <w:t xml:space="preserve">pecific </w:t>
      </w:r>
      <w:r>
        <w:rPr>
          <w:rFonts w:cstheme="minorHAnsi"/>
          <w:color w:val="000000" w:themeColor="text1"/>
        </w:rPr>
        <w:t xml:space="preserve">antiretroviral (ARV) </w:t>
      </w:r>
      <w:r w:rsidRPr="002D5C72">
        <w:rPr>
          <w:rFonts w:cstheme="minorHAnsi"/>
          <w:color w:val="000000" w:themeColor="text1"/>
        </w:rPr>
        <w:t>drugs</w:t>
      </w:r>
      <w:r>
        <w:rPr>
          <w:rFonts w:cstheme="minorHAnsi"/>
          <w:color w:val="000000" w:themeColor="text1"/>
        </w:rPr>
        <w:t xml:space="preserve"> being used, ARV</w:t>
      </w:r>
      <w:r w:rsidRPr="002D5C72">
        <w:rPr>
          <w:rFonts w:cstheme="minorHAnsi"/>
          <w:color w:val="000000" w:themeColor="text1"/>
        </w:rPr>
        <w:t xml:space="preserve"> adherence</w:t>
      </w:r>
      <w:r>
        <w:rPr>
          <w:rFonts w:cstheme="minorHAnsi"/>
          <w:color w:val="000000" w:themeColor="text1"/>
        </w:rPr>
        <w:t>, and specific d</w:t>
      </w:r>
      <w:r w:rsidRPr="002D5C72">
        <w:rPr>
          <w:rFonts w:cstheme="minorHAnsi"/>
          <w:color w:val="000000" w:themeColor="text1"/>
        </w:rPr>
        <w:t>rug resistance mutations</w:t>
      </w:r>
      <w:r>
        <w:rPr>
          <w:rFonts w:cstheme="minorHAnsi"/>
          <w:color w:val="000000" w:themeColor="text1"/>
        </w:rPr>
        <w:t xml:space="preserve">.  The latter three variables jointly determine at any point in time the current levels of suppressive antiviral effect of the regimen.  </w:t>
      </w:r>
      <w:r w:rsidRPr="002D5C72">
        <w:rPr>
          <w:rFonts w:cstheme="minorHAnsi"/>
          <w:color w:val="000000" w:themeColor="text1"/>
        </w:rPr>
        <w:t xml:space="preserve">Through sampling of </w:t>
      </w:r>
      <w:r>
        <w:rPr>
          <w:rFonts w:cstheme="minorHAnsi"/>
          <w:color w:val="000000" w:themeColor="text1"/>
        </w:rPr>
        <w:t xml:space="preserve">several </w:t>
      </w:r>
      <w:r w:rsidRPr="002D5C72">
        <w:rPr>
          <w:rFonts w:cstheme="minorHAnsi"/>
          <w:color w:val="000000" w:themeColor="text1"/>
        </w:rPr>
        <w:t xml:space="preserve">parameter values we create </w:t>
      </w:r>
      <w:r>
        <w:rPr>
          <w:rFonts w:cstheme="minorHAnsi"/>
          <w:color w:val="000000" w:themeColor="text1"/>
        </w:rPr>
        <w:t xml:space="preserve">a series of </w:t>
      </w:r>
      <w:r w:rsidRPr="002D5C72">
        <w:rPr>
          <w:rFonts w:cstheme="minorHAnsi"/>
          <w:color w:val="000000" w:themeColor="text1"/>
        </w:rPr>
        <w:t>"setting scenarios" reflecting uncertainty in assumptions and a range of characteristics similar to those seen in southern / east Africa</w:t>
      </w:r>
      <w:r>
        <w:rPr>
          <w:rFonts w:cstheme="minorHAnsi"/>
          <w:color w:val="000000" w:themeColor="text1"/>
        </w:rPr>
        <w:t xml:space="preserve">; for example we sample </w:t>
      </w:r>
      <w:r w:rsidRPr="002D5C72">
        <w:rPr>
          <w:rFonts w:cstheme="minorHAnsi"/>
          <w:color w:val="000000" w:themeColor="text1"/>
        </w:rPr>
        <w:t>parameters relating to rates of HIV testing; linkage and retention; ART adherence; resistance emergence, transmission and persistence; ART interruption; extent of implementation of viral load monitoring; rate of switching to 2nd line after detected virologic failure</w:t>
      </w:r>
      <w:r>
        <w:rPr>
          <w:rFonts w:cstheme="minorHAnsi"/>
          <w:color w:val="000000" w:themeColor="text1"/>
        </w:rPr>
        <w:t xml:space="preserve">.  The characteristics of </w:t>
      </w:r>
      <w:r w:rsidRPr="00271E07">
        <w:rPr>
          <w:rFonts w:cstheme="minorHAnsi"/>
          <w:color w:val="000000" w:themeColor="text1"/>
        </w:rPr>
        <w:t xml:space="preserve">the setting scenarios are shown in Table 1.  </w:t>
      </w:r>
      <w:r w:rsidRPr="002D5C72">
        <w:rPr>
          <w:rFonts w:cstheme="minorHAnsi"/>
          <w:color w:val="000000" w:themeColor="text1"/>
        </w:rPr>
        <w:t xml:space="preserve">For each setting scenario, we consider the situation in 2020.5 and compare </w:t>
      </w:r>
      <w:r>
        <w:rPr>
          <w:rFonts w:cstheme="minorHAnsi"/>
          <w:color w:val="000000" w:themeColor="text1"/>
        </w:rPr>
        <w:t xml:space="preserve">predicted </w:t>
      </w:r>
      <w:r w:rsidRPr="002D5C72">
        <w:rPr>
          <w:rFonts w:cstheme="minorHAnsi"/>
          <w:color w:val="000000" w:themeColor="text1"/>
        </w:rPr>
        <w:t xml:space="preserve">outcomes of </w:t>
      </w:r>
      <w:r>
        <w:rPr>
          <w:rFonts w:cstheme="minorHAnsi"/>
          <w:color w:val="000000" w:themeColor="text1"/>
        </w:rPr>
        <w:t>potential modification to the viral load monitoring algorithm with the current algorithm.</w:t>
      </w:r>
    </w:p>
    <w:p w:rsidR="007274ED" w:rsidRDefault="007274ED" w:rsidP="007274ED">
      <w:pPr>
        <w:rPr>
          <w:rFonts w:cstheme="minorHAnsi"/>
          <w:b/>
          <w:color w:val="000000" w:themeColor="text1"/>
        </w:rPr>
      </w:pPr>
      <w:r>
        <w:rPr>
          <w:rFonts w:cstheme="minorHAnsi"/>
          <w:color w:val="000000" w:themeColor="text1"/>
        </w:rPr>
        <w:lastRenderedPageBreak/>
        <w:t xml:space="preserve">The following modifications in the viral load monitoring algorithm were separately considered and compared with the current </w:t>
      </w:r>
      <w:r w:rsidR="00297A06">
        <w:rPr>
          <w:rFonts w:cstheme="minorHAnsi"/>
          <w:color w:val="000000" w:themeColor="text1"/>
        </w:rPr>
        <w:t>algorithm</w:t>
      </w:r>
      <w:r>
        <w:rPr>
          <w:rFonts w:cstheme="minorHAnsi"/>
          <w:color w:val="000000" w:themeColor="text1"/>
        </w:rPr>
        <w:t>.  The context in which the comparison is made is shown in par</w:t>
      </w:r>
      <w:r w:rsidR="003D221A">
        <w:rPr>
          <w:rFonts w:cstheme="minorHAnsi"/>
          <w:color w:val="000000" w:themeColor="text1"/>
        </w:rPr>
        <w:t>e</w:t>
      </w:r>
      <w:r>
        <w:rPr>
          <w:rFonts w:cstheme="minorHAnsi"/>
          <w:color w:val="000000" w:themeColor="text1"/>
        </w:rPr>
        <w:t xml:space="preserve">ntheses.  </w:t>
      </w:r>
    </w:p>
    <w:p w:rsidR="007274ED" w:rsidRPr="00922930" w:rsidRDefault="007274ED" w:rsidP="007274ED">
      <w:pPr>
        <w:pStyle w:val="ListParagraph"/>
        <w:numPr>
          <w:ilvl w:val="0"/>
          <w:numId w:val="4"/>
        </w:numPr>
        <w:rPr>
          <w:rFonts w:cstheme="minorHAnsi"/>
          <w:color w:val="000000" w:themeColor="text1"/>
        </w:rPr>
      </w:pPr>
      <w:r w:rsidRPr="00922930">
        <w:t>Timing of repeat viral load, in context of TLE 1</w:t>
      </w:r>
      <w:r w:rsidRPr="00922930">
        <w:rPr>
          <w:vertAlign w:val="superscript"/>
        </w:rPr>
        <w:t>st</w:t>
      </w:r>
      <w:r w:rsidRPr="00922930">
        <w:t xml:space="preserve"> line regimen (no transition to dolutegravir is made before or during follow up)</w:t>
      </w:r>
      <w:r>
        <w:t>: 3 months vs 6 months</w:t>
      </w:r>
    </w:p>
    <w:p w:rsidR="007274ED" w:rsidRPr="00922930" w:rsidRDefault="007274ED" w:rsidP="007274ED">
      <w:pPr>
        <w:pStyle w:val="ListParagraph"/>
        <w:numPr>
          <w:ilvl w:val="0"/>
          <w:numId w:val="4"/>
        </w:numPr>
        <w:rPr>
          <w:rFonts w:cstheme="minorHAnsi"/>
          <w:color w:val="000000" w:themeColor="text1"/>
        </w:rPr>
      </w:pPr>
      <w:r w:rsidRPr="00922930">
        <w:rPr>
          <w:rFonts w:cstheme="minorHAnsi"/>
          <w:color w:val="000000" w:themeColor="text1"/>
        </w:rPr>
        <w:t>Timing of repeat viral load, in context of TLD 1st line regimen (transition of all to TLD made pre-baseline)</w:t>
      </w:r>
      <w:r>
        <w:rPr>
          <w:rFonts w:cstheme="minorHAnsi"/>
          <w:color w:val="000000" w:themeColor="text1"/>
        </w:rPr>
        <w:t xml:space="preserve">: </w:t>
      </w:r>
      <w:r>
        <w:t>3 months vs 6 months</w:t>
      </w:r>
    </w:p>
    <w:p w:rsidR="007274ED" w:rsidRPr="00D32452" w:rsidRDefault="007274ED" w:rsidP="007274ED">
      <w:pPr>
        <w:pStyle w:val="ListParagraph"/>
        <w:numPr>
          <w:ilvl w:val="0"/>
          <w:numId w:val="4"/>
        </w:numPr>
        <w:rPr>
          <w:rFonts w:cstheme="minorHAnsi"/>
          <w:color w:val="000000" w:themeColor="text1"/>
        </w:rPr>
      </w:pPr>
      <w:r w:rsidRPr="00922930">
        <w:t>Timing of initial viral load, in context of TLE 1</w:t>
      </w:r>
      <w:r w:rsidRPr="00922930">
        <w:rPr>
          <w:vertAlign w:val="superscript"/>
        </w:rPr>
        <w:t>st</w:t>
      </w:r>
      <w:r w:rsidRPr="00922930">
        <w:t xml:space="preserve"> line regimen (no transition to dolutegravir is made before or during follow up)</w:t>
      </w:r>
      <w:r>
        <w:t>: 3 months vs 6 months</w:t>
      </w:r>
      <w:r w:rsidRPr="00922930">
        <w:t xml:space="preserve"> </w:t>
      </w:r>
    </w:p>
    <w:p w:rsidR="007274ED" w:rsidRPr="003C2317" w:rsidRDefault="007274ED" w:rsidP="007274ED">
      <w:pPr>
        <w:pStyle w:val="ListParagraph"/>
        <w:numPr>
          <w:ilvl w:val="0"/>
          <w:numId w:val="4"/>
        </w:numPr>
        <w:rPr>
          <w:rFonts w:cstheme="minorHAnsi"/>
          <w:color w:val="000000" w:themeColor="text1"/>
        </w:rPr>
      </w:pPr>
      <w:r w:rsidRPr="00922930">
        <w:t>Timing of initial viral load, in context of TLE 1</w:t>
      </w:r>
      <w:r w:rsidRPr="00922930">
        <w:rPr>
          <w:vertAlign w:val="superscript"/>
        </w:rPr>
        <w:t>st</w:t>
      </w:r>
      <w:r w:rsidRPr="00922930">
        <w:t xml:space="preserve"> line regimen (no transition to dolutegravir is made before or during follow up)</w:t>
      </w:r>
      <w:r>
        <w:t>: 3 months vs 6 months</w:t>
      </w:r>
      <w:r w:rsidRPr="00922930">
        <w:t xml:space="preserve"> </w:t>
      </w:r>
    </w:p>
    <w:p w:rsidR="007274ED" w:rsidRPr="00922930" w:rsidRDefault="007274ED" w:rsidP="007274ED">
      <w:pPr>
        <w:pStyle w:val="ListParagraph"/>
        <w:numPr>
          <w:ilvl w:val="0"/>
          <w:numId w:val="4"/>
        </w:numPr>
        <w:rPr>
          <w:rFonts w:cstheme="minorHAnsi"/>
          <w:color w:val="000000" w:themeColor="text1"/>
        </w:rPr>
      </w:pPr>
      <w:r w:rsidRPr="00922930">
        <w:t>Single vs confirmed VL to determine failure, in context of TLE 1</w:t>
      </w:r>
      <w:r w:rsidRPr="00922930">
        <w:rPr>
          <w:vertAlign w:val="superscript"/>
        </w:rPr>
        <w:t>st</w:t>
      </w:r>
      <w:r w:rsidRPr="00922930">
        <w:t xml:space="preserve"> line regimen (in context of ART policy of transition to TLD in new initiators made in 2019; ZLD </w:t>
      </w:r>
      <w:r w:rsidR="004E45FE">
        <w:t xml:space="preserve">(zidovudine, lamivudine, dolutegravir) </w:t>
      </w:r>
      <w:r w:rsidRPr="00922930">
        <w:t>is 2</w:t>
      </w:r>
      <w:r w:rsidRPr="00922930">
        <w:rPr>
          <w:vertAlign w:val="superscript"/>
        </w:rPr>
        <w:t>nd</w:t>
      </w:r>
      <w:r w:rsidRPr="00922930">
        <w:t xml:space="preserve"> line regimen in people with TLE failure from 2019)</w:t>
      </w:r>
    </w:p>
    <w:p w:rsidR="007274ED" w:rsidRPr="003C2317" w:rsidRDefault="007274ED" w:rsidP="007274ED">
      <w:pPr>
        <w:pStyle w:val="ListParagraph"/>
        <w:numPr>
          <w:ilvl w:val="0"/>
          <w:numId w:val="4"/>
        </w:numPr>
        <w:rPr>
          <w:rFonts w:cstheme="minorHAnsi"/>
          <w:color w:val="000000" w:themeColor="text1"/>
        </w:rPr>
      </w:pPr>
      <w:r w:rsidRPr="00922930">
        <w:t>Single vs confirmed VL to determine failure, in context of TLE 1</w:t>
      </w:r>
      <w:r w:rsidRPr="00922930">
        <w:rPr>
          <w:vertAlign w:val="superscript"/>
        </w:rPr>
        <w:t>st</w:t>
      </w:r>
      <w:r w:rsidRPr="00922930">
        <w:t xml:space="preserve"> line regimen (in context of ART policy of transition to TLD in new initiators made in 2019; ZLD is 2</w:t>
      </w:r>
      <w:r w:rsidRPr="00922930">
        <w:rPr>
          <w:vertAlign w:val="superscript"/>
        </w:rPr>
        <w:t>nd</w:t>
      </w:r>
      <w:r w:rsidRPr="00922930">
        <w:t xml:space="preserve"> line regimen in people with TLE failure from 2019)</w:t>
      </w:r>
    </w:p>
    <w:p w:rsidR="00705C28" w:rsidRDefault="007274ED">
      <w:pPr>
        <w:rPr>
          <w:rFonts w:cstheme="minorHAnsi"/>
          <w:color w:val="000000" w:themeColor="text1"/>
        </w:rPr>
      </w:pPr>
      <w:r>
        <w:rPr>
          <w:rFonts w:cstheme="minorHAnsi"/>
          <w:color w:val="000000" w:themeColor="text1"/>
        </w:rPr>
        <w:t xml:space="preserve">Each variation in policy is considered in the context of 50 setting scenarios.  </w:t>
      </w:r>
    </w:p>
    <w:p w:rsidR="00705C28" w:rsidRDefault="00705C28">
      <w:pPr>
        <w:rPr>
          <w:rFonts w:cstheme="minorHAnsi"/>
          <w:color w:val="000000" w:themeColor="text1"/>
        </w:rPr>
      </w:pPr>
      <w:r w:rsidRPr="00460C37">
        <w:rPr>
          <w:rFonts w:cstheme="minorHAnsi"/>
          <w:color w:val="000000" w:themeColor="text1"/>
        </w:rPr>
        <w:t xml:space="preserve">We calculated disability adjusted life years (DALYs) for the whole adult population assuming that a woman having a child with an NTD incurs an extra DALY per year for the remainder of the time horizon and also accounting for mother to child transmission. Unless we state otherwise, absolute numbers of health-related events, costs and DALYs are relevant for a country of population size of approximately 10 million adults in 2018.  </w:t>
      </w:r>
      <w:r>
        <w:rPr>
          <w:rFonts w:cstheme="minorHAnsi"/>
          <w:color w:val="000000" w:themeColor="text1"/>
        </w:rPr>
        <w:t>C</w:t>
      </w:r>
      <w:r w:rsidRPr="00460C37">
        <w:rPr>
          <w:rFonts w:cstheme="minorHAnsi"/>
          <w:color w:val="000000" w:themeColor="text1"/>
        </w:rPr>
        <w:t>ost- effectiveness analysis is conducted from a healthcare perspective, costs and health outcomes were both discounted to present US$ values at 3% per annum, and a cost- effectiveness threshold of US$500 per DALY averted was used.   We used this threshold to calculate net DALYs averted.  Net DALYs take into account the health consequences of the difference in costs as well as the difference in health</w:t>
      </w:r>
      <w:r>
        <w:rPr>
          <w:rFonts w:cstheme="minorHAnsi"/>
          <w:color w:val="000000" w:themeColor="text1"/>
        </w:rPr>
        <w:t xml:space="preserve"> and reflect the impact of a policy on overall population burden of disease</w:t>
      </w:r>
      <w:r w:rsidRPr="00460C37">
        <w:rPr>
          <w:rFonts w:cstheme="minorHAnsi"/>
          <w:color w:val="000000" w:themeColor="text1"/>
        </w:rPr>
        <w:t>: Net DALYs averted = DALYs averted + difference in costs / cost effectiveness threshold.</w:t>
      </w:r>
      <w:r>
        <w:rPr>
          <w:rFonts w:cstheme="minorHAnsi"/>
          <w:color w:val="000000" w:themeColor="text1"/>
        </w:rPr>
        <w:t xml:space="preserve">  Costs and disability weights are shown </w:t>
      </w:r>
      <w:r w:rsidR="00BC2E97">
        <w:rPr>
          <w:rFonts w:cstheme="minorHAnsi"/>
          <w:color w:val="000000" w:themeColor="text1"/>
        </w:rPr>
        <w:t>in the</w:t>
      </w:r>
      <w:r>
        <w:rPr>
          <w:rFonts w:cstheme="minorHAnsi"/>
          <w:color w:val="000000" w:themeColor="text1"/>
        </w:rPr>
        <w:t xml:space="preserve"> Appendix</w:t>
      </w:r>
      <w:r w:rsidR="00BC2E97">
        <w:rPr>
          <w:rFonts w:cstheme="minorHAnsi"/>
          <w:color w:val="000000" w:themeColor="text1"/>
        </w:rPr>
        <w:t xml:space="preserve"> to (2)</w:t>
      </w:r>
      <w:r>
        <w:rPr>
          <w:rFonts w:cstheme="minorHAnsi"/>
          <w:color w:val="000000" w:themeColor="text1"/>
        </w:rPr>
        <w:t>.</w:t>
      </w:r>
    </w:p>
    <w:p w:rsidR="00A919E5" w:rsidRDefault="00A919E5">
      <w:pPr>
        <w:rPr>
          <w:rFonts w:cstheme="minorHAnsi"/>
          <w:b/>
          <w:color w:val="000000" w:themeColor="text1"/>
        </w:rPr>
      </w:pPr>
    </w:p>
    <w:p w:rsidR="00705C28" w:rsidRPr="001C0989" w:rsidRDefault="00705C28">
      <w:pPr>
        <w:rPr>
          <w:rFonts w:cstheme="minorHAnsi"/>
          <w:b/>
          <w:color w:val="C00000"/>
        </w:rPr>
      </w:pPr>
      <w:r w:rsidRPr="001C0989">
        <w:rPr>
          <w:rFonts w:cstheme="minorHAnsi"/>
          <w:b/>
          <w:color w:val="C00000"/>
        </w:rPr>
        <w:t>Results</w:t>
      </w:r>
      <w:r w:rsidR="00737531" w:rsidRPr="001C0989">
        <w:rPr>
          <w:rFonts w:cstheme="minorHAnsi"/>
          <w:b/>
          <w:color w:val="C00000"/>
        </w:rPr>
        <w:t xml:space="preserve"> and Discussion</w:t>
      </w:r>
    </w:p>
    <w:p w:rsidR="00705C28" w:rsidRDefault="00A64DD1" w:rsidP="00A64DD1">
      <w:r>
        <w:rPr>
          <w:rFonts w:cstheme="minorHAnsi"/>
          <w:color w:val="000000" w:themeColor="text1"/>
        </w:rPr>
        <w:t xml:space="preserve">Shown in Table 1 are the characteristics of the </w:t>
      </w:r>
      <w:r w:rsidRPr="00697294">
        <w:rPr>
          <w:rFonts w:cstheme="minorHAnsi"/>
          <w:color w:val="000000" w:themeColor="text1"/>
        </w:rPr>
        <w:t>settin</w:t>
      </w:r>
      <w:r w:rsidRPr="00DC1CF6">
        <w:rPr>
          <w:rFonts w:cstheme="minorHAnsi"/>
          <w:color w:val="000000" w:themeColor="text1"/>
        </w:rPr>
        <w:t xml:space="preserve">g scenarios in 2020.  </w:t>
      </w:r>
      <w:r>
        <w:rPr>
          <w:rFonts w:cstheme="minorHAnsi"/>
          <w:color w:val="000000" w:themeColor="text1"/>
        </w:rPr>
        <w:t xml:space="preserve"> Table 2a and b show the effect of varying the timing of the confirmatory viral load between 3 and 6 months.  Table 2a is in the context of </w:t>
      </w:r>
      <w:r w:rsidR="00705C28">
        <w:t xml:space="preserve">no transition to dolutegravir </w:t>
      </w:r>
      <w:r>
        <w:t>being</w:t>
      </w:r>
      <w:r w:rsidR="00705C28">
        <w:t xml:space="preserve"> made before or during follow up</w:t>
      </w:r>
      <w:r>
        <w:t xml:space="preserve">, while Table 2b is in the context of </w:t>
      </w:r>
      <w:r w:rsidR="00705C28">
        <w:t xml:space="preserve">transition of all </w:t>
      </w:r>
      <w:r>
        <w:t xml:space="preserve">ART being made </w:t>
      </w:r>
      <w:r w:rsidR="00705C28">
        <w:t>to TLD made pre-baseline</w:t>
      </w:r>
      <w:r>
        <w:t>.  Specific ARV use, viral suppression, death rates, DALYs</w:t>
      </w:r>
      <w:r w:rsidR="00C350AE">
        <w:t>,</w:t>
      </w:r>
      <w:r>
        <w:t xml:space="preserve"> costs </w:t>
      </w:r>
      <w:r w:rsidR="00C350AE">
        <w:t xml:space="preserve">and net DALYs </w:t>
      </w:r>
      <w:r>
        <w:t>are compared</w:t>
      </w:r>
      <w:r w:rsidR="00C350AE">
        <w:t xml:space="preserve">.  In neither context is there any discernible difference in predicted outcomes, so any effect of the policy modification is likely to be very small.  </w:t>
      </w:r>
      <w:r w:rsidR="00EE7056">
        <w:t xml:space="preserve">Likewise (Table 2c, 2d) there is little discernible effect of </w:t>
      </w:r>
      <w:r w:rsidR="004E45FE">
        <w:t>varying the timing of the first viral load measure after start of ART.</w:t>
      </w:r>
    </w:p>
    <w:p w:rsidR="00705C28" w:rsidRPr="00605340" w:rsidRDefault="00605340" w:rsidP="00705C28">
      <w:r>
        <w:t>In contrast, i</w:t>
      </w:r>
      <w:r w:rsidR="00705C28" w:rsidRPr="00705C28">
        <w:rPr>
          <w:color w:val="000000" w:themeColor="text1"/>
        </w:rPr>
        <w:t>n the context</w:t>
      </w:r>
      <w:r w:rsidR="00705C28" w:rsidRPr="00EF45D5">
        <w:rPr>
          <w:color w:val="000000" w:themeColor="text1"/>
        </w:rPr>
        <w:t xml:space="preserve"> of an ART policy of transition to TLD in new initiators made in 2019, and </w:t>
      </w:r>
      <w:r>
        <w:rPr>
          <w:color w:val="000000" w:themeColor="text1"/>
        </w:rPr>
        <w:t xml:space="preserve">with </w:t>
      </w:r>
      <w:r w:rsidR="00705C28" w:rsidRPr="00EF45D5">
        <w:rPr>
          <w:color w:val="000000" w:themeColor="text1"/>
        </w:rPr>
        <w:t xml:space="preserve">ZLD </w:t>
      </w:r>
      <w:r>
        <w:rPr>
          <w:color w:val="000000" w:themeColor="text1"/>
        </w:rPr>
        <w:t>as</w:t>
      </w:r>
      <w:r w:rsidR="00705C28" w:rsidRPr="00EF45D5">
        <w:rPr>
          <w:color w:val="000000" w:themeColor="text1"/>
        </w:rPr>
        <w:t xml:space="preserve"> 2</w:t>
      </w:r>
      <w:r w:rsidR="00705C28" w:rsidRPr="00EF45D5">
        <w:rPr>
          <w:color w:val="000000" w:themeColor="text1"/>
          <w:vertAlign w:val="superscript"/>
        </w:rPr>
        <w:t>nd</w:t>
      </w:r>
      <w:r w:rsidR="00705C28" w:rsidRPr="00EF45D5">
        <w:rPr>
          <w:color w:val="000000" w:themeColor="text1"/>
        </w:rPr>
        <w:t xml:space="preserve"> line regimen in people with TLE failure from 2019, a policy of single VL to determine failure in people on TLE 1</w:t>
      </w:r>
      <w:r w:rsidR="00705C28" w:rsidRPr="00EF45D5">
        <w:rPr>
          <w:color w:val="000000" w:themeColor="text1"/>
          <w:vertAlign w:val="superscript"/>
        </w:rPr>
        <w:t>st</w:t>
      </w:r>
      <w:r w:rsidR="00705C28" w:rsidRPr="00EF45D5">
        <w:rPr>
          <w:color w:val="000000" w:themeColor="text1"/>
        </w:rPr>
        <w:t xml:space="preserve"> line regimen amongst people, brings health benefits and is cost-effective based on a cost effectiveness threshold of $500 per DALY averted</w:t>
      </w:r>
      <w:r>
        <w:rPr>
          <w:color w:val="000000" w:themeColor="text1"/>
        </w:rPr>
        <w:t xml:space="preserve"> (Table 2e)</w:t>
      </w:r>
      <w:r w:rsidR="00705C28" w:rsidRPr="00EF45D5">
        <w:rPr>
          <w:color w:val="000000" w:themeColor="text1"/>
        </w:rPr>
        <w:t>.</w:t>
      </w:r>
      <w:r>
        <w:rPr>
          <w:color w:val="000000" w:themeColor="text1"/>
        </w:rPr>
        <w:t xml:space="preserve">  This was also the case </w:t>
      </w:r>
      <w:r>
        <w:rPr>
          <w:color w:val="000000" w:themeColor="text1"/>
        </w:rPr>
        <w:lastRenderedPageBreak/>
        <w:t xml:space="preserve">if the </w:t>
      </w:r>
      <w:r w:rsidR="00705C28" w:rsidRPr="00EF45D5">
        <w:rPr>
          <w:color w:val="000000" w:themeColor="text1"/>
        </w:rPr>
        <w:t xml:space="preserve"> </w:t>
      </w:r>
      <w:r w:rsidRPr="00EF45D5">
        <w:rPr>
          <w:color w:val="000000" w:themeColor="text1"/>
        </w:rPr>
        <w:t>policy of single VL to determine failure</w:t>
      </w:r>
      <w:r>
        <w:rPr>
          <w:color w:val="000000" w:themeColor="text1"/>
        </w:rPr>
        <w:t xml:space="preserve"> applies only to those people </w:t>
      </w:r>
      <w:r w:rsidRPr="00EF45D5">
        <w:rPr>
          <w:color w:val="000000" w:themeColor="text1"/>
        </w:rPr>
        <w:t>with a WHO stage 3 or 4 condition in the past 3 months, or a CD4 count &lt; 200 /mm</w:t>
      </w:r>
      <w:r w:rsidRPr="00EF45D5">
        <w:rPr>
          <w:color w:val="000000" w:themeColor="text1"/>
          <w:vertAlign w:val="superscript"/>
        </w:rPr>
        <w:t>3</w:t>
      </w:r>
      <w:r>
        <w:rPr>
          <w:color w:val="000000" w:themeColor="text1"/>
        </w:rPr>
        <w:t xml:space="preserve"> (Table 2f).</w:t>
      </w:r>
    </w:p>
    <w:p w:rsidR="00A919E5" w:rsidRDefault="00A919E5">
      <w:pPr>
        <w:rPr>
          <w:rFonts w:cstheme="minorHAnsi"/>
          <w:b/>
          <w:color w:val="000000" w:themeColor="text1"/>
        </w:rPr>
      </w:pPr>
      <w:r>
        <w:rPr>
          <w:rFonts w:cstheme="minorHAnsi"/>
          <w:b/>
          <w:color w:val="000000" w:themeColor="text1"/>
        </w:rPr>
        <w:br w:type="page"/>
      </w:r>
    </w:p>
    <w:p w:rsidR="00386731" w:rsidRPr="00523BFE" w:rsidRDefault="00386731" w:rsidP="00386731">
      <w:pPr>
        <w:spacing w:after="120" w:line="360" w:lineRule="auto"/>
        <w:rPr>
          <w:rFonts w:ascii="Calibri" w:hAnsi="Calibri"/>
          <w:color w:val="000000" w:themeColor="text1"/>
        </w:rPr>
      </w:pPr>
      <w:r w:rsidRPr="001C0989">
        <w:rPr>
          <w:rFonts w:cstheme="minorHAnsi"/>
          <w:b/>
          <w:color w:val="C00000"/>
        </w:rPr>
        <w:lastRenderedPageBreak/>
        <w:t>Table 1.</w:t>
      </w:r>
      <w:r w:rsidRPr="001C0989">
        <w:rPr>
          <w:rFonts w:cstheme="minorHAnsi"/>
          <w:color w:val="C00000"/>
        </w:rPr>
        <w:t xml:space="preserve">  </w:t>
      </w:r>
      <w:r w:rsidRPr="00523BFE">
        <w:rPr>
          <w:rFonts w:cstheme="minorHAnsi"/>
          <w:color w:val="000000" w:themeColor="text1"/>
          <w:sz w:val="20"/>
          <w:szCs w:val="20"/>
        </w:rPr>
        <w:t xml:space="preserve">Description of </w:t>
      </w:r>
      <w:r w:rsidRPr="0043094F">
        <w:rPr>
          <w:rFonts w:cstheme="minorHAnsi"/>
          <w:color w:val="000000" w:themeColor="text1"/>
          <w:sz w:val="20"/>
          <w:szCs w:val="20"/>
        </w:rPr>
        <w:t xml:space="preserve">setting scenarios </w:t>
      </w:r>
      <w:r w:rsidRPr="0043094F">
        <w:rPr>
          <w:rFonts w:cstheme="minorHAnsi"/>
          <w:sz w:val="20"/>
          <w:szCs w:val="20"/>
        </w:rPr>
        <w:t>in 2020.</w:t>
      </w:r>
    </w:p>
    <w:tbl>
      <w:tblPr>
        <w:tblStyle w:val="TableGrid"/>
        <w:tblW w:w="9498" w:type="dxa"/>
        <w:tblInd w:w="-147" w:type="dxa"/>
        <w:tblCellMar>
          <w:top w:w="57" w:type="dxa"/>
          <w:bottom w:w="57" w:type="dxa"/>
        </w:tblCellMar>
        <w:tblLook w:val="04A0" w:firstRow="1" w:lastRow="0" w:firstColumn="1" w:lastColumn="0" w:noHBand="0" w:noVBand="1"/>
      </w:tblPr>
      <w:tblGrid>
        <w:gridCol w:w="2694"/>
        <w:gridCol w:w="1701"/>
        <w:gridCol w:w="5103"/>
      </w:tblGrid>
      <w:tr w:rsidR="00386731" w:rsidRPr="00523BFE" w:rsidTr="00922930">
        <w:trPr>
          <w:trHeight w:val="550"/>
        </w:trPr>
        <w:tc>
          <w:tcPr>
            <w:tcW w:w="2694" w:type="dxa"/>
            <w:shd w:val="clear" w:color="auto" w:fill="D9D9D9" w:themeFill="background1" w:themeFillShade="D9"/>
          </w:tcPr>
          <w:p w:rsidR="00386731" w:rsidRPr="00523BFE" w:rsidRDefault="00386731" w:rsidP="00922930">
            <w:pPr>
              <w:pStyle w:val="NormalWeb"/>
              <w:spacing w:before="0" w:beforeAutospacing="0" w:after="0" w:afterAutospacing="0" w:line="264" w:lineRule="auto"/>
              <w:rPr>
                <w:rFonts w:ascii="Arial" w:hAnsi="Arial" w:cs="Arial"/>
                <w:sz w:val="20"/>
                <w:szCs w:val="20"/>
              </w:rPr>
            </w:pPr>
            <w:r w:rsidRPr="00523BFE">
              <w:rPr>
                <w:rFonts w:ascii="Calibri" w:eastAsia="Calibri" w:hAnsi="Calibri"/>
                <w:b/>
                <w:bCs/>
                <w:color w:val="000000"/>
                <w:kern w:val="24"/>
                <w:sz w:val="20"/>
                <w:szCs w:val="20"/>
              </w:rPr>
              <w:t>Characteristic</w:t>
            </w:r>
          </w:p>
        </w:tc>
        <w:tc>
          <w:tcPr>
            <w:tcW w:w="1701" w:type="dxa"/>
            <w:shd w:val="clear" w:color="auto" w:fill="D9D9D9" w:themeFill="background1" w:themeFillShade="D9"/>
          </w:tcPr>
          <w:p w:rsidR="00386731" w:rsidRPr="00523BFE" w:rsidRDefault="00386731" w:rsidP="00922930">
            <w:pPr>
              <w:pStyle w:val="NormalWeb"/>
              <w:spacing w:before="0" w:beforeAutospacing="0" w:after="0" w:afterAutospacing="0" w:line="264" w:lineRule="auto"/>
              <w:rPr>
                <w:rFonts w:ascii="Arial" w:hAnsi="Arial" w:cs="Arial"/>
                <w:sz w:val="20"/>
                <w:szCs w:val="20"/>
              </w:rPr>
            </w:pPr>
            <w:r w:rsidRPr="00523BFE">
              <w:rPr>
                <w:rFonts w:ascii="Calibri" w:eastAsia="Calibri" w:hAnsi="Calibri"/>
                <w:b/>
                <w:bCs/>
                <w:color w:val="000000"/>
                <w:kern w:val="24"/>
                <w:sz w:val="20"/>
                <w:szCs w:val="20"/>
              </w:rPr>
              <w:t>Model (20</w:t>
            </w:r>
            <w:r>
              <w:rPr>
                <w:rFonts w:ascii="Calibri" w:eastAsia="Calibri" w:hAnsi="Calibri"/>
                <w:b/>
                <w:bCs/>
                <w:color w:val="000000"/>
                <w:kern w:val="24"/>
                <w:sz w:val="20"/>
                <w:szCs w:val="20"/>
              </w:rPr>
              <w:t>20</w:t>
            </w:r>
            <w:r w:rsidRPr="00523BFE">
              <w:rPr>
                <w:rFonts w:ascii="Calibri" w:eastAsia="Calibri" w:hAnsi="Calibri"/>
                <w:b/>
                <w:bCs/>
                <w:color w:val="000000"/>
                <w:kern w:val="24"/>
                <w:sz w:val="20"/>
                <w:szCs w:val="20"/>
              </w:rPr>
              <w:t>)</w:t>
            </w:r>
          </w:p>
          <w:p w:rsidR="00386731" w:rsidRPr="002F2D07" w:rsidRDefault="00386731" w:rsidP="00922930">
            <w:pPr>
              <w:pStyle w:val="NormalWeb"/>
              <w:spacing w:before="0" w:beforeAutospacing="0" w:after="0" w:afterAutospacing="0" w:line="264" w:lineRule="auto"/>
              <w:rPr>
                <w:rFonts w:ascii="Calibri" w:eastAsia="Calibri" w:hAnsi="Calibri"/>
                <w:bCs/>
                <w:color w:val="000000"/>
                <w:kern w:val="24"/>
                <w:sz w:val="20"/>
                <w:szCs w:val="20"/>
              </w:rPr>
            </w:pPr>
            <w:r w:rsidRPr="00523BFE">
              <w:rPr>
                <w:rFonts w:ascii="Calibri" w:eastAsia="Calibri" w:hAnsi="Calibri"/>
                <w:bCs/>
                <w:color w:val="000000"/>
                <w:kern w:val="24"/>
                <w:sz w:val="20"/>
                <w:szCs w:val="20"/>
              </w:rPr>
              <w:t xml:space="preserve">(median, range)  </w:t>
            </w:r>
          </w:p>
        </w:tc>
        <w:tc>
          <w:tcPr>
            <w:tcW w:w="5103" w:type="dxa"/>
            <w:shd w:val="clear" w:color="auto" w:fill="D9D9D9" w:themeFill="background1" w:themeFillShade="D9"/>
          </w:tcPr>
          <w:p w:rsidR="00386731" w:rsidRPr="00523BFE" w:rsidRDefault="00386731" w:rsidP="00922930">
            <w:pPr>
              <w:pStyle w:val="NormalWeb"/>
              <w:spacing w:before="0" w:beforeAutospacing="0" w:after="0" w:afterAutospacing="0" w:line="264" w:lineRule="auto"/>
              <w:rPr>
                <w:rFonts w:ascii="Arial" w:hAnsi="Arial" w:cs="Arial"/>
                <w:sz w:val="20"/>
                <w:szCs w:val="20"/>
              </w:rPr>
            </w:pPr>
            <w:r w:rsidRPr="00523BFE">
              <w:rPr>
                <w:rFonts w:ascii="Calibri" w:eastAsia="Calibri" w:hAnsi="Calibri"/>
                <w:b/>
                <w:bCs/>
                <w:color w:val="000000"/>
                <w:kern w:val="24"/>
                <w:sz w:val="20"/>
                <w:szCs w:val="20"/>
              </w:rPr>
              <w:t xml:space="preserve">Examples of observed data* </w:t>
            </w:r>
          </w:p>
        </w:tc>
      </w:tr>
      <w:tr w:rsidR="00386731" w:rsidRPr="00794729" w:rsidTr="00922930">
        <w:tc>
          <w:tcPr>
            <w:tcW w:w="2694" w:type="dxa"/>
          </w:tcPr>
          <w:p w:rsidR="00386731" w:rsidRPr="00784CA3" w:rsidRDefault="00386731" w:rsidP="00922930">
            <w:pPr>
              <w:pStyle w:val="NormalWeb"/>
              <w:spacing w:before="0" w:beforeAutospacing="0" w:after="0" w:afterAutospacing="0" w:line="204" w:lineRule="auto"/>
              <w:rPr>
                <w:rFonts w:ascii="Arial" w:hAnsi="Arial" w:cs="Arial"/>
                <w:color w:val="000000" w:themeColor="text1"/>
                <w:sz w:val="20"/>
                <w:szCs w:val="20"/>
              </w:rPr>
            </w:pPr>
            <w:r w:rsidRPr="00784CA3">
              <w:rPr>
                <w:rFonts w:ascii="Calibri" w:hAnsi="Calibri" w:cs="Calibri"/>
                <w:color w:val="000000" w:themeColor="text1"/>
                <w:kern w:val="24"/>
                <w:sz w:val="20"/>
                <w:szCs w:val="20"/>
              </w:rPr>
              <w:t>HIV prevalence (age 15-49)</w:t>
            </w:r>
          </w:p>
        </w:tc>
        <w:tc>
          <w:tcPr>
            <w:tcW w:w="1701" w:type="dxa"/>
          </w:tcPr>
          <w:p w:rsidR="00386731" w:rsidRPr="00784CA3" w:rsidRDefault="00386731" w:rsidP="00922930">
            <w:pPr>
              <w:pStyle w:val="NormalWeb"/>
              <w:spacing w:before="0" w:beforeAutospacing="0" w:after="0" w:afterAutospacing="0" w:line="264" w:lineRule="auto"/>
              <w:rPr>
                <w:rFonts w:ascii="Arial" w:hAnsi="Arial" w:cs="Arial"/>
                <w:color w:val="000000" w:themeColor="text1"/>
                <w:sz w:val="20"/>
                <w:szCs w:val="20"/>
              </w:rPr>
            </w:pPr>
            <w:r w:rsidRPr="00784CA3">
              <w:rPr>
                <w:rFonts w:ascii="Calibri" w:hAnsi="Calibri" w:cs="Calibri"/>
                <w:bCs/>
                <w:color w:val="000000" w:themeColor="text1"/>
                <w:kern w:val="24"/>
                <w:sz w:val="20"/>
                <w:szCs w:val="20"/>
              </w:rPr>
              <w:t>1</w:t>
            </w:r>
            <w:r w:rsidR="00784CA3" w:rsidRPr="00784CA3">
              <w:rPr>
                <w:rFonts w:ascii="Calibri" w:hAnsi="Calibri" w:cs="Calibri"/>
                <w:bCs/>
                <w:color w:val="000000" w:themeColor="text1"/>
                <w:kern w:val="24"/>
                <w:sz w:val="20"/>
                <w:szCs w:val="20"/>
              </w:rPr>
              <w:t>3</w:t>
            </w:r>
            <w:r w:rsidRPr="00784CA3">
              <w:rPr>
                <w:rFonts w:ascii="Calibri" w:hAnsi="Calibri" w:cs="Calibri"/>
                <w:bCs/>
                <w:color w:val="000000" w:themeColor="text1"/>
                <w:kern w:val="24"/>
                <w:sz w:val="20"/>
                <w:szCs w:val="20"/>
              </w:rPr>
              <w:t>% (</w:t>
            </w:r>
            <w:r w:rsidR="00784CA3" w:rsidRPr="00784CA3">
              <w:rPr>
                <w:rFonts w:ascii="Calibri" w:hAnsi="Calibri" w:cs="Calibri"/>
                <w:bCs/>
                <w:color w:val="000000" w:themeColor="text1"/>
                <w:kern w:val="24"/>
                <w:sz w:val="20"/>
                <w:szCs w:val="20"/>
              </w:rPr>
              <w:t>4</w:t>
            </w:r>
            <w:r w:rsidRPr="00784CA3">
              <w:rPr>
                <w:rFonts w:ascii="Calibri" w:hAnsi="Calibri" w:cs="Calibri"/>
                <w:bCs/>
                <w:color w:val="000000" w:themeColor="text1"/>
                <w:kern w:val="24"/>
                <w:sz w:val="20"/>
                <w:szCs w:val="20"/>
              </w:rPr>
              <w:t xml:space="preserve">% - </w:t>
            </w:r>
            <w:r w:rsidR="00784CA3" w:rsidRPr="00784CA3">
              <w:rPr>
                <w:rFonts w:ascii="Calibri" w:hAnsi="Calibri" w:cs="Calibri"/>
                <w:bCs/>
                <w:color w:val="000000" w:themeColor="text1"/>
                <w:kern w:val="24"/>
                <w:sz w:val="20"/>
                <w:szCs w:val="20"/>
              </w:rPr>
              <w:t>30</w:t>
            </w:r>
            <w:r w:rsidRPr="00784CA3">
              <w:rPr>
                <w:rFonts w:ascii="Calibri" w:hAnsi="Calibri" w:cs="Calibri"/>
                <w:bCs/>
                <w:color w:val="000000" w:themeColor="text1"/>
                <w:kern w:val="24"/>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lang w:val="es-ES"/>
              </w:rPr>
            </w:pPr>
            <w:r w:rsidRPr="0070078E">
              <w:rPr>
                <w:rFonts w:ascii="Calibri" w:hAnsi="Calibri" w:cs="Calibri"/>
                <w:bCs/>
                <w:color w:val="000000" w:themeColor="text1"/>
                <w:kern w:val="24"/>
                <w:sz w:val="18"/>
                <w:szCs w:val="18"/>
                <w:lang w:val="es-ES"/>
              </w:rPr>
              <w:t>Zimbabwe 2016 13%, Tanzania 2017 5%, Uganda 2017 6%, Lesotho 2017 24%, Eswatini 2017 27%, Malawi 2016 10%, Namibia 2017 12%, Zambia 206 11%, Cameroon 2017 3.4%, Cote d'Ivoire 2017/18  2.5%, Mozambique 11%</w:t>
            </w:r>
          </w:p>
        </w:tc>
      </w:tr>
      <w:tr w:rsidR="00386731" w:rsidRPr="00794729" w:rsidTr="00922930">
        <w:tc>
          <w:tcPr>
            <w:tcW w:w="2694" w:type="dxa"/>
          </w:tcPr>
          <w:p w:rsidR="00386731" w:rsidRPr="00784CA3" w:rsidRDefault="00386731" w:rsidP="00922930">
            <w:pPr>
              <w:pStyle w:val="NormalWeb"/>
              <w:spacing w:before="0" w:beforeAutospacing="0" w:after="0" w:afterAutospacing="0" w:line="204" w:lineRule="auto"/>
              <w:rPr>
                <w:rFonts w:ascii="Arial" w:hAnsi="Arial" w:cs="Arial"/>
                <w:color w:val="000000" w:themeColor="text1"/>
                <w:sz w:val="20"/>
                <w:szCs w:val="20"/>
              </w:rPr>
            </w:pPr>
            <w:r w:rsidRPr="00784CA3">
              <w:rPr>
                <w:rFonts w:ascii="Calibri" w:hAnsi="Calibri" w:cs="Calibri"/>
                <w:color w:val="000000" w:themeColor="text1"/>
                <w:kern w:val="24"/>
                <w:sz w:val="20"/>
                <w:szCs w:val="20"/>
              </w:rPr>
              <w:t>HIV incidence age 15-49 (/100 person years)</w:t>
            </w:r>
          </w:p>
        </w:tc>
        <w:tc>
          <w:tcPr>
            <w:tcW w:w="1701" w:type="dxa"/>
          </w:tcPr>
          <w:p w:rsidR="00386731" w:rsidRPr="00784CA3" w:rsidRDefault="00386731" w:rsidP="00922930">
            <w:pPr>
              <w:pStyle w:val="NormalWeb"/>
              <w:spacing w:before="0" w:beforeAutospacing="0" w:after="0" w:afterAutospacing="0" w:line="264" w:lineRule="auto"/>
              <w:rPr>
                <w:rFonts w:ascii="Arial" w:hAnsi="Arial" w:cs="Arial"/>
                <w:color w:val="000000" w:themeColor="text1"/>
                <w:sz w:val="20"/>
                <w:szCs w:val="20"/>
              </w:rPr>
            </w:pPr>
            <w:r w:rsidRPr="00784CA3">
              <w:rPr>
                <w:rFonts w:ascii="Calibri" w:hAnsi="Calibri" w:cs="Calibri"/>
                <w:color w:val="000000" w:themeColor="text1"/>
                <w:kern w:val="24"/>
                <w:sz w:val="20"/>
                <w:szCs w:val="20"/>
              </w:rPr>
              <w:t>0.</w:t>
            </w:r>
            <w:r w:rsidR="00784CA3" w:rsidRPr="00784CA3">
              <w:rPr>
                <w:rFonts w:ascii="Calibri" w:hAnsi="Calibri" w:cs="Calibri"/>
                <w:color w:val="000000" w:themeColor="text1"/>
                <w:kern w:val="24"/>
                <w:sz w:val="20"/>
                <w:szCs w:val="20"/>
              </w:rPr>
              <w:t>96</w:t>
            </w:r>
            <w:r w:rsidRPr="00784CA3">
              <w:rPr>
                <w:rFonts w:ascii="Calibri" w:hAnsi="Calibri" w:cs="Calibri"/>
                <w:color w:val="000000" w:themeColor="text1"/>
                <w:kern w:val="24"/>
                <w:sz w:val="20"/>
                <w:szCs w:val="20"/>
              </w:rPr>
              <w:t xml:space="preserve"> (0.</w:t>
            </w:r>
            <w:r w:rsidR="00784CA3" w:rsidRPr="00784CA3">
              <w:rPr>
                <w:rFonts w:ascii="Calibri" w:hAnsi="Calibri" w:cs="Calibri"/>
                <w:color w:val="000000" w:themeColor="text1"/>
                <w:kern w:val="24"/>
                <w:sz w:val="20"/>
                <w:szCs w:val="20"/>
              </w:rPr>
              <w:t>20</w:t>
            </w:r>
            <w:r w:rsidRPr="00784CA3">
              <w:rPr>
                <w:rFonts w:ascii="Calibri" w:hAnsi="Calibri" w:cs="Calibri"/>
                <w:color w:val="000000" w:themeColor="text1"/>
                <w:kern w:val="24"/>
                <w:sz w:val="20"/>
                <w:szCs w:val="20"/>
              </w:rPr>
              <w:t xml:space="preserve"> – 3.</w:t>
            </w:r>
            <w:r w:rsidR="00784CA3" w:rsidRPr="00784CA3">
              <w:rPr>
                <w:rFonts w:ascii="Calibri" w:hAnsi="Calibri" w:cs="Calibri"/>
                <w:color w:val="000000" w:themeColor="text1"/>
                <w:kern w:val="24"/>
                <w:sz w:val="20"/>
                <w:szCs w:val="20"/>
              </w:rPr>
              <w:t>02</w:t>
            </w:r>
            <w:r w:rsidRPr="00784CA3">
              <w:rPr>
                <w:rFonts w:ascii="Calibri" w:hAnsi="Calibri" w:cs="Calibri"/>
                <w:color w:val="000000" w:themeColor="text1"/>
                <w:kern w:val="24"/>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lang w:val="es-ES"/>
              </w:rPr>
            </w:pPr>
            <w:r w:rsidRPr="0070078E">
              <w:rPr>
                <w:rFonts w:ascii="Calibri" w:hAnsi="Calibri" w:cs="Calibri"/>
                <w:color w:val="000000" w:themeColor="text1"/>
                <w:kern w:val="24"/>
                <w:sz w:val="18"/>
                <w:szCs w:val="18"/>
                <w:lang w:val="es-ES"/>
              </w:rPr>
              <w:t>Malawi 2016 0.37, Zambia 2016 0.66, Zimbabwe 2016 0.45, Lesotho 2017 1.55, Namibia 2016 0.40, eSwatini 2017 1.48, Tanzania 2017 0.27, Cameroon 2017 0.27</w:t>
            </w:r>
          </w:p>
        </w:tc>
      </w:tr>
      <w:tr w:rsidR="00386731" w:rsidRPr="00794729" w:rsidTr="00922930">
        <w:tc>
          <w:tcPr>
            <w:tcW w:w="2694" w:type="dxa"/>
          </w:tcPr>
          <w:p w:rsidR="00386731" w:rsidRPr="00D9257D" w:rsidRDefault="00386731" w:rsidP="00922930">
            <w:pPr>
              <w:pStyle w:val="NormalWeb"/>
              <w:spacing w:before="0" w:beforeAutospacing="0" w:after="0" w:afterAutospacing="0" w:line="204" w:lineRule="auto"/>
              <w:rPr>
                <w:rFonts w:ascii="Arial" w:hAnsi="Arial" w:cs="Arial"/>
                <w:sz w:val="20"/>
                <w:szCs w:val="20"/>
              </w:rPr>
            </w:pPr>
            <w:r w:rsidRPr="00D9257D">
              <w:rPr>
                <w:rFonts w:ascii="Calibri" w:hAnsi="Calibri" w:cs="Calibri"/>
                <w:color w:val="000000" w:themeColor="text1"/>
                <w:kern w:val="24"/>
                <w:sz w:val="20"/>
                <w:szCs w:val="20"/>
              </w:rPr>
              <w:t>Proportion of HIV positive people diagnosed</w:t>
            </w:r>
          </w:p>
        </w:tc>
        <w:tc>
          <w:tcPr>
            <w:tcW w:w="1701" w:type="dxa"/>
          </w:tcPr>
          <w:p w:rsidR="00386731" w:rsidRPr="00784CA3" w:rsidRDefault="00784CA3" w:rsidP="00922930">
            <w:pPr>
              <w:pStyle w:val="NormalWeb"/>
              <w:spacing w:before="0" w:beforeAutospacing="0" w:after="0" w:afterAutospacing="0" w:line="264" w:lineRule="auto"/>
              <w:rPr>
                <w:rFonts w:ascii="Arial" w:hAnsi="Arial" w:cs="Arial"/>
                <w:color w:val="000000" w:themeColor="text1"/>
                <w:sz w:val="20"/>
                <w:szCs w:val="20"/>
              </w:rPr>
            </w:pPr>
            <w:r w:rsidRPr="00784CA3">
              <w:rPr>
                <w:rFonts w:ascii="Calibri" w:hAnsi="Calibri" w:cs="Calibri"/>
                <w:color w:val="000000" w:themeColor="text1"/>
                <w:kern w:val="24"/>
                <w:sz w:val="20"/>
                <w:szCs w:val="20"/>
              </w:rPr>
              <w:t>91</w:t>
            </w:r>
            <w:r w:rsidR="00386731" w:rsidRPr="00784CA3">
              <w:rPr>
                <w:rFonts w:ascii="Calibri" w:hAnsi="Calibri" w:cs="Calibri"/>
                <w:color w:val="000000" w:themeColor="text1"/>
                <w:kern w:val="24"/>
                <w:sz w:val="20"/>
                <w:szCs w:val="20"/>
              </w:rPr>
              <w:t>% (</w:t>
            </w:r>
            <w:r w:rsidRPr="00784CA3">
              <w:rPr>
                <w:rFonts w:ascii="Calibri" w:hAnsi="Calibri" w:cs="Calibri"/>
                <w:color w:val="000000" w:themeColor="text1"/>
                <w:kern w:val="24"/>
                <w:sz w:val="20"/>
                <w:szCs w:val="20"/>
              </w:rPr>
              <w:t>73</w:t>
            </w:r>
            <w:r w:rsidR="00386731" w:rsidRPr="00784CA3">
              <w:rPr>
                <w:rFonts w:ascii="Calibri" w:hAnsi="Calibri" w:cs="Calibri"/>
                <w:color w:val="000000" w:themeColor="text1"/>
                <w:kern w:val="24"/>
                <w:sz w:val="20"/>
                <w:szCs w:val="20"/>
              </w:rPr>
              <w:t>% - 9</w:t>
            </w:r>
            <w:r w:rsidRPr="00784CA3">
              <w:rPr>
                <w:rFonts w:ascii="Calibri" w:hAnsi="Calibri" w:cs="Calibri"/>
                <w:color w:val="000000" w:themeColor="text1"/>
                <w:kern w:val="24"/>
                <w:sz w:val="20"/>
                <w:szCs w:val="20"/>
              </w:rPr>
              <w:t>6</w:t>
            </w:r>
            <w:r w:rsidR="00386731" w:rsidRPr="00784CA3">
              <w:rPr>
                <w:rFonts w:ascii="Calibri" w:hAnsi="Calibri" w:cs="Calibri"/>
                <w:color w:val="000000" w:themeColor="text1"/>
                <w:kern w:val="24"/>
                <w:sz w:val="20"/>
                <w:szCs w:val="20"/>
              </w:rPr>
              <w:t>%)</w:t>
            </w:r>
          </w:p>
          <w:p w:rsidR="00386731" w:rsidRPr="00784CA3" w:rsidRDefault="00386731" w:rsidP="00922930">
            <w:pPr>
              <w:pStyle w:val="NormalWeb"/>
              <w:spacing w:before="0" w:beforeAutospacing="0" w:after="0" w:afterAutospacing="0" w:line="264" w:lineRule="auto"/>
              <w:rPr>
                <w:rFonts w:ascii="Arial" w:hAnsi="Arial" w:cs="Arial"/>
                <w:color w:val="000000" w:themeColor="text1"/>
                <w:sz w:val="20"/>
                <w:szCs w:val="20"/>
              </w:rPr>
            </w:pP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lang w:val="es-ES"/>
              </w:rPr>
            </w:pPr>
            <w:r w:rsidRPr="0070078E">
              <w:rPr>
                <w:rFonts w:ascii="Calibri" w:hAnsi="Calibri" w:cs="Calibri"/>
                <w:color w:val="000000" w:themeColor="text1"/>
                <w:kern w:val="24"/>
                <w:sz w:val="18"/>
                <w:szCs w:val="18"/>
                <w:lang w:val="es-ES"/>
              </w:rPr>
              <w:t>Malawi 2016 77%, Zambia 2016 67%, Zimbabwe 2016 74%, Namibia 2017 86%, Tanzania 2017 52%, Ethiopia 2018 72%, Cote d'Ivoire 2017/18 37%, Cameroon 2017 47%</w:t>
            </w:r>
          </w:p>
        </w:tc>
      </w:tr>
      <w:tr w:rsidR="00386731" w:rsidRPr="00794729" w:rsidTr="00922930">
        <w:tc>
          <w:tcPr>
            <w:tcW w:w="2694" w:type="dxa"/>
          </w:tcPr>
          <w:p w:rsidR="00386731" w:rsidRPr="007640FA" w:rsidRDefault="00386731" w:rsidP="00922930">
            <w:pPr>
              <w:pStyle w:val="NormalWeb"/>
              <w:spacing w:before="0" w:beforeAutospacing="0" w:after="0" w:afterAutospacing="0" w:line="204" w:lineRule="auto"/>
              <w:rPr>
                <w:rFonts w:ascii="Arial" w:hAnsi="Arial" w:cs="Arial"/>
                <w:color w:val="000000" w:themeColor="text1"/>
                <w:sz w:val="20"/>
                <w:szCs w:val="20"/>
              </w:rPr>
            </w:pPr>
            <w:r w:rsidRPr="007640FA">
              <w:rPr>
                <w:rFonts w:ascii="Calibri" w:hAnsi="Calibri" w:cs="Calibri"/>
                <w:color w:val="000000" w:themeColor="text1"/>
                <w:kern w:val="24"/>
                <w:sz w:val="20"/>
                <w:szCs w:val="20"/>
              </w:rPr>
              <w:t>Proportion of diagnosed HIV+ people on ART</w:t>
            </w:r>
          </w:p>
        </w:tc>
        <w:tc>
          <w:tcPr>
            <w:tcW w:w="1701" w:type="dxa"/>
          </w:tcPr>
          <w:p w:rsidR="00386731" w:rsidRPr="007640FA" w:rsidRDefault="007640FA" w:rsidP="00922930">
            <w:pPr>
              <w:pStyle w:val="NormalWeb"/>
              <w:spacing w:before="0" w:beforeAutospacing="0" w:after="0" w:afterAutospacing="0" w:line="264" w:lineRule="auto"/>
              <w:rPr>
                <w:rFonts w:ascii="Arial" w:hAnsi="Arial" w:cs="Arial"/>
                <w:color w:val="000000" w:themeColor="text1"/>
                <w:sz w:val="20"/>
                <w:szCs w:val="20"/>
              </w:rPr>
            </w:pPr>
            <w:r w:rsidRPr="007640FA">
              <w:rPr>
                <w:rFonts w:ascii="Calibri" w:hAnsi="Calibri" w:cs="Calibri"/>
                <w:color w:val="000000" w:themeColor="text1"/>
                <w:kern w:val="24"/>
                <w:sz w:val="20"/>
                <w:szCs w:val="20"/>
              </w:rPr>
              <w:t>94</w:t>
            </w:r>
            <w:r w:rsidR="00386731" w:rsidRPr="007640FA">
              <w:rPr>
                <w:rFonts w:ascii="Calibri" w:hAnsi="Calibri" w:cs="Calibri"/>
                <w:color w:val="000000" w:themeColor="text1"/>
                <w:kern w:val="24"/>
                <w:sz w:val="20"/>
                <w:szCs w:val="20"/>
              </w:rPr>
              <w:t>% (</w:t>
            </w:r>
            <w:r w:rsidRPr="007640FA">
              <w:rPr>
                <w:rFonts w:ascii="Calibri" w:hAnsi="Calibri" w:cs="Calibri"/>
                <w:color w:val="000000" w:themeColor="text1"/>
                <w:kern w:val="24"/>
                <w:sz w:val="20"/>
                <w:szCs w:val="20"/>
              </w:rPr>
              <w:t>84</w:t>
            </w:r>
            <w:r w:rsidR="00386731" w:rsidRPr="007640FA">
              <w:rPr>
                <w:rFonts w:ascii="Calibri" w:hAnsi="Calibri" w:cs="Calibri"/>
                <w:color w:val="000000" w:themeColor="text1"/>
                <w:kern w:val="24"/>
                <w:sz w:val="20"/>
                <w:szCs w:val="20"/>
              </w:rPr>
              <w:t>% - 9</w:t>
            </w:r>
            <w:r w:rsidRPr="007640FA">
              <w:rPr>
                <w:rFonts w:ascii="Calibri" w:hAnsi="Calibri" w:cs="Calibri"/>
                <w:color w:val="000000" w:themeColor="text1"/>
                <w:kern w:val="24"/>
                <w:sz w:val="20"/>
                <w:szCs w:val="20"/>
              </w:rPr>
              <w:t>8</w:t>
            </w:r>
            <w:r w:rsidR="00386731" w:rsidRPr="007640FA">
              <w:rPr>
                <w:rFonts w:ascii="Calibri" w:hAnsi="Calibri" w:cs="Calibri"/>
                <w:color w:val="000000" w:themeColor="text1"/>
                <w:kern w:val="24"/>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lang w:val="es-ES"/>
              </w:rPr>
            </w:pPr>
            <w:r w:rsidRPr="0070078E">
              <w:rPr>
                <w:rFonts w:ascii="Calibri" w:hAnsi="Calibri" w:cs="Calibri"/>
                <w:color w:val="000000" w:themeColor="text1"/>
                <w:kern w:val="24"/>
                <w:sz w:val="18"/>
                <w:szCs w:val="18"/>
                <w:lang w:val="es-ES"/>
              </w:rPr>
              <w:t>Lesotho 2016/17 92%, South Africa 2017 71%, Eswatini 2016/17 87%, Namibia 2017 96%, Zambia 2016 87%, Tanzania 2016/17 94%, Ethiopia 99%, Malawi 2016 91%, Uganda 2016/17 90%, Cameroon 2017 91%, Zimbabwe 2016 87%, Cote d'Ivoire 2017/18 88%, Cameroon 2017 91%.</w:t>
            </w:r>
          </w:p>
        </w:tc>
      </w:tr>
      <w:tr w:rsidR="00386731" w:rsidRPr="00794729" w:rsidTr="00922930">
        <w:tc>
          <w:tcPr>
            <w:tcW w:w="2694" w:type="dxa"/>
          </w:tcPr>
          <w:p w:rsidR="00386731" w:rsidRPr="007640FA" w:rsidRDefault="00386731" w:rsidP="00922930">
            <w:pPr>
              <w:pStyle w:val="NormalWeb"/>
              <w:spacing w:before="0" w:beforeAutospacing="0" w:after="0" w:afterAutospacing="0" w:line="204" w:lineRule="auto"/>
              <w:rPr>
                <w:rFonts w:ascii="Arial" w:hAnsi="Arial" w:cs="Arial"/>
                <w:color w:val="000000" w:themeColor="text1"/>
                <w:sz w:val="20"/>
                <w:szCs w:val="20"/>
              </w:rPr>
            </w:pPr>
            <w:r w:rsidRPr="007640FA">
              <w:rPr>
                <w:rFonts w:ascii="Calibri" w:hAnsi="Calibri" w:cs="Calibri"/>
                <w:color w:val="000000" w:themeColor="text1"/>
                <w:kern w:val="24"/>
                <w:sz w:val="20"/>
                <w:szCs w:val="20"/>
              </w:rPr>
              <w:t>Proportion of all HIV positive people with VL &lt; 1000 copies/mL</w:t>
            </w:r>
          </w:p>
        </w:tc>
        <w:tc>
          <w:tcPr>
            <w:tcW w:w="1701" w:type="dxa"/>
          </w:tcPr>
          <w:p w:rsidR="00386731" w:rsidRPr="007640FA" w:rsidRDefault="00386731" w:rsidP="00922930">
            <w:pPr>
              <w:pStyle w:val="NormalWeb"/>
              <w:spacing w:before="0" w:beforeAutospacing="0" w:after="0" w:afterAutospacing="0" w:line="264" w:lineRule="auto"/>
              <w:rPr>
                <w:rFonts w:ascii="Arial" w:hAnsi="Arial" w:cs="Arial"/>
                <w:color w:val="000000" w:themeColor="text1"/>
                <w:sz w:val="20"/>
                <w:szCs w:val="20"/>
              </w:rPr>
            </w:pPr>
            <w:r w:rsidRPr="007640FA">
              <w:rPr>
                <w:rFonts w:ascii="Calibri" w:hAnsi="Calibri" w:cs="Calibri"/>
                <w:color w:val="000000" w:themeColor="text1"/>
                <w:kern w:val="24"/>
                <w:sz w:val="20"/>
                <w:szCs w:val="20"/>
              </w:rPr>
              <w:t>6</w:t>
            </w:r>
            <w:r w:rsidR="007640FA" w:rsidRPr="007640FA">
              <w:rPr>
                <w:rFonts w:ascii="Calibri" w:hAnsi="Calibri" w:cs="Calibri"/>
                <w:color w:val="000000" w:themeColor="text1"/>
                <w:kern w:val="24"/>
                <w:sz w:val="20"/>
                <w:szCs w:val="20"/>
              </w:rPr>
              <w:t>9</w:t>
            </w:r>
            <w:r w:rsidRPr="007640FA">
              <w:rPr>
                <w:rFonts w:ascii="Calibri" w:hAnsi="Calibri" w:cs="Calibri"/>
                <w:color w:val="000000" w:themeColor="text1"/>
                <w:kern w:val="24"/>
                <w:sz w:val="20"/>
                <w:szCs w:val="20"/>
              </w:rPr>
              <w:t>% (4</w:t>
            </w:r>
            <w:r w:rsidR="007640FA" w:rsidRPr="007640FA">
              <w:rPr>
                <w:rFonts w:ascii="Calibri" w:hAnsi="Calibri" w:cs="Calibri"/>
                <w:color w:val="000000" w:themeColor="text1"/>
                <w:kern w:val="24"/>
                <w:sz w:val="20"/>
                <w:szCs w:val="20"/>
              </w:rPr>
              <w:t>7</w:t>
            </w:r>
            <w:r w:rsidRPr="007640FA">
              <w:rPr>
                <w:rFonts w:ascii="Calibri" w:hAnsi="Calibri" w:cs="Calibri"/>
                <w:color w:val="000000" w:themeColor="text1"/>
                <w:kern w:val="24"/>
                <w:sz w:val="20"/>
                <w:szCs w:val="20"/>
              </w:rPr>
              <w:t xml:space="preserve">% - </w:t>
            </w:r>
            <w:r w:rsidR="007640FA" w:rsidRPr="007640FA">
              <w:rPr>
                <w:rFonts w:ascii="Calibri" w:hAnsi="Calibri" w:cs="Calibri"/>
                <w:color w:val="000000" w:themeColor="text1"/>
                <w:kern w:val="24"/>
                <w:sz w:val="20"/>
                <w:szCs w:val="20"/>
              </w:rPr>
              <w:t>83</w:t>
            </w:r>
            <w:r w:rsidRPr="007640FA">
              <w:rPr>
                <w:rFonts w:ascii="Calibri" w:hAnsi="Calibri" w:cs="Calibri"/>
                <w:color w:val="000000" w:themeColor="text1"/>
                <w:kern w:val="24"/>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lang w:val="es-ES"/>
              </w:rPr>
            </w:pPr>
            <w:r w:rsidRPr="0070078E">
              <w:rPr>
                <w:rFonts w:ascii="Calibri" w:hAnsi="Calibri" w:cs="Calibri"/>
                <w:color w:val="000000" w:themeColor="text1"/>
                <w:kern w:val="24"/>
                <w:sz w:val="18"/>
                <w:szCs w:val="18"/>
                <w:lang w:val="es-ES"/>
              </w:rPr>
              <w:t>Zambia 2016 60%, Malawi 2016 68%, Zimbabwe 2016 60%, eSwatini 2017 73%, Lesotho 2017 68%, Tanzania 2017 52%, Uganda 2017 60%, Namibia 2017 77%, Ethiopia 2018 70%, Cote d'Ivoire 2017/18 40%, Cameroon 2017 47%.</w:t>
            </w:r>
          </w:p>
        </w:tc>
      </w:tr>
      <w:tr w:rsidR="00386731" w:rsidRPr="00523BFE" w:rsidTr="00922930">
        <w:tc>
          <w:tcPr>
            <w:tcW w:w="2694" w:type="dxa"/>
          </w:tcPr>
          <w:p w:rsidR="00386731" w:rsidRPr="009D3756" w:rsidRDefault="00386731" w:rsidP="00922930">
            <w:pPr>
              <w:pStyle w:val="NormalWeb"/>
              <w:spacing w:before="0" w:beforeAutospacing="0" w:after="0" w:afterAutospacing="0" w:line="204" w:lineRule="auto"/>
              <w:rPr>
                <w:rFonts w:ascii="Arial" w:hAnsi="Arial" w:cs="Arial"/>
                <w:color w:val="000000" w:themeColor="text1"/>
                <w:sz w:val="20"/>
                <w:szCs w:val="20"/>
              </w:rPr>
            </w:pPr>
            <w:r w:rsidRPr="009D3756">
              <w:rPr>
                <w:rFonts w:ascii="Calibri" w:hAnsi="Calibri" w:cs="Calibri"/>
                <w:color w:val="000000" w:themeColor="text1"/>
                <w:kern w:val="24"/>
                <w:sz w:val="20"/>
                <w:szCs w:val="20"/>
              </w:rPr>
              <w:t>Proportion of ART experienced people who have started 2</w:t>
            </w:r>
            <w:r w:rsidRPr="009D3756">
              <w:rPr>
                <w:rFonts w:ascii="Calibri" w:hAnsi="Calibri" w:cs="Calibri"/>
                <w:color w:val="000000" w:themeColor="text1"/>
                <w:kern w:val="24"/>
                <w:position w:val="8"/>
                <w:sz w:val="20"/>
                <w:szCs w:val="20"/>
                <w:vertAlign w:val="superscript"/>
              </w:rPr>
              <w:t>nd</w:t>
            </w:r>
            <w:r w:rsidRPr="009D3756">
              <w:rPr>
                <w:rFonts w:ascii="Calibri" w:hAnsi="Calibri" w:cs="Calibri"/>
                <w:color w:val="000000" w:themeColor="text1"/>
                <w:kern w:val="24"/>
                <w:sz w:val="20"/>
                <w:szCs w:val="20"/>
              </w:rPr>
              <w:t>-line ART</w:t>
            </w:r>
          </w:p>
        </w:tc>
        <w:tc>
          <w:tcPr>
            <w:tcW w:w="1701" w:type="dxa"/>
          </w:tcPr>
          <w:p w:rsidR="00386731" w:rsidRPr="009D3756" w:rsidRDefault="009D3756" w:rsidP="00922930">
            <w:pPr>
              <w:pStyle w:val="NormalWeb"/>
              <w:spacing w:before="0" w:beforeAutospacing="0" w:after="0" w:afterAutospacing="0" w:line="264" w:lineRule="auto"/>
              <w:rPr>
                <w:rFonts w:ascii="Arial" w:hAnsi="Arial" w:cs="Arial"/>
                <w:color w:val="000000" w:themeColor="text1"/>
                <w:sz w:val="20"/>
                <w:szCs w:val="20"/>
              </w:rPr>
            </w:pPr>
            <w:r w:rsidRPr="009D3756">
              <w:rPr>
                <w:rFonts w:ascii="Calibri" w:hAnsi="Calibri" w:cs="Calibri"/>
                <w:color w:val="000000" w:themeColor="text1"/>
                <w:kern w:val="24"/>
                <w:sz w:val="20"/>
                <w:szCs w:val="20"/>
              </w:rPr>
              <w:t>10</w:t>
            </w:r>
            <w:r w:rsidR="00386731" w:rsidRPr="009D3756">
              <w:rPr>
                <w:rFonts w:ascii="Calibri" w:hAnsi="Calibri" w:cs="Calibri"/>
                <w:color w:val="000000" w:themeColor="text1"/>
                <w:kern w:val="24"/>
                <w:sz w:val="20"/>
                <w:szCs w:val="20"/>
              </w:rPr>
              <w:t>% (</w:t>
            </w:r>
            <w:r w:rsidRPr="009D3756">
              <w:rPr>
                <w:rFonts w:ascii="Calibri" w:hAnsi="Calibri" w:cs="Calibri"/>
                <w:color w:val="000000" w:themeColor="text1"/>
                <w:kern w:val="24"/>
                <w:sz w:val="20"/>
                <w:szCs w:val="20"/>
              </w:rPr>
              <w:t>2</w:t>
            </w:r>
            <w:r w:rsidR="00386731" w:rsidRPr="009D3756">
              <w:rPr>
                <w:rFonts w:ascii="Calibri" w:hAnsi="Calibri" w:cs="Calibri"/>
                <w:color w:val="000000" w:themeColor="text1"/>
                <w:kern w:val="24"/>
                <w:sz w:val="20"/>
                <w:szCs w:val="20"/>
              </w:rPr>
              <w:t>% - 2</w:t>
            </w:r>
            <w:r w:rsidRPr="009D3756">
              <w:rPr>
                <w:rFonts w:ascii="Calibri" w:hAnsi="Calibri" w:cs="Calibri"/>
                <w:color w:val="000000" w:themeColor="text1"/>
                <w:kern w:val="24"/>
                <w:sz w:val="20"/>
                <w:szCs w:val="20"/>
              </w:rPr>
              <w:t>6</w:t>
            </w:r>
            <w:r w:rsidR="00386731" w:rsidRPr="009D3756">
              <w:rPr>
                <w:rFonts w:ascii="Calibri" w:hAnsi="Calibri" w:cs="Calibri"/>
                <w:color w:val="000000" w:themeColor="text1"/>
                <w:kern w:val="24"/>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rPr>
            </w:pPr>
            <w:r w:rsidRPr="0070078E">
              <w:rPr>
                <w:rFonts w:ascii="Calibri" w:hAnsi="Calibri" w:cs="Calibri"/>
                <w:color w:val="000000" w:themeColor="text1"/>
                <w:kern w:val="24"/>
                <w:sz w:val="18"/>
                <w:szCs w:val="18"/>
              </w:rPr>
              <w:t xml:space="preserve">Malawi ~3%% (Malawi MoH Quarterly Reports)  </w:t>
            </w:r>
          </w:p>
        </w:tc>
      </w:tr>
      <w:tr w:rsidR="00386731" w:rsidRPr="00523BFE" w:rsidTr="00922930">
        <w:tc>
          <w:tcPr>
            <w:tcW w:w="2694" w:type="dxa"/>
          </w:tcPr>
          <w:p w:rsidR="00386731" w:rsidRPr="0042070F" w:rsidRDefault="00386731" w:rsidP="00922930">
            <w:pPr>
              <w:pStyle w:val="NormalWeb"/>
              <w:spacing w:before="0" w:beforeAutospacing="0" w:after="0" w:afterAutospacing="0" w:line="204" w:lineRule="auto"/>
              <w:rPr>
                <w:rFonts w:ascii="Arial" w:hAnsi="Arial" w:cs="Arial"/>
                <w:color w:val="000000" w:themeColor="text1"/>
                <w:sz w:val="20"/>
                <w:szCs w:val="20"/>
              </w:rPr>
            </w:pPr>
            <w:r w:rsidRPr="0042070F">
              <w:rPr>
                <w:rFonts w:ascii="Calibri" w:hAnsi="Calibri" w:cs="Calibri"/>
                <w:color w:val="000000" w:themeColor="text1"/>
                <w:kern w:val="24"/>
                <w:sz w:val="20"/>
                <w:szCs w:val="20"/>
              </w:rPr>
              <w:t>Of people on ART, proportion with VL &lt; 1000</w:t>
            </w:r>
          </w:p>
        </w:tc>
        <w:tc>
          <w:tcPr>
            <w:tcW w:w="1701" w:type="dxa"/>
          </w:tcPr>
          <w:p w:rsidR="00386731" w:rsidRPr="007640FA" w:rsidRDefault="00386731" w:rsidP="00922930">
            <w:pPr>
              <w:pStyle w:val="NormalWeb"/>
              <w:spacing w:before="0" w:beforeAutospacing="0" w:after="0" w:afterAutospacing="0" w:line="264" w:lineRule="auto"/>
              <w:rPr>
                <w:rFonts w:ascii="Arial" w:hAnsi="Arial" w:cs="Arial"/>
                <w:color w:val="000000" w:themeColor="text1"/>
                <w:sz w:val="20"/>
                <w:szCs w:val="20"/>
              </w:rPr>
            </w:pPr>
            <w:r w:rsidRPr="007640FA">
              <w:rPr>
                <w:rFonts w:ascii="Calibri" w:hAnsi="Calibri" w:cs="Calibri"/>
                <w:color w:val="000000" w:themeColor="text1"/>
                <w:kern w:val="24"/>
                <w:sz w:val="20"/>
                <w:szCs w:val="20"/>
              </w:rPr>
              <w:t>8</w:t>
            </w:r>
            <w:r w:rsidR="007640FA" w:rsidRPr="007640FA">
              <w:rPr>
                <w:rFonts w:ascii="Calibri" w:hAnsi="Calibri" w:cs="Calibri"/>
                <w:color w:val="000000" w:themeColor="text1"/>
                <w:kern w:val="24"/>
                <w:sz w:val="20"/>
                <w:szCs w:val="20"/>
              </w:rPr>
              <w:t>6</w:t>
            </w:r>
            <w:r w:rsidRPr="007640FA">
              <w:rPr>
                <w:rFonts w:ascii="Calibri" w:hAnsi="Calibri" w:cs="Calibri"/>
                <w:color w:val="000000" w:themeColor="text1"/>
                <w:kern w:val="24"/>
                <w:sz w:val="20"/>
                <w:szCs w:val="20"/>
              </w:rPr>
              <w:t>% (</w:t>
            </w:r>
            <w:r w:rsidR="007640FA" w:rsidRPr="007640FA">
              <w:rPr>
                <w:rFonts w:ascii="Calibri" w:hAnsi="Calibri" w:cs="Calibri"/>
                <w:color w:val="000000" w:themeColor="text1"/>
                <w:kern w:val="24"/>
                <w:sz w:val="20"/>
                <w:szCs w:val="20"/>
              </w:rPr>
              <w:t>6</w:t>
            </w:r>
            <w:r w:rsidRPr="007640FA">
              <w:rPr>
                <w:rFonts w:ascii="Calibri" w:hAnsi="Calibri" w:cs="Calibri"/>
                <w:color w:val="000000" w:themeColor="text1"/>
                <w:kern w:val="24"/>
                <w:sz w:val="20"/>
                <w:szCs w:val="20"/>
              </w:rPr>
              <w:t>5% - 95%)</w:t>
            </w:r>
          </w:p>
          <w:p w:rsidR="00386731" w:rsidRPr="00386731" w:rsidRDefault="00386731" w:rsidP="00922930">
            <w:pPr>
              <w:pStyle w:val="NormalWeb"/>
              <w:spacing w:before="0" w:beforeAutospacing="0" w:after="0" w:afterAutospacing="0" w:line="264" w:lineRule="auto"/>
              <w:rPr>
                <w:rFonts w:ascii="Arial" w:hAnsi="Arial" w:cs="Arial"/>
                <w:color w:val="4472C4" w:themeColor="accent1"/>
                <w:sz w:val="20"/>
                <w:szCs w:val="20"/>
              </w:rPr>
            </w:pP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rPr>
            </w:pPr>
            <w:r w:rsidRPr="0070078E">
              <w:rPr>
                <w:rFonts w:ascii="Calibri" w:hAnsi="Calibri" w:cs="Calibri"/>
                <w:color w:val="000000" w:themeColor="text1"/>
                <w:kern w:val="24"/>
                <w:sz w:val="18"/>
                <w:szCs w:val="18"/>
              </w:rPr>
              <w:t>Zambia 2016 Men/Women 88%/90%, Malawi 2016 90%/92%, Zimbabwe 2016 84%/88%, Namibia 2017 92%/90%, Tanzania 2017 89%/83%, Ethiopia 2018 95%/87%, Cote d'Ivoire 2017/18 76%, Cameroon 2017 80%.</w:t>
            </w:r>
          </w:p>
        </w:tc>
      </w:tr>
      <w:tr w:rsidR="00386731" w:rsidRPr="00523BFE" w:rsidTr="00922930">
        <w:tc>
          <w:tcPr>
            <w:tcW w:w="2694" w:type="dxa"/>
          </w:tcPr>
          <w:p w:rsidR="00386731" w:rsidRPr="007640FA" w:rsidRDefault="00386731" w:rsidP="00922930">
            <w:pPr>
              <w:pStyle w:val="NormalWeb"/>
              <w:spacing w:before="0" w:beforeAutospacing="0" w:after="0" w:afterAutospacing="0" w:line="204" w:lineRule="auto"/>
              <w:rPr>
                <w:rFonts w:asciiTheme="minorHAnsi" w:hAnsiTheme="minorHAnsi" w:cstheme="minorHAnsi"/>
                <w:color w:val="000000" w:themeColor="text1"/>
                <w:sz w:val="20"/>
                <w:szCs w:val="20"/>
              </w:rPr>
            </w:pPr>
            <w:r w:rsidRPr="007640FA">
              <w:rPr>
                <w:rFonts w:asciiTheme="minorHAnsi" w:hAnsiTheme="minorHAnsi" w:cstheme="minorHAnsi"/>
                <w:color w:val="000000" w:themeColor="text1"/>
                <w:kern w:val="24"/>
                <w:sz w:val="20"/>
                <w:szCs w:val="20"/>
              </w:rPr>
              <w:t>Of people on ART, proportion with CD4 &lt; 500</w:t>
            </w:r>
          </w:p>
        </w:tc>
        <w:tc>
          <w:tcPr>
            <w:tcW w:w="1701" w:type="dxa"/>
          </w:tcPr>
          <w:p w:rsidR="00386731" w:rsidRPr="007640FA" w:rsidRDefault="00386731" w:rsidP="00922930">
            <w:pPr>
              <w:pStyle w:val="NormalWeb"/>
              <w:spacing w:before="0" w:beforeAutospacing="0" w:after="0" w:afterAutospacing="0" w:line="264" w:lineRule="auto"/>
              <w:rPr>
                <w:rFonts w:asciiTheme="minorHAnsi" w:hAnsiTheme="minorHAnsi" w:cstheme="minorHAnsi"/>
                <w:color w:val="000000" w:themeColor="text1"/>
                <w:sz w:val="20"/>
                <w:szCs w:val="20"/>
              </w:rPr>
            </w:pPr>
            <w:r w:rsidRPr="007640FA">
              <w:rPr>
                <w:rFonts w:asciiTheme="minorHAnsi" w:hAnsiTheme="minorHAnsi" w:cstheme="minorHAnsi"/>
                <w:color w:val="000000" w:themeColor="text1"/>
                <w:kern w:val="24"/>
                <w:sz w:val="20"/>
                <w:szCs w:val="20"/>
              </w:rPr>
              <w:t>4</w:t>
            </w:r>
            <w:r w:rsidR="007640FA" w:rsidRPr="007640FA">
              <w:rPr>
                <w:rFonts w:asciiTheme="minorHAnsi" w:hAnsiTheme="minorHAnsi" w:cstheme="minorHAnsi"/>
                <w:color w:val="000000" w:themeColor="text1"/>
                <w:kern w:val="24"/>
                <w:sz w:val="20"/>
                <w:szCs w:val="20"/>
              </w:rPr>
              <w:t>7</w:t>
            </w:r>
            <w:r w:rsidRPr="007640FA">
              <w:rPr>
                <w:rFonts w:asciiTheme="minorHAnsi" w:hAnsiTheme="minorHAnsi" w:cstheme="minorHAnsi"/>
                <w:color w:val="000000" w:themeColor="text1"/>
                <w:kern w:val="24"/>
                <w:sz w:val="20"/>
                <w:szCs w:val="20"/>
              </w:rPr>
              <w:t>% (4</w:t>
            </w:r>
            <w:r w:rsidR="007640FA" w:rsidRPr="007640FA">
              <w:rPr>
                <w:rFonts w:asciiTheme="minorHAnsi" w:hAnsiTheme="minorHAnsi" w:cstheme="minorHAnsi"/>
                <w:color w:val="000000" w:themeColor="text1"/>
                <w:kern w:val="24"/>
                <w:sz w:val="20"/>
                <w:szCs w:val="20"/>
              </w:rPr>
              <w:t>0</w:t>
            </w:r>
            <w:r w:rsidRPr="007640FA">
              <w:rPr>
                <w:rFonts w:asciiTheme="minorHAnsi" w:hAnsiTheme="minorHAnsi" w:cstheme="minorHAnsi"/>
                <w:color w:val="000000" w:themeColor="text1"/>
                <w:kern w:val="24"/>
                <w:sz w:val="20"/>
                <w:szCs w:val="20"/>
              </w:rPr>
              <w:t>% - 5</w:t>
            </w:r>
            <w:r w:rsidR="007640FA" w:rsidRPr="007640FA">
              <w:rPr>
                <w:rFonts w:asciiTheme="minorHAnsi" w:hAnsiTheme="minorHAnsi" w:cstheme="minorHAnsi"/>
                <w:color w:val="000000" w:themeColor="text1"/>
                <w:kern w:val="24"/>
                <w:sz w:val="20"/>
                <w:szCs w:val="20"/>
              </w:rPr>
              <w:t>8</w:t>
            </w:r>
            <w:r w:rsidRPr="007640FA">
              <w:rPr>
                <w:rFonts w:asciiTheme="minorHAnsi" w:hAnsiTheme="minorHAnsi" w:cstheme="minorHAnsi"/>
                <w:color w:val="000000" w:themeColor="text1"/>
                <w:kern w:val="24"/>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Theme="minorHAnsi" w:hAnsiTheme="minorHAnsi" w:cstheme="minorHAnsi"/>
                <w:color w:val="000000" w:themeColor="text1"/>
                <w:sz w:val="18"/>
                <w:szCs w:val="18"/>
              </w:rPr>
            </w:pPr>
            <w:r w:rsidRPr="0070078E">
              <w:rPr>
                <w:rFonts w:ascii="Calibri" w:hAnsi="Calibri" w:cs="Calibri"/>
                <w:color w:val="000000" w:themeColor="text1"/>
                <w:kern w:val="24"/>
                <w:sz w:val="18"/>
                <w:szCs w:val="18"/>
                <w:lang w:val="es-ES"/>
              </w:rPr>
              <w:t xml:space="preserve">eSwatini </w:t>
            </w:r>
            <w:r w:rsidRPr="0070078E">
              <w:rPr>
                <w:rFonts w:asciiTheme="minorHAnsi" w:hAnsiTheme="minorHAnsi" w:cstheme="minorHAnsi"/>
                <w:color w:val="000000" w:themeColor="text1"/>
                <w:kern w:val="24"/>
                <w:sz w:val="18"/>
                <w:szCs w:val="18"/>
              </w:rPr>
              <w:t>40% 2016/17, Malawi 52% 2016, Tanzania 2017/17 55%, Zambia 2016 59%.</w:t>
            </w:r>
          </w:p>
        </w:tc>
      </w:tr>
      <w:tr w:rsidR="00386731" w:rsidRPr="00523BFE" w:rsidTr="00922930">
        <w:tc>
          <w:tcPr>
            <w:tcW w:w="2694" w:type="dxa"/>
          </w:tcPr>
          <w:p w:rsidR="00386731" w:rsidRPr="009B53EB" w:rsidRDefault="00386731" w:rsidP="00922930">
            <w:pPr>
              <w:pStyle w:val="NormalWeb"/>
              <w:spacing w:after="0" w:line="204" w:lineRule="auto"/>
              <w:rPr>
                <w:rFonts w:asciiTheme="minorHAnsi" w:hAnsiTheme="minorHAnsi" w:cstheme="minorHAnsi"/>
                <w:sz w:val="20"/>
                <w:szCs w:val="20"/>
              </w:rPr>
            </w:pPr>
            <w:r w:rsidRPr="009B53EB">
              <w:rPr>
                <w:rFonts w:asciiTheme="minorHAnsi" w:hAnsiTheme="minorHAnsi" w:cstheme="minorHAnsi"/>
                <w:sz w:val="20"/>
                <w:szCs w:val="20"/>
              </w:rPr>
              <w:t>Of ART naïve ART initiators % with NNRTI resistance</w:t>
            </w:r>
          </w:p>
          <w:p w:rsidR="00386731" w:rsidRPr="009B53EB" w:rsidRDefault="00386731" w:rsidP="00922930">
            <w:pPr>
              <w:pStyle w:val="NormalWeb"/>
              <w:spacing w:before="0" w:beforeAutospacing="0" w:after="0" w:afterAutospacing="0" w:line="204" w:lineRule="auto"/>
              <w:rPr>
                <w:rFonts w:asciiTheme="minorHAnsi" w:hAnsiTheme="minorHAnsi" w:cstheme="minorHAnsi"/>
                <w:sz w:val="20"/>
                <w:szCs w:val="20"/>
              </w:rPr>
            </w:pPr>
          </w:p>
        </w:tc>
        <w:tc>
          <w:tcPr>
            <w:tcW w:w="1701" w:type="dxa"/>
          </w:tcPr>
          <w:p w:rsidR="00386731" w:rsidRPr="00894D0E" w:rsidRDefault="00784CA3" w:rsidP="00922930">
            <w:pPr>
              <w:pStyle w:val="NormalWeb"/>
              <w:spacing w:before="0" w:beforeAutospacing="0" w:after="0" w:afterAutospacing="0" w:line="264" w:lineRule="auto"/>
              <w:rPr>
                <w:rFonts w:asciiTheme="minorHAnsi" w:hAnsiTheme="minorHAnsi" w:cstheme="minorHAnsi"/>
                <w:color w:val="000000" w:themeColor="text1"/>
                <w:sz w:val="20"/>
                <w:szCs w:val="20"/>
              </w:rPr>
            </w:pPr>
            <w:r w:rsidRPr="00894D0E">
              <w:rPr>
                <w:rFonts w:asciiTheme="minorHAnsi" w:hAnsiTheme="minorHAnsi" w:cstheme="minorHAnsi"/>
                <w:color w:val="000000" w:themeColor="text1"/>
                <w:sz w:val="20"/>
                <w:szCs w:val="20"/>
              </w:rPr>
              <w:t>30</w:t>
            </w:r>
            <w:r w:rsidR="00386731" w:rsidRPr="00894D0E">
              <w:rPr>
                <w:rFonts w:asciiTheme="minorHAnsi" w:hAnsiTheme="minorHAnsi" w:cstheme="minorHAnsi"/>
                <w:color w:val="000000" w:themeColor="text1"/>
                <w:sz w:val="20"/>
                <w:szCs w:val="20"/>
              </w:rPr>
              <w:t>% (</w:t>
            </w:r>
            <w:r w:rsidRPr="00894D0E">
              <w:rPr>
                <w:rFonts w:asciiTheme="minorHAnsi" w:hAnsiTheme="minorHAnsi" w:cstheme="minorHAnsi"/>
                <w:color w:val="000000" w:themeColor="text1"/>
                <w:sz w:val="20"/>
                <w:szCs w:val="20"/>
              </w:rPr>
              <w:t>8</w:t>
            </w:r>
            <w:r w:rsidR="00386731" w:rsidRPr="00894D0E">
              <w:rPr>
                <w:rFonts w:asciiTheme="minorHAnsi" w:hAnsiTheme="minorHAnsi" w:cstheme="minorHAnsi"/>
                <w:color w:val="000000" w:themeColor="text1"/>
                <w:sz w:val="20"/>
                <w:szCs w:val="20"/>
              </w:rPr>
              <w:t xml:space="preserve">% - </w:t>
            </w:r>
            <w:r w:rsidRPr="00894D0E">
              <w:rPr>
                <w:rFonts w:asciiTheme="minorHAnsi" w:hAnsiTheme="minorHAnsi" w:cstheme="minorHAnsi"/>
                <w:color w:val="000000" w:themeColor="text1"/>
                <w:sz w:val="20"/>
                <w:szCs w:val="20"/>
              </w:rPr>
              <w:t>58</w:t>
            </w:r>
            <w:r w:rsidR="00386731" w:rsidRPr="00894D0E">
              <w:rPr>
                <w:rFonts w:asciiTheme="minorHAnsi" w:hAnsiTheme="minorHAnsi" w:cstheme="minorHAnsi"/>
                <w:color w:val="000000" w:themeColor="text1"/>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Theme="minorHAnsi" w:hAnsiTheme="minorHAnsi" w:cstheme="minorHAnsi"/>
                <w:color w:val="000000" w:themeColor="text1"/>
                <w:sz w:val="18"/>
                <w:szCs w:val="18"/>
              </w:rPr>
            </w:pPr>
            <w:r w:rsidRPr="0070078E">
              <w:rPr>
                <w:rFonts w:asciiTheme="minorHAnsi" w:hAnsiTheme="minorHAnsi" w:cstheme="minorHAnsi"/>
                <w:color w:val="000000" w:themeColor="text1"/>
                <w:sz w:val="18"/>
                <w:szCs w:val="18"/>
              </w:rPr>
              <w:t>Angola 2012 14%, Botswana 2016 8%, South Africa 2017 14%, Zimbabwe 2015 10%, Namibia 9%, Uganda 2016 16%, Cameroon 8%.  (HIV drug resistance report 2017)</w:t>
            </w:r>
          </w:p>
        </w:tc>
      </w:tr>
      <w:tr w:rsidR="00386731" w:rsidRPr="00523BFE" w:rsidTr="00922930">
        <w:tc>
          <w:tcPr>
            <w:tcW w:w="2694" w:type="dxa"/>
          </w:tcPr>
          <w:p w:rsidR="00386731" w:rsidRPr="009B53EB" w:rsidRDefault="00386731" w:rsidP="00922930">
            <w:pPr>
              <w:pStyle w:val="NormalWeb"/>
              <w:spacing w:before="0" w:beforeAutospacing="0" w:after="0" w:afterAutospacing="0" w:line="204" w:lineRule="auto"/>
              <w:rPr>
                <w:rFonts w:asciiTheme="minorHAnsi" w:hAnsiTheme="minorHAnsi" w:cstheme="minorHAnsi"/>
                <w:color w:val="000000" w:themeColor="text1"/>
                <w:sz w:val="20"/>
                <w:szCs w:val="20"/>
              </w:rPr>
            </w:pPr>
            <w:r w:rsidRPr="009B53EB">
              <w:rPr>
                <w:rFonts w:asciiTheme="minorHAnsi" w:hAnsiTheme="minorHAnsi" w:cstheme="minorHAnsi"/>
                <w:color w:val="000000" w:themeColor="text1"/>
                <w:kern w:val="24"/>
                <w:sz w:val="20"/>
                <w:szCs w:val="20"/>
              </w:rPr>
              <w:t>Mother to child transmission rate</w:t>
            </w:r>
          </w:p>
        </w:tc>
        <w:tc>
          <w:tcPr>
            <w:tcW w:w="1701" w:type="dxa"/>
          </w:tcPr>
          <w:p w:rsidR="00386731" w:rsidRPr="00894D0E" w:rsidRDefault="00386731" w:rsidP="00922930">
            <w:pPr>
              <w:pStyle w:val="NormalWeb"/>
              <w:spacing w:before="0" w:beforeAutospacing="0" w:after="0" w:afterAutospacing="0" w:line="264" w:lineRule="auto"/>
              <w:rPr>
                <w:rFonts w:ascii="Arial" w:hAnsi="Arial" w:cs="Arial"/>
                <w:color w:val="000000" w:themeColor="text1"/>
                <w:sz w:val="20"/>
                <w:szCs w:val="20"/>
              </w:rPr>
            </w:pPr>
            <w:r w:rsidRPr="00894D0E">
              <w:rPr>
                <w:rFonts w:ascii="Calibri" w:hAnsi="Calibri" w:cs="Calibri"/>
                <w:color w:val="000000" w:themeColor="text1"/>
                <w:kern w:val="24"/>
                <w:sz w:val="20"/>
                <w:szCs w:val="20"/>
              </w:rPr>
              <w:t>9% (</w:t>
            </w:r>
            <w:r w:rsidR="00784CA3" w:rsidRPr="00894D0E">
              <w:rPr>
                <w:rFonts w:ascii="Calibri" w:hAnsi="Calibri" w:cs="Calibri"/>
                <w:color w:val="000000" w:themeColor="text1"/>
                <w:kern w:val="24"/>
                <w:sz w:val="20"/>
                <w:szCs w:val="20"/>
              </w:rPr>
              <w:t>0</w:t>
            </w:r>
            <w:r w:rsidRPr="00894D0E">
              <w:rPr>
                <w:rFonts w:ascii="Calibri" w:hAnsi="Calibri" w:cs="Calibri"/>
                <w:color w:val="000000" w:themeColor="text1"/>
                <w:kern w:val="24"/>
                <w:sz w:val="20"/>
                <w:szCs w:val="20"/>
              </w:rPr>
              <w:t xml:space="preserve">% - </w:t>
            </w:r>
            <w:r w:rsidR="00784CA3" w:rsidRPr="00894D0E">
              <w:rPr>
                <w:rFonts w:ascii="Calibri" w:hAnsi="Calibri" w:cs="Calibri"/>
                <w:color w:val="000000" w:themeColor="text1"/>
                <w:kern w:val="24"/>
                <w:sz w:val="20"/>
                <w:szCs w:val="20"/>
              </w:rPr>
              <w:t>28</w:t>
            </w:r>
            <w:r w:rsidRPr="00894D0E">
              <w:rPr>
                <w:rFonts w:ascii="Calibri" w:hAnsi="Calibri" w:cs="Calibri"/>
                <w:color w:val="000000" w:themeColor="text1"/>
                <w:kern w:val="24"/>
                <w:sz w:val="20"/>
                <w:szCs w:val="20"/>
              </w:rPr>
              <w:t>%)</w:t>
            </w:r>
          </w:p>
        </w:tc>
        <w:tc>
          <w:tcPr>
            <w:tcW w:w="5103" w:type="dxa"/>
          </w:tcPr>
          <w:p w:rsidR="00386731" w:rsidRPr="0070078E" w:rsidRDefault="00386731" w:rsidP="00922930">
            <w:pPr>
              <w:pStyle w:val="NormalWeb"/>
              <w:spacing w:before="0" w:beforeAutospacing="0" w:after="0" w:afterAutospacing="0" w:line="264" w:lineRule="auto"/>
              <w:rPr>
                <w:rFonts w:ascii="Arial" w:hAnsi="Arial" w:cs="Arial"/>
                <w:color w:val="000000" w:themeColor="text1"/>
                <w:sz w:val="18"/>
                <w:szCs w:val="18"/>
              </w:rPr>
            </w:pPr>
            <w:r w:rsidRPr="0070078E">
              <w:rPr>
                <w:rFonts w:ascii="Calibri" w:hAnsi="Calibri" w:cs="Calibri"/>
                <w:color w:val="000000" w:themeColor="text1"/>
                <w:kern w:val="24"/>
                <w:sz w:val="18"/>
                <w:szCs w:val="18"/>
              </w:rPr>
              <w:t xml:space="preserve">(including breastfeeding period) Botswana 5%, South Africa 5%, Namibia 6%, Uganda 8%, Zimbabwe 7%, Malawi 9%, Tanzania 12%, Ethiopia 21%, Cote d'Ivoire 16%, Cameroon 15% (UNAIDS 2019)  </w:t>
            </w:r>
          </w:p>
        </w:tc>
      </w:tr>
      <w:tr w:rsidR="00784CA3" w:rsidRPr="00523BFE" w:rsidTr="00922930">
        <w:tc>
          <w:tcPr>
            <w:tcW w:w="2694" w:type="dxa"/>
          </w:tcPr>
          <w:p w:rsidR="00784CA3" w:rsidRPr="009B53EB" w:rsidRDefault="00784CA3" w:rsidP="00922930">
            <w:pPr>
              <w:pStyle w:val="NormalWeb"/>
              <w:spacing w:before="0" w:beforeAutospacing="0" w:after="0" w:afterAutospacing="0" w:line="204" w:lineRule="auto"/>
              <w:rPr>
                <w:rFonts w:asciiTheme="minorHAnsi" w:hAnsiTheme="minorHAnsi" w:cstheme="minorHAnsi"/>
                <w:color w:val="000000" w:themeColor="text1"/>
                <w:kern w:val="24"/>
                <w:sz w:val="20"/>
                <w:szCs w:val="20"/>
              </w:rPr>
            </w:pPr>
            <w:r>
              <w:rPr>
                <w:rFonts w:asciiTheme="minorHAnsi" w:hAnsiTheme="minorHAnsi" w:cstheme="minorHAnsi"/>
                <w:color w:val="000000" w:themeColor="text1"/>
                <w:kern w:val="24"/>
                <w:sz w:val="20"/>
                <w:szCs w:val="20"/>
              </w:rPr>
              <w:t>Proportion of women age 15-49 who are sex workers</w:t>
            </w:r>
          </w:p>
        </w:tc>
        <w:tc>
          <w:tcPr>
            <w:tcW w:w="1701" w:type="dxa"/>
          </w:tcPr>
          <w:p w:rsidR="00784CA3" w:rsidRPr="00386731" w:rsidRDefault="00784CA3" w:rsidP="00922930">
            <w:pPr>
              <w:pStyle w:val="NormalWeb"/>
              <w:spacing w:before="0" w:beforeAutospacing="0" w:after="0" w:afterAutospacing="0" w:line="264" w:lineRule="auto"/>
              <w:rPr>
                <w:rFonts w:ascii="Calibri" w:hAnsi="Calibri" w:cs="Calibri"/>
                <w:color w:val="4472C4" w:themeColor="accent1"/>
                <w:kern w:val="24"/>
                <w:sz w:val="20"/>
                <w:szCs w:val="20"/>
              </w:rPr>
            </w:pPr>
            <w:r w:rsidRPr="00784CA3">
              <w:rPr>
                <w:rFonts w:ascii="Calibri" w:hAnsi="Calibri" w:cs="Calibri"/>
                <w:color w:val="000000" w:themeColor="text1"/>
                <w:kern w:val="24"/>
                <w:sz w:val="20"/>
                <w:szCs w:val="20"/>
              </w:rPr>
              <w:t>2.2% (0.8% - 5.2%)</w:t>
            </w:r>
          </w:p>
        </w:tc>
        <w:tc>
          <w:tcPr>
            <w:tcW w:w="5103" w:type="dxa"/>
          </w:tcPr>
          <w:p w:rsidR="00784CA3" w:rsidRPr="0070078E" w:rsidRDefault="00784CA3" w:rsidP="00922930">
            <w:pPr>
              <w:pStyle w:val="NormalWeb"/>
              <w:spacing w:before="0" w:beforeAutospacing="0" w:after="0" w:afterAutospacing="0" w:line="264" w:lineRule="auto"/>
              <w:rPr>
                <w:rFonts w:ascii="Calibri" w:hAnsi="Calibri" w:cs="Calibri"/>
                <w:color w:val="000000" w:themeColor="text1"/>
                <w:kern w:val="24"/>
                <w:sz w:val="20"/>
                <w:szCs w:val="20"/>
              </w:rPr>
            </w:pPr>
          </w:p>
        </w:tc>
      </w:tr>
      <w:tr w:rsidR="00784CA3" w:rsidRPr="00523BFE" w:rsidTr="00922930">
        <w:tc>
          <w:tcPr>
            <w:tcW w:w="2694" w:type="dxa"/>
          </w:tcPr>
          <w:p w:rsidR="00784CA3" w:rsidRDefault="00784CA3" w:rsidP="00922930">
            <w:pPr>
              <w:pStyle w:val="NormalWeb"/>
              <w:spacing w:before="0" w:beforeAutospacing="0" w:after="0" w:afterAutospacing="0" w:line="204" w:lineRule="auto"/>
              <w:rPr>
                <w:rFonts w:asciiTheme="minorHAnsi" w:hAnsiTheme="minorHAnsi" w:cstheme="minorHAnsi"/>
                <w:color w:val="000000" w:themeColor="text1"/>
                <w:kern w:val="24"/>
                <w:sz w:val="20"/>
                <w:szCs w:val="20"/>
              </w:rPr>
            </w:pPr>
            <w:r>
              <w:rPr>
                <w:rFonts w:asciiTheme="minorHAnsi" w:hAnsiTheme="minorHAnsi" w:cstheme="minorHAnsi"/>
                <w:color w:val="000000" w:themeColor="text1"/>
                <w:kern w:val="24"/>
                <w:sz w:val="20"/>
                <w:szCs w:val="20"/>
              </w:rPr>
              <w:t>Proportion of people on PrEP</w:t>
            </w:r>
          </w:p>
        </w:tc>
        <w:tc>
          <w:tcPr>
            <w:tcW w:w="1701" w:type="dxa"/>
          </w:tcPr>
          <w:p w:rsidR="00784CA3" w:rsidRPr="00784CA3" w:rsidRDefault="00784CA3" w:rsidP="00922930">
            <w:pPr>
              <w:pStyle w:val="NormalWeb"/>
              <w:spacing w:before="0" w:beforeAutospacing="0" w:after="0" w:afterAutospacing="0" w:line="264" w:lineRule="auto"/>
              <w:rPr>
                <w:rFonts w:ascii="Calibri" w:hAnsi="Calibri" w:cs="Calibri"/>
                <w:color w:val="000000" w:themeColor="text1"/>
                <w:kern w:val="24"/>
                <w:sz w:val="20"/>
                <w:szCs w:val="20"/>
              </w:rPr>
            </w:pPr>
            <w:r>
              <w:rPr>
                <w:rFonts w:ascii="Calibri" w:hAnsi="Calibri" w:cs="Calibri"/>
                <w:color w:val="000000" w:themeColor="text1"/>
                <w:kern w:val="24"/>
                <w:sz w:val="20"/>
                <w:szCs w:val="20"/>
              </w:rPr>
              <w:t>0.06% (</w:t>
            </w:r>
            <w:r w:rsidR="007640FA">
              <w:rPr>
                <w:rFonts w:ascii="Calibri" w:hAnsi="Calibri" w:cs="Calibri"/>
                <w:color w:val="000000" w:themeColor="text1"/>
                <w:kern w:val="24"/>
                <w:sz w:val="20"/>
                <w:szCs w:val="20"/>
              </w:rPr>
              <w:t>0% - 0.27%)</w:t>
            </w:r>
          </w:p>
        </w:tc>
        <w:tc>
          <w:tcPr>
            <w:tcW w:w="5103" w:type="dxa"/>
          </w:tcPr>
          <w:p w:rsidR="00784CA3" w:rsidRPr="00386731" w:rsidRDefault="00784CA3" w:rsidP="00922930">
            <w:pPr>
              <w:pStyle w:val="NormalWeb"/>
              <w:spacing w:before="0" w:beforeAutospacing="0" w:after="0" w:afterAutospacing="0" w:line="264" w:lineRule="auto"/>
              <w:rPr>
                <w:rFonts w:ascii="Calibri" w:hAnsi="Calibri" w:cs="Calibri"/>
                <w:color w:val="4472C4" w:themeColor="accent1"/>
                <w:kern w:val="24"/>
                <w:sz w:val="20"/>
                <w:szCs w:val="20"/>
              </w:rPr>
            </w:pPr>
          </w:p>
        </w:tc>
      </w:tr>
      <w:tr w:rsidR="00784CA3" w:rsidRPr="00523BFE" w:rsidTr="00922930">
        <w:tc>
          <w:tcPr>
            <w:tcW w:w="2694" w:type="dxa"/>
          </w:tcPr>
          <w:p w:rsidR="00784CA3" w:rsidRPr="009B53EB" w:rsidRDefault="00784CA3" w:rsidP="00922930">
            <w:pPr>
              <w:pStyle w:val="NormalWeb"/>
              <w:spacing w:before="0" w:beforeAutospacing="0" w:after="0" w:afterAutospacing="0" w:line="204" w:lineRule="auto"/>
              <w:rPr>
                <w:rFonts w:asciiTheme="minorHAnsi" w:hAnsiTheme="minorHAnsi" w:cstheme="minorHAnsi"/>
                <w:color w:val="000000" w:themeColor="text1"/>
                <w:kern w:val="24"/>
                <w:sz w:val="20"/>
                <w:szCs w:val="20"/>
              </w:rPr>
            </w:pPr>
            <w:r>
              <w:rPr>
                <w:rFonts w:asciiTheme="minorHAnsi" w:hAnsiTheme="minorHAnsi" w:cstheme="minorHAnsi"/>
                <w:color w:val="000000" w:themeColor="text1"/>
                <w:kern w:val="24"/>
                <w:sz w:val="20"/>
                <w:szCs w:val="20"/>
              </w:rPr>
              <w:t>Proportion of men circumcised</w:t>
            </w:r>
          </w:p>
        </w:tc>
        <w:tc>
          <w:tcPr>
            <w:tcW w:w="1701" w:type="dxa"/>
          </w:tcPr>
          <w:p w:rsidR="00784CA3" w:rsidRPr="00386731" w:rsidRDefault="00784CA3" w:rsidP="00922930">
            <w:pPr>
              <w:pStyle w:val="NormalWeb"/>
              <w:spacing w:before="0" w:beforeAutospacing="0" w:after="0" w:afterAutospacing="0" w:line="264" w:lineRule="auto"/>
              <w:rPr>
                <w:rFonts w:ascii="Calibri" w:hAnsi="Calibri" w:cs="Calibri"/>
                <w:color w:val="4472C4" w:themeColor="accent1"/>
                <w:kern w:val="24"/>
                <w:sz w:val="20"/>
                <w:szCs w:val="20"/>
              </w:rPr>
            </w:pPr>
            <w:r w:rsidRPr="00784CA3">
              <w:rPr>
                <w:rFonts w:ascii="Calibri" w:hAnsi="Calibri" w:cs="Calibri"/>
                <w:color w:val="000000" w:themeColor="text1"/>
                <w:kern w:val="24"/>
                <w:sz w:val="20"/>
                <w:szCs w:val="20"/>
              </w:rPr>
              <w:t>32% (12% - 54%)</w:t>
            </w:r>
          </w:p>
        </w:tc>
        <w:tc>
          <w:tcPr>
            <w:tcW w:w="5103" w:type="dxa"/>
          </w:tcPr>
          <w:p w:rsidR="00784CA3" w:rsidRPr="00386731" w:rsidRDefault="00784CA3" w:rsidP="00922930">
            <w:pPr>
              <w:pStyle w:val="NormalWeb"/>
              <w:spacing w:before="0" w:beforeAutospacing="0" w:after="0" w:afterAutospacing="0" w:line="264" w:lineRule="auto"/>
              <w:rPr>
                <w:rFonts w:ascii="Calibri" w:hAnsi="Calibri" w:cs="Calibri"/>
                <w:color w:val="4472C4" w:themeColor="accent1"/>
                <w:kern w:val="24"/>
                <w:sz w:val="20"/>
                <w:szCs w:val="20"/>
              </w:rPr>
            </w:pPr>
          </w:p>
        </w:tc>
      </w:tr>
    </w:tbl>
    <w:p w:rsidR="00386731" w:rsidRDefault="00386731" w:rsidP="00386731">
      <w:pPr>
        <w:spacing w:line="276" w:lineRule="auto"/>
        <w:rPr>
          <w:rFonts w:cstheme="minorHAnsi"/>
          <w:color w:val="000000" w:themeColor="text1"/>
          <w:sz w:val="20"/>
          <w:szCs w:val="20"/>
        </w:rPr>
      </w:pPr>
    </w:p>
    <w:p w:rsidR="00386731" w:rsidRDefault="00386731" w:rsidP="00386731">
      <w:pPr>
        <w:spacing w:line="276" w:lineRule="auto"/>
        <w:rPr>
          <w:rFonts w:cstheme="minorHAnsi"/>
          <w:color w:val="000000" w:themeColor="text1"/>
          <w:sz w:val="20"/>
          <w:szCs w:val="20"/>
        </w:rPr>
      </w:pPr>
      <w:r w:rsidRPr="00523BFE">
        <w:rPr>
          <w:rFonts w:cstheme="minorHAnsi"/>
          <w:color w:val="000000" w:themeColor="text1"/>
          <w:sz w:val="20"/>
          <w:szCs w:val="20"/>
        </w:rPr>
        <w:t xml:space="preserve">* all data from PHIA surveys (Population Health Impact Surveys.  </w:t>
      </w:r>
      <w:hyperlink r:id="rId7" w:history="1">
        <w:r w:rsidRPr="00523BFE">
          <w:rPr>
            <w:rStyle w:val="Hyperlink"/>
            <w:rFonts w:cstheme="minorHAnsi"/>
            <w:sz w:val="20"/>
            <w:szCs w:val="20"/>
          </w:rPr>
          <w:t>https://phia.icap.columbia.edu/</w:t>
        </w:r>
      </w:hyperlink>
      <w:r w:rsidRPr="00523BFE">
        <w:rPr>
          <w:rFonts w:cstheme="minorHAnsi"/>
          <w:color w:val="000000" w:themeColor="text1"/>
          <w:sz w:val="20"/>
          <w:szCs w:val="20"/>
        </w:rPr>
        <w:t xml:space="preserve">), </w:t>
      </w:r>
      <w:r w:rsidRPr="00523BFE">
        <w:rPr>
          <w:sz w:val="20"/>
          <w:szCs w:val="20"/>
        </w:rPr>
        <w:t xml:space="preserve">South Africa (HSRC survey), Botswana (BCPP  2013-15) </w:t>
      </w:r>
      <w:r w:rsidRPr="00523BFE">
        <w:rPr>
          <w:rFonts w:cstheme="minorHAnsi"/>
          <w:color w:val="000000" w:themeColor="text1"/>
          <w:sz w:val="20"/>
          <w:szCs w:val="20"/>
        </w:rPr>
        <w:t xml:space="preserve">unless stated </w:t>
      </w:r>
    </w:p>
    <w:p w:rsidR="00271E07" w:rsidRPr="001C0989" w:rsidRDefault="00271E07" w:rsidP="00386731">
      <w:pPr>
        <w:spacing w:line="276" w:lineRule="auto"/>
        <w:rPr>
          <w:b/>
          <w:color w:val="C00000"/>
          <w:sz w:val="20"/>
          <w:szCs w:val="20"/>
        </w:rPr>
      </w:pPr>
      <w:r w:rsidRPr="001C0989">
        <w:rPr>
          <w:b/>
          <w:color w:val="C00000"/>
          <w:sz w:val="20"/>
          <w:szCs w:val="20"/>
        </w:rPr>
        <w:lastRenderedPageBreak/>
        <w:t>Table 2 a</w:t>
      </w:r>
    </w:p>
    <w:tbl>
      <w:tblPr>
        <w:tblStyle w:val="TableGrid"/>
        <w:tblW w:w="0" w:type="auto"/>
        <w:tblCellMar>
          <w:top w:w="113" w:type="dxa"/>
          <w:bottom w:w="113" w:type="dxa"/>
        </w:tblCellMar>
        <w:tblLook w:val="04A0" w:firstRow="1" w:lastRow="0" w:firstColumn="1" w:lastColumn="0" w:noHBand="0" w:noVBand="1"/>
      </w:tblPr>
      <w:tblGrid>
        <w:gridCol w:w="3005"/>
        <w:gridCol w:w="3005"/>
        <w:gridCol w:w="3006"/>
      </w:tblGrid>
      <w:tr w:rsidR="00371A27" w:rsidTr="00371A27">
        <w:tc>
          <w:tcPr>
            <w:tcW w:w="9016" w:type="dxa"/>
            <w:gridSpan w:val="3"/>
          </w:tcPr>
          <w:p w:rsidR="00371A27" w:rsidRPr="00371A27" w:rsidRDefault="00371A27">
            <w:pPr>
              <w:rPr>
                <w:b/>
              </w:rPr>
            </w:pPr>
            <w:r w:rsidRPr="00371A27">
              <w:rPr>
                <w:b/>
              </w:rPr>
              <w:t>Timing of</w:t>
            </w:r>
            <w:r>
              <w:rPr>
                <w:b/>
              </w:rPr>
              <w:t xml:space="preserve"> repeat</w:t>
            </w:r>
            <w:r w:rsidRPr="00371A27">
              <w:rPr>
                <w:b/>
              </w:rPr>
              <w:t xml:space="preserve"> viral load, in context of TLE 1</w:t>
            </w:r>
            <w:r w:rsidRPr="00371A27">
              <w:rPr>
                <w:b/>
                <w:vertAlign w:val="superscript"/>
              </w:rPr>
              <w:t>st</w:t>
            </w:r>
            <w:r w:rsidRPr="00371A27">
              <w:rPr>
                <w:b/>
              </w:rPr>
              <w:t xml:space="preserve"> line regimen</w:t>
            </w:r>
            <w:r w:rsidR="009E7839">
              <w:rPr>
                <w:b/>
              </w:rPr>
              <w:t xml:space="preserve"> (</w:t>
            </w:r>
            <w:bookmarkStart w:id="0" w:name="_Hlk46940491"/>
            <w:r w:rsidR="00963D28">
              <w:rPr>
                <w:b/>
              </w:rPr>
              <w:t>no transition to dolutegravir is made before or during follow up</w:t>
            </w:r>
            <w:bookmarkEnd w:id="0"/>
            <w:r w:rsidR="00963D28">
              <w:rPr>
                <w:b/>
              </w:rPr>
              <w:t>)</w:t>
            </w:r>
            <w:r w:rsidR="0070078E">
              <w:rPr>
                <w:b/>
              </w:rPr>
              <w:t xml:space="preserve"> (n=50 setting scenarios)</w:t>
            </w:r>
          </w:p>
          <w:p w:rsidR="00371A27" w:rsidRPr="00371A27" w:rsidRDefault="00371A27">
            <w:pPr>
              <w:rPr>
                <w:b/>
              </w:rPr>
            </w:pPr>
          </w:p>
        </w:tc>
      </w:tr>
      <w:tr w:rsidR="00E85FB4" w:rsidTr="00371A27">
        <w:tc>
          <w:tcPr>
            <w:tcW w:w="3005" w:type="dxa"/>
          </w:tcPr>
          <w:p w:rsidR="00E85FB4" w:rsidRPr="00371A27" w:rsidRDefault="00371A27">
            <w:pPr>
              <w:rPr>
                <w:b/>
              </w:rPr>
            </w:pPr>
            <w:r w:rsidRPr="00371A27">
              <w:rPr>
                <w:b/>
              </w:rPr>
              <w:t>Outcomes (mean over 3 month periods) over 20 years</w:t>
            </w:r>
          </w:p>
        </w:tc>
        <w:tc>
          <w:tcPr>
            <w:tcW w:w="3005" w:type="dxa"/>
          </w:tcPr>
          <w:p w:rsidR="00E85FB4" w:rsidRPr="00371A27" w:rsidRDefault="00004831">
            <w:pPr>
              <w:rPr>
                <w:b/>
              </w:rPr>
            </w:pPr>
            <w:r>
              <w:rPr>
                <w:b/>
              </w:rPr>
              <w:t xml:space="preserve">Repeat VL after </w:t>
            </w:r>
            <w:r w:rsidR="000569AC">
              <w:rPr>
                <w:b/>
              </w:rPr>
              <w:t>3</w:t>
            </w:r>
            <w:r w:rsidR="00371A27" w:rsidRPr="00371A27">
              <w:rPr>
                <w:b/>
              </w:rPr>
              <w:t xml:space="preserve"> months</w:t>
            </w:r>
          </w:p>
        </w:tc>
        <w:tc>
          <w:tcPr>
            <w:tcW w:w="3006" w:type="dxa"/>
          </w:tcPr>
          <w:p w:rsidR="00E85FB4" w:rsidRPr="00371A27" w:rsidRDefault="00004831">
            <w:pPr>
              <w:rPr>
                <w:b/>
              </w:rPr>
            </w:pPr>
            <w:r>
              <w:rPr>
                <w:b/>
              </w:rPr>
              <w:t xml:space="preserve">Repeat VL after </w:t>
            </w:r>
            <w:r w:rsidR="000569AC">
              <w:rPr>
                <w:b/>
              </w:rPr>
              <w:t>6</w:t>
            </w:r>
            <w:r w:rsidR="00371A27" w:rsidRPr="00371A27">
              <w:rPr>
                <w:b/>
              </w:rPr>
              <w:t xml:space="preserve"> months</w:t>
            </w:r>
          </w:p>
        </w:tc>
      </w:tr>
      <w:tr w:rsidR="006D037A" w:rsidTr="00371A27">
        <w:tc>
          <w:tcPr>
            <w:tcW w:w="3005" w:type="dxa"/>
          </w:tcPr>
          <w:p w:rsidR="006D037A" w:rsidRPr="000569AC" w:rsidRDefault="006D037A">
            <w:pPr>
              <w:rPr>
                <w:color w:val="000000" w:themeColor="text1"/>
              </w:rPr>
            </w:pPr>
            <w:r w:rsidRPr="000569AC">
              <w:rPr>
                <w:color w:val="000000" w:themeColor="text1"/>
              </w:rPr>
              <w:t>Of people on ART, p</w:t>
            </w:r>
            <w:r w:rsidR="0060208D" w:rsidRPr="000569AC">
              <w:rPr>
                <w:color w:val="000000" w:themeColor="text1"/>
              </w:rPr>
              <w:t>ercent</w:t>
            </w:r>
            <w:r w:rsidRPr="000569AC">
              <w:rPr>
                <w:color w:val="000000" w:themeColor="text1"/>
              </w:rPr>
              <w:t xml:space="preserve"> </w:t>
            </w:r>
            <w:r w:rsidR="00004831" w:rsidRPr="000569AC">
              <w:rPr>
                <w:color w:val="000000" w:themeColor="text1"/>
              </w:rPr>
              <w:t xml:space="preserve">on efavirenz </w:t>
            </w:r>
          </w:p>
        </w:tc>
        <w:tc>
          <w:tcPr>
            <w:tcW w:w="3005" w:type="dxa"/>
          </w:tcPr>
          <w:p w:rsidR="006D037A" w:rsidRPr="000569AC" w:rsidRDefault="000569AC">
            <w:pPr>
              <w:rPr>
                <w:color w:val="000000" w:themeColor="text1"/>
              </w:rPr>
            </w:pPr>
            <w:r w:rsidRPr="000569AC">
              <w:rPr>
                <w:color w:val="000000" w:themeColor="text1"/>
              </w:rPr>
              <w:t>82</w:t>
            </w:r>
            <w:r w:rsidR="00004831" w:rsidRPr="000569AC">
              <w:rPr>
                <w:color w:val="000000" w:themeColor="text1"/>
              </w:rPr>
              <w:t>.</w:t>
            </w:r>
            <w:r w:rsidRPr="000569AC">
              <w:rPr>
                <w:color w:val="000000" w:themeColor="text1"/>
              </w:rPr>
              <w:t>0</w:t>
            </w:r>
            <w:r w:rsidR="00004831" w:rsidRPr="000569AC">
              <w:rPr>
                <w:color w:val="000000" w:themeColor="text1"/>
              </w:rPr>
              <w:t>%</w:t>
            </w:r>
          </w:p>
        </w:tc>
        <w:tc>
          <w:tcPr>
            <w:tcW w:w="3006" w:type="dxa"/>
          </w:tcPr>
          <w:p w:rsidR="006D037A" w:rsidRPr="000569AC" w:rsidRDefault="000569AC">
            <w:pPr>
              <w:rPr>
                <w:b/>
                <w:color w:val="000000" w:themeColor="text1"/>
              </w:rPr>
            </w:pPr>
            <w:r w:rsidRPr="000569AC">
              <w:rPr>
                <w:color w:val="000000" w:themeColor="text1"/>
              </w:rPr>
              <w:t>82</w:t>
            </w:r>
            <w:r w:rsidR="00004831" w:rsidRPr="000569AC">
              <w:rPr>
                <w:color w:val="000000" w:themeColor="text1"/>
              </w:rPr>
              <w:t>.5%</w:t>
            </w:r>
          </w:p>
        </w:tc>
      </w:tr>
      <w:tr w:rsidR="00E85FB4" w:rsidTr="00371A27">
        <w:tc>
          <w:tcPr>
            <w:tcW w:w="3005" w:type="dxa"/>
          </w:tcPr>
          <w:p w:rsidR="00E85FB4" w:rsidRDefault="00E85FB4">
            <w:r>
              <w:t>Of people with who have ever started ART, proportion with current VL &lt; 1000</w:t>
            </w:r>
          </w:p>
        </w:tc>
        <w:tc>
          <w:tcPr>
            <w:tcW w:w="3005" w:type="dxa"/>
          </w:tcPr>
          <w:p w:rsidR="00E85FB4" w:rsidRPr="000569AC" w:rsidRDefault="000569AC">
            <w:pPr>
              <w:rPr>
                <w:color w:val="000000" w:themeColor="text1"/>
              </w:rPr>
            </w:pPr>
            <w:r w:rsidRPr="000569AC">
              <w:rPr>
                <w:color w:val="000000" w:themeColor="text1"/>
              </w:rPr>
              <w:t>70</w:t>
            </w:r>
            <w:r w:rsidR="0029169F" w:rsidRPr="000569AC">
              <w:rPr>
                <w:color w:val="000000" w:themeColor="text1"/>
              </w:rPr>
              <w:t>.</w:t>
            </w:r>
            <w:r w:rsidRPr="000569AC">
              <w:rPr>
                <w:color w:val="000000" w:themeColor="text1"/>
              </w:rPr>
              <w:t>8</w:t>
            </w:r>
            <w:r w:rsidR="0029169F" w:rsidRPr="000569AC">
              <w:rPr>
                <w:color w:val="000000" w:themeColor="text1"/>
              </w:rPr>
              <w:t>%</w:t>
            </w:r>
          </w:p>
        </w:tc>
        <w:tc>
          <w:tcPr>
            <w:tcW w:w="3006" w:type="dxa"/>
          </w:tcPr>
          <w:p w:rsidR="00E85FB4" w:rsidRPr="000569AC" w:rsidRDefault="000569AC">
            <w:pPr>
              <w:rPr>
                <w:color w:val="000000" w:themeColor="text1"/>
              </w:rPr>
            </w:pPr>
            <w:r w:rsidRPr="000569AC">
              <w:rPr>
                <w:color w:val="000000" w:themeColor="text1"/>
              </w:rPr>
              <w:t>70</w:t>
            </w:r>
            <w:r w:rsidR="0029169F" w:rsidRPr="000569AC">
              <w:rPr>
                <w:color w:val="000000" w:themeColor="text1"/>
              </w:rPr>
              <w:t>.</w:t>
            </w:r>
            <w:r w:rsidRPr="000569AC">
              <w:rPr>
                <w:color w:val="000000" w:themeColor="text1"/>
              </w:rPr>
              <w:t>6</w:t>
            </w:r>
            <w:r w:rsidR="0029169F" w:rsidRPr="000569AC">
              <w:rPr>
                <w:color w:val="000000" w:themeColor="text1"/>
              </w:rPr>
              <w:t>%</w:t>
            </w:r>
          </w:p>
        </w:tc>
      </w:tr>
      <w:tr w:rsidR="00E85FB4" w:rsidTr="00371A27">
        <w:tc>
          <w:tcPr>
            <w:tcW w:w="3005" w:type="dxa"/>
          </w:tcPr>
          <w:p w:rsidR="00E85FB4" w:rsidRPr="0029169F" w:rsidRDefault="00E85FB4">
            <w:r w:rsidRPr="0029169F">
              <w:t>Of people on ART, proportion with current VL  &lt; 1000</w:t>
            </w:r>
          </w:p>
        </w:tc>
        <w:tc>
          <w:tcPr>
            <w:tcW w:w="3005" w:type="dxa"/>
          </w:tcPr>
          <w:p w:rsidR="00E85FB4" w:rsidRPr="000569AC" w:rsidRDefault="000569AC">
            <w:pPr>
              <w:rPr>
                <w:color w:val="000000" w:themeColor="text1"/>
              </w:rPr>
            </w:pPr>
            <w:r w:rsidRPr="000569AC">
              <w:rPr>
                <w:color w:val="000000" w:themeColor="text1"/>
              </w:rPr>
              <w:t>79</w:t>
            </w:r>
            <w:r w:rsidR="00CC0B34" w:rsidRPr="000569AC">
              <w:rPr>
                <w:color w:val="000000" w:themeColor="text1"/>
              </w:rPr>
              <w:t>.</w:t>
            </w:r>
            <w:r w:rsidRPr="000569AC">
              <w:rPr>
                <w:color w:val="000000" w:themeColor="text1"/>
              </w:rPr>
              <w:t>5</w:t>
            </w:r>
            <w:r w:rsidR="00CC0B34" w:rsidRPr="000569AC">
              <w:rPr>
                <w:color w:val="000000" w:themeColor="text1"/>
              </w:rPr>
              <w:t>%</w:t>
            </w:r>
          </w:p>
        </w:tc>
        <w:tc>
          <w:tcPr>
            <w:tcW w:w="3006" w:type="dxa"/>
          </w:tcPr>
          <w:p w:rsidR="00E85FB4" w:rsidRPr="000569AC" w:rsidRDefault="000569AC">
            <w:pPr>
              <w:rPr>
                <w:color w:val="000000" w:themeColor="text1"/>
              </w:rPr>
            </w:pPr>
            <w:r w:rsidRPr="000569AC">
              <w:rPr>
                <w:color w:val="000000" w:themeColor="text1"/>
              </w:rPr>
              <w:t>79</w:t>
            </w:r>
            <w:r w:rsidR="00CC0B34" w:rsidRPr="000569AC">
              <w:rPr>
                <w:color w:val="000000" w:themeColor="text1"/>
              </w:rPr>
              <w:t>.</w:t>
            </w:r>
            <w:r w:rsidRPr="000569AC">
              <w:rPr>
                <w:color w:val="000000" w:themeColor="text1"/>
              </w:rPr>
              <w:t>2</w:t>
            </w:r>
            <w:r w:rsidR="00CC0B34" w:rsidRPr="000569AC">
              <w:rPr>
                <w:color w:val="000000" w:themeColor="text1"/>
              </w:rPr>
              <w:t>%</w:t>
            </w:r>
          </w:p>
        </w:tc>
      </w:tr>
      <w:tr w:rsidR="00E85FB4" w:rsidTr="00371A27">
        <w:tc>
          <w:tcPr>
            <w:tcW w:w="3005" w:type="dxa"/>
          </w:tcPr>
          <w:p w:rsidR="00E85FB4" w:rsidRDefault="00CC0B34">
            <w:r>
              <w:t>All cause d</w:t>
            </w:r>
            <w:r w:rsidR="00E85FB4">
              <w:t>eath rate in people on ART</w:t>
            </w:r>
          </w:p>
        </w:tc>
        <w:tc>
          <w:tcPr>
            <w:tcW w:w="3005" w:type="dxa"/>
          </w:tcPr>
          <w:p w:rsidR="00E85FB4" w:rsidRPr="00E47C62" w:rsidRDefault="00E47C62">
            <w:pPr>
              <w:rPr>
                <w:color w:val="000000" w:themeColor="text1"/>
              </w:rPr>
            </w:pPr>
            <w:r w:rsidRPr="00E47C62">
              <w:rPr>
                <w:color w:val="000000" w:themeColor="text1"/>
              </w:rPr>
              <w:t>3.58</w:t>
            </w:r>
          </w:p>
        </w:tc>
        <w:tc>
          <w:tcPr>
            <w:tcW w:w="3006" w:type="dxa"/>
          </w:tcPr>
          <w:p w:rsidR="00E85FB4" w:rsidRPr="00E47C62" w:rsidRDefault="00E47C62">
            <w:pPr>
              <w:rPr>
                <w:color w:val="000000" w:themeColor="text1"/>
              </w:rPr>
            </w:pPr>
            <w:r w:rsidRPr="00E47C62">
              <w:rPr>
                <w:color w:val="000000" w:themeColor="text1"/>
              </w:rPr>
              <w:t>3.62</w:t>
            </w:r>
          </w:p>
        </w:tc>
      </w:tr>
      <w:tr w:rsidR="00E85FB4" w:rsidTr="00371A27">
        <w:tc>
          <w:tcPr>
            <w:tcW w:w="3005" w:type="dxa"/>
          </w:tcPr>
          <w:p w:rsidR="00E85FB4" w:rsidRDefault="00E85FB4">
            <w:r>
              <w:t>HIV death rate in all people with HIV</w:t>
            </w:r>
          </w:p>
        </w:tc>
        <w:tc>
          <w:tcPr>
            <w:tcW w:w="3005" w:type="dxa"/>
          </w:tcPr>
          <w:p w:rsidR="00E85FB4" w:rsidRPr="004429BA" w:rsidRDefault="004429BA">
            <w:pPr>
              <w:rPr>
                <w:color w:val="000000" w:themeColor="text1"/>
              </w:rPr>
            </w:pPr>
            <w:r w:rsidRPr="004429BA">
              <w:rPr>
                <w:color w:val="000000" w:themeColor="text1"/>
              </w:rPr>
              <w:t>2.54</w:t>
            </w:r>
          </w:p>
        </w:tc>
        <w:tc>
          <w:tcPr>
            <w:tcW w:w="3006" w:type="dxa"/>
          </w:tcPr>
          <w:p w:rsidR="00E85FB4" w:rsidRPr="004429BA" w:rsidRDefault="004429BA">
            <w:pPr>
              <w:rPr>
                <w:color w:val="000000" w:themeColor="text1"/>
              </w:rPr>
            </w:pPr>
            <w:r w:rsidRPr="004429BA">
              <w:rPr>
                <w:color w:val="000000" w:themeColor="text1"/>
              </w:rPr>
              <w:t>2.57</w:t>
            </w:r>
          </w:p>
        </w:tc>
      </w:tr>
      <w:tr w:rsidR="0070078E" w:rsidTr="00371A27">
        <w:tc>
          <w:tcPr>
            <w:tcW w:w="3005" w:type="dxa"/>
          </w:tcPr>
          <w:p w:rsidR="0070078E" w:rsidRDefault="0070078E">
            <w:r>
              <w:t>DALYs incurred per year</w:t>
            </w:r>
          </w:p>
        </w:tc>
        <w:tc>
          <w:tcPr>
            <w:tcW w:w="3005" w:type="dxa"/>
          </w:tcPr>
          <w:p w:rsidR="0070078E" w:rsidRPr="008920F4" w:rsidRDefault="004429BA">
            <w:pPr>
              <w:rPr>
                <w:color w:val="4472C4" w:themeColor="accent1"/>
              </w:rPr>
            </w:pPr>
            <w:r>
              <w:t>1,309,719</w:t>
            </w:r>
          </w:p>
        </w:tc>
        <w:tc>
          <w:tcPr>
            <w:tcW w:w="3006" w:type="dxa"/>
          </w:tcPr>
          <w:p w:rsidR="0070078E" w:rsidRPr="008920F4" w:rsidRDefault="004429BA">
            <w:pPr>
              <w:rPr>
                <w:color w:val="4472C4" w:themeColor="accent1"/>
              </w:rPr>
            </w:pPr>
            <w:r>
              <w:t>1,310,170</w:t>
            </w:r>
          </w:p>
        </w:tc>
      </w:tr>
      <w:tr w:rsidR="00E85FB4" w:rsidTr="00371A27">
        <w:tc>
          <w:tcPr>
            <w:tcW w:w="3005" w:type="dxa"/>
          </w:tcPr>
          <w:p w:rsidR="00E85FB4" w:rsidRDefault="00E85FB4">
            <w:r>
              <w:t>DALYs averted</w:t>
            </w:r>
            <w:r w:rsidR="00371A27">
              <w:t>*</w:t>
            </w:r>
          </w:p>
        </w:tc>
        <w:tc>
          <w:tcPr>
            <w:tcW w:w="3005" w:type="dxa"/>
          </w:tcPr>
          <w:p w:rsidR="00E85FB4" w:rsidRPr="0060525D" w:rsidRDefault="0060525D">
            <w:pPr>
              <w:rPr>
                <w:color w:val="000000" w:themeColor="text1"/>
              </w:rPr>
            </w:pPr>
            <w:r w:rsidRPr="0060525D">
              <w:rPr>
                <w:color w:val="000000" w:themeColor="text1"/>
              </w:rPr>
              <w:t>----</w:t>
            </w:r>
          </w:p>
        </w:tc>
        <w:tc>
          <w:tcPr>
            <w:tcW w:w="3006" w:type="dxa"/>
          </w:tcPr>
          <w:p w:rsidR="00E85FB4" w:rsidRPr="0060525D" w:rsidRDefault="0060525D">
            <w:pPr>
              <w:rPr>
                <w:color w:val="000000" w:themeColor="text1"/>
              </w:rPr>
            </w:pPr>
            <w:r w:rsidRPr="0060525D">
              <w:rPr>
                <w:color w:val="000000" w:themeColor="text1"/>
              </w:rPr>
              <w:t>-409</w:t>
            </w:r>
          </w:p>
        </w:tc>
      </w:tr>
      <w:tr w:rsidR="0070078E" w:rsidTr="00371A27">
        <w:tc>
          <w:tcPr>
            <w:tcW w:w="3005" w:type="dxa"/>
          </w:tcPr>
          <w:p w:rsidR="0070078E" w:rsidRDefault="0070078E">
            <w:r>
              <w:t>Total cost of HIV programme</w:t>
            </w:r>
          </w:p>
        </w:tc>
        <w:tc>
          <w:tcPr>
            <w:tcW w:w="3005" w:type="dxa"/>
          </w:tcPr>
          <w:p w:rsidR="0070078E" w:rsidRPr="004429BA" w:rsidRDefault="0070078E">
            <w:pPr>
              <w:rPr>
                <w:color w:val="000000" w:themeColor="text1"/>
              </w:rPr>
            </w:pPr>
            <w:r w:rsidRPr="004429BA">
              <w:rPr>
                <w:color w:val="000000" w:themeColor="text1"/>
              </w:rPr>
              <w:t>$2</w:t>
            </w:r>
            <w:r w:rsidR="004429BA" w:rsidRPr="004429BA">
              <w:rPr>
                <w:color w:val="000000" w:themeColor="text1"/>
              </w:rPr>
              <w:t>56</w:t>
            </w:r>
            <w:r w:rsidRPr="004429BA">
              <w:rPr>
                <w:color w:val="000000" w:themeColor="text1"/>
              </w:rPr>
              <w:t>.</w:t>
            </w:r>
            <w:r w:rsidR="004429BA" w:rsidRPr="004429BA">
              <w:rPr>
                <w:color w:val="000000" w:themeColor="text1"/>
              </w:rPr>
              <w:t>5</w:t>
            </w:r>
            <w:r w:rsidRPr="004429BA">
              <w:rPr>
                <w:color w:val="000000" w:themeColor="text1"/>
              </w:rPr>
              <w:t>m</w:t>
            </w:r>
          </w:p>
        </w:tc>
        <w:tc>
          <w:tcPr>
            <w:tcW w:w="3006" w:type="dxa"/>
          </w:tcPr>
          <w:p w:rsidR="0070078E" w:rsidRPr="004429BA" w:rsidRDefault="0070078E">
            <w:pPr>
              <w:rPr>
                <w:color w:val="000000" w:themeColor="text1"/>
              </w:rPr>
            </w:pPr>
            <w:r w:rsidRPr="004429BA">
              <w:rPr>
                <w:color w:val="000000" w:themeColor="text1"/>
              </w:rPr>
              <w:t>$2</w:t>
            </w:r>
            <w:r w:rsidR="004429BA" w:rsidRPr="004429BA">
              <w:rPr>
                <w:color w:val="000000" w:themeColor="text1"/>
              </w:rPr>
              <w:t>5</w:t>
            </w:r>
            <w:r w:rsidRPr="004429BA">
              <w:rPr>
                <w:color w:val="000000" w:themeColor="text1"/>
              </w:rPr>
              <w:t>5.5m</w:t>
            </w:r>
          </w:p>
        </w:tc>
      </w:tr>
      <w:tr w:rsidR="00371A27" w:rsidTr="00371A27">
        <w:tc>
          <w:tcPr>
            <w:tcW w:w="3005" w:type="dxa"/>
          </w:tcPr>
          <w:p w:rsidR="00371A27" w:rsidRDefault="00371A27">
            <w:r>
              <w:t>Difference in cost*</w:t>
            </w:r>
          </w:p>
        </w:tc>
        <w:tc>
          <w:tcPr>
            <w:tcW w:w="3005" w:type="dxa"/>
          </w:tcPr>
          <w:p w:rsidR="00371A27" w:rsidRPr="00F900F5" w:rsidRDefault="00F900F5">
            <w:pPr>
              <w:rPr>
                <w:color w:val="000000" w:themeColor="text1"/>
              </w:rPr>
            </w:pPr>
            <w:r w:rsidRPr="00F900F5">
              <w:rPr>
                <w:color w:val="000000" w:themeColor="text1"/>
              </w:rPr>
              <w:t>----</w:t>
            </w:r>
          </w:p>
        </w:tc>
        <w:tc>
          <w:tcPr>
            <w:tcW w:w="3006" w:type="dxa"/>
          </w:tcPr>
          <w:p w:rsidR="00371A27" w:rsidRPr="00F900F5" w:rsidRDefault="00F900F5">
            <w:pPr>
              <w:rPr>
                <w:color w:val="000000" w:themeColor="text1"/>
              </w:rPr>
            </w:pPr>
            <w:r w:rsidRPr="00F900F5">
              <w:rPr>
                <w:color w:val="000000" w:themeColor="text1"/>
              </w:rPr>
              <w:t>-$0.98m</w:t>
            </w:r>
          </w:p>
        </w:tc>
      </w:tr>
      <w:tr w:rsidR="00271E07" w:rsidTr="00371A27">
        <w:tc>
          <w:tcPr>
            <w:tcW w:w="3005" w:type="dxa"/>
          </w:tcPr>
          <w:p w:rsidR="00271E07" w:rsidRDefault="00271E07" w:rsidP="00271E07">
            <w:r>
              <w:t>Net DALYs</w:t>
            </w:r>
          </w:p>
        </w:tc>
        <w:tc>
          <w:tcPr>
            <w:tcW w:w="3005" w:type="dxa"/>
          </w:tcPr>
          <w:p w:rsidR="00271E07" w:rsidRPr="008920F4" w:rsidRDefault="00271E07" w:rsidP="00271E07">
            <w:pPr>
              <w:rPr>
                <w:color w:val="4472C4" w:themeColor="accent1"/>
              </w:rPr>
            </w:pPr>
            <w:r>
              <w:t>1822672</w:t>
            </w:r>
          </w:p>
        </w:tc>
        <w:tc>
          <w:tcPr>
            <w:tcW w:w="3006" w:type="dxa"/>
          </w:tcPr>
          <w:p w:rsidR="00271E07" w:rsidRPr="008920F4" w:rsidRDefault="00271E07" w:rsidP="00271E07">
            <w:pPr>
              <w:rPr>
                <w:color w:val="4472C4" w:themeColor="accent1"/>
              </w:rPr>
            </w:pPr>
            <w:r>
              <w:t>1821171</w:t>
            </w:r>
          </w:p>
        </w:tc>
      </w:tr>
      <w:tr w:rsidR="00371A27" w:rsidTr="00371A27">
        <w:tc>
          <w:tcPr>
            <w:tcW w:w="3005" w:type="dxa"/>
          </w:tcPr>
          <w:p w:rsidR="00371A27" w:rsidRDefault="00371A27">
            <w:r>
              <w:t>Difference in net DALYs*</w:t>
            </w:r>
          </w:p>
        </w:tc>
        <w:tc>
          <w:tcPr>
            <w:tcW w:w="3005" w:type="dxa"/>
          </w:tcPr>
          <w:p w:rsidR="00371A27" w:rsidRPr="00F900F5" w:rsidRDefault="00142F84">
            <w:pPr>
              <w:rPr>
                <w:color w:val="000000" w:themeColor="text1"/>
              </w:rPr>
            </w:pPr>
            <w:r w:rsidRPr="00F900F5">
              <w:rPr>
                <w:color w:val="000000" w:themeColor="text1"/>
              </w:rPr>
              <w:t>----</w:t>
            </w:r>
          </w:p>
        </w:tc>
        <w:tc>
          <w:tcPr>
            <w:tcW w:w="3006" w:type="dxa"/>
          </w:tcPr>
          <w:p w:rsidR="00371A27" w:rsidRPr="00F900F5" w:rsidRDefault="00142F84">
            <w:pPr>
              <w:rPr>
                <w:color w:val="000000" w:themeColor="text1"/>
              </w:rPr>
            </w:pPr>
            <w:r w:rsidRPr="00F900F5">
              <w:rPr>
                <w:color w:val="000000" w:themeColor="text1"/>
              </w:rPr>
              <w:t>- 1501</w:t>
            </w:r>
            <w:r w:rsidR="0060525D">
              <w:rPr>
                <w:color w:val="000000" w:themeColor="text1"/>
              </w:rPr>
              <w:t xml:space="preserve"> (standard error 1117)</w:t>
            </w:r>
          </w:p>
        </w:tc>
      </w:tr>
    </w:tbl>
    <w:p w:rsidR="00DA3BE1" w:rsidRDefault="00DA3BE1"/>
    <w:p w:rsidR="00371A27" w:rsidRDefault="00371A27" w:rsidP="00371A27">
      <w:r>
        <w:t xml:space="preserve">* discounted at 3% per annum </w:t>
      </w:r>
    </w:p>
    <w:p w:rsidR="00371A27" w:rsidRDefault="00371A27"/>
    <w:p w:rsidR="0060525D" w:rsidRDefault="0060525D">
      <w:r>
        <w:br w:type="page"/>
      </w:r>
    </w:p>
    <w:p w:rsidR="00271E07" w:rsidRPr="001C0989" w:rsidRDefault="00271E07" w:rsidP="00271E07">
      <w:pPr>
        <w:spacing w:line="276" w:lineRule="auto"/>
        <w:rPr>
          <w:b/>
          <w:color w:val="C00000"/>
          <w:sz w:val="20"/>
          <w:szCs w:val="20"/>
        </w:rPr>
      </w:pPr>
      <w:r w:rsidRPr="001C0989">
        <w:rPr>
          <w:b/>
          <w:color w:val="C00000"/>
          <w:sz w:val="20"/>
          <w:szCs w:val="20"/>
        </w:rPr>
        <w:lastRenderedPageBreak/>
        <w:t>Table 2 b</w:t>
      </w:r>
    </w:p>
    <w:tbl>
      <w:tblPr>
        <w:tblStyle w:val="TableGrid"/>
        <w:tblW w:w="0" w:type="auto"/>
        <w:tblCellMar>
          <w:top w:w="113" w:type="dxa"/>
          <w:bottom w:w="113" w:type="dxa"/>
        </w:tblCellMar>
        <w:tblLook w:val="04A0" w:firstRow="1" w:lastRow="0" w:firstColumn="1" w:lastColumn="0" w:noHBand="0" w:noVBand="1"/>
      </w:tblPr>
      <w:tblGrid>
        <w:gridCol w:w="3005"/>
        <w:gridCol w:w="3005"/>
        <w:gridCol w:w="3006"/>
      </w:tblGrid>
      <w:tr w:rsidR="00371A27" w:rsidTr="00922930">
        <w:tc>
          <w:tcPr>
            <w:tcW w:w="9016" w:type="dxa"/>
            <w:gridSpan w:val="3"/>
          </w:tcPr>
          <w:p w:rsidR="00371A27" w:rsidRPr="00371A27" w:rsidRDefault="00371A27" w:rsidP="00922930">
            <w:pPr>
              <w:rPr>
                <w:b/>
              </w:rPr>
            </w:pPr>
            <w:bookmarkStart w:id="1" w:name="_Hlk46124478"/>
            <w:r w:rsidRPr="00371A27">
              <w:rPr>
                <w:b/>
              </w:rPr>
              <w:t>Timing of</w:t>
            </w:r>
            <w:r>
              <w:rPr>
                <w:b/>
              </w:rPr>
              <w:t xml:space="preserve"> repeat</w:t>
            </w:r>
            <w:r w:rsidRPr="00371A27">
              <w:rPr>
                <w:b/>
              </w:rPr>
              <w:t xml:space="preserve"> viral load, in context of TL</w:t>
            </w:r>
            <w:r>
              <w:rPr>
                <w:b/>
              </w:rPr>
              <w:t>D</w:t>
            </w:r>
            <w:r w:rsidRPr="00371A27">
              <w:rPr>
                <w:b/>
              </w:rPr>
              <w:t xml:space="preserve"> 1</w:t>
            </w:r>
            <w:r w:rsidRPr="00371A27">
              <w:rPr>
                <w:b/>
                <w:vertAlign w:val="superscript"/>
              </w:rPr>
              <w:t>st</w:t>
            </w:r>
            <w:r w:rsidRPr="00371A27">
              <w:rPr>
                <w:b/>
              </w:rPr>
              <w:t xml:space="preserve"> line regimen</w:t>
            </w:r>
            <w:r w:rsidR="00DF184F">
              <w:rPr>
                <w:b/>
              </w:rPr>
              <w:t xml:space="preserve">.  Context: </w:t>
            </w:r>
            <w:bookmarkStart w:id="2" w:name="_Hlk46940531"/>
            <w:r w:rsidR="00963D28">
              <w:rPr>
                <w:b/>
              </w:rPr>
              <w:t>transition of all to TLD made pre-baseline</w:t>
            </w:r>
            <w:bookmarkEnd w:id="2"/>
            <w:r w:rsidR="00DF184F">
              <w:rPr>
                <w:b/>
              </w:rPr>
              <w:t>.</w:t>
            </w:r>
            <w:r w:rsidR="0070078E">
              <w:rPr>
                <w:b/>
              </w:rPr>
              <w:t xml:space="preserve"> (n=50 setting scenarios)</w:t>
            </w:r>
          </w:p>
          <w:bookmarkEnd w:id="1"/>
          <w:p w:rsidR="00371A27" w:rsidRPr="00371A27" w:rsidRDefault="00371A27" w:rsidP="00922930">
            <w:pPr>
              <w:rPr>
                <w:b/>
              </w:rPr>
            </w:pPr>
          </w:p>
        </w:tc>
      </w:tr>
      <w:tr w:rsidR="00371A27" w:rsidTr="00922930">
        <w:tc>
          <w:tcPr>
            <w:tcW w:w="3005" w:type="dxa"/>
          </w:tcPr>
          <w:p w:rsidR="00371A27" w:rsidRPr="00371A27" w:rsidRDefault="00371A27" w:rsidP="00922930">
            <w:pPr>
              <w:rPr>
                <w:b/>
              </w:rPr>
            </w:pPr>
            <w:r w:rsidRPr="00371A27">
              <w:rPr>
                <w:b/>
              </w:rPr>
              <w:t>Outcomes (mean over 3 month periods) over 20 years</w:t>
            </w:r>
          </w:p>
        </w:tc>
        <w:tc>
          <w:tcPr>
            <w:tcW w:w="3005" w:type="dxa"/>
          </w:tcPr>
          <w:p w:rsidR="00371A27" w:rsidRPr="003C2317" w:rsidRDefault="007F67ED" w:rsidP="00922930">
            <w:pPr>
              <w:rPr>
                <w:b/>
              </w:rPr>
            </w:pPr>
            <w:r w:rsidRPr="003C2317">
              <w:rPr>
                <w:b/>
              </w:rPr>
              <w:t>3</w:t>
            </w:r>
            <w:r w:rsidR="00371A27" w:rsidRPr="003C2317">
              <w:rPr>
                <w:b/>
              </w:rPr>
              <w:t xml:space="preserve"> months</w:t>
            </w:r>
          </w:p>
        </w:tc>
        <w:tc>
          <w:tcPr>
            <w:tcW w:w="3006" w:type="dxa"/>
          </w:tcPr>
          <w:p w:rsidR="00371A27" w:rsidRPr="003C2317" w:rsidRDefault="007F67ED" w:rsidP="00922930">
            <w:pPr>
              <w:rPr>
                <w:b/>
              </w:rPr>
            </w:pPr>
            <w:r w:rsidRPr="003C2317">
              <w:rPr>
                <w:b/>
              </w:rPr>
              <w:t>6</w:t>
            </w:r>
            <w:r w:rsidR="00371A27" w:rsidRPr="003C2317">
              <w:rPr>
                <w:b/>
              </w:rPr>
              <w:t xml:space="preserve"> months</w:t>
            </w:r>
          </w:p>
        </w:tc>
      </w:tr>
      <w:tr w:rsidR="00CC0B34" w:rsidTr="00922930">
        <w:tc>
          <w:tcPr>
            <w:tcW w:w="3005" w:type="dxa"/>
          </w:tcPr>
          <w:p w:rsidR="00CC0B34" w:rsidRDefault="00CC0B34" w:rsidP="00922930">
            <w:r>
              <w:t>Of people on ART,</w:t>
            </w:r>
            <w:r w:rsidR="0060208D">
              <w:t xml:space="preserve"> percent</w:t>
            </w:r>
            <w:r>
              <w:t xml:space="preserve"> on dolutegravir</w:t>
            </w:r>
          </w:p>
        </w:tc>
        <w:tc>
          <w:tcPr>
            <w:tcW w:w="3005" w:type="dxa"/>
          </w:tcPr>
          <w:p w:rsidR="00CC0B34" w:rsidRDefault="0060208D" w:rsidP="00922930">
            <w:r>
              <w:t>94.7</w:t>
            </w:r>
            <w:r w:rsidR="00DF321E">
              <w:t>%</w:t>
            </w:r>
          </w:p>
        </w:tc>
        <w:tc>
          <w:tcPr>
            <w:tcW w:w="3006" w:type="dxa"/>
          </w:tcPr>
          <w:p w:rsidR="00CC0B34" w:rsidRDefault="0060208D" w:rsidP="00922930">
            <w:r>
              <w:t>95.0</w:t>
            </w:r>
            <w:r w:rsidR="00DF321E">
              <w:t>%</w:t>
            </w:r>
          </w:p>
        </w:tc>
      </w:tr>
      <w:tr w:rsidR="00371A27" w:rsidTr="00922930">
        <w:tc>
          <w:tcPr>
            <w:tcW w:w="3005" w:type="dxa"/>
          </w:tcPr>
          <w:p w:rsidR="00371A27" w:rsidRDefault="00371A27" w:rsidP="00922930">
            <w:r>
              <w:t>Of people with who have ever started ART, proportion with current VL &lt; 1000</w:t>
            </w:r>
          </w:p>
        </w:tc>
        <w:tc>
          <w:tcPr>
            <w:tcW w:w="3005" w:type="dxa"/>
          </w:tcPr>
          <w:p w:rsidR="00371A27" w:rsidRDefault="009C39A9" w:rsidP="00922930">
            <w:r>
              <w:t>80.0%</w:t>
            </w:r>
          </w:p>
        </w:tc>
        <w:tc>
          <w:tcPr>
            <w:tcW w:w="3006" w:type="dxa"/>
          </w:tcPr>
          <w:p w:rsidR="00371A27" w:rsidRDefault="009C39A9" w:rsidP="00922930">
            <w:r>
              <w:t>80.0%</w:t>
            </w:r>
          </w:p>
        </w:tc>
      </w:tr>
      <w:tr w:rsidR="00371A27" w:rsidTr="00922930">
        <w:tc>
          <w:tcPr>
            <w:tcW w:w="3005" w:type="dxa"/>
          </w:tcPr>
          <w:p w:rsidR="00371A27" w:rsidRDefault="00371A27" w:rsidP="00922930">
            <w:r>
              <w:t>Of people on ART, p</w:t>
            </w:r>
            <w:r w:rsidR="00DF321E">
              <w:t>ercent</w:t>
            </w:r>
            <w:r>
              <w:t xml:space="preserve"> with current VL  &lt; 1000</w:t>
            </w:r>
          </w:p>
        </w:tc>
        <w:tc>
          <w:tcPr>
            <w:tcW w:w="3005" w:type="dxa"/>
          </w:tcPr>
          <w:p w:rsidR="00371A27" w:rsidRPr="009C39A9" w:rsidRDefault="00DF321E" w:rsidP="00922930">
            <w:r w:rsidRPr="009C39A9">
              <w:t>88.0%</w:t>
            </w:r>
          </w:p>
        </w:tc>
        <w:tc>
          <w:tcPr>
            <w:tcW w:w="3006" w:type="dxa"/>
          </w:tcPr>
          <w:p w:rsidR="00371A27" w:rsidRPr="009C39A9" w:rsidRDefault="00DF321E" w:rsidP="00922930">
            <w:r w:rsidRPr="009C39A9">
              <w:t>87.9%</w:t>
            </w:r>
          </w:p>
        </w:tc>
      </w:tr>
      <w:tr w:rsidR="00371A27" w:rsidTr="00922930">
        <w:tc>
          <w:tcPr>
            <w:tcW w:w="3005" w:type="dxa"/>
          </w:tcPr>
          <w:p w:rsidR="00371A27" w:rsidRDefault="00D00E45" w:rsidP="00922930">
            <w:r>
              <w:t xml:space="preserve">All cause </w:t>
            </w:r>
            <w:r w:rsidR="00371A27">
              <w:t>death rate in people on ART</w:t>
            </w:r>
          </w:p>
        </w:tc>
        <w:tc>
          <w:tcPr>
            <w:tcW w:w="3005" w:type="dxa"/>
          </w:tcPr>
          <w:p w:rsidR="00371A27" w:rsidRPr="00D00E45" w:rsidRDefault="00DF321E" w:rsidP="00922930">
            <w:pPr>
              <w:rPr>
                <w:color w:val="000000" w:themeColor="text1"/>
              </w:rPr>
            </w:pPr>
            <w:r w:rsidRPr="00D00E45">
              <w:rPr>
                <w:color w:val="000000" w:themeColor="text1"/>
              </w:rPr>
              <w:t>2.54</w:t>
            </w:r>
          </w:p>
        </w:tc>
        <w:tc>
          <w:tcPr>
            <w:tcW w:w="3006" w:type="dxa"/>
          </w:tcPr>
          <w:p w:rsidR="00371A27" w:rsidRPr="00D00E45" w:rsidRDefault="00DF321E" w:rsidP="00922930">
            <w:pPr>
              <w:rPr>
                <w:color w:val="000000" w:themeColor="text1"/>
              </w:rPr>
            </w:pPr>
            <w:r w:rsidRPr="00D00E45">
              <w:rPr>
                <w:color w:val="000000" w:themeColor="text1"/>
              </w:rPr>
              <w:t>2.57</w:t>
            </w:r>
          </w:p>
        </w:tc>
      </w:tr>
      <w:tr w:rsidR="00371A27" w:rsidTr="00922930">
        <w:tc>
          <w:tcPr>
            <w:tcW w:w="3005" w:type="dxa"/>
          </w:tcPr>
          <w:p w:rsidR="00371A27" w:rsidRDefault="00371A27" w:rsidP="00922930">
            <w:r>
              <w:t>HIV death rate in all people with HIV</w:t>
            </w:r>
          </w:p>
        </w:tc>
        <w:tc>
          <w:tcPr>
            <w:tcW w:w="3005" w:type="dxa"/>
          </w:tcPr>
          <w:p w:rsidR="00371A27" w:rsidRDefault="00DF321E" w:rsidP="00922930">
            <w:r>
              <w:t>1.51</w:t>
            </w:r>
          </w:p>
        </w:tc>
        <w:tc>
          <w:tcPr>
            <w:tcW w:w="3006" w:type="dxa"/>
          </w:tcPr>
          <w:p w:rsidR="00371A27" w:rsidRDefault="00DF321E" w:rsidP="00922930">
            <w:r>
              <w:t>1.52</w:t>
            </w:r>
          </w:p>
        </w:tc>
      </w:tr>
      <w:tr w:rsidR="0070078E" w:rsidTr="00922930">
        <w:tc>
          <w:tcPr>
            <w:tcW w:w="3005" w:type="dxa"/>
          </w:tcPr>
          <w:p w:rsidR="0070078E" w:rsidRDefault="0070078E" w:rsidP="00922930">
            <w:r>
              <w:t>DALYs incurred per year</w:t>
            </w:r>
          </w:p>
        </w:tc>
        <w:tc>
          <w:tcPr>
            <w:tcW w:w="3005" w:type="dxa"/>
          </w:tcPr>
          <w:p w:rsidR="0070078E" w:rsidRDefault="00B32BD7" w:rsidP="00922930">
            <w:r>
              <w:t>1245507</w:t>
            </w:r>
          </w:p>
        </w:tc>
        <w:tc>
          <w:tcPr>
            <w:tcW w:w="3006" w:type="dxa"/>
          </w:tcPr>
          <w:p w:rsidR="0070078E" w:rsidRDefault="00B32BD7" w:rsidP="00922930">
            <w:r>
              <w:t>1246499</w:t>
            </w:r>
          </w:p>
        </w:tc>
      </w:tr>
      <w:tr w:rsidR="00371A27" w:rsidTr="00922930">
        <w:tc>
          <w:tcPr>
            <w:tcW w:w="3005" w:type="dxa"/>
          </w:tcPr>
          <w:p w:rsidR="00371A27" w:rsidRDefault="00371A27" w:rsidP="00922930">
            <w:r>
              <w:t>DALYs averted*</w:t>
            </w:r>
          </w:p>
        </w:tc>
        <w:tc>
          <w:tcPr>
            <w:tcW w:w="3005" w:type="dxa"/>
          </w:tcPr>
          <w:p w:rsidR="00371A27" w:rsidRDefault="00EE76BF" w:rsidP="00922930">
            <w:r>
              <w:t>----</w:t>
            </w:r>
          </w:p>
        </w:tc>
        <w:tc>
          <w:tcPr>
            <w:tcW w:w="3006" w:type="dxa"/>
          </w:tcPr>
          <w:p w:rsidR="00371A27" w:rsidRDefault="00EE76BF" w:rsidP="00922930">
            <w:r>
              <w:t>-1054</w:t>
            </w:r>
          </w:p>
        </w:tc>
      </w:tr>
      <w:tr w:rsidR="00CB1AD9" w:rsidTr="00922930">
        <w:tc>
          <w:tcPr>
            <w:tcW w:w="3005" w:type="dxa"/>
          </w:tcPr>
          <w:p w:rsidR="00CB1AD9" w:rsidRDefault="00CB1AD9" w:rsidP="00922930">
            <w:r>
              <w:t>Total cost of HIV programme</w:t>
            </w:r>
          </w:p>
        </w:tc>
        <w:tc>
          <w:tcPr>
            <w:tcW w:w="3005" w:type="dxa"/>
          </w:tcPr>
          <w:p w:rsidR="00CB1AD9" w:rsidRDefault="00CB1AD9" w:rsidP="00922930">
            <w:r>
              <w:t>$212.2m</w:t>
            </w:r>
          </w:p>
        </w:tc>
        <w:tc>
          <w:tcPr>
            <w:tcW w:w="3006" w:type="dxa"/>
          </w:tcPr>
          <w:p w:rsidR="00CB1AD9" w:rsidRDefault="00CB1AD9" w:rsidP="00922930">
            <w:r>
              <w:t>$211.5m</w:t>
            </w:r>
          </w:p>
        </w:tc>
      </w:tr>
      <w:tr w:rsidR="00371A27" w:rsidTr="00922930">
        <w:tc>
          <w:tcPr>
            <w:tcW w:w="3005" w:type="dxa"/>
          </w:tcPr>
          <w:p w:rsidR="00371A27" w:rsidRDefault="00371A27" w:rsidP="00922930">
            <w:r>
              <w:t>Difference in cost*</w:t>
            </w:r>
          </w:p>
        </w:tc>
        <w:tc>
          <w:tcPr>
            <w:tcW w:w="3005" w:type="dxa"/>
          </w:tcPr>
          <w:p w:rsidR="00371A27" w:rsidRDefault="00EE76BF" w:rsidP="00922930">
            <w:r>
              <w:t>----</w:t>
            </w:r>
          </w:p>
        </w:tc>
        <w:tc>
          <w:tcPr>
            <w:tcW w:w="3006" w:type="dxa"/>
          </w:tcPr>
          <w:p w:rsidR="00371A27" w:rsidRDefault="00EE76BF" w:rsidP="00922930">
            <w:r>
              <w:t>-$0.63m</w:t>
            </w:r>
          </w:p>
        </w:tc>
      </w:tr>
      <w:tr w:rsidR="00EE76BF" w:rsidTr="00922930">
        <w:tc>
          <w:tcPr>
            <w:tcW w:w="3005" w:type="dxa"/>
          </w:tcPr>
          <w:p w:rsidR="00EE76BF" w:rsidRDefault="00EE76BF" w:rsidP="00922930">
            <w:r>
              <w:t>Net DALYs</w:t>
            </w:r>
          </w:p>
        </w:tc>
        <w:tc>
          <w:tcPr>
            <w:tcW w:w="3005" w:type="dxa"/>
          </w:tcPr>
          <w:p w:rsidR="00EE76BF" w:rsidRDefault="00EE76BF" w:rsidP="00922930">
            <w:r>
              <w:t>1,669,856</w:t>
            </w:r>
          </w:p>
        </w:tc>
        <w:tc>
          <w:tcPr>
            <w:tcW w:w="3006" w:type="dxa"/>
          </w:tcPr>
          <w:p w:rsidR="00EE76BF" w:rsidRDefault="00EE76BF" w:rsidP="00922930">
            <w:r>
              <w:t>1,669,594</w:t>
            </w:r>
          </w:p>
        </w:tc>
      </w:tr>
      <w:tr w:rsidR="00371A27" w:rsidTr="00922930">
        <w:tc>
          <w:tcPr>
            <w:tcW w:w="3005" w:type="dxa"/>
          </w:tcPr>
          <w:p w:rsidR="00371A27" w:rsidRDefault="00371A27" w:rsidP="00922930">
            <w:r>
              <w:t>Difference in net DALYs*</w:t>
            </w:r>
          </w:p>
        </w:tc>
        <w:tc>
          <w:tcPr>
            <w:tcW w:w="3005" w:type="dxa"/>
          </w:tcPr>
          <w:p w:rsidR="00371A27" w:rsidRDefault="00371A27" w:rsidP="00922930"/>
        </w:tc>
        <w:tc>
          <w:tcPr>
            <w:tcW w:w="3006" w:type="dxa"/>
          </w:tcPr>
          <w:p w:rsidR="00371A27" w:rsidRDefault="00EE76BF" w:rsidP="00922930">
            <w:r>
              <w:t>-263 (standard error = 987)</w:t>
            </w:r>
          </w:p>
        </w:tc>
      </w:tr>
    </w:tbl>
    <w:p w:rsidR="00371A27" w:rsidRDefault="00371A27" w:rsidP="00371A27">
      <w:r>
        <w:t xml:space="preserve">* discounted at 3% per annum </w:t>
      </w:r>
    </w:p>
    <w:p w:rsidR="00271E07" w:rsidRDefault="00271E07">
      <w:r>
        <w:br w:type="page"/>
      </w:r>
    </w:p>
    <w:p w:rsidR="00371A27" w:rsidRPr="001C0989" w:rsidRDefault="00271E07" w:rsidP="00271E07">
      <w:pPr>
        <w:spacing w:line="276" w:lineRule="auto"/>
        <w:rPr>
          <w:b/>
          <w:color w:val="C00000"/>
          <w:sz w:val="20"/>
          <w:szCs w:val="20"/>
        </w:rPr>
      </w:pPr>
      <w:r w:rsidRPr="001C0989">
        <w:rPr>
          <w:b/>
          <w:color w:val="C00000"/>
          <w:sz w:val="20"/>
          <w:szCs w:val="20"/>
        </w:rPr>
        <w:lastRenderedPageBreak/>
        <w:t>Table 2 c</w:t>
      </w:r>
    </w:p>
    <w:tbl>
      <w:tblPr>
        <w:tblStyle w:val="TableGrid"/>
        <w:tblW w:w="0" w:type="auto"/>
        <w:tblCellMar>
          <w:top w:w="113" w:type="dxa"/>
          <w:bottom w:w="113" w:type="dxa"/>
        </w:tblCellMar>
        <w:tblLook w:val="04A0" w:firstRow="1" w:lastRow="0" w:firstColumn="1" w:lastColumn="0" w:noHBand="0" w:noVBand="1"/>
      </w:tblPr>
      <w:tblGrid>
        <w:gridCol w:w="3005"/>
        <w:gridCol w:w="3005"/>
        <w:gridCol w:w="3006"/>
      </w:tblGrid>
      <w:tr w:rsidR="00371A27" w:rsidTr="00922930">
        <w:tc>
          <w:tcPr>
            <w:tcW w:w="9016" w:type="dxa"/>
            <w:gridSpan w:val="3"/>
          </w:tcPr>
          <w:p w:rsidR="00371A27" w:rsidRPr="00371A27" w:rsidRDefault="00371A27" w:rsidP="00922930">
            <w:pPr>
              <w:rPr>
                <w:b/>
              </w:rPr>
            </w:pPr>
            <w:r w:rsidRPr="00371A27">
              <w:rPr>
                <w:b/>
              </w:rPr>
              <w:t>Timing of initial viral load, in context of TLE 1</w:t>
            </w:r>
            <w:r w:rsidRPr="00371A27">
              <w:rPr>
                <w:b/>
                <w:vertAlign w:val="superscript"/>
              </w:rPr>
              <w:t>st</w:t>
            </w:r>
            <w:r w:rsidRPr="00371A27">
              <w:rPr>
                <w:b/>
              </w:rPr>
              <w:t xml:space="preserve"> line regimen</w:t>
            </w:r>
            <w:r w:rsidR="00FA4135">
              <w:rPr>
                <w:b/>
              </w:rPr>
              <w:t xml:space="preserve">.  Context: </w:t>
            </w:r>
            <w:r w:rsidR="00963D28">
              <w:rPr>
                <w:b/>
              </w:rPr>
              <w:t>no transition to dolutegravir is made before or during follow up</w:t>
            </w:r>
            <w:r w:rsidR="00DF184F">
              <w:rPr>
                <w:b/>
              </w:rPr>
              <w:t>.</w:t>
            </w:r>
            <w:r w:rsidR="0070078E">
              <w:rPr>
                <w:b/>
              </w:rPr>
              <w:t xml:space="preserve"> (n=50 setting scenarios)</w:t>
            </w:r>
          </w:p>
          <w:p w:rsidR="00371A27" w:rsidRPr="00371A27" w:rsidRDefault="00371A27" w:rsidP="00922930">
            <w:pPr>
              <w:rPr>
                <w:b/>
              </w:rPr>
            </w:pPr>
          </w:p>
        </w:tc>
      </w:tr>
      <w:tr w:rsidR="00371A27" w:rsidTr="00922930">
        <w:tc>
          <w:tcPr>
            <w:tcW w:w="3005" w:type="dxa"/>
          </w:tcPr>
          <w:p w:rsidR="00371A27" w:rsidRPr="00CF413B" w:rsidRDefault="00371A27" w:rsidP="00922930">
            <w:pPr>
              <w:rPr>
                <w:b/>
                <w:color w:val="000000" w:themeColor="text1"/>
              </w:rPr>
            </w:pPr>
            <w:r w:rsidRPr="00CF413B">
              <w:rPr>
                <w:b/>
                <w:color w:val="000000" w:themeColor="text1"/>
              </w:rPr>
              <w:t>Outcomes (mean over 3 month periods) over 20 years</w:t>
            </w:r>
          </w:p>
        </w:tc>
        <w:tc>
          <w:tcPr>
            <w:tcW w:w="3005" w:type="dxa"/>
          </w:tcPr>
          <w:p w:rsidR="00371A27" w:rsidRPr="00CF413B" w:rsidRDefault="00371A27" w:rsidP="00922930">
            <w:pPr>
              <w:rPr>
                <w:b/>
                <w:color w:val="000000" w:themeColor="text1"/>
              </w:rPr>
            </w:pPr>
            <w:r w:rsidRPr="00CF413B">
              <w:rPr>
                <w:b/>
                <w:color w:val="000000" w:themeColor="text1"/>
              </w:rPr>
              <w:t>1</w:t>
            </w:r>
            <w:r w:rsidRPr="00CF413B">
              <w:rPr>
                <w:b/>
                <w:color w:val="000000" w:themeColor="text1"/>
                <w:vertAlign w:val="superscript"/>
              </w:rPr>
              <w:t>st</w:t>
            </w:r>
            <w:r w:rsidRPr="00CF413B">
              <w:rPr>
                <w:b/>
                <w:color w:val="000000" w:themeColor="text1"/>
              </w:rPr>
              <w:t xml:space="preserve"> VL 6 months</w:t>
            </w:r>
          </w:p>
        </w:tc>
        <w:tc>
          <w:tcPr>
            <w:tcW w:w="3006" w:type="dxa"/>
          </w:tcPr>
          <w:p w:rsidR="00371A27" w:rsidRPr="00CF413B" w:rsidRDefault="00371A27" w:rsidP="00922930">
            <w:pPr>
              <w:rPr>
                <w:b/>
                <w:color w:val="000000" w:themeColor="text1"/>
              </w:rPr>
            </w:pPr>
            <w:r w:rsidRPr="00CF413B">
              <w:rPr>
                <w:b/>
                <w:color w:val="000000" w:themeColor="text1"/>
              </w:rPr>
              <w:t>1</w:t>
            </w:r>
            <w:r w:rsidRPr="00CF413B">
              <w:rPr>
                <w:b/>
                <w:color w:val="000000" w:themeColor="text1"/>
                <w:vertAlign w:val="superscript"/>
              </w:rPr>
              <w:t>st</w:t>
            </w:r>
            <w:r w:rsidRPr="00CF413B">
              <w:rPr>
                <w:b/>
                <w:color w:val="000000" w:themeColor="text1"/>
              </w:rPr>
              <w:t xml:space="preserve"> VL 3 months</w:t>
            </w:r>
          </w:p>
        </w:tc>
      </w:tr>
      <w:tr w:rsidR="00D97D46" w:rsidTr="00922930">
        <w:tc>
          <w:tcPr>
            <w:tcW w:w="3005" w:type="dxa"/>
          </w:tcPr>
          <w:p w:rsidR="00D97D46" w:rsidRDefault="00D97D46" w:rsidP="00D97D46">
            <w:r w:rsidRPr="00004831">
              <w:t>Of people on ART, p</w:t>
            </w:r>
            <w:r>
              <w:t>ercent</w:t>
            </w:r>
            <w:r w:rsidRPr="00004831">
              <w:t xml:space="preserve"> on efavirenz</w:t>
            </w:r>
          </w:p>
        </w:tc>
        <w:tc>
          <w:tcPr>
            <w:tcW w:w="3005" w:type="dxa"/>
          </w:tcPr>
          <w:p w:rsidR="00D97D46" w:rsidRPr="00D04517" w:rsidRDefault="00D04517" w:rsidP="00D97D46">
            <w:pPr>
              <w:rPr>
                <w:color w:val="000000" w:themeColor="text1"/>
              </w:rPr>
            </w:pPr>
            <w:r w:rsidRPr="00D04517">
              <w:rPr>
                <w:color w:val="000000" w:themeColor="text1"/>
              </w:rPr>
              <w:t>83</w:t>
            </w:r>
            <w:r w:rsidR="00D97D46" w:rsidRPr="00D04517">
              <w:rPr>
                <w:color w:val="000000" w:themeColor="text1"/>
              </w:rPr>
              <w:t>.</w:t>
            </w:r>
            <w:r w:rsidRPr="00D04517">
              <w:rPr>
                <w:color w:val="000000" w:themeColor="text1"/>
              </w:rPr>
              <w:t>2</w:t>
            </w:r>
            <w:r w:rsidR="00D97D46" w:rsidRPr="00D04517">
              <w:rPr>
                <w:color w:val="000000" w:themeColor="text1"/>
              </w:rPr>
              <w:t>%</w:t>
            </w:r>
          </w:p>
        </w:tc>
        <w:tc>
          <w:tcPr>
            <w:tcW w:w="3006" w:type="dxa"/>
          </w:tcPr>
          <w:p w:rsidR="00D97D46" w:rsidRPr="00D04517" w:rsidRDefault="00D04517" w:rsidP="00D97D46">
            <w:pPr>
              <w:rPr>
                <w:color w:val="000000" w:themeColor="text1"/>
              </w:rPr>
            </w:pPr>
            <w:r w:rsidRPr="00D04517">
              <w:rPr>
                <w:color w:val="000000" w:themeColor="text1"/>
              </w:rPr>
              <w:t>83</w:t>
            </w:r>
            <w:r w:rsidR="00D97D46" w:rsidRPr="00D04517">
              <w:rPr>
                <w:color w:val="000000" w:themeColor="text1"/>
              </w:rPr>
              <w:t>.</w:t>
            </w:r>
            <w:r w:rsidRPr="00D04517">
              <w:rPr>
                <w:color w:val="000000" w:themeColor="text1"/>
              </w:rPr>
              <w:t>0</w:t>
            </w:r>
            <w:r w:rsidR="00D97D46" w:rsidRPr="00D04517">
              <w:rPr>
                <w:color w:val="000000" w:themeColor="text1"/>
              </w:rPr>
              <w:t>%</w:t>
            </w:r>
          </w:p>
        </w:tc>
      </w:tr>
      <w:tr w:rsidR="00371A27" w:rsidTr="00922930">
        <w:tc>
          <w:tcPr>
            <w:tcW w:w="3005" w:type="dxa"/>
          </w:tcPr>
          <w:p w:rsidR="00371A27" w:rsidRDefault="00371A27" w:rsidP="00922930">
            <w:r>
              <w:t>Of all people who started ART 12 months ago, p</w:t>
            </w:r>
            <w:r w:rsidR="00DF321E">
              <w:t>ercent</w:t>
            </w:r>
            <w:r w:rsidR="009C39A9">
              <w:t xml:space="preserve"> </w:t>
            </w:r>
            <w:r>
              <w:t xml:space="preserve">with VL &lt; 1000 </w:t>
            </w:r>
          </w:p>
        </w:tc>
        <w:tc>
          <w:tcPr>
            <w:tcW w:w="3005" w:type="dxa"/>
          </w:tcPr>
          <w:p w:rsidR="00371A27" w:rsidRPr="00D04517" w:rsidRDefault="00D04517" w:rsidP="00922930">
            <w:pPr>
              <w:rPr>
                <w:color w:val="000000" w:themeColor="text1"/>
              </w:rPr>
            </w:pPr>
            <w:r w:rsidRPr="00D04517">
              <w:rPr>
                <w:color w:val="000000" w:themeColor="text1"/>
              </w:rPr>
              <w:t>70</w:t>
            </w:r>
            <w:r w:rsidR="00786E13" w:rsidRPr="00D04517">
              <w:rPr>
                <w:color w:val="000000" w:themeColor="text1"/>
              </w:rPr>
              <w:t>.</w:t>
            </w:r>
            <w:r w:rsidRPr="00D04517">
              <w:rPr>
                <w:color w:val="000000" w:themeColor="text1"/>
              </w:rPr>
              <w:t>8</w:t>
            </w:r>
            <w:r w:rsidR="00786E13" w:rsidRPr="00D04517">
              <w:rPr>
                <w:color w:val="000000" w:themeColor="text1"/>
              </w:rPr>
              <w:t>%</w:t>
            </w:r>
          </w:p>
        </w:tc>
        <w:tc>
          <w:tcPr>
            <w:tcW w:w="3006" w:type="dxa"/>
          </w:tcPr>
          <w:p w:rsidR="00371A27" w:rsidRPr="00D04517" w:rsidRDefault="00D04517" w:rsidP="00922930">
            <w:pPr>
              <w:rPr>
                <w:color w:val="000000" w:themeColor="text1"/>
              </w:rPr>
            </w:pPr>
            <w:r w:rsidRPr="00D04517">
              <w:rPr>
                <w:color w:val="000000" w:themeColor="text1"/>
              </w:rPr>
              <w:t>70</w:t>
            </w:r>
            <w:r w:rsidR="00786E13" w:rsidRPr="00D04517">
              <w:rPr>
                <w:color w:val="000000" w:themeColor="text1"/>
              </w:rPr>
              <w:t>.</w:t>
            </w:r>
            <w:r w:rsidRPr="00D04517">
              <w:rPr>
                <w:color w:val="000000" w:themeColor="text1"/>
              </w:rPr>
              <w:t>5</w:t>
            </w:r>
            <w:r w:rsidR="00786E13" w:rsidRPr="00D04517">
              <w:rPr>
                <w:color w:val="000000" w:themeColor="text1"/>
              </w:rPr>
              <w:t>%</w:t>
            </w:r>
          </w:p>
        </w:tc>
      </w:tr>
      <w:tr w:rsidR="00371A27" w:rsidTr="00922930">
        <w:tc>
          <w:tcPr>
            <w:tcW w:w="3005" w:type="dxa"/>
          </w:tcPr>
          <w:p w:rsidR="00371A27" w:rsidRDefault="00371A27" w:rsidP="00922930">
            <w:r>
              <w:t>Of people who started ART 12 months ago and are currently on ART, proportion with VL &lt;1000</w:t>
            </w:r>
          </w:p>
        </w:tc>
        <w:tc>
          <w:tcPr>
            <w:tcW w:w="3005" w:type="dxa"/>
          </w:tcPr>
          <w:p w:rsidR="00371A27" w:rsidRPr="00D04517" w:rsidRDefault="00D04517" w:rsidP="00922930">
            <w:pPr>
              <w:rPr>
                <w:color w:val="000000" w:themeColor="text1"/>
              </w:rPr>
            </w:pPr>
            <w:r w:rsidRPr="00D04517">
              <w:rPr>
                <w:color w:val="000000" w:themeColor="text1"/>
              </w:rPr>
              <w:t>82</w:t>
            </w:r>
            <w:r w:rsidR="009C39A9" w:rsidRPr="00D04517">
              <w:rPr>
                <w:color w:val="000000" w:themeColor="text1"/>
              </w:rPr>
              <w:t>.</w:t>
            </w:r>
            <w:r w:rsidRPr="00D04517">
              <w:rPr>
                <w:color w:val="000000" w:themeColor="text1"/>
              </w:rPr>
              <w:t>7</w:t>
            </w:r>
            <w:r w:rsidR="009C39A9" w:rsidRPr="00D04517">
              <w:rPr>
                <w:color w:val="000000" w:themeColor="text1"/>
              </w:rPr>
              <w:t>%</w:t>
            </w:r>
          </w:p>
        </w:tc>
        <w:tc>
          <w:tcPr>
            <w:tcW w:w="3006" w:type="dxa"/>
          </w:tcPr>
          <w:p w:rsidR="00371A27" w:rsidRPr="00D04517" w:rsidRDefault="00D04517" w:rsidP="00922930">
            <w:pPr>
              <w:rPr>
                <w:color w:val="000000" w:themeColor="text1"/>
              </w:rPr>
            </w:pPr>
            <w:r w:rsidRPr="00D04517">
              <w:rPr>
                <w:color w:val="000000" w:themeColor="text1"/>
              </w:rPr>
              <w:t>82.5</w:t>
            </w:r>
            <w:r w:rsidR="009C39A9" w:rsidRPr="00D04517">
              <w:rPr>
                <w:color w:val="000000" w:themeColor="text1"/>
              </w:rPr>
              <w:t>%</w:t>
            </w:r>
          </w:p>
        </w:tc>
      </w:tr>
      <w:tr w:rsidR="00371A27" w:rsidTr="00922930">
        <w:tc>
          <w:tcPr>
            <w:tcW w:w="3005" w:type="dxa"/>
          </w:tcPr>
          <w:p w:rsidR="00371A27" w:rsidRDefault="00371A27" w:rsidP="00922930">
            <w:r>
              <w:t>Of people with who have ever started ART, proportion with current VL &lt; 1000</w:t>
            </w:r>
          </w:p>
        </w:tc>
        <w:tc>
          <w:tcPr>
            <w:tcW w:w="3005" w:type="dxa"/>
          </w:tcPr>
          <w:p w:rsidR="00371A27" w:rsidRPr="00DF2685" w:rsidRDefault="00DF2685" w:rsidP="00922930">
            <w:pPr>
              <w:rPr>
                <w:color w:val="000000" w:themeColor="text1"/>
              </w:rPr>
            </w:pPr>
            <w:r w:rsidRPr="00DF2685">
              <w:rPr>
                <w:color w:val="000000" w:themeColor="text1"/>
              </w:rPr>
              <w:t>70</w:t>
            </w:r>
            <w:r w:rsidR="009C39A9" w:rsidRPr="00DF2685">
              <w:rPr>
                <w:color w:val="000000" w:themeColor="text1"/>
              </w:rPr>
              <w:t>.</w:t>
            </w:r>
            <w:r w:rsidRPr="00DF2685">
              <w:rPr>
                <w:color w:val="000000" w:themeColor="text1"/>
              </w:rPr>
              <w:t>8</w:t>
            </w:r>
            <w:r w:rsidR="009C39A9" w:rsidRPr="00DF2685">
              <w:rPr>
                <w:color w:val="000000" w:themeColor="text1"/>
              </w:rPr>
              <w:t>%</w:t>
            </w:r>
          </w:p>
        </w:tc>
        <w:tc>
          <w:tcPr>
            <w:tcW w:w="3006" w:type="dxa"/>
          </w:tcPr>
          <w:p w:rsidR="00371A27" w:rsidRPr="00DF2685" w:rsidRDefault="00DF2685" w:rsidP="00922930">
            <w:pPr>
              <w:rPr>
                <w:color w:val="000000" w:themeColor="text1"/>
              </w:rPr>
            </w:pPr>
            <w:r w:rsidRPr="00DF2685">
              <w:rPr>
                <w:color w:val="000000" w:themeColor="text1"/>
              </w:rPr>
              <w:t>70.6</w:t>
            </w:r>
            <w:r w:rsidR="009C39A9" w:rsidRPr="00DF2685">
              <w:rPr>
                <w:color w:val="000000" w:themeColor="text1"/>
              </w:rPr>
              <w:t>%</w:t>
            </w:r>
          </w:p>
        </w:tc>
      </w:tr>
      <w:tr w:rsidR="00371A27" w:rsidTr="00922930">
        <w:tc>
          <w:tcPr>
            <w:tcW w:w="3005" w:type="dxa"/>
          </w:tcPr>
          <w:p w:rsidR="00371A27" w:rsidRPr="009C39A9" w:rsidRDefault="00371A27" w:rsidP="00922930">
            <w:r w:rsidRPr="009C39A9">
              <w:t>Of people on ART, p</w:t>
            </w:r>
            <w:r w:rsidR="004D7F79" w:rsidRPr="009C39A9">
              <w:t xml:space="preserve">ercent </w:t>
            </w:r>
            <w:r w:rsidRPr="009C39A9">
              <w:t>with current VL  &lt; 1000</w:t>
            </w:r>
          </w:p>
        </w:tc>
        <w:tc>
          <w:tcPr>
            <w:tcW w:w="3005" w:type="dxa"/>
          </w:tcPr>
          <w:p w:rsidR="00371A27" w:rsidRPr="00DF2685" w:rsidRDefault="004D7F79" w:rsidP="00922930">
            <w:pPr>
              <w:rPr>
                <w:color w:val="000000" w:themeColor="text1"/>
              </w:rPr>
            </w:pPr>
            <w:r w:rsidRPr="00DF2685">
              <w:rPr>
                <w:color w:val="000000" w:themeColor="text1"/>
              </w:rPr>
              <w:t>7</w:t>
            </w:r>
            <w:r w:rsidR="00DF2685" w:rsidRPr="00DF2685">
              <w:rPr>
                <w:color w:val="000000" w:themeColor="text1"/>
              </w:rPr>
              <w:t>9</w:t>
            </w:r>
            <w:r w:rsidRPr="00DF2685">
              <w:rPr>
                <w:color w:val="000000" w:themeColor="text1"/>
              </w:rPr>
              <w:t>.</w:t>
            </w:r>
            <w:r w:rsidR="00DF2685" w:rsidRPr="00DF2685">
              <w:rPr>
                <w:color w:val="000000" w:themeColor="text1"/>
              </w:rPr>
              <w:t>5</w:t>
            </w:r>
            <w:r w:rsidRPr="00DF2685">
              <w:rPr>
                <w:color w:val="000000" w:themeColor="text1"/>
              </w:rPr>
              <w:t>%</w:t>
            </w:r>
          </w:p>
        </w:tc>
        <w:tc>
          <w:tcPr>
            <w:tcW w:w="3006" w:type="dxa"/>
          </w:tcPr>
          <w:p w:rsidR="00371A27" w:rsidRPr="00DF2685" w:rsidRDefault="004D7F79" w:rsidP="00922930">
            <w:pPr>
              <w:rPr>
                <w:color w:val="000000" w:themeColor="text1"/>
              </w:rPr>
            </w:pPr>
            <w:r w:rsidRPr="00DF2685">
              <w:rPr>
                <w:color w:val="000000" w:themeColor="text1"/>
              </w:rPr>
              <w:t>7</w:t>
            </w:r>
            <w:r w:rsidR="00DF2685" w:rsidRPr="00DF2685">
              <w:rPr>
                <w:color w:val="000000" w:themeColor="text1"/>
              </w:rPr>
              <w:t>9.2</w:t>
            </w:r>
            <w:r w:rsidRPr="00DF2685">
              <w:rPr>
                <w:color w:val="000000" w:themeColor="text1"/>
              </w:rPr>
              <w:t>%</w:t>
            </w:r>
          </w:p>
        </w:tc>
      </w:tr>
      <w:tr w:rsidR="00371A27" w:rsidTr="00922930">
        <w:tc>
          <w:tcPr>
            <w:tcW w:w="3005" w:type="dxa"/>
          </w:tcPr>
          <w:p w:rsidR="00371A27" w:rsidRDefault="00D00E45" w:rsidP="00922930">
            <w:r>
              <w:t>All cause death rate in people on ART</w:t>
            </w:r>
          </w:p>
        </w:tc>
        <w:tc>
          <w:tcPr>
            <w:tcW w:w="3005" w:type="dxa"/>
          </w:tcPr>
          <w:p w:rsidR="00371A27" w:rsidRPr="00DF2685" w:rsidRDefault="00DF2685" w:rsidP="00922930">
            <w:pPr>
              <w:rPr>
                <w:color w:val="000000" w:themeColor="text1"/>
              </w:rPr>
            </w:pPr>
            <w:r w:rsidRPr="00DF2685">
              <w:rPr>
                <w:color w:val="000000" w:themeColor="text1"/>
              </w:rPr>
              <w:t>3.46</w:t>
            </w:r>
          </w:p>
        </w:tc>
        <w:tc>
          <w:tcPr>
            <w:tcW w:w="3006" w:type="dxa"/>
          </w:tcPr>
          <w:p w:rsidR="00371A27" w:rsidRPr="00DF2685" w:rsidRDefault="00DF2685" w:rsidP="00922930">
            <w:pPr>
              <w:rPr>
                <w:color w:val="000000" w:themeColor="text1"/>
              </w:rPr>
            </w:pPr>
            <w:r w:rsidRPr="00DF2685">
              <w:rPr>
                <w:color w:val="000000" w:themeColor="text1"/>
              </w:rPr>
              <w:t>3.45</w:t>
            </w:r>
          </w:p>
        </w:tc>
      </w:tr>
      <w:tr w:rsidR="00371A27" w:rsidTr="00922930">
        <w:tc>
          <w:tcPr>
            <w:tcW w:w="3005" w:type="dxa"/>
          </w:tcPr>
          <w:p w:rsidR="00371A27" w:rsidRDefault="00371A27" w:rsidP="00922930">
            <w:r>
              <w:t>HIV death rate in all people with HIV</w:t>
            </w:r>
          </w:p>
        </w:tc>
        <w:tc>
          <w:tcPr>
            <w:tcW w:w="3005" w:type="dxa"/>
          </w:tcPr>
          <w:p w:rsidR="00371A27" w:rsidRPr="00DF2685" w:rsidRDefault="00DF2685" w:rsidP="00922930">
            <w:pPr>
              <w:rPr>
                <w:color w:val="000000" w:themeColor="text1"/>
              </w:rPr>
            </w:pPr>
            <w:r w:rsidRPr="00DF2685">
              <w:rPr>
                <w:color w:val="000000" w:themeColor="text1"/>
              </w:rPr>
              <w:t>2.40</w:t>
            </w:r>
          </w:p>
        </w:tc>
        <w:tc>
          <w:tcPr>
            <w:tcW w:w="3006" w:type="dxa"/>
          </w:tcPr>
          <w:p w:rsidR="00371A27" w:rsidRPr="00DF2685" w:rsidRDefault="00DF2685" w:rsidP="00922930">
            <w:pPr>
              <w:rPr>
                <w:color w:val="000000" w:themeColor="text1"/>
              </w:rPr>
            </w:pPr>
            <w:r w:rsidRPr="00DF2685">
              <w:rPr>
                <w:color w:val="000000" w:themeColor="text1"/>
              </w:rPr>
              <w:t>2.39</w:t>
            </w:r>
          </w:p>
        </w:tc>
      </w:tr>
      <w:tr w:rsidR="002A3893" w:rsidTr="00922930">
        <w:tc>
          <w:tcPr>
            <w:tcW w:w="3005" w:type="dxa"/>
          </w:tcPr>
          <w:p w:rsidR="002A3893" w:rsidRDefault="002A3893" w:rsidP="00922930">
            <w:r>
              <w:t>DALYs incurred per year</w:t>
            </w:r>
          </w:p>
        </w:tc>
        <w:tc>
          <w:tcPr>
            <w:tcW w:w="3005" w:type="dxa"/>
          </w:tcPr>
          <w:p w:rsidR="002A3893" w:rsidRPr="000569AC" w:rsidRDefault="00DF2685" w:rsidP="00922930">
            <w:pPr>
              <w:rPr>
                <w:color w:val="4472C4" w:themeColor="accent1"/>
              </w:rPr>
            </w:pPr>
            <w:r>
              <w:t>1,313,188</w:t>
            </w:r>
          </w:p>
        </w:tc>
        <w:tc>
          <w:tcPr>
            <w:tcW w:w="3006" w:type="dxa"/>
          </w:tcPr>
          <w:p w:rsidR="002A3893" w:rsidRPr="000569AC" w:rsidRDefault="00DF2685" w:rsidP="00922930">
            <w:pPr>
              <w:rPr>
                <w:color w:val="4472C4" w:themeColor="accent1"/>
              </w:rPr>
            </w:pPr>
            <w:r>
              <w:t>1,312,899</w:t>
            </w:r>
          </w:p>
        </w:tc>
      </w:tr>
      <w:tr w:rsidR="00371A27" w:rsidTr="00922930">
        <w:tc>
          <w:tcPr>
            <w:tcW w:w="3005" w:type="dxa"/>
          </w:tcPr>
          <w:p w:rsidR="00371A27" w:rsidRDefault="00371A27" w:rsidP="00922930">
            <w:r>
              <w:t>DALYs averted*</w:t>
            </w:r>
          </w:p>
        </w:tc>
        <w:tc>
          <w:tcPr>
            <w:tcW w:w="3005" w:type="dxa"/>
          </w:tcPr>
          <w:p w:rsidR="00371A27" w:rsidRPr="00DF2685" w:rsidRDefault="00371A27" w:rsidP="00922930">
            <w:pPr>
              <w:rPr>
                <w:color w:val="000000" w:themeColor="text1"/>
              </w:rPr>
            </w:pPr>
          </w:p>
        </w:tc>
        <w:tc>
          <w:tcPr>
            <w:tcW w:w="3006" w:type="dxa"/>
          </w:tcPr>
          <w:p w:rsidR="00371A27" w:rsidRPr="00DF2685" w:rsidRDefault="00DF2685" w:rsidP="00922930">
            <w:pPr>
              <w:rPr>
                <w:color w:val="000000" w:themeColor="text1"/>
              </w:rPr>
            </w:pPr>
            <w:r w:rsidRPr="00DF2685">
              <w:rPr>
                <w:color w:val="000000" w:themeColor="text1"/>
              </w:rPr>
              <w:t>292</w:t>
            </w:r>
          </w:p>
        </w:tc>
      </w:tr>
      <w:tr w:rsidR="00CB1AD9" w:rsidTr="00922930">
        <w:tc>
          <w:tcPr>
            <w:tcW w:w="3005" w:type="dxa"/>
          </w:tcPr>
          <w:p w:rsidR="00CB1AD9" w:rsidRDefault="00CB1AD9" w:rsidP="00922930">
            <w:r>
              <w:t>Total cost of HIV programme</w:t>
            </w:r>
          </w:p>
        </w:tc>
        <w:tc>
          <w:tcPr>
            <w:tcW w:w="3005" w:type="dxa"/>
          </w:tcPr>
          <w:p w:rsidR="00CB1AD9" w:rsidRPr="00DF2685" w:rsidRDefault="00EC7410" w:rsidP="00922930">
            <w:pPr>
              <w:rPr>
                <w:color w:val="000000" w:themeColor="text1"/>
              </w:rPr>
            </w:pPr>
            <w:r w:rsidRPr="00DF2685">
              <w:rPr>
                <w:color w:val="000000" w:themeColor="text1"/>
              </w:rPr>
              <w:t>$</w:t>
            </w:r>
            <w:r w:rsidR="00DF2685" w:rsidRPr="00DF2685">
              <w:rPr>
                <w:color w:val="000000" w:themeColor="text1"/>
              </w:rPr>
              <w:t>263</w:t>
            </w:r>
            <w:r w:rsidRPr="00DF2685">
              <w:rPr>
                <w:color w:val="000000" w:themeColor="text1"/>
              </w:rPr>
              <w:t>.5m</w:t>
            </w:r>
          </w:p>
        </w:tc>
        <w:tc>
          <w:tcPr>
            <w:tcW w:w="3006" w:type="dxa"/>
          </w:tcPr>
          <w:p w:rsidR="00CB1AD9" w:rsidRPr="00DF2685" w:rsidRDefault="00EC7410" w:rsidP="00922930">
            <w:pPr>
              <w:rPr>
                <w:color w:val="000000" w:themeColor="text1"/>
              </w:rPr>
            </w:pPr>
            <w:r w:rsidRPr="00DF2685">
              <w:rPr>
                <w:color w:val="000000" w:themeColor="text1"/>
              </w:rPr>
              <w:t>$2</w:t>
            </w:r>
            <w:r w:rsidR="00DF2685" w:rsidRPr="00DF2685">
              <w:rPr>
                <w:color w:val="000000" w:themeColor="text1"/>
              </w:rPr>
              <w:t>64</w:t>
            </w:r>
            <w:r w:rsidRPr="00DF2685">
              <w:rPr>
                <w:color w:val="000000" w:themeColor="text1"/>
              </w:rPr>
              <w:t>.</w:t>
            </w:r>
            <w:r w:rsidR="00DF2685" w:rsidRPr="00DF2685">
              <w:rPr>
                <w:color w:val="000000" w:themeColor="text1"/>
              </w:rPr>
              <w:t>4</w:t>
            </w:r>
            <w:r w:rsidRPr="00DF2685">
              <w:rPr>
                <w:color w:val="000000" w:themeColor="text1"/>
              </w:rPr>
              <w:t>m</w:t>
            </w:r>
          </w:p>
        </w:tc>
      </w:tr>
      <w:tr w:rsidR="00371A27" w:rsidTr="00922930">
        <w:tc>
          <w:tcPr>
            <w:tcW w:w="3005" w:type="dxa"/>
          </w:tcPr>
          <w:p w:rsidR="00371A27" w:rsidRDefault="00371A27" w:rsidP="00922930">
            <w:r>
              <w:t>Difference in cost*</w:t>
            </w:r>
          </w:p>
        </w:tc>
        <w:tc>
          <w:tcPr>
            <w:tcW w:w="3005" w:type="dxa"/>
          </w:tcPr>
          <w:p w:rsidR="00371A27" w:rsidRPr="00DF2685" w:rsidRDefault="00DF2685" w:rsidP="00922930">
            <w:pPr>
              <w:rPr>
                <w:color w:val="000000" w:themeColor="text1"/>
              </w:rPr>
            </w:pPr>
            <w:r w:rsidRPr="00DF2685">
              <w:rPr>
                <w:color w:val="000000" w:themeColor="text1"/>
              </w:rPr>
              <w:t>----</w:t>
            </w:r>
          </w:p>
        </w:tc>
        <w:tc>
          <w:tcPr>
            <w:tcW w:w="3006" w:type="dxa"/>
          </w:tcPr>
          <w:p w:rsidR="00371A27" w:rsidRPr="00DF2685" w:rsidRDefault="00DF2685" w:rsidP="00922930">
            <w:pPr>
              <w:rPr>
                <w:color w:val="000000" w:themeColor="text1"/>
              </w:rPr>
            </w:pPr>
            <w:r w:rsidRPr="00DF2685">
              <w:rPr>
                <w:color w:val="000000" w:themeColor="text1"/>
              </w:rPr>
              <w:t>+$0.88m</w:t>
            </w:r>
          </w:p>
        </w:tc>
      </w:tr>
      <w:tr w:rsidR="00DF2685" w:rsidTr="00922930">
        <w:tc>
          <w:tcPr>
            <w:tcW w:w="3005" w:type="dxa"/>
          </w:tcPr>
          <w:p w:rsidR="00DF2685" w:rsidRDefault="0060525D" w:rsidP="00922930">
            <w:r>
              <w:t>Net DALYs</w:t>
            </w:r>
          </w:p>
        </w:tc>
        <w:tc>
          <w:tcPr>
            <w:tcW w:w="3005" w:type="dxa"/>
          </w:tcPr>
          <w:p w:rsidR="00DF2685" w:rsidRPr="00DF2685" w:rsidRDefault="0060525D" w:rsidP="00922930">
            <w:pPr>
              <w:rPr>
                <w:color w:val="000000" w:themeColor="text1"/>
              </w:rPr>
            </w:pPr>
            <w:r>
              <w:t>1,840,252</w:t>
            </w:r>
          </w:p>
        </w:tc>
        <w:tc>
          <w:tcPr>
            <w:tcW w:w="3006" w:type="dxa"/>
          </w:tcPr>
          <w:p w:rsidR="00DF2685" w:rsidRPr="00DF2685" w:rsidRDefault="0060525D" w:rsidP="00922930">
            <w:pPr>
              <w:rPr>
                <w:color w:val="000000" w:themeColor="text1"/>
              </w:rPr>
            </w:pPr>
            <w:r>
              <w:t>1,841,724</w:t>
            </w:r>
          </w:p>
        </w:tc>
      </w:tr>
      <w:tr w:rsidR="00371A27" w:rsidTr="00922930">
        <w:tc>
          <w:tcPr>
            <w:tcW w:w="3005" w:type="dxa"/>
          </w:tcPr>
          <w:p w:rsidR="00371A27" w:rsidRDefault="00371A27" w:rsidP="00922930">
            <w:r>
              <w:t>Difference in net DALYs*</w:t>
            </w:r>
          </w:p>
        </w:tc>
        <w:tc>
          <w:tcPr>
            <w:tcW w:w="3005" w:type="dxa"/>
          </w:tcPr>
          <w:p w:rsidR="00371A27" w:rsidRDefault="00371A27" w:rsidP="00922930"/>
        </w:tc>
        <w:tc>
          <w:tcPr>
            <w:tcW w:w="3006" w:type="dxa"/>
          </w:tcPr>
          <w:p w:rsidR="00371A27" w:rsidRDefault="0060525D" w:rsidP="00922930">
            <w:r>
              <w:t>+1472 (standard error = 1488)</w:t>
            </w:r>
          </w:p>
        </w:tc>
      </w:tr>
    </w:tbl>
    <w:p w:rsidR="00371A27" w:rsidRDefault="00371A27" w:rsidP="00371A27">
      <w:r>
        <w:t xml:space="preserve">* discounted at 3% per annum </w:t>
      </w:r>
    </w:p>
    <w:p w:rsidR="003C2317" w:rsidRDefault="003C2317">
      <w:pPr>
        <w:rPr>
          <w:b/>
          <w:sz w:val="20"/>
          <w:szCs w:val="20"/>
        </w:rPr>
      </w:pPr>
      <w:r>
        <w:rPr>
          <w:b/>
          <w:sz w:val="20"/>
          <w:szCs w:val="20"/>
        </w:rPr>
        <w:br w:type="page"/>
      </w:r>
    </w:p>
    <w:p w:rsidR="003C2317" w:rsidRPr="001C0989" w:rsidRDefault="003C2317" w:rsidP="003C2317">
      <w:pPr>
        <w:spacing w:line="276" w:lineRule="auto"/>
        <w:rPr>
          <w:b/>
          <w:color w:val="C00000"/>
          <w:sz w:val="20"/>
          <w:szCs w:val="20"/>
        </w:rPr>
      </w:pPr>
      <w:r w:rsidRPr="001C0989">
        <w:rPr>
          <w:b/>
          <w:color w:val="C00000"/>
          <w:sz w:val="20"/>
          <w:szCs w:val="20"/>
        </w:rPr>
        <w:lastRenderedPageBreak/>
        <w:t>Table 2 d</w:t>
      </w:r>
    </w:p>
    <w:tbl>
      <w:tblPr>
        <w:tblStyle w:val="TableGrid"/>
        <w:tblW w:w="0" w:type="auto"/>
        <w:tblCellMar>
          <w:top w:w="113" w:type="dxa"/>
          <w:bottom w:w="113" w:type="dxa"/>
        </w:tblCellMar>
        <w:tblLook w:val="04A0" w:firstRow="1" w:lastRow="0" w:firstColumn="1" w:lastColumn="0" w:noHBand="0" w:noVBand="1"/>
      </w:tblPr>
      <w:tblGrid>
        <w:gridCol w:w="3005"/>
        <w:gridCol w:w="3005"/>
        <w:gridCol w:w="3006"/>
      </w:tblGrid>
      <w:tr w:rsidR="003C2317" w:rsidTr="003D221A">
        <w:tc>
          <w:tcPr>
            <w:tcW w:w="9016" w:type="dxa"/>
            <w:gridSpan w:val="3"/>
          </w:tcPr>
          <w:p w:rsidR="003C2317" w:rsidRPr="00371A27" w:rsidRDefault="003C2317" w:rsidP="003D221A">
            <w:pPr>
              <w:rPr>
                <w:b/>
              </w:rPr>
            </w:pPr>
            <w:r w:rsidRPr="00371A27">
              <w:rPr>
                <w:b/>
              </w:rPr>
              <w:t>Timing of initial viral load, in context of TL</w:t>
            </w:r>
            <w:r>
              <w:rPr>
                <w:b/>
              </w:rPr>
              <w:t>D</w:t>
            </w:r>
            <w:r w:rsidRPr="00371A27">
              <w:rPr>
                <w:b/>
              </w:rPr>
              <w:t xml:space="preserve"> 1</w:t>
            </w:r>
            <w:r w:rsidRPr="00371A27">
              <w:rPr>
                <w:b/>
                <w:vertAlign w:val="superscript"/>
              </w:rPr>
              <w:t>st</w:t>
            </w:r>
            <w:r w:rsidRPr="00371A27">
              <w:rPr>
                <w:b/>
              </w:rPr>
              <w:t xml:space="preserve"> line regimen</w:t>
            </w:r>
            <w:r w:rsidR="00DF184F">
              <w:rPr>
                <w:b/>
              </w:rPr>
              <w:t>.  Context:</w:t>
            </w:r>
            <w:r w:rsidR="00FA4135">
              <w:rPr>
                <w:b/>
              </w:rPr>
              <w:t xml:space="preserve"> </w:t>
            </w:r>
            <w:r>
              <w:rPr>
                <w:b/>
              </w:rPr>
              <w:t xml:space="preserve">transition to </w:t>
            </w:r>
            <w:r w:rsidR="000B4A70">
              <w:rPr>
                <w:b/>
              </w:rPr>
              <w:t>TLD 1</w:t>
            </w:r>
            <w:r w:rsidR="000B4A70" w:rsidRPr="000B4A70">
              <w:rPr>
                <w:b/>
                <w:vertAlign w:val="superscript"/>
              </w:rPr>
              <w:t>st</w:t>
            </w:r>
            <w:r w:rsidR="000B4A70">
              <w:rPr>
                <w:b/>
              </w:rPr>
              <w:t xml:space="preserve"> line regimen</w:t>
            </w:r>
            <w:r>
              <w:rPr>
                <w:b/>
              </w:rPr>
              <w:t xml:space="preserve"> is made </w:t>
            </w:r>
            <w:r w:rsidR="000B4A70">
              <w:rPr>
                <w:b/>
              </w:rPr>
              <w:t>in2019 – people already on TLE are not moved to TLD</w:t>
            </w:r>
            <w:r w:rsidR="00DF184F">
              <w:rPr>
                <w:b/>
              </w:rPr>
              <w:t>.</w:t>
            </w:r>
            <w:r>
              <w:rPr>
                <w:b/>
              </w:rPr>
              <w:t xml:space="preserve"> (n=50 setting scenarios)</w:t>
            </w:r>
          </w:p>
          <w:p w:rsidR="003C2317" w:rsidRPr="00371A27" w:rsidRDefault="003C2317" w:rsidP="003D221A">
            <w:pPr>
              <w:rPr>
                <w:b/>
              </w:rPr>
            </w:pPr>
          </w:p>
        </w:tc>
      </w:tr>
      <w:tr w:rsidR="003C2317" w:rsidTr="003D221A">
        <w:tc>
          <w:tcPr>
            <w:tcW w:w="3005" w:type="dxa"/>
          </w:tcPr>
          <w:p w:rsidR="003C2317" w:rsidRPr="00CF413B" w:rsidRDefault="003C2317" w:rsidP="003D221A">
            <w:pPr>
              <w:rPr>
                <w:b/>
                <w:color w:val="000000" w:themeColor="text1"/>
              </w:rPr>
            </w:pPr>
            <w:r w:rsidRPr="00CF413B">
              <w:rPr>
                <w:b/>
                <w:color w:val="000000" w:themeColor="text1"/>
              </w:rPr>
              <w:t>Outcomes (mean over 3 month periods) over 20 years</w:t>
            </w:r>
          </w:p>
        </w:tc>
        <w:tc>
          <w:tcPr>
            <w:tcW w:w="3005" w:type="dxa"/>
          </w:tcPr>
          <w:p w:rsidR="003C2317" w:rsidRPr="00CF413B" w:rsidRDefault="003C2317" w:rsidP="003D221A">
            <w:pPr>
              <w:rPr>
                <w:b/>
                <w:color w:val="000000" w:themeColor="text1"/>
              </w:rPr>
            </w:pPr>
            <w:r w:rsidRPr="00CF413B">
              <w:rPr>
                <w:b/>
                <w:color w:val="000000" w:themeColor="text1"/>
              </w:rPr>
              <w:t>1</w:t>
            </w:r>
            <w:r w:rsidRPr="00CF413B">
              <w:rPr>
                <w:b/>
                <w:color w:val="000000" w:themeColor="text1"/>
                <w:vertAlign w:val="superscript"/>
              </w:rPr>
              <w:t>st</w:t>
            </w:r>
            <w:r w:rsidRPr="00CF413B">
              <w:rPr>
                <w:b/>
                <w:color w:val="000000" w:themeColor="text1"/>
              </w:rPr>
              <w:t xml:space="preserve"> VL 6 months</w:t>
            </w:r>
          </w:p>
        </w:tc>
        <w:tc>
          <w:tcPr>
            <w:tcW w:w="3006" w:type="dxa"/>
          </w:tcPr>
          <w:p w:rsidR="003C2317" w:rsidRPr="00CF413B" w:rsidRDefault="003C2317" w:rsidP="003D221A">
            <w:pPr>
              <w:rPr>
                <w:b/>
                <w:color w:val="000000" w:themeColor="text1"/>
              </w:rPr>
            </w:pPr>
            <w:r w:rsidRPr="00CF413B">
              <w:rPr>
                <w:b/>
                <w:color w:val="000000" w:themeColor="text1"/>
              </w:rPr>
              <w:t>1</w:t>
            </w:r>
            <w:r w:rsidRPr="00CF413B">
              <w:rPr>
                <w:b/>
                <w:color w:val="000000" w:themeColor="text1"/>
                <w:vertAlign w:val="superscript"/>
              </w:rPr>
              <w:t>st</w:t>
            </w:r>
            <w:r w:rsidRPr="00CF413B">
              <w:rPr>
                <w:b/>
                <w:color w:val="000000" w:themeColor="text1"/>
              </w:rPr>
              <w:t xml:space="preserve"> VL 3 months</w:t>
            </w:r>
          </w:p>
        </w:tc>
      </w:tr>
      <w:tr w:rsidR="003C2317" w:rsidTr="003D221A">
        <w:tc>
          <w:tcPr>
            <w:tcW w:w="3005" w:type="dxa"/>
          </w:tcPr>
          <w:p w:rsidR="003C2317" w:rsidRDefault="003C2317" w:rsidP="003D221A">
            <w:r w:rsidRPr="00004831">
              <w:t>Of people on ART, p</w:t>
            </w:r>
            <w:r>
              <w:t>ercent</w:t>
            </w:r>
            <w:r w:rsidRPr="00004831">
              <w:t xml:space="preserve"> on efavirenz</w:t>
            </w:r>
          </w:p>
        </w:tc>
        <w:tc>
          <w:tcPr>
            <w:tcW w:w="3005" w:type="dxa"/>
          </w:tcPr>
          <w:p w:rsidR="003C2317" w:rsidRPr="00272205" w:rsidRDefault="000B4A70" w:rsidP="003D221A">
            <w:pPr>
              <w:rPr>
                <w:color w:val="000000" w:themeColor="text1"/>
              </w:rPr>
            </w:pPr>
            <w:r w:rsidRPr="00272205">
              <w:rPr>
                <w:color w:val="000000" w:themeColor="text1"/>
              </w:rPr>
              <w:t>42</w:t>
            </w:r>
            <w:r w:rsidR="003C2317" w:rsidRPr="00272205">
              <w:rPr>
                <w:color w:val="000000" w:themeColor="text1"/>
              </w:rPr>
              <w:t>.2%</w:t>
            </w:r>
          </w:p>
        </w:tc>
        <w:tc>
          <w:tcPr>
            <w:tcW w:w="3006" w:type="dxa"/>
          </w:tcPr>
          <w:p w:rsidR="003C2317" w:rsidRPr="00272205" w:rsidRDefault="00272205" w:rsidP="003D221A">
            <w:pPr>
              <w:rPr>
                <w:color w:val="000000" w:themeColor="text1"/>
              </w:rPr>
            </w:pPr>
            <w:r w:rsidRPr="00272205">
              <w:rPr>
                <w:color w:val="000000" w:themeColor="text1"/>
              </w:rPr>
              <w:t>42</w:t>
            </w:r>
            <w:r w:rsidR="003C2317" w:rsidRPr="00272205">
              <w:rPr>
                <w:color w:val="000000" w:themeColor="text1"/>
              </w:rPr>
              <w:t>.</w:t>
            </w:r>
            <w:r w:rsidRPr="00272205">
              <w:rPr>
                <w:color w:val="000000" w:themeColor="text1"/>
              </w:rPr>
              <w:t>3</w:t>
            </w:r>
            <w:r w:rsidR="003C2317" w:rsidRPr="00272205">
              <w:rPr>
                <w:color w:val="000000" w:themeColor="text1"/>
              </w:rPr>
              <w:t>%</w:t>
            </w:r>
          </w:p>
        </w:tc>
      </w:tr>
      <w:tr w:rsidR="003C2317" w:rsidTr="003D221A">
        <w:tc>
          <w:tcPr>
            <w:tcW w:w="3005" w:type="dxa"/>
          </w:tcPr>
          <w:p w:rsidR="003C2317" w:rsidRDefault="003C2317" w:rsidP="003D221A">
            <w:r>
              <w:t xml:space="preserve">Of all people who started ART 12 months ago, percent with VL &lt; 1000 </w:t>
            </w:r>
          </w:p>
        </w:tc>
        <w:tc>
          <w:tcPr>
            <w:tcW w:w="3005" w:type="dxa"/>
          </w:tcPr>
          <w:p w:rsidR="003C2317" w:rsidRPr="00272205" w:rsidRDefault="00272205" w:rsidP="003D221A">
            <w:pPr>
              <w:rPr>
                <w:color w:val="000000" w:themeColor="text1"/>
              </w:rPr>
            </w:pPr>
            <w:r w:rsidRPr="00272205">
              <w:rPr>
                <w:color w:val="000000" w:themeColor="text1"/>
              </w:rPr>
              <w:t>88</w:t>
            </w:r>
            <w:r w:rsidR="003C2317" w:rsidRPr="00272205">
              <w:rPr>
                <w:color w:val="000000" w:themeColor="text1"/>
              </w:rPr>
              <w:t>.</w:t>
            </w:r>
            <w:r w:rsidRPr="00272205">
              <w:rPr>
                <w:color w:val="000000" w:themeColor="text1"/>
              </w:rPr>
              <w:t>2</w:t>
            </w:r>
            <w:r w:rsidR="003C2317" w:rsidRPr="00272205">
              <w:rPr>
                <w:color w:val="000000" w:themeColor="text1"/>
              </w:rPr>
              <w:t>%</w:t>
            </w:r>
          </w:p>
        </w:tc>
        <w:tc>
          <w:tcPr>
            <w:tcW w:w="3006" w:type="dxa"/>
          </w:tcPr>
          <w:p w:rsidR="003C2317" w:rsidRPr="00272205" w:rsidRDefault="00272205" w:rsidP="003D221A">
            <w:pPr>
              <w:rPr>
                <w:color w:val="000000" w:themeColor="text1"/>
              </w:rPr>
            </w:pPr>
            <w:r w:rsidRPr="00272205">
              <w:rPr>
                <w:color w:val="000000" w:themeColor="text1"/>
              </w:rPr>
              <w:t>88</w:t>
            </w:r>
            <w:r w:rsidR="003C2317" w:rsidRPr="00272205">
              <w:rPr>
                <w:color w:val="000000" w:themeColor="text1"/>
              </w:rPr>
              <w:t>.</w:t>
            </w:r>
            <w:r w:rsidRPr="00272205">
              <w:rPr>
                <w:color w:val="000000" w:themeColor="text1"/>
              </w:rPr>
              <w:t>6</w:t>
            </w:r>
            <w:r w:rsidR="003C2317" w:rsidRPr="00272205">
              <w:rPr>
                <w:color w:val="000000" w:themeColor="text1"/>
              </w:rPr>
              <w:t>%</w:t>
            </w:r>
          </w:p>
        </w:tc>
      </w:tr>
      <w:tr w:rsidR="00272205" w:rsidTr="003D221A">
        <w:tc>
          <w:tcPr>
            <w:tcW w:w="3005" w:type="dxa"/>
          </w:tcPr>
          <w:p w:rsidR="00272205" w:rsidRDefault="00272205" w:rsidP="00272205">
            <w:r>
              <w:t>Of people who started ART 12 months ago and are currently on ART, proportion with VL &lt;1000</w:t>
            </w:r>
          </w:p>
        </w:tc>
        <w:tc>
          <w:tcPr>
            <w:tcW w:w="3005" w:type="dxa"/>
          </w:tcPr>
          <w:p w:rsidR="00272205" w:rsidRPr="00272205" w:rsidRDefault="00272205" w:rsidP="00272205">
            <w:pPr>
              <w:rPr>
                <w:color w:val="000000" w:themeColor="text1"/>
              </w:rPr>
            </w:pPr>
            <w:r>
              <w:rPr>
                <w:color w:val="000000" w:themeColor="text1"/>
              </w:rPr>
              <w:t>91.3</w:t>
            </w:r>
            <w:r w:rsidRPr="00272205">
              <w:rPr>
                <w:color w:val="000000" w:themeColor="text1"/>
              </w:rPr>
              <w:t>%</w:t>
            </w:r>
          </w:p>
        </w:tc>
        <w:tc>
          <w:tcPr>
            <w:tcW w:w="3006" w:type="dxa"/>
          </w:tcPr>
          <w:p w:rsidR="00272205" w:rsidRPr="00272205" w:rsidRDefault="00272205" w:rsidP="00272205">
            <w:pPr>
              <w:rPr>
                <w:color w:val="000000" w:themeColor="text1"/>
              </w:rPr>
            </w:pPr>
            <w:r>
              <w:rPr>
                <w:color w:val="000000" w:themeColor="text1"/>
              </w:rPr>
              <w:t>91.8</w:t>
            </w:r>
            <w:r w:rsidRPr="00272205">
              <w:rPr>
                <w:color w:val="000000" w:themeColor="text1"/>
              </w:rPr>
              <w:t>%</w:t>
            </w:r>
          </w:p>
        </w:tc>
      </w:tr>
      <w:tr w:rsidR="003C2317" w:rsidTr="003D221A">
        <w:tc>
          <w:tcPr>
            <w:tcW w:w="3005" w:type="dxa"/>
          </w:tcPr>
          <w:p w:rsidR="003C2317" w:rsidRDefault="003C2317" w:rsidP="003D221A">
            <w:r>
              <w:t>Of people with who have ever started ART, proportion with current VL &lt; 1000</w:t>
            </w:r>
          </w:p>
        </w:tc>
        <w:tc>
          <w:tcPr>
            <w:tcW w:w="3005" w:type="dxa"/>
          </w:tcPr>
          <w:p w:rsidR="003C2317" w:rsidRPr="00272205" w:rsidRDefault="00272205" w:rsidP="003D221A">
            <w:pPr>
              <w:rPr>
                <w:color w:val="000000" w:themeColor="text1"/>
              </w:rPr>
            </w:pPr>
            <w:r>
              <w:rPr>
                <w:color w:val="000000" w:themeColor="text1"/>
              </w:rPr>
              <w:t>79</w:t>
            </w:r>
            <w:r w:rsidRPr="00272205">
              <w:rPr>
                <w:color w:val="000000" w:themeColor="text1"/>
              </w:rPr>
              <w:t>.</w:t>
            </w:r>
            <w:r>
              <w:rPr>
                <w:color w:val="000000" w:themeColor="text1"/>
              </w:rPr>
              <w:t>5</w:t>
            </w:r>
            <w:r w:rsidR="003C2317" w:rsidRPr="00272205">
              <w:rPr>
                <w:color w:val="000000" w:themeColor="text1"/>
              </w:rPr>
              <w:t>%</w:t>
            </w:r>
          </w:p>
        </w:tc>
        <w:tc>
          <w:tcPr>
            <w:tcW w:w="3006" w:type="dxa"/>
          </w:tcPr>
          <w:p w:rsidR="003C2317" w:rsidRPr="00272205" w:rsidRDefault="00272205" w:rsidP="003D221A">
            <w:pPr>
              <w:rPr>
                <w:color w:val="000000" w:themeColor="text1"/>
              </w:rPr>
            </w:pPr>
            <w:r>
              <w:rPr>
                <w:color w:val="000000" w:themeColor="text1"/>
              </w:rPr>
              <w:t>79</w:t>
            </w:r>
            <w:r w:rsidRPr="00272205">
              <w:rPr>
                <w:color w:val="000000" w:themeColor="text1"/>
              </w:rPr>
              <w:t>.</w:t>
            </w:r>
            <w:r>
              <w:rPr>
                <w:color w:val="000000" w:themeColor="text1"/>
              </w:rPr>
              <w:t>5</w:t>
            </w:r>
            <w:r w:rsidR="003C2317" w:rsidRPr="00272205">
              <w:rPr>
                <w:color w:val="000000" w:themeColor="text1"/>
              </w:rPr>
              <w:t>%</w:t>
            </w:r>
          </w:p>
        </w:tc>
      </w:tr>
      <w:tr w:rsidR="00272205" w:rsidTr="003D221A">
        <w:tc>
          <w:tcPr>
            <w:tcW w:w="3005" w:type="dxa"/>
          </w:tcPr>
          <w:p w:rsidR="00272205" w:rsidRPr="009C39A9" w:rsidRDefault="00272205" w:rsidP="00272205">
            <w:r w:rsidRPr="009C39A9">
              <w:t>Of people on ART, percent with current VL  &lt; 1000</w:t>
            </w:r>
          </w:p>
        </w:tc>
        <w:tc>
          <w:tcPr>
            <w:tcW w:w="3005" w:type="dxa"/>
          </w:tcPr>
          <w:p w:rsidR="00272205" w:rsidRPr="00272205" w:rsidRDefault="00272205" w:rsidP="00272205">
            <w:pPr>
              <w:rPr>
                <w:color w:val="000000" w:themeColor="text1"/>
              </w:rPr>
            </w:pPr>
            <w:r w:rsidRPr="00272205">
              <w:rPr>
                <w:color w:val="000000" w:themeColor="text1"/>
              </w:rPr>
              <w:t>87.7%</w:t>
            </w:r>
          </w:p>
        </w:tc>
        <w:tc>
          <w:tcPr>
            <w:tcW w:w="3006" w:type="dxa"/>
          </w:tcPr>
          <w:p w:rsidR="00272205" w:rsidRPr="00272205" w:rsidRDefault="00272205" w:rsidP="00272205">
            <w:pPr>
              <w:rPr>
                <w:color w:val="000000" w:themeColor="text1"/>
              </w:rPr>
            </w:pPr>
            <w:r w:rsidRPr="00272205">
              <w:rPr>
                <w:color w:val="000000" w:themeColor="text1"/>
              </w:rPr>
              <w:t>87.7%</w:t>
            </w:r>
          </w:p>
        </w:tc>
      </w:tr>
      <w:tr w:rsidR="003C2317" w:rsidTr="003D221A">
        <w:tc>
          <w:tcPr>
            <w:tcW w:w="3005" w:type="dxa"/>
          </w:tcPr>
          <w:p w:rsidR="003C2317" w:rsidRDefault="003C2317" w:rsidP="003D221A">
            <w:r>
              <w:t>All cause death rate in people on ART</w:t>
            </w:r>
          </w:p>
        </w:tc>
        <w:tc>
          <w:tcPr>
            <w:tcW w:w="3005" w:type="dxa"/>
          </w:tcPr>
          <w:p w:rsidR="003C2317" w:rsidRPr="00503878" w:rsidRDefault="00503878" w:rsidP="003D221A">
            <w:pPr>
              <w:rPr>
                <w:color w:val="000000" w:themeColor="text1"/>
              </w:rPr>
            </w:pPr>
            <w:r w:rsidRPr="00503878">
              <w:rPr>
                <w:color w:val="000000" w:themeColor="text1"/>
              </w:rPr>
              <w:t>2.72</w:t>
            </w:r>
          </w:p>
        </w:tc>
        <w:tc>
          <w:tcPr>
            <w:tcW w:w="3006" w:type="dxa"/>
          </w:tcPr>
          <w:p w:rsidR="003C2317" w:rsidRPr="00503878" w:rsidRDefault="00503878" w:rsidP="003D221A">
            <w:pPr>
              <w:rPr>
                <w:color w:val="000000" w:themeColor="text1"/>
              </w:rPr>
            </w:pPr>
            <w:r w:rsidRPr="00503878">
              <w:rPr>
                <w:color w:val="000000" w:themeColor="text1"/>
              </w:rPr>
              <w:t>2.72</w:t>
            </w:r>
          </w:p>
        </w:tc>
      </w:tr>
      <w:tr w:rsidR="003C2317" w:rsidTr="003D221A">
        <w:tc>
          <w:tcPr>
            <w:tcW w:w="3005" w:type="dxa"/>
          </w:tcPr>
          <w:p w:rsidR="003C2317" w:rsidRDefault="003C2317" w:rsidP="003D221A">
            <w:r>
              <w:t>HIV death rate in all people with HIV</w:t>
            </w:r>
          </w:p>
        </w:tc>
        <w:tc>
          <w:tcPr>
            <w:tcW w:w="3005" w:type="dxa"/>
          </w:tcPr>
          <w:p w:rsidR="003C2317" w:rsidRPr="00503878" w:rsidRDefault="00503878" w:rsidP="003D221A">
            <w:pPr>
              <w:rPr>
                <w:color w:val="000000" w:themeColor="text1"/>
              </w:rPr>
            </w:pPr>
            <w:r w:rsidRPr="00503878">
              <w:rPr>
                <w:color w:val="000000" w:themeColor="text1"/>
              </w:rPr>
              <w:t>1.74</w:t>
            </w:r>
          </w:p>
        </w:tc>
        <w:tc>
          <w:tcPr>
            <w:tcW w:w="3006" w:type="dxa"/>
          </w:tcPr>
          <w:p w:rsidR="003C2317" w:rsidRPr="00503878" w:rsidRDefault="00503878" w:rsidP="003D221A">
            <w:pPr>
              <w:rPr>
                <w:color w:val="000000" w:themeColor="text1"/>
              </w:rPr>
            </w:pPr>
            <w:r w:rsidRPr="00503878">
              <w:rPr>
                <w:color w:val="000000" w:themeColor="text1"/>
              </w:rPr>
              <w:t>1.75</w:t>
            </w:r>
          </w:p>
        </w:tc>
      </w:tr>
      <w:tr w:rsidR="003C2317" w:rsidTr="003D221A">
        <w:tc>
          <w:tcPr>
            <w:tcW w:w="3005" w:type="dxa"/>
          </w:tcPr>
          <w:p w:rsidR="003C2317" w:rsidRDefault="003C2317" w:rsidP="003D221A">
            <w:r>
              <w:t>DALYs incurred per year</w:t>
            </w:r>
          </w:p>
        </w:tc>
        <w:tc>
          <w:tcPr>
            <w:tcW w:w="3005" w:type="dxa"/>
          </w:tcPr>
          <w:p w:rsidR="003C2317" w:rsidRPr="00503878" w:rsidRDefault="003C2317" w:rsidP="003D221A">
            <w:pPr>
              <w:rPr>
                <w:color w:val="000000" w:themeColor="text1"/>
              </w:rPr>
            </w:pPr>
            <w:r w:rsidRPr="00503878">
              <w:rPr>
                <w:color w:val="000000" w:themeColor="text1"/>
              </w:rPr>
              <w:t>1,313,</w:t>
            </w:r>
            <w:r w:rsidR="00503878" w:rsidRPr="00503878">
              <w:rPr>
                <w:color w:val="000000" w:themeColor="text1"/>
              </w:rPr>
              <w:t>006</w:t>
            </w:r>
          </w:p>
        </w:tc>
        <w:tc>
          <w:tcPr>
            <w:tcW w:w="3006" w:type="dxa"/>
          </w:tcPr>
          <w:p w:rsidR="003C2317" w:rsidRPr="00503878" w:rsidRDefault="003C2317" w:rsidP="003D221A">
            <w:pPr>
              <w:rPr>
                <w:color w:val="000000" w:themeColor="text1"/>
              </w:rPr>
            </w:pPr>
            <w:r w:rsidRPr="00503878">
              <w:rPr>
                <w:color w:val="000000" w:themeColor="text1"/>
              </w:rPr>
              <w:t>1,312,</w:t>
            </w:r>
            <w:r w:rsidR="00503878" w:rsidRPr="00503878">
              <w:rPr>
                <w:color w:val="000000" w:themeColor="text1"/>
              </w:rPr>
              <w:t>209</w:t>
            </w:r>
          </w:p>
        </w:tc>
      </w:tr>
      <w:tr w:rsidR="003C2317" w:rsidTr="003D221A">
        <w:tc>
          <w:tcPr>
            <w:tcW w:w="3005" w:type="dxa"/>
          </w:tcPr>
          <w:p w:rsidR="003C2317" w:rsidRDefault="003C2317" w:rsidP="003D221A">
            <w:r>
              <w:t>DALYs averted*</w:t>
            </w:r>
          </w:p>
        </w:tc>
        <w:tc>
          <w:tcPr>
            <w:tcW w:w="3005" w:type="dxa"/>
          </w:tcPr>
          <w:p w:rsidR="003C2317" w:rsidRPr="003C2317" w:rsidRDefault="003C2317" w:rsidP="003D221A">
            <w:pPr>
              <w:rPr>
                <w:color w:val="4472C4" w:themeColor="accent1"/>
              </w:rPr>
            </w:pPr>
          </w:p>
        </w:tc>
        <w:tc>
          <w:tcPr>
            <w:tcW w:w="3006" w:type="dxa"/>
          </w:tcPr>
          <w:p w:rsidR="003C2317" w:rsidRPr="003C2317" w:rsidRDefault="00503878" w:rsidP="003D221A">
            <w:pPr>
              <w:rPr>
                <w:color w:val="4472C4" w:themeColor="accent1"/>
              </w:rPr>
            </w:pPr>
            <w:r w:rsidRPr="00503878">
              <w:rPr>
                <w:color w:val="000000" w:themeColor="text1"/>
              </w:rPr>
              <w:t>788</w:t>
            </w:r>
          </w:p>
        </w:tc>
      </w:tr>
      <w:tr w:rsidR="003C2317" w:rsidTr="003D221A">
        <w:tc>
          <w:tcPr>
            <w:tcW w:w="3005" w:type="dxa"/>
          </w:tcPr>
          <w:p w:rsidR="003C2317" w:rsidRDefault="003C2317" w:rsidP="003D221A">
            <w:r>
              <w:t>Total cost of HIV programme</w:t>
            </w:r>
          </w:p>
        </w:tc>
        <w:tc>
          <w:tcPr>
            <w:tcW w:w="3005" w:type="dxa"/>
          </w:tcPr>
          <w:p w:rsidR="003C2317" w:rsidRPr="00503878" w:rsidRDefault="003C2317" w:rsidP="003D221A">
            <w:pPr>
              <w:rPr>
                <w:color w:val="000000" w:themeColor="text1"/>
              </w:rPr>
            </w:pPr>
            <w:r w:rsidRPr="00503878">
              <w:rPr>
                <w:color w:val="000000" w:themeColor="text1"/>
              </w:rPr>
              <w:t>$2</w:t>
            </w:r>
            <w:r w:rsidR="00503878" w:rsidRPr="00503878">
              <w:rPr>
                <w:color w:val="000000" w:themeColor="text1"/>
              </w:rPr>
              <w:t>39</w:t>
            </w:r>
            <w:r w:rsidRPr="00503878">
              <w:rPr>
                <w:color w:val="000000" w:themeColor="text1"/>
              </w:rPr>
              <w:t>.</w:t>
            </w:r>
            <w:r w:rsidR="00503878" w:rsidRPr="00503878">
              <w:rPr>
                <w:color w:val="000000" w:themeColor="text1"/>
              </w:rPr>
              <w:t>9</w:t>
            </w:r>
            <w:r w:rsidRPr="00503878">
              <w:rPr>
                <w:color w:val="000000" w:themeColor="text1"/>
              </w:rPr>
              <w:t>m</w:t>
            </w:r>
          </w:p>
        </w:tc>
        <w:tc>
          <w:tcPr>
            <w:tcW w:w="3006" w:type="dxa"/>
          </w:tcPr>
          <w:p w:rsidR="003C2317" w:rsidRPr="00503878" w:rsidRDefault="003C2317" w:rsidP="003D221A">
            <w:pPr>
              <w:rPr>
                <w:color w:val="000000" w:themeColor="text1"/>
              </w:rPr>
            </w:pPr>
            <w:r w:rsidRPr="00503878">
              <w:rPr>
                <w:color w:val="000000" w:themeColor="text1"/>
              </w:rPr>
              <w:t>$2</w:t>
            </w:r>
            <w:r w:rsidR="00503878" w:rsidRPr="00503878">
              <w:rPr>
                <w:color w:val="000000" w:themeColor="text1"/>
              </w:rPr>
              <w:t>40</w:t>
            </w:r>
            <w:r w:rsidRPr="00503878">
              <w:rPr>
                <w:color w:val="000000" w:themeColor="text1"/>
              </w:rPr>
              <w:t>.4m</w:t>
            </w:r>
          </w:p>
        </w:tc>
      </w:tr>
      <w:tr w:rsidR="003C2317" w:rsidTr="003D221A">
        <w:tc>
          <w:tcPr>
            <w:tcW w:w="3005" w:type="dxa"/>
          </w:tcPr>
          <w:p w:rsidR="003C2317" w:rsidRDefault="003C2317" w:rsidP="003D221A">
            <w:r>
              <w:t>Difference in cost*</w:t>
            </w:r>
          </w:p>
        </w:tc>
        <w:tc>
          <w:tcPr>
            <w:tcW w:w="3005" w:type="dxa"/>
          </w:tcPr>
          <w:p w:rsidR="003C2317" w:rsidRPr="00503878" w:rsidRDefault="003C2317" w:rsidP="003D221A">
            <w:pPr>
              <w:rPr>
                <w:color w:val="000000" w:themeColor="text1"/>
              </w:rPr>
            </w:pPr>
            <w:r w:rsidRPr="00503878">
              <w:rPr>
                <w:color w:val="000000" w:themeColor="text1"/>
              </w:rPr>
              <w:t>----</w:t>
            </w:r>
          </w:p>
        </w:tc>
        <w:tc>
          <w:tcPr>
            <w:tcW w:w="3006" w:type="dxa"/>
          </w:tcPr>
          <w:p w:rsidR="003C2317" w:rsidRPr="00503878" w:rsidRDefault="003C2317" w:rsidP="003D221A">
            <w:pPr>
              <w:rPr>
                <w:color w:val="000000" w:themeColor="text1"/>
              </w:rPr>
            </w:pPr>
            <w:r w:rsidRPr="00503878">
              <w:rPr>
                <w:color w:val="000000" w:themeColor="text1"/>
              </w:rPr>
              <w:t>+$0.</w:t>
            </w:r>
            <w:r w:rsidR="00503878" w:rsidRPr="00503878">
              <w:rPr>
                <w:color w:val="000000" w:themeColor="text1"/>
              </w:rPr>
              <w:t>46</w:t>
            </w:r>
            <w:r w:rsidRPr="00503878">
              <w:rPr>
                <w:color w:val="000000" w:themeColor="text1"/>
              </w:rPr>
              <w:t>m</w:t>
            </w:r>
          </w:p>
        </w:tc>
      </w:tr>
      <w:tr w:rsidR="003C2317" w:rsidTr="003D221A">
        <w:tc>
          <w:tcPr>
            <w:tcW w:w="3005" w:type="dxa"/>
          </w:tcPr>
          <w:p w:rsidR="003C2317" w:rsidRDefault="003C2317" w:rsidP="003D221A">
            <w:r>
              <w:t>Net DALYs</w:t>
            </w:r>
          </w:p>
        </w:tc>
        <w:tc>
          <w:tcPr>
            <w:tcW w:w="3005" w:type="dxa"/>
          </w:tcPr>
          <w:p w:rsidR="003C2317" w:rsidRPr="00092C11" w:rsidRDefault="003C2317" w:rsidP="003D221A">
            <w:pPr>
              <w:rPr>
                <w:color w:val="000000" w:themeColor="text1"/>
              </w:rPr>
            </w:pPr>
            <w:r w:rsidRPr="00092C11">
              <w:rPr>
                <w:color w:val="000000" w:themeColor="text1"/>
              </w:rPr>
              <w:t>1,</w:t>
            </w:r>
            <w:r w:rsidR="00503878" w:rsidRPr="00092C11">
              <w:rPr>
                <w:color w:val="000000" w:themeColor="text1"/>
              </w:rPr>
              <w:t>792</w:t>
            </w:r>
            <w:r w:rsidRPr="00092C11">
              <w:rPr>
                <w:color w:val="000000" w:themeColor="text1"/>
              </w:rPr>
              <w:t>,</w:t>
            </w:r>
            <w:r w:rsidR="00092C11" w:rsidRPr="00092C11">
              <w:rPr>
                <w:color w:val="000000" w:themeColor="text1"/>
              </w:rPr>
              <w:t>842</w:t>
            </w:r>
          </w:p>
        </w:tc>
        <w:tc>
          <w:tcPr>
            <w:tcW w:w="3006" w:type="dxa"/>
          </w:tcPr>
          <w:p w:rsidR="003C2317" w:rsidRPr="00092C11" w:rsidRDefault="003C2317" w:rsidP="003D221A">
            <w:pPr>
              <w:rPr>
                <w:color w:val="000000" w:themeColor="text1"/>
              </w:rPr>
            </w:pPr>
            <w:r w:rsidRPr="00092C11">
              <w:rPr>
                <w:color w:val="000000" w:themeColor="text1"/>
              </w:rPr>
              <w:t>1,</w:t>
            </w:r>
            <w:r w:rsidR="00092C11" w:rsidRPr="00092C11">
              <w:rPr>
                <w:color w:val="000000" w:themeColor="text1"/>
              </w:rPr>
              <w:t>792,975</w:t>
            </w:r>
          </w:p>
        </w:tc>
      </w:tr>
      <w:tr w:rsidR="003C2317" w:rsidTr="003D221A">
        <w:tc>
          <w:tcPr>
            <w:tcW w:w="3005" w:type="dxa"/>
          </w:tcPr>
          <w:p w:rsidR="003C2317" w:rsidRDefault="003C2317" w:rsidP="003D221A">
            <w:r>
              <w:t>Difference in net DALYs*</w:t>
            </w:r>
          </w:p>
        </w:tc>
        <w:tc>
          <w:tcPr>
            <w:tcW w:w="3005" w:type="dxa"/>
          </w:tcPr>
          <w:p w:rsidR="003C2317" w:rsidRPr="003C2317" w:rsidRDefault="003C2317" w:rsidP="003D221A">
            <w:pPr>
              <w:rPr>
                <w:color w:val="4472C4" w:themeColor="accent1"/>
              </w:rPr>
            </w:pPr>
          </w:p>
        </w:tc>
        <w:tc>
          <w:tcPr>
            <w:tcW w:w="3006" w:type="dxa"/>
          </w:tcPr>
          <w:p w:rsidR="003C2317" w:rsidRPr="003C2317" w:rsidRDefault="003C2317" w:rsidP="003D221A">
            <w:pPr>
              <w:rPr>
                <w:color w:val="4472C4" w:themeColor="accent1"/>
              </w:rPr>
            </w:pPr>
            <w:r w:rsidRPr="00092C11">
              <w:rPr>
                <w:color w:val="000000" w:themeColor="text1"/>
              </w:rPr>
              <w:t>+1</w:t>
            </w:r>
            <w:r w:rsidR="00092C11" w:rsidRPr="00092C11">
              <w:rPr>
                <w:color w:val="000000" w:themeColor="text1"/>
              </w:rPr>
              <w:t>33</w:t>
            </w:r>
            <w:r w:rsidRPr="00092C11">
              <w:rPr>
                <w:color w:val="000000" w:themeColor="text1"/>
              </w:rPr>
              <w:t xml:space="preserve"> (standard error = 1</w:t>
            </w:r>
            <w:r w:rsidR="00092C11" w:rsidRPr="00092C11">
              <w:rPr>
                <w:color w:val="000000" w:themeColor="text1"/>
              </w:rPr>
              <w:t>053</w:t>
            </w:r>
            <w:r w:rsidRPr="00092C11">
              <w:rPr>
                <w:color w:val="000000" w:themeColor="text1"/>
              </w:rPr>
              <w:t>)</w:t>
            </w:r>
          </w:p>
        </w:tc>
      </w:tr>
    </w:tbl>
    <w:p w:rsidR="003C2317" w:rsidRDefault="003C2317" w:rsidP="003C2317">
      <w:r>
        <w:t xml:space="preserve">* discounted at 3% per annum </w:t>
      </w:r>
    </w:p>
    <w:p w:rsidR="003C2317" w:rsidRDefault="003C2317" w:rsidP="003C2317"/>
    <w:p w:rsidR="003C2317" w:rsidRDefault="003C2317">
      <w:r>
        <w:br w:type="page"/>
      </w:r>
    </w:p>
    <w:p w:rsidR="00271E07" w:rsidRPr="001C0989" w:rsidRDefault="00271E07" w:rsidP="00271E07">
      <w:pPr>
        <w:spacing w:line="276" w:lineRule="auto"/>
        <w:rPr>
          <w:b/>
          <w:color w:val="C00000"/>
          <w:sz w:val="20"/>
          <w:szCs w:val="20"/>
        </w:rPr>
      </w:pPr>
      <w:r w:rsidRPr="001C0989">
        <w:rPr>
          <w:b/>
          <w:color w:val="C00000"/>
          <w:sz w:val="20"/>
          <w:szCs w:val="20"/>
        </w:rPr>
        <w:lastRenderedPageBreak/>
        <w:t xml:space="preserve">Table 2 </w:t>
      </w:r>
      <w:r w:rsidR="003C2317" w:rsidRPr="001C0989">
        <w:rPr>
          <w:b/>
          <w:color w:val="C00000"/>
          <w:sz w:val="20"/>
          <w:szCs w:val="20"/>
        </w:rPr>
        <w:t>e</w:t>
      </w:r>
    </w:p>
    <w:tbl>
      <w:tblPr>
        <w:tblStyle w:val="TableGrid"/>
        <w:tblW w:w="0" w:type="auto"/>
        <w:tblCellMar>
          <w:top w:w="113" w:type="dxa"/>
          <w:bottom w:w="113" w:type="dxa"/>
        </w:tblCellMar>
        <w:tblLook w:val="04A0" w:firstRow="1" w:lastRow="0" w:firstColumn="1" w:lastColumn="0" w:noHBand="0" w:noVBand="1"/>
      </w:tblPr>
      <w:tblGrid>
        <w:gridCol w:w="3005"/>
        <w:gridCol w:w="3005"/>
        <w:gridCol w:w="3006"/>
      </w:tblGrid>
      <w:tr w:rsidR="00371A27" w:rsidTr="00922930">
        <w:tc>
          <w:tcPr>
            <w:tcW w:w="9016" w:type="dxa"/>
            <w:gridSpan w:val="3"/>
          </w:tcPr>
          <w:p w:rsidR="00963D28" w:rsidRPr="00371A27" w:rsidRDefault="00371A27" w:rsidP="00963D28">
            <w:pPr>
              <w:rPr>
                <w:b/>
              </w:rPr>
            </w:pPr>
            <w:r>
              <w:rPr>
                <w:b/>
              </w:rPr>
              <w:t>Single vs confirmed VL</w:t>
            </w:r>
            <w:r w:rsidR="001419E7">
              <w:rPr>
                <w:b/>
              </w:rPr>
              <w:t xml:space="preserve"> to determine failure</w:t>
            </w:r>
            <w:r w:rsidRPr="00371A27">
              <w:rPr>
                <w:b/>
              </w:rPr>
              <w:t>, in context of TLE 1</w:t>
            </w:r>
            <w:r w:rsidRPr="00371A27">
              <w:rPr>
                <w:b/>
                <w:vertAlign w:val="superscript"/>
              </w:rPr>
              <w:t>st</w:t>
            </w:r>
            <w:r w:rsidRPr="00371A27">
              <w:rPr>
                <w:b/>
              </w:rPr>
              <w:t xml:space="preserve"> line regimen</w:t>
            </w:r>
            <w:r w:rsidR="00DF184F">
              <w:rPr>
                <w:b/>
              </w:rPr>
              <w:t>.  C</w:t>
            </w:r>
            <w:r w:rsidR="005E478F">
              <w:rPr>
                <w:b/>
              </w:rPr>
              <w:t>ontext</w:t>
            </w:r>
            <w:r w:rsidR="00DF184F">
              <w:rPr>
                <w:b/>
              </w:rPr>
              <w:t xml:space="preserve">: </w:t>
            </w:r>
            <w:r w:rsidR="005E478F">
              <w:rPr>
                <w:b/>
              </w:rPr>
              <w:t xml:space="preserve">ART policy of </w:t>
            </w:r>
            <w:r w:rsidR="00963D28">
              <w:rPr>
                <w:b/>
              </w:rPr>
              <w:t xml:space="preserve">transition to </w:t>
            </w:r>
            <w:r w:rsidR="00D41250">
              <w:rPr>
                <w:b/>
              </w:rPr>
              <w:t>TLD in new initiat</w:t>
            </w:r>
            <w:r w:rsidR="005E478F">
              <w:rPr>
                <w:b/>
              </w:rPr>
              <w:t>ors made in 2019</w:t>
            </w:r>
            <w:r w:rsidR="00584FA2">
              <w:rPr>
                <w:b/>
              </w:rPr>
              <w:t>; ZLD is 2</w:t>
            </w:r>
            <w:r w:rsidR="00584FA2" w:rsidRPr="00584FA2">
              <w:rPr>
                <w:b/>
                <w:vertAlign w:val="superscript"/>
              </w:rPr>
              <w:t>nd</w:t>
            </w:r>
            <w:r w:rsidR="00584FA2">
              <w:rPr>
                <w:b/>
              </w:rPr>
              <w:t xml:space="preserve"> line regimen in people with TLE failure from 2019</w:t>
            </w:r>
            <w:r w:rsidR="00DF184F">
              <w:rPr>
                <w:b/>
              </w:rPr>
              <w:t>.  (n=50 setting scenarios)</w:t>
            </w:r>
          </w:p>
          <w:p w:rsidR="00371A27" w:rsidRPr="00371A27" w:rsidRDefault="00371A27" w:rsidP="00922930">
            <w:pPr>
              <w:rPr>
                <w:b/>
              </w:rPr>
            </w:pPr>
          </w:p>
        </w:tc>
      </w:tr>
      <w:tr w:rsidR="00371A27" w:rsidTr="00922930">
        <w:tc>
          <w:tcPr>
            <w:tcW w:w="3005" w:type="dxa"/>
          </w:tcPr>
          <w:p w:rsidR="00371A27" w:rsidRPr="00371A27" w:rsidRDefault="00371A27" w:rsidP="00922930">
            <w:pPr>
              <w:rPr>
                <w:b/>
              </w:rPr>
            </w:pPr>
            <w:r w:rsidRPr="00371A27">
              <w:rPr>
                <w:b/>
              </w:rPr>
              <w:t>Outcomes (mean over 3 month periods) over 20 years</w:t>
            </w:r>
          </w:p>
        </w:tc>
        <w:tc>
          <w:tcPr>
            <w:tcW w:w="3005" w:type="dxa"/>
          </w:tcPr>
          <w:p w:rsidR="00371A27" w:rsidRPr="00371A27" w:rsidRDefault="001419E7" w:rsidP="00922930">
            <w:pPr>
              <w:rPr>
                <w:b/>
              </w:rPr>
            </w:pPr>
            <w:r>
              <w:rPr>
                <w:b/>
              </w:rPr>
              <w:t>Confirmed VL</w:t>
            </w:r>
          </w:p>
        </w:tc>
        <w:tc>
          <w:tcPr>
            <w:tcW w:w="3006" w:type="dxa"/>
          </w:tcPr>
          <w:p w:rsidR="00371A27" w:rsidRPr="00371A27" w:rsidRDefault="001419E7" w:rsidP="00922930">
            <w:pPr>
              <w:rPr>
                <w:b/>
              </w:rPr>
            </w:pPr>
            <w:r>
              <w:rPr>
                <w:b/>
              </w:rPr>
              <w:t>Single VL</w:t>
            </w:r>
          </w:p>
        </w:tc>
      </w:tr>
      <w:tr w:rsidR="00ED74C4" w:rsidTr="00922930">
        <w:tc>
          <w:tcPr>
            <w:tcW w:w="3005" w:type="dxa"/>
          </w:tcPr>
          <w:p w:rsidR="00ED74C4" w:rsidRDefault="00584FA2" w:rsidP="00922930">
            <w:r w:rsidRPr="00004831">
              <w:t>Of people on ART, p</w:t>
            </w:r>
            <w:r>
              <w:t>ercent</w:t>
            </w:r>
            <w:r w:rsidRPr="00004831">
              <w:t xml:space="preserve"> on efavirenz</w:t>
            </w:r>
          </w:p>
        </w:tc>
        <w:tc>
          <w:tcPr>
            <w:tcW w:w="3005" w:type="dxa"/>
          </w:tcPr>
          <w:p w:rsidR="00ED74C4" w:rsidRDefault="002514C6" w:rsidP="00922930">
            <w:r>
              <w:t>41.9%</w:t>
            </w:r>
          </w:p>
        </w:tc>
        <w:tc>
          <w:tcPr>
            <w:tcW w:w="3006" w:type="dxa"/>
          </w:tcPr>
          <w:p w:rsidR="00ED74C4" w:rsidRDefault="002514C6" w:rsidP="00922930">
            <w:r>
              <w:t>37.6%</w:t>
            </w:r>
          </w:p>
        </w:tc>
      </w:tr>
      <w:tr w:rsidR="00584FA2" w:rsidTr="00922930">
        <w:tc>
          <w:tcPr>
            <w:tcW w:w="3005" w:type="dxa"/>
          </w:tcPr>
          <w:p w:rsidR="00584FA2" w:rsidRPr="00004831" w:rsidRDefault="000C46D9" w:rsidP="00922930">
            <w:r w:rsidRPr="00004831">
              <w:t>Of people on ART, p</w:t>
            </w:r>
            <w:r>
              <w:t>ercent</w:t>
            </w:r>
            <w:r w:rsidRPr="00004831">
              <w:t xml:space="preserve"> on </w:t>
            </w:r>
            <w:r>
              <w:t>dolutegravir</w:t>
            </w:r>
          </w:p>
        </w:tc>
        <w:tc>
          <w:tcPr>
            <w:tcW w:w="3005" w:type="dxa"/>
          </w:tcPr>
          <w:p w:rsidR="00584FA2" w:rsidRDefault="002514C6" w:rsidP="00922930">
            <w:r>
              <w:t>50.8%</w:t>
            </w:r>
          </w:p>
        </w:tc>
        <w:tc>
          <w:tcPr>
            <w:tcW w:w="3006" w:type="dxa"/>
          </w:tcPr>
          <w:p w:rsidR="00584FA2" w:rsidRDefault="002514C6" w:rsidP="00922930">
            <w:r>
              <w:t>55.1%</w:t>
            </w:r>
          </w:p>
        </w:tc>
      </w:tr>
      <w:tr w:rsidR="00650264" w:rsidTr="00922930">
        <w:tc>
          <w:tcPr>
            <w:tcW w:w="3005" w:type="dxa"/>
          </w:tcPr>
          <w:p w:rsidR="00650264" w:rsidRPr="00004831" w:rsidRDefault="00650264" w:rsidP="00922930">
            <w:r>
              <w:t>Proportion of people who have fulfilled criteria of 1</w:t>
            </w:r>
            <w:r w:rsidRPr="00650264">
              <w:rPr>
                <w:vertAlign w:val="superscript"/>
              </w:rPr>
              <w:t>st</w:t>
            </w:r>
            <w:r>
              <w:t xml:space="preserve"> line ART failure </w:t>
            </w:r>
          </w:p>
        </w:tc>
        <w:tc>
          <w:tcPr>
            <w:tcW w:w="3005" w:type="dxa"/>
          </w:tcPr>
          <w:p w:rsidR="00650264" w:rsidRDefault="00650264" w:rsidP="00922930">
            <w:r>
              <w:t>14.4%</w:t>
            </w:r>
          </w:p>
        </w:tc>
        <w:tc>
          <w:tcPr>
            <w:tcW w:w="3006" w:type="dxa"/>
          </w:tcPr>
          <w:p w:rsidR="00650264" w:rsidRDefault="00650264" w:rsidP="00922930">
            <w:r>
              <w:t>20.7%</w:t>
            </w:r>
          </w:p>
        </w:tc>
      </w:tr>
      <w:tr w:rsidR="00371A27" w:rsidTr="00922930">
        <w:tc>
          <w:tcPr>
            <w:tcW w:w="3005" w:type="dxa"/>
          </w:tcPr>
          <w:p w:rsidR="00371A27" w:rsidRDefault="00371A27" w:rsidP="00922930">
            <w:r>
              <w:t>Of people with who have ever started ART, proportion with current VL &lt; 1000</w:t>
            </w:r>
          </w:p>
        </w:tc>
        <w:tc>
          <w:tcPr>
            <w:tcW w:w="3005" w:type="dxa"/>
          </w:tcPr>
          <w:p w:rsidR="00371A27" w:rsidRDefault="00786E13" w:rsidP="00922930">
            <w:r>
              <w:t>79.1%</w:t>
            </w:r>
          </w:p>
        </w:tc>
        <w:tc>
          <w:tcPr>
            <w:tcW w:w="3006" w:type="dxa"/>
          </w:tcPr>
          <w:p w:rsidR="00371A27" w:rsidRDefault="00786E13" w:rsidP="00922930">
            <w:r>
              <w:t>80.0%</w:t>
            </w:r>
          </w:p>
        </w:tc>
      </w:tr>
      <w:tr w:rsidR="00371A27" w:rsidTr="00922930">
        <w:tc>
          <w:tcPr>
            <w:tcW w:w="3005" w:type="dxa"/>
          </w:tcPr>
          <w:p w:rsidR="00371A27" w:rsidRDefault="00371A27" w:rsidP="00922930">
            <w:r>
              <w:t>Of people on ART, proportion with current VL  &lt; 1000</w:t>
            </w:r>
          </w:p>
        </w:tc>
        <w:tc>
          <w:tcPr>
            <w:tcW w:w="3005" w:type="dxa"/>
          </w:tcPr>
          <w:p w:rsidR="00371A27" w:rsidRPr="00786E13" w:rsidRDefault="00786E13" w:rsidP="00922930">
            <w:r w:rsidRPr="00786E13">
              <w:t>87</w:t>
            </w:r>
            <w:r w:rsidR="002514C6" w:rsidRPr="00786E13">
              <w:t>.</w:t>
            </w:r>
            <w:r w:rsidRPr="00786E13">
              <w:t>6</w:t>
            </w:r>
            <w:r w:rsidR="002514C6" w:rsidRPr="00786E13">
              <w:t>%</w:t>
            </w:r>
          </w:p>
        </w:tc>
        <w:tc>
          <w:tcPr>
            <w:tcW w:w="3006" w:type="dxa"/>
          </w:tcPr>
          <w:p w:rsidR="00371A27" w:rsidRPr="00786E13" w:rsidRDefault="002514C6" w:rsidP="00922930">
            <w:r w:rsidRPr="00786E13">
              <w:t>8</w:t>
            </w:r>
            <w:r w:rsidR="00786E13" w:rsidRPr="00786E13">
              <w:t>9</w:t>
            </w:r>
            <w:r w:rsidRPr="00786E13">
              <w:t>.</w:t>
            </w:r>
            <w:r w:rsidR="00786E13" w:rsidRPr="00786E13">
              <w:t>2</w:t>
            </w:r>
            <w:r w:rsidRPr="00786E13">
              <w:t>%</w:t>
            </w:r>
          </w:p>
        </w:tc>
      </w:tr>
      <w:tr w:rsidR="00371A27" w:rsidTr="00922930">
        <w:tc>
          <w:tcPr>
            <w:tcW w:w="3005" w:type="dxa"/>
          </w:tcPr>
          <w:p w:rsidR="00371A27" w:rsidRDefault="00D00E45" w:rsidP="00922930">
            <w:r>
              <w:t>All cause death rate in people on ART</w:t>
            </w:r>
          </w:p>
        </w:tc>
        <w:tc>
          <w:tcPr>
            <w:tcW w:w="3005" w:type="dxa"/>
          </w:tcPr>
          <w:p w:rsidR="00371A27" w:rsidRPr="00D00E45" w:rsidRDefault="002514C6" w:rsidP="00922930">
            <w:pPr>
              <w:rPr>
                <w:color w:val="000000" w:themeColor="text1"/>
              </w:rPr>
            </w:pPr>
            <w:r w:rsidRPr="00D00E45">
              <w:rPr>
                <w:color w:val="000000" w:themeColor="text1"/>
              </w:rPr>
              <w:t>2.75</w:t>
            </w:r>
          </w:p>
        </w:tc>
        <w:tc>
          <w:tcPr>
            <w:tcW w:w="3006" w:type="dxa"/>
          </w:tcPr>
          <w:p w:rsidR="00371A27" w:rsidRPr="00D00E45" w:rsidRDefault="002514C6" w:rsidP="00922930">
            <w:pPr>
              <w:rPr>
                <w:color w:val="000000" w:themeColor="text1"/>
              </w:rPr>
            </w:pPr>
            <w:r w:rsidRPr="00D00E45">
              <w:rPr>
                <w:color w:val="000000" w:themeColor="text1"/>
              </w:rPr>
              <w:t>2.53</w:t>
            </w:r>
          </w:p>
        </w:tc>
      </w:tr>
      <w:tr w:rsidR="00371A27" w:rsidTr="00922930">
        <w:tc>
          <w:tcPr>
            <w:tcW w:w="3005" w:type="dxa"/>
          </w:tcPr>
          <w:p w:rsidR="00371A27" w:rsidRDefault="00371A27" w:rsidP="00922930">
            <w:r>
              <w:t>HIV death rate in all people with HIV</w:t>
            </w:r>
          </w:p>
        </w:tc>
        <w:tc>
          <w:tcPr>
            <w:tcW w:w="3005" w:type="dxa"/>
          </w:tcPr>
          <w:p w:rsidR="00371A27" w:rsidRDefault="002514C6" w:rsidP="00922930">
            <w:r>
              <w:t>1.</w:t>
            </w:r>
            <w:r w:rsidR="00FB6CB1">
              <w:t>70</w:t>
            </w:r>
          </w:p>
        </w:tc>
        <w:tc>
          <w:tcPr>
            <w:tcW w:w="3006" w:type="dxa"/>
          </w:tcPr>
          <w:p w:rsidR="00371A27" w:rsidRDefault="002514C6" w:rsidP="00922930">
            <w:r>
              <w:t>1.51</w:t>
            </w:r>
          </w:p>
        </w:tc>
      </w:tr>
      <w:tr w:rsidR="00242856" w:rsidTr="00922930">
        <w:tc>
          <w:tcPr>
            <w:tcW w:w="3005" w:type="dxa"/>
          </w:tcPr>
          <w:p w:rsidR="00242856" w:rsidRDefault="00242856" w:rsidP="00922930">
            <w:r>
              <w:t>DALYs incurred</w:t>
            </w:r>
          </w:p>
        </w:tc>
        <w:tc>
          <w:tcPr>
            <w:tcW w:w="3005" w:type="dxa"/>
          </w:tcPr>
          <w:p w:rsidR="00242856" w:rsidRDefault="00FB6CB1" w:rsidP="00922930">
            <w:r>
              <w:t>1,238,017</w:t>
            </w:r>
          </w:p>
        </w:tc>
        <w:tc>
          <w:tcPr>
            <w:tcW w:w="3006" w:type="dxa"/>
          </w:tcPr>
          <w:p w:rsidR="00242856" w:rsidRDefault="00FB6CB1" w:rsidP="00922930">
            <w:r>
              <w:t>1,227,204</w:t>
            </w:r>
          </w:p>
        </w:tc>
      </w:tr>
      <w:tr w:rsidR="00FB6CB1" w:rsidTr="00922930">
        <w:tc>
          <w:tcPr>
            <w:tcW w:w="3005" w:type="dxa"/>
          </w:tcPr>
          <w:p w:rsidR="00FB6CB1" w:rsidRDefault="00FB6CB1" w:rsidP="00FB6CB1">
            <w:r>
              <w:t>DALYs averted*</w:t>
            </w:r>
          </w:p>
        </w:tc>
        <w:tc>
          <w:tcPr>
            <w:tcW w:w="3005" w:type="dxa"/>
          </w:tcPr>
          <w:p w:rsidR="00FB6CB1" w:rsidRDefault="00FB6CB1" w:rsidP="00FB6CB1">
            <w:r>
              <w:t>----</w:t>
            </w:r>
          </w:p>
        </w:tc>
        <w:tc>
          <w:tcPr>
            <w:tcW w:w="3006" w:type="dxa"/>
          </w:tcPr>
          <w:p w:rsidR="00FB6CB1" w:rsidRDefault="00FB6CB1" w:rsidP="00FB6CB1">
            <w:r>
              <w:t>10,773</w:t>
            </w:r>
          </w:p>
        </w:tc>
      </w:tr>
      <w:tr w:rsidR="00FB6CB1" w:rsidTr="00922930">
        <w:tc>
          <w:tcPr>
            <w:tcW w:w="3005" w:type="dxa"/>
          </w:tcPr>
          <w:p w:rsidR="00FB6CB1" w:rsidRDefault="00FB6CB1" w:rsidP="00922930">
            <w:r>
              <w:t xml:space="preserve">Cost incurred </w:t>
            </w:r>
          </w:p>
        </w:tc>
        <w:tc>
          <w:tcPr>
            <w:tcW w:w="3005" w:type="dxa"/>
          </w:tcPr>
          <w:p w:rsidR="00FB6CB1" w:rsidRDefault="00FB6CB1" w:rsidP="00922930">
            <w:r>
              <w:t>$209.1m</w:t>
            </w:r>
          </w:p>
        </w:tc>
        <w:tc>
          <w:tcPr>
            <w:tcW w:w="3006" w:type="dxa"/>
          </w:tcPr>
          <w:p w:rsidR="00FB6CB1" w:rsidRDefault="00FB6CB1" w:rsidP="00922930">
            <w:r>
              <w:t>$210.4m</w:t>
            </w:r>
          </w:p>
        </w:tc>
      </w:tr>
      <w:tr w:rsidR="00371A27" w:rsidTr="00922930">
        <w:tc>
          <w:tcPr>
            <w:tcW w:w="3005" w:type="dxa"/>
          </w:tcPr>
          <w:p w:rsidR="00371A27" w:rsidRDefault="00371A27" w:rsidP="00922930">
            <w:r>
              <w:t>Difference in cost*</w:t>
            </w:r>
          </w:p>
        </w:tc>
        <w:tc>
          <w:tcPr>
            <w:tcW w:w="3005" w:type="dxa"/>
          </w:tcPr>
          <w:p w:rsidR="00371A27" w:rsidRDefault="00FB6CB1" w:rsidP="00922930">
            <w:r>
              <w:t>----</w:t>
            </w:r>
          </w:p>
        </w:tc>
        <w:tc>
          <w:tcPr>
            <w:tcW w:w="3006" w:type="dxa"/>
          </w:tcPr>
          <w:p w:rsidR="00371A27" w:rsidRDefault="00FB6CB1" w:rsidP="00922930">
            <w:r>
              <w:t>+$1.21m</w:t>
            </w:r>
          </w:p>
        </w:tc>
      </w:tr>
      <w:tr w:rsidR="00371A27" w:rsidTr="00922930">
        <w:tc>
          <w:tcPr>
            <w:tcW w:w="3005" w:type="dxa"/>
          </w:tcPr>
          <w:p w:rsidR="00371A27" w:rsidRDefault="00EE76BF" w:rsidP="00922930">
            <w:r>
              <w:t>Net DALYs</w:t>
            </w:r>
          </w:p>
        </w:tc>
        <w:tc>
          <w:tcPr>
            <w:tcW w:w="3005" w:type="dxa"/>
          </w:tcPr>
          <w:p w:rsidR="00371A27" w:rsidRDefault="00FB6CB1" w:rsidP="00922930">
            <w:r>
              <w:t>1,656,297</w:t>
            </w:r>
          </w:p>
        </w:tc>
        <w:tc>
          <w:tcPr>
            <w:tcW w:w="3006" w:type="dxa"/>
          </w:tcPr>
          <w:p w:rsidR="00371A27" w:rsidRDefault="00FB6CB1" w:rsidP="00922930">
            <w:r>
              <w:t>1,647,912</w:t>
            </w:r>
          </w:p>
        </w:tc>
      </w:tr>
      <w:tr w:rsidR="00EE76BF" w:rsidTr="00922930">
        <w:tc>
          <w:tcPr>
            <w:tcW w:w="3005" w:type="dxa"/>
          </w:tcPr>
          <w:p w:rsidR="00EE76BF" w:rsidRDefault="00EE76BF" w:rsidP="00922930">
            <w:r>
              <w:t>Difference in net DALYs*</w:t>
            </w:r>
          </w:p>
        </w:tc>
        <w:tc>
          <w:tcPr>
            <w:tcW w:w="3005" w:type="dxa"/>
          </w:tcPr>
          <w:p w:rsidR="00EE76BF" w:rsidRDefault="00FB6CB1" w:rsidP="00922930">
            <w:r>
              <w:t>----</w:t>
            </w:r>
          </w:p>
        </w:tc>
        <w:tc>
          <w:tcPr>
            <w:tcW w:w="3006" w:type="dxa"/>
          </w:tcPr>
          <w:p w:rsidR="00EE76BF" w:rsidRDefault="00FB6CB1" w:rsidP="00922930">
            <w:r>
              <w:t>-8385 (standard error = 1451)</w:t>
            </w:r>
          </w:p>
        </w:tc>
      </w:tr>
    </w:tbl>
    <w:p w:rsidR="00371A27" w:rsidRDefault="00371A27" w:rsidP="00371A27">
      <w:r>
        <w:t xml:space="preserve">* discounted at 3% per annum </w:t>
      </w:r>
    </w:p>
    <w:p w:rsidR="00830907" w:rsidRDefault="00830907" w:rsidP="00830907"/>
    <w:p w:rsidR="003C2317" w:rsidRDefault="003C2317">
      <w:r>
        <w:br w:type="page"/>
      </w:r>
    </w:p>
    <w:p w:rsidR="003C2317" w:rsidRPr="001C0989" w:rsidRDefault="003C2317" w:rsidP="003C2317">
      <w:pPr>
        <w:spacing w:line="276" w:lineRule="auto"/>
        <w:rPr>
          <w:b/>
          <w:color w:val="C00000"/>
          <w:sz w:val="20"/>
          <w:szCs w:val="20"/>
        </w:rPr>
      </w:pPr>
      <w:r w:rsidRPr="001C0989">
        <w:rPr>
          <w:b/>
          <w:color w:val="C00000"/>
          <w:sz w:val="20"/>
          <w:szCs w:val="20"/>
        </w:rPr>
        <w:lastRenderedPageBreak/>
        <w:t>Table 2 f</w:t>
      </w:r>
    </w:p>
    <w:tbl>
      <w:tblPr>
        <w:tblStyle w:val="TableGrid"/>
        <w:tblW w:w="0" w:type="auto"/>
        <w:tblCellMar>
          <w:top w:w="113" w:type="dxa"/>
          <w:bottom w:w="113" w:type="dxa"/>
        </w:tblCellMar>
        <w:tblLook w:val="04A0" w:firstRow="1" w:lastRow="0" w:firstColumn="1" w:lastColumn="0" w:noHBand="0" w:noVBand="1"/>
      </w:tblPr>
      <w:tblGrid>
        <w:gridCol w:w="3005"/>
        <w:gridCol w:w="3005"/>
        <w:gridCol w:w="3006"/>
      </w:tblGrid>
      <w:tr w:rsidR="003C2317" w:rsidTr="003D221A">
        <w:tc>
          <w:tcPr>
            <w:tcW w:w="9016" w:type="dxa"/>
            <w:gridSpan w:val="3"/>
          </w:tcPr>
          <w:p w:rsidR="003C2317" w:rsidRPr="00371A27" w:rsidRDefault="003C2317" w:rsidP="003D221A">
            <w:pPr>
              <w:rPr>
                <w:b/>
              </w:rPr>
            </w:pPr>
            <w:r>
              <w:rPr>
                <w:b/>
              </w:rPr>
              <w:t>Single vs confirmed VL to determine failure</w:t>
            </w:r>
            <w:r w:rsidRPr="00371A27">
              <w:rPr>
                <w:b/>
              </w:rPr>
              <w:t>, in context of TLE 1</w:t>
            </w:r>
            <w:r w:rsidRPr="00371A27">
              <w:rPr>
                <w:b/>
                <w:vertAlign w:val="superscript"/>
              </w:rPr>
              <w:t>st</w:t>
            </w:r>
            <w:r w:rsidRPr="00371A27">
              <w:rPr>
                <w:b/>
              </w:rPr>
              <w:t xml:space="preserve"> line regimen</w:t>
            </w:r>
            <w:r>
              <w:rPr>
                <w:b/>
              </w:rPr>
              <w:t xml:space="preserve"> for people with advanced HIV disease (CD4 count &lt; 200 or recent WHO stage 3 or 4 condition)</w:t>
            </w:r>
            <w:r w:rsidR="00DF184F">
              <w:rPr>
                <w:b/>
              </w:rPr>
              <w:t xml:space="preserve">.  Context: </w:t>
            </w:r>
            <w:r>
              <w:rPr>
                <w:b/>
              </w:rPr>
              <w:t>ART policy of transition to TLD in new initiators made in 2019; ZLD is 2</w:t>
            </w:r>
            <w:r w:rsidRPr="00584FA2">
              <w:rPr>
                <w:b/>
                <w:vertAlign w:val="superscript"/>
              </w:rPr>
              <w:t>nd</w:t>
            </w:r>
            <w:r>
              <w:rPr>
                <w:b/>
              </w:rPr>
              <w:t xml:space="preserve"> line regimen in people with TLE failure from 2019</w:t>
            </w:r>
            <w:r w:rsidR="00DF184F">
              <w:rPr>
                <w:b/>
              </w:rPr>
              <w:t>.  (n=50 setting scenarios)</w:t>
            </w:r>
          </w:p>
          <w:p w:rsidR="003C2317" w:rsidRPr="00371A27" w:rsidRDefault="003C2317" w:rsidP="003D221A">
            <w:pPr>
              <w:rPr>
                <w:b/>
              </w:rPr>
            </w:pPr>
          </w:p>
        </w:tc>
      </w:tr>
      <w:tr w:rsidR="003C2317" w:rsidTr="003D221A">
        <w:tc>
          <w:tcPr>
            <w:tcW w:w="3005" w:type="dxa"/>
          </w:tcPr>
          <w:p w:rsidR="003C2317" w:rsidRPr="00371A27" w:rsidRDefault="003C2317" w:rsidP="003D221A">
            <w:pPr>
              <w:rPr>
                <w:b/>
              </w:rPr>
            </w:pPr>
            <w:r w:rsidRPr="00371A27">
              <w:rPr>
                <w:b/>
              </w:rPr>
              <w:t>Outcomes (mean over 3 month periods) over 20 years</w:t>
            </w:r>
          </w:p>
        </w:tc>
        <w:tc>
          <w:tcPr>
            <w:tcW w:w="3005" w:type="dxa"/>
          </w:tcPr>
          <w:p w:rsidR="003C2317" w:rsidRPr="00371A27" w:rsidRDefault="003C2317" w:rsidP="003D221A">
            <w:pPr>
              <w:rPr>
                <w:b/>
              </w:rPr>
            </w:pPr>
            <w:r>
              <w:rPr>
                <w:b/>
              </w:rPr>
              <w:t>Confirmed VL</w:t>
            </w:r>
          </w:p>
        </w:tc>
        <w:tc>
          <w:tcPr>
            <w:tcW w:w="3006" w:type="dxa"/>
          </w:tcPr>
          <w:p w:rsidR="003C2317" w:rsidRPr="00371A27" w:rsidRDefault="003C2317" w:rsidP="003D221A">
            <w:pPr>
              <w:rPr>
                <w:b/>
              </w:rPr>
            </w:pPr>
            <w:r>
              <w:rPr>
                <w:b/>
              </w:rPr>
              <w:t>Single VL</w:t>
            </w:r>
          </w:p>
        </w:tc>
      </w:tr>
      <w:tr w:rsidR="003C2317" w:rsidTr="003D221A">
        <w:tc>
          <w:tcPr>
            <w:tcW w:w="3005" w:type="dxa"/>
          </w:tcPr>
          <w:p w:rsidR="003C2317" w:rsidRDefault="003C2317" w:rsidP="003D221A">
            <w:r w:rsidRPr="00004831">
              <w:t>Of people on ART, p</w:t>
            </w:r>
            <w:r>
              <w:t>ercent</w:t>
            </w:r>
            <w:r w:rsidRPr="00004831">
              <w:t xml:space="preserve"> on efavirenz</w:t>
            </w:r>
          </w:p>
        </w:tc>
        <w:tc>
          <w:tcPr>
            <w:tcW w:w="3005" w:type="dxa"/>
          </w:tcPr>
          <w:p w:rsidR="003C2317" w:rsidRPr="001F3018" w:rsidRDefault="003C2317" w:rsidP="003D221A">
            <w:pPr>
              <w:rPr>
                <w:color w:val="000000" w:themeColor="text1"/>
              </w:rPr>
            </w:pPr>
            <w:r w:rsidRPr="001F3018">
              <w:rPr>
                <w:color w:val="000000" w:themeColor="text1"/>
              </w:rPr>
              <w:t>41.</w:t>
            </w:r>
            <w:r w:rsidR="001F3018" w:rsidRPr="001F3018">
              <w:rPr>
                <w:color w:val="000000" w:themeColor="text1"/>
              </w:rPr>
              <w:t>4</w:t>
            </w:r>
            <w:r w:rsidRPr="001F3018">
              <w:rPr>
                <w:color w:val="000000" w:themeColor="text1"/>
              </w:rPr>
              <w:t>%</w:t>
            </w:r>
          </w:p>
        </w:tc>
        <w:tc>
          <w:tcPr>
            <w:tcW w:w="3006" w:type="dxa"/>
          </w:tcPr>
          <w:p w:rsidR="003C2317" w:rsidRPr="001F3018" w:rsidRDefault="001F3018" w:rsidP="003D221A">
            <w:pPr>
              <w:rPr>
                <w:color w:val="000000" w:themeColor="text1"/>
              </w:rPr>
            </w:pPr>
            <w:r w:rsidRPr="001F3018">
              <w:rPr>
                <w:color w:val="000000" w:themeColor="text1"/>
              </w:rPr>
              <w:t>40</w:t>
            </w:r>
            <w:r w:rsidR="003C2317" w:rsidRPr="001F3018">
              <w:rPr>
                <w:color w:val="000000" w:themeColor="text1"/>
              </w:rPr>
              <w:t>.</w:t>
            </w:r>
            <w:r w:rsidRPr="001F3018">
              <w:rPr>
                <w:color w:val="000000" w:themeColor="text1"/>
              </w:rPr>
              <w:t>1</w:t>
            </w:r>
            <w:r w:rsidR="003C2317" w:rsidRPr="001F3018">
              <w:rPr>
                <w:color w:val="000000" w:themeColor="text1"/>
              </w:rPr>
              <w:t>%</w:t>
            </w:r>
          </w:p>
        </w:tc>
      </w:tr>
      <w:tr w:rsidR="003C2317" w:rsidTr="003D221A">
        <w:tc>
          <w:tcPr>
            <w:tcW w:w="3005" w:type="dxa"/>
          </w:tcPr>
          <w:p w:rsidR="003C2317" w:rsidRPr="00004831" w:rsidRDefault="003C2317" w:rsidP="003D221A">
            <w:r w:rsidRPr="00004831">
              <w:t>Of people on ART, p</w:t>
            </w:r>
            <w:r>
              <w:t>ercent</w:t>
            </w:r>
            <w:r w:rsidRPr="00004831">
              <w:t xml:space="preserve"> on </w:t>
            </w:r>
            <w:r>
              <w:t>dolutegravir</w:t>
            </w:r>
          </w:p>
        </w:tc>
        <w:tc>
          <w:tcPr>
            <w:tcW w:w="3005" w:type="dxa"/>
          </w:tcPr>
          <w:p w:rsidR="003C2317" w:rsidRPr="001F3018" w:rsidRDefault="003C2317" w:rsidP="003D221A">
            <w:pPr>
              <w:rPr>
                <w:color w:val="000000" w:themeColor="text1"/>
              </w:rPr>
            </w:pPr>
            <w:r w:rsidRPr="001F3018">
              <w:rPr>
                <w:color w:val="000000" w:themeColor="text1"/>
              </w:rPr>
              <w:t>5</w:t>
            </w:r>
            <w:r w:rsidR="001F3018" w:rsidRPr="001F3018">
              <w:rPr>
                <w:color w:val="000000" w:themeColor="text1"/>
              </w:rPr>
              <w:t>1</w:t>
            </w:r>
            <w:r w:rsidRPr="001F3018">
              <w:rPr>
                <w:color w:val="000000" w:themeColor="text1"/>
              </w:rPr>
              <w:t>.</w:t>
            </w:r>
            <w:r w:rsidR="001F3018" w:rsidRPr="001F3018">
              <w:rPr>
                <w:color w:val="000000" w:themeColor="text1"/>
              </w:rPr>
              <w:t>6</w:t>
            </w:r>
            <w:r w:rsidRPr="001F3018">
              <w:rPr>
                <w:color w:val="000000" w:themeColor="text1"/>
              </w:rPr>
              <w:t>%</w:t>
            </w:r>
          </w:p>
        </w:tc>
        <w:tc>
          <w:tcPr>
            <w:tcW w:w="3006" w:type="dxa"/>
          </w:tcPr>
          <w:p w:rsidR="003C2317" w:rsidRPr="001F3018" w:rsidRDefault="003C2317" w:rsidP="003D221A">
            <w:pPr>
              <w:rPr>
                <w:color w:val="000000" w:themeColor="text1"/>
              </w:rPr>
            </w:pPr>
            <w:r w:rsidRPr="001F3018">
              <w:rPr>
                <w:color w:val="000000" w:themeColor="text1"/>
              </w:rPr>
              <w:t>5</w:t>
            </w:r>
            <w:r w:rsidR="001F3018" w:rsidRPr="001F3018">
              <w:rPr>
                <w:color w:val="000000" w:themeColor="text1"/>
              </w:rPr>
              <w:t>2</w:t>
            </w:r>
            <w:r w:rsidRPr="001F3018">
              <w:rPr>
                <w:color w:val="000000" w:themeColor="text1"/>
              </w:rPr>
              <w:t>.</w:t>
            </w:r>
            <w:r w:rsidR="001F3018" w:rsidRPr="001F3018">
              <w:rPr>
                <w:color w:val="000000" w:themeColor="text1"/>
              </w:rPr>
              <w:t>4</w:t>
            </w:r>
            <w:r w:rsidRPr="001F3018">
              <w:rPr>
                <w:color w:val="000000" w:themeColor="text1"/>
              </w:rPr>
              <w:t>%</w:t>
            </w:r>
          </w:p>
        </w:tc>
      </w:tr>
      <w:tr w:rsidR="003C2317" w:rsidTr="003D221A">
        <w:tc>
          <w:tcPr>
            <w:tcW w:w="3005" w:type="dxa"/>
          </w:tcPr>
          <w:p w:rsidR="003C2317" w:rsidRPr="00004831" w:rsidRDefault="003C2317" w:rsidP="003D221A">
            <w:r>
              <w:t>Proportion of people who have fulfilled criteria of 1</w:t>
            </w:r>
            <w:r w:rsidRPr="00650264">
              <w:rPr>
                <w:vertAlign w:val="superscript"/>
              </w:rPr>
              <w:t>st</w:t>
            </w:r>
            <w:r>
              <w:t xml:space="preserve"> line ART failure </w:t>
            </w:r>
          </w:p>
        </w:tc>
        <w:tc>
          <w:tcPr>
            <w:tcW w:w="3005" w:type="dxa"/>
          </w:tcPr>
          <w:p w:rsidR="003C2317" w:rsidRPr="001F3018" w:rsidRDefault="003C2317" w:rsidP="003D221A">
            <w:pPr>
              <w:rPr>
                <w:color w:val="000000" w:themeColor="text1"/>
              </w:rPr>
            </w:pPr>
            <w:r w:rsidRPr="001F3018">
              <w:rPr>
                <w:color w:val="000000" w:themeColor="text1"/>
              </w:rPr>
              <w:t>1</w:t>
            </w:r>
            <w:r w:rsidR="001F3018" w:rsidRPr="001F3018">
              <w:rPr>
                <w:color w:val="000000" w:themeColor="text1"/>
              </w:rPr>
              <w:t>3</w:t>
            </w:r>
            <w:r w:rsidRPr="001F3018">
              <w:rPr>
                <w:color w:val="000000" w:themeColor="text1"/>
              </w:rPr>
              <w:t>.</w:t>
            </w:r>
            <w:r w:rsidR="001F3018" w:rsidRPr="001F3018">
              <w:rPr>
                <w:color w:val="000000" w:themeColor="text1"/>
              </w:rPr>
              <w:t>3</w:t>
            </w:r>
            <w:r w:rsidRPr="001F3018">
              <w:rPr>
                <w:color w:val="000000" w:themeColor="text1"/>
              </w:rPr>
              <w:t>%</w:t>
            </w:r>
          </w:p>
        </w:tc>
        <w:tc>
          <w:tcPr>
            <w:tcW w:w="3006" w:type="dxa"/>
          </w:tcPr>
          <w:p w:rsidR="003C2317" w:rsidRPr="001F3018" w:rsidRDefault="001F3018" w:rsidP="003D221A">
            <w:pPr>
              <w:rPr>
                <w:color w:val="000000" w:themeColor="text1"/>
              </w:rPr>
            </w:pPr>
            <w:r w:rsidRPr="001F3018">
              <w:rPr>
                <w:color w:val="000000" w:themeColor="text1"/>
              </w:rPr>
              <w:t>16</w:t>
            </w:r>
            <w:r w:rsidR="003C2317" w:rsidRPr="001F3018">
              <w:rPr>
                <w:color w:val="000000" w:themeColor="text1"/>
              </w:rPr>
              <w:t>.</w:t>
            </w:r>
            <w:r w:rsidRPr="001F3018">
              <w:rPr>
                <w:color w:val="000000" w:themeColor="text1"/>
              </w:rPr>
              <w:t>5</w:t>
            </w:r>
            <w:r w:rsidR="003C2317" w:rsidRPr="001F3018">
              <w:rPr>
                <w:color w:val="000000" w:themeColor="text1"/>
              </w:rPr>
              <w:t>%</w:t>
            </w:r>
          </w:p>
        </w:tc>
      </w:tr>
      <w:tr w:rsidR="003C2317" w:rsidTr="003D221A">
        <w:tc>
          <w:tcPr>
            <w:tcW w:w="3005" w:type="dxa"/>
          </w:tcPr>
          <w:p w:rsidR="003C2317" w:rsidRDefault="003C2317" w:rsidP="003D221A">
            <w:r>
              <w:t>Of people with who have ever started ART, proportion with current VL &lt; 1000</w:t>
            </w:r>
          </w:p>
        </w:tc>
        <w:tc>
          <w:tcPr>
            <w:tcW w:w="3005" w:type="dxa"/>
          </w:tcPr>
          <w:p w:rsidR="003C2317" w:rsidRPr="001F3018" w:rsidRDefault="003C2317" w:rsidP="003D221A">
            <w:pPr>
              <w:rPr>
                <w:color w:val="000000" w:themeColor="text1"/>
              </w:rPr>
            </w:pPr>
            <w:r w:rsidRPr="001F3018">
              <w:rPr>
                <w:color w:val="000000" w:themeColor="text1"/>
              </w:rPr>
              <w:t>79.</w:t>
            </w:r>
            <w:r w:rsidR="001F3018" w:rsidRPr="001F3018">
              <w:rPr>
                <w:color w:val="000000" w:themeColor="text1"/>
              </w:rPr>
              <w:t>6</w:t>
            </w:r>
            <w:r w:rsidRPr="001F3018">
              <w:rPr>
                <w:color w:val="000000" w:themeColor="text1"/>
              </w:rPr>
              <w:t>%</w:t>
            </w:r>
          </w:p>
        </w:tc>
        <w:tc>
          <w:tcPr>
            <w:tcW w:w="3006" w:type="dxa"/>
          </w:tcPr>
          <w:p w:rsidR="003C2317" w:rsidRPr="001F3018" w:rsidRDefault="001F3018" w:rsidP="003D221A">
            <w:pPr>
              <w:rPr>
                <w:color w:val="000000" w:themeColor="text1"/>
              </w:rPr>
            </w:pPr>
            <w:r w:rsidRPr="001F3018">
              <w:rPr>
                <w:color w:val="000000" w:themeColor="text1"/>
              </w:rPr>
              <w:t>79.9</w:t>
            </w:r>
            <w:r w:rsidR="003C2317" w:rsidRPr="001F3018">
              <w:rPr>
                <w:color w:val="000000" w:themeColor="text1"/>
              </w:rPr>
              <w:t>%</w:t>
            </w:r>
          </w:p>
        </w:tc>
      </w:tr>
      <w:tr w:rsidR="003C2317" w:rsidTr="003D221A">
        <w:tc>
          <w:tcPr>
            <w:tcW w:w="3005" w:type="dxa"/>
          </w:tcPr>
          <w:p w:rsidR="003C2317" w:rsidRDefault="003C2317" w:rsidP="003D221A">
            <w:r>
              <w:t>Of people on ART, proportion with current VL  &lt; 1000</w:t>
            </w:r>
          </w:p>
        </w:tc>
        <w:tc>
          <w:tcPr>
            <w:tcW w:w="3005" w:type="dxa"/>
          </w:tcPr>
          <w:p w:rsidR="003C2317" w:rsidRPr="00EF45D5" w:rsidRDefault="003C2317" w:rsidP="003D221A">
            <w:pPr>
              <w:rPr>
                <w:color w:val="000000" w:themeColor="text1"/>
              </w:rPr>
            </w:pPr>
            <w:r w:rsidRPr="00EF45D5">
              <w:rPr>
                <w:color w:val="000000" w:themeColor="text1"/>
              </w:rPr>
              <w:t>8</w:t>
            </w:r>
            <w:r w:rsidR="00EF45D5" w:rsidRPr="00EF45D5">
              <w:rPr>
                <w:color w:val="000000" w:themeColor="text1"/>
              </w:rPr>
              <w:t>7</w:t>
            </w:r>
            <w:r w:rsidRPr="00EF45D5">
              <w:rPr>
                <w:color w:val="000000" w:themeColor="text1"/>
              </w:rPr>
              <w:t>.</w:t>
            </w:r>
            <w:r w:rsidR="00EF45D5" w:rsidRPr="00EF45D5">
              <w:rPr>
                <w:color w:val="000000" w:themeColor="text1"/>
              </w:rPr>
              <w:t>6</w:t>
            </w:r>
            <w:r w:rsidRPr="00EF45D5">
              <w:rPr>
                <w:color w:val="000000" w:themeColor="text1"/>
              </w:rPr>
              <w:t>%</w:t>
            </w:r>
          </w:p>
        </w:tc>
        <w:tc>
          <w:tcPr>
            <w:tcW w:w="3006" w:type="dxa"/>
          </w:tcPr>
          <w:p w:rsidR="003C2317" w:rsidRPr="00EF45D5" w:rsidRDefault="003C2317" w:rsidP="003D221A">
            <w:pPr>
              <w:rPr>
                <w:color w:val="000000" w:themeColor="text1"/>
              </w:rPr>
            </w:pPr>
            <w:r w:rsidRPr="00EF45D5">
              <w:rPr>
                <w:color w:val="000000" w:themeColor="text1"/>
              </w:rPr>
              <w:t>8</w:t>
            </w:r>
            <w:r w:rsidR="00EF45D5" w:rsidRPr="00EF45D5">
              <w:rPr>
                <w:color w:val="000000" w:themeColor="text1"/>
              </w:rPr>
              <w:t>8.2</w:t>
            </w:r>
            <w:r w:rsidRPr="00EF45D5">
              <w:rPr>
                <w:color w:val="000000" w:themeColor="text1"/>
              </w:rPr>
              <w:t>%</w:t>
            </w:r>
          </w:p>
        </w:tc>
      </w:tr>
      <w:tr w:rsidR="003C2317" w:rsidTr="003D221A">
        <w:tc>
          <w:tcPr>
            <w:tcW w:w="3005" w:type="dxa"/>
          </w:tcPr>
          <w:p w:rsidR="003C2317" w:rsidRDefault="003C2317" w:rsidP="003D221A">
            <w:r>
              <w:t>All cause death rate in people on ART</w:t>
            </w:r>
          </w:p>
        </w:tc>
        <w:tc>
          <w:tcPr>
            <w:tcW w:w="3005" w:type="dxa"/>
          </w:tcPr>
          <w:p w:rsidR="003C2317" w:rsidRPr="00EF45D5" w:rsidRDefault="003C2317" w:rsidP="003D221A">
            <w:pPr>
              <w:rPr>
                <w:color w:val="000000" w:themeColor="text1"/>
              </w:rPr>
            </w:pPr>
            <w:r w:rsidRPr="00EF45D5">
              <w:rPr>
                <w:color w:val="000000" w:themeColor="text1"/>
              </w:rPr>
              <w:t>2.75</w:t>
            </w:r>
          </w:p>
        </w:tc>
        <w:tc>
          <w:tcPr>
            <w:tcW w:w="3006" w:type="dxa"/>
          </w:tcPr>
          <w:p w:rsidR="003C2317" w:rsidRPr="00EF45D5" w:rsidRDefault="003C2317" w:rsidP="003D221A">
            <w:pPr>
              <w:rPr>
                <w:color w:val="000000" w:themeColor="text1"/>
              </w:rPr>
            </w:pPr>
            <w:r w:rsidRPr="00EF45D5">
              <w:rPr>
                <w:color w:val="000000" w:themeColor="text1"/>
              </w:rPr>
              <w:t>2.5</w:t>
            </w:r>
            <w:r w:rsidR="00EF45D5" w:rsidRPr="00EF45D5">
              <w:rPr>
                <w:color w:val="000000" w:themeColor="text1"/>
              </w:rPr>
              <w:t>4</w:t>
            </w:r>
          </w:p>
        </w:tc>
      </w:tr>
      <w:tr w:rsidR="003C2317" w:rsidTr="003D221A">
        <w:tc>
          <w:tcPr>
            <w:tcW w:w="3005" w:type="dxa"/>
          </w:tcPr>
          <w:p w:rsidR="003C2317" w:rsidRDefault="003C2317" w:rsidP="003D221A">
            <w:r>
              <w:t>HIV death rate in all people with HIV</w:t>
            </w:r>
          </w:p>
        </w:tc>
        <w:tc>
          <w:tcPr>
            <w:tcW w:w="3005" w:type="dxa"/>
          </w:tcPr>
          <w:p w:rsidR="003C2317" w:rsidRPr="00EF45D5" w:rsidRDefault="003C2317" w:rsidP="003D221A">
            <w:pPr>
              <w:rPr>
                <w:color w:val="000000" w:themeColor="text1"/>
              </w:rPr>
            </w:pPr>
            <w:r w:rsidRPr="00EF45D5">
              <w:rPr>
                <w:color w:val="000000" w:themeColor="text1"/>
              </w:rPr>
              <w:t>1.</w:t>
            </w:r>
            <w:r w:rsidR="00EF45D5" w:rsidRPr="00EF45D5">
              <w:rPr>
                <w:color w:val="000000" w:themeColor="text1"/>
              </w:rPr>
              <w:t>66</w:t>
            </w:r>
          </w:p>
        </w:tc>
        <w:tc>
          <w:tcPr>
            <w:tcW w:w="3006" w:type="dxa"/>
          </w:tcPr>
          <w:p w:rsidR="003C2317" w:rsidRPr="00EF45D5" w:rsidRDefault="003C2317" w:rsidP="003D221A">
            <w:pPr>
              <w:rPr>
                <w:color w:val="000000" w:themeColor="text1"/>
              </w:rPr>
            </w:pPr>
            <w:r w:rsidRPr="00EF45D5">
              <w:rPr>
                <w:color w:val="000000" w:themeColor="text1"/>
              </w:rPr>
              <w:t>1.</w:t>
            </w:r>
            <w:r w:rsidR="00EF45D5" w:rsidRPr="00EF45D5">
              <w:rPr>
                <w:color w:val="000000" w:themeColor="text1"/>
              </w:rPr>
              <w:t>49</w:t>
            </w:r>
          </w:p>
        </w:tc>
      </w:tr>
      <w:tr w:rsidR="003C2317" w:rsidTr="003D221A">
        <w:tc>
          <w:tcPr>
            <w:tcW w:w="3005" w:type="dxa"/>
          </w:tcPr>
          <w:p w:rsidR="003C2317" w:rsidRDefault="003C2317" w:rsidP="003D221A">
            <w:r>
              <w:t>DALYs incurred</w:t>
            </w:r>
          </w:p>
        </w:tc>
        <w:tc>
          <w:tcPr>
            <w:tcW w:w="3005" w:type="dxa"/>
          </w:tcPr>
          <w:p w:rsidR="003C2317" w:rsidRPr="003C2317" w:rsidRDefault="00EF45D5" w:rsidP="003D221A">
            <w:pPr>
              <w:rPr>
                <w:color w:val="4472C4" w:themeColor="accent1"/>
              </w:rPr>
            </w:pPr>
            <w:r>
              <w:t>1,254,337</w:t>
            </w:r>
          </w:p>
        </w:tc>
        <w:tc>
          <w:tcPr>
            <w:tcW w:w="3006" w:type="dxa"/>
          </w:tcPr>
          <w:p w:rsidR="00EF45D5" w:rsidRPr="00EF45D5" w:rsidRDefault="00EF45D5" w:rsidP="003D221A">
            <w:r>
              <w:t>1,243,444</w:t>
            </w:r>
          </w:p>
        </w:tc>
      </w:tr>
      <w:tr w:rsidR="003C2317" w:rsidTr="003D221A">
        <w:tc>
          <w:tcPr>
            <w:tcW w:w="3005" w:type="dxa"/>
          </w:tcPr>
          <w:p w:rsidR="003C2317" w:rsidRDefault="003C2317" w:rsidP="003D221A">
            <w:r>
              <w:t>DALYs averted*</w:t>
            </w:r>
          </w:p>
        </w:tc>
        <w:tc>
          <w:tcPr>
            <w:tcW w:w="3005" w:type="dxa"/>
          </w:tcPr>
          <w:p w:rsidR="003C2317" w:rsidRPr="00EF45D5" w:rsidRDefault="003C2317" w:rsidP="003D221A">
            <w:pPr>
              <w:rPr>
                <w:color w:val="000000" w:themeColor="text1"/>
              </w:rPr>
            </w:pPr>
            <w:r w:rsidRPr="00EF45D5">
              <w:rPr>
                <w:color w:val="000000" w:themeColor="text1"/>
              </w:rPr>
              <w:t>----</w:t>
            </w:r>
          </w:p>
        </w:tc>
        <w:tc>
          <w:tcPr>
            <w:tcW w:w="3006" w:type="dxa"/>
          </w:tcPr>
          <w:p w:rsidR="003C2317" w:rsidRPr="00EF45D5" w:rsidRDefault="003C2317" w:rsidP="003D221A">
            <w:pPr>
              <w:rPr>
                <w:color w:val="000000" w:themeColor="text1"/>
              </w:rPr>
            </w:pPr>
            <w:r w:rsidRPr="00EF45D5">
              <w:rPr>
                <w:color w:val="000000" w:themeColor="text1"/>
              </w:rPr>
              <w:t>10</w:t>
            </w:r>
            <w:r w:rsidR="00EF45D5" w:rsidRPr="00EF45D5">
              <w:rPr>
                <w:color w:val="000000" w:themeColor="text1"/>
              </w:rPr>
              <w:t>,931</w:t>
            </w:r>
          </w:p>
        </w:tc>
      </w:tr>
      <w:tr w:rsidR="003C2317" w:rsidTr="003D221A">
        <w:tc>
          <w:tcPr>
            <w:tcW w:w="3005" w:type="dxa"/>
          </w:tcPr>
          <w:p w:rsidR="003C2317" w:rsidRDefault="003C2317" w:rsidP="003D221A">
            <w:r>
              <w:t xml:space="preserve">Cost incurred </w:t>
            </w:r>
          </w:p>
        </w:tc>
        <w:tc>
          <w:tcPr>
            <w:tcW w:w="3005" w:type="dxa"/>
          </w:tcPr>
          <w:p w:rsidR="003C2317" w:rsidRPr="00EF45D5" w:rsidRDefault="003C2317" w:rsidP="003D221A">
            <w:pPr>
              <w:rPr>
                <w:color w:val="000000" w:themeColor="text1"/>
              </w:rPr>
            </w:pPr>
            <w:r w:rsidRPr="00EF45D5">
              <w:rPr>
                <w:color w:val="000000" w:themeColor="text1"/>
              </w:rPr>
              <w:t>$</w:t>
            </w:r>
            <w:r w:rsidR="00EF45D5" w:rsidRPr="00EF45D5">
              <w:rPr>
                <w:color w:val="000000" w:themeColor="text1"/>
              </w:rPr>
              <w:t>248</w:t>
            </w:r>
            <w:r w:rsidRPr="00EF45D5">
              <w:rPr>
                <w:color w:val="000000" w:themeColor="text1"/>
              </w:rPr>
              <w:t>.</w:t>
            </w:r>
            <w:r w:rsidR="00EF45D5" w:rsidRPr="00EF45D5">
              <w:rPr>
                <w:color w:val="000000" w:themeColor="text1"/>
              </w:rPr>
              <w:t>6</w:t>
            </w:r>
            <w:r w:rsidRPr="00EF45D5">
              <w:rPr>
                <w:color w:val="000000" w:themeColor="text1"/>
              </w:rPr>
              <w:t>m</w:t>
            </w:r>
          </w:p>
        </w:tc>
        <w:tc>
          <w:tcPr>
            <w:tcW w:w="3006" w:type="dxa"/>
          </w:tcPr>
          <w:p w:rsidR="003C2317" w:rsidRPr="00EF45D5" w:rsidRDefault="003C2317" w:rsidP="003D221A">
            <w:pPr>
              <w:rPr>
                <w:color w:val="000000" w:themeColor="text1"/>
              </w:rPr>
            </w:pPr>
            <w:r w:rsidRPr="00EF45D5">
              <w:rPr>
                <w:color w:val="000000" w:themeColor="text1"/>
              </w:rPr>
              <w:t>$2</w:t>
            </w:r>
            <w:r w:rsidR="00EF45D5" w:rsidRPr="00EF45D5">
              <w:rPr>
                <w:color w:val="000000" w:themeColor="text1"/>
              </w:rPr>
              <w:t>51</w:t>
            </w:r>
            <w:r w:rsidRPr="00EF45D5">
              <w:rPr>
                <w:color w:val="000000" w:themeColor="text1"/>
              </w:rPr>
              <w:t>.4m</w:t>
            </w:r>
          </w:p>
        </w:tc>
      </w:tr>
      <w:tr w:rsidR="003C2317" w:rsidTr="003D221A">
        <w:tc>
          <w:tcPr>
            <w:tcW w:w="3005" w:type="dxa"/>
          </w:tcPr>
          <w:p w:rsidR="003C2317" w:rsidRDefault="003C2317" w:rsidP="003D221A">
            <w:r>
              <w:t>Difference in cost*</w:t>
            </w:r>
          </w:p>
        </w:tc>
        <w:tc>
          <w:tcPr>
            <w:tcW w:w="3005" w:type="dxa"/>
          </w:tcPr>
          <w:p w:rsidR="003C2317" w:rsidRPr="00EF45D5" w:rsidRDefault="003C2317" w:rsidP="003D221A">
            <w:pPr>
              <w:rPr>
                <w:color w:val="000000" w:themeColor="text1"/>
              </w:rPr>
            </w:pPr>
            <w:r w:rsidRPr="00EF45D5">
              <w:rPr>
                <w:color w:val="000000" w:themeColor="text1"/>
              </w:rPr>
              <w:t>----</w:t>
            </w:r>
          </w:p>
        </w:tc>
        <w:tc>
          <w:tcPr>
            <w:tcW w:w="3006" w:type="dxa"/>
          </w:tcPr>
          <w:p w:rsidR="003C2317" w:rsidRPr="00EF45D5" w:rsidRDefault="003C2317" w:rsidP="003D221A">
            <w:pPr>
              <w:rPr>
                <w:color w:val="000000" w:themeColor="text1"/>
              </w:rPr>
            </w:pPr>
            <w:r w:rsidRPr="00EF45D5">
              <w:rPr>
                <w:color w:val="000000" w:themeColor="text1"/>
              </w:rPr>
              <w:t>+$</w:t>
            </w:r>
            <w:r w:rsidR="00EF45D5" w:rsidRPr="00EF45D5">
              <w:rPr>
                <w:color w:val="000000" w:themeColor="text1"/>
              </w:rPr>
              <w:t>2</w:t>
            </w:r>
            <w:r w:rsidRPr="00EF45D5">
              <w:rPr>
                <w:color w:val="000000" w:themeColor="text1"/>
              </w:rPr>
              <w:t>.</w:t>
            </w:r>
            <w:r w:rsidR="00EF45D5" w:rsidRPr="00EF45D5">
              <w:rPr>
                <w:color w:val="000000" w:themeColor="text1"/>
              </w:rPr>
              <w:t>86</w:t>
            </w:r>
            <w:r w:rsidRPr="00EF45D5">
              <w:rPr>
                <w:color w:val="000000" w:themeColor="text1"/>
              </w:rPr>
              <w:t>m</w:t>
            </w:r>
          </w:p>
        </w:tc>
      </w:tr>
      <w:tr w:rsidR="003C2317" w:rsidTr="003D221A">
        <w:tc>
          <w:tcPr>
            <w:tcW w:w="3005" w:type="dxa"/>
          </w:tcPr>
          <w:p w:rsidR="003C2317" w:rsidRDefault="003C2317" w:rsidP="003D221A">
            <w:r>
              <w:t>Net DALYs</w:t>
            </w:r>
          </w:p>
        </w:tc>
        <w:tc>
          <w:tcPr>
            <w:tcW w:w="3005" w:type="dxa"/>
          </w:tcPr>
          <w:p w:rsidR="003C2317" w:rsidRPr="003C2317" w:rsidRDefault="00EF45D5" w:rsidP="003D221A">
            <w:pPr>
              <w:rPr>
                <w:color w:val="4472C4" w:themeColor="accent1"/>
              </w:rPr>
            </w:pPr>
            <w:r>
              <w:t>1,751,507</w:t>
            </w:r>
          </w:p>
        </w:tc>
        <w:tc>
          <w:tcPr>
            <w:tcW w:w="3006" w:type="dxa"/>
          </w:tcPr>
          <w:p w:rsidR="003C2317" w:rsidRPr="003C2317" w:rsidRDefault="00EF45D5" w:rsidP="003D221A">
            <w:pPr>
              <w:rPr>
                <w:color w:val="4472C4" w:themeColor="accent1"/>
              </w:rPr>
            </w:pPr>
            <w:r>
              <w:t>1,746,327</w:t>
            </w:r>
          </w:p>
        </w:tc>
      </w:tr>
      <w:tr w:rsidR="003C2317" w:rsidTr="003D221A">
        <w:tc>
          <w:tcPr>
            <w:tcW w:w="3005" w:type="dxa"/>
          </w:tcPr>
          <w:p w:rsidR="003C2317" w:rsidRPr="00EF45D5" w:rsidRDefault="003C2317" w:rsidP="003D221A">
            <w:pPr>
              <w:rPr>
                <w:color w:val="000000" w:themeColor="text1"/>
              </w:rPr>
            </w:pPr>
            <w:r w:rsidRPr="00EF45D5">
              <w:rPr>
                <w:color w:val="000000" w:themeColor="text1"/>
              </w:rPr>
              <w:t>Difference in net DALYs*</w:t>
            </w:r>
          </w:p>
        </w:tc>
        <w:tc>
          <w:tcPr>
            <w:tcW w:w="3005" w:type="dxa"/>
          </w:tcPr>
          <w:p w:rsidR="003C2317" w:rsidRPr="00EF45D5" w:rsidRDefault="003C2317" w:rsidP="003D221A">
            <w:pPr>
              <w:rPr>
                <w:color w:val="000000" w:themeColor="text1"/>
              </w:rPr>
            </w:pPr>
            <w:r w:rsidRPr="00EF45D5">
              <w:rPr>
                <w:color w:val="000000" w:themeColor="text1"/>
              </w:rPr>
              <w:t>----</w:t>
            </w:r>
          </w:p>
        </w:tc>
        <w:tc>
          <w:tcPr>
            <w:tcW w:w="3006" w:type="dxa"/>
          </w:tcPr>
          <w:p w:rsidR="003C2317" w:rsidRPr="00EF45D5" w:rsidRDefault="003C2317" w:rsidP="003D221A">
            <w:pPr>
              <w:rPr>
                <w:color w:val="000000" w:themeColor="text1"/>
              </w:rPr>
            </w:pPr>
            <w:r w:rsidRPr="00EF45D5">
              <w:rPr>
                <w:color w:val="000000" w:themeColor="text1"/>
              </w:rPr>
              <w:t>-</w:t>
            </w:r>
            <w:r w:rsidR="00EF45D5" w:rsidRPr="00EF45D5">
              <w:rPr>
                <w:color w:val="000000" w:themeColor="text1"/>
              </w:rPr>
              <w:t>5180</w:t>
            </w:r>
            <w:r w:rsidRPr="00EF45D5">
              <w:rPr>
                <w:color w:val="000000" w:themeColor="text1"/>
              </w:rPr>
              <w:t xml:space="preserve"> (standard error = 145</w:t>
            </w:r>
            <w:r w:rsidR="00EF45D5" w:rsidRPr="00EF45D5">
              <w:rPr>
                <w:color w:val="000000" w:themeColor="text1"/>
              </w:rPr>
              <w:t>9</w:t>
            </w:r>
            <w:r w:rsidRPr="00EF45D5">
              <w:rPr>
                <w:color w:val="000000" w:themeColor="text1"/>
              </w:rPr>
              <w:t>)</w:t>
            </w:r>
          </w:p>
        </w:tc>
      </w:tr>
    </w:tbl>
    <w:p w:rsidR="003C2317" w:rsidRDefault="003C2317" w:rsidP="003C2317">
      <w:r>
        <w:t xml:space="preserve">* discounted at 3% per annum </w:t>
      </w:r>
    </w:p>
    <w:p w:rsidR="00705C28" w:rsidRDefault="00705C28">
      <w:pPr>
        <w:rPr>
          <w:color w:val="000000" w:themeColor="text1"/>
        </w:rPr>
      </w:pPr>
      <w:r>
        <w:rPr>
          <w:color w:val="000000" w:themeColor="text1"/>
        </w:rPr>
        <w:br w:type="page"/>
      </w:r>
    </w:p>
    <w:p w:rsidR="00EF45D5" w:rsidRDefault="00705C28" w:rsidP="00371A27">
      <w:pPr>
        <w:rPr>
          <w:b/>
          <w:color w:val="000000" w:themeColor="text1"/>
        </w:rPr>
      </w:pPr>
      <w:r w:rsidRPr="00705C28">
        <w:rPr>
          <w:b/>
          <w:color w:val="000000" w:themeColor="text1"/>
        </w:rPr>
        <w:lastRenderedPageBreak/>
        <w:t>References</w:t>
      </w:r>
    </w:p>
    <w:p w:rsidR="00A64DD1" w:rsidRDefault="00705C28" w:rsidP="00A64DD1">
      <w:pPr>
        <w:pStyle w:val="ListParagraph"/>
        <w:numPr>
          <w:ilvl w:val="0"/>
          <w:numId w:val="5"/>
        </w:numPr>
        <w:spacing w:after="0" w:line="276" w:lineRule="auto"/>
        <w:ind w:left="360"/>
        <w:rPr>
          <w:rFonts w:cstheme="minorHAnsi"/>
          <w:color w:val="000000"/>
        </w:rPr>
      </w:pPr>
      <w:r w:rsidRPr="00460C37">
        <w:rPr>
          <w:rFonts w:cstheme="minorHAnsi"/>
          <w:color w:val="000000"/>
        </w:rPr>
        <w:t>Phillips AN, Venter F, Havlir D, Pozniak A, Kuritzkes D, Wensing A, et al.  Risks and benefits of dolutegravir-based antiretroviral drug regimens in sub-Saharan Africa: a modelling study. Lancet HIV. 2019;6(2):e116–27.</w:t>
      </w:r>
    </w:p>
    <w:p w:rsidR="00A64DD1" w:rsidRDefault="00A64DD1" w:rsidP="00A64DD1">
      <w:pPr>
        <w:pStyle w:val="ListParagraph"/>
        <w:spacing w:after="0" w:line="276" w:lineRule="auto"/>
        <w:ind w:left="360"/>
        <w:rPr>
          <w:rFonts w:cstheme="minorHAnsi"/>
          <w:color w:val="000000"/>
        </w:rPr>
      </w:pPr>
    </w:p>
    <w:p w:rsidR="00A64DD1" w:rsidRPr="00A64DD1" w:rsidRDefault="00BC2E97" w:rsidP="00A64DD1">
      <w:pPr>
        <w:pStyle w:val="ListParagraph"/>
        <w:numPr>
          <w:ilvl w:val="0"/>
          <w:numId w:val="5"/>
        </w:numPr>
        <w:spacing w:after="0" w:line="276" w:lineRule="auto"/>
        <w:ind w:left="360"/>
        <w:rPr>
          <w:rFonts w:cstheme="minorHAnsi"/>
          <w:color w:val="000000"/>
        </w:rPr>
      </w:pPr>
      <w:r w:rsidRPr="00A64DD1">
        <w:rPr>
          <w:rFonts w:cstheme="minorHAnsi"/>
          <w:color w:val="000000"/>
        </w:rPr>
        <w:t xml:space="preserve">Phillips AN, </w:t>
      </w:r>
      <w:r w:rsidR="00A64DD1" w:rsidRPr="00A64DD1">
        <w:rPr>
          <w:rFonts w:cstheme="minorHAnsi"/>
          <w:color w:val="000000"/>
        </w:rPr>
        <w:t xml:space="preserve">Bansi-Matharu L, Venter F, Havlir D, Pozniak A, Kuritzkes, et al.  </w:t>
      </w:r>
      <w:r w:rsidR="00A64DD1" w:rsidRPr="00A64DD1">
        <w:rPr>
          <w:color w:val="000000" w:themeColor="text1"/>
        </w:rPr>
        <w:t>Updated assessment of risks and benefits of dolutegravir versus efavirenz in new antiretroviral treatment initiators in sub-Saharan Africa: modelling to inform treatment guidelines.  VOLUME 7, ISSUE 3, E193-E200, MARCH 01, 2020</w:t>
      </w:r>
      <w:bookmarkStart w:id="3" w:name="_GoBack"/>
      <w:bookmarkEnd w:id="3"/>
    </w:p>
    <w:sectPr w:rsidR="00A64DD1" w:rsidRPr="00A64D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A2" w:rsidRDefault="009D4EA2" w:rsidP="00A919E5">
      <w:pPr>
        <w:spacing w:after="0" w:line="240" w:lineRule="auto"/>
      </w:pPr>
      <w:r>
        <w:separator/>
      </w:r>
    </w:p>
  </w:endnote>
  <w:endnote w:type="continuationSeparator" w:id="0">
    <w:p w:rsidR="009D4EA2" w:rsidRDefault="009D4EA2" w:rsidP="00A9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206555"/>
      <w:docPartObj>
        <w:docPartGallery w:val="Page Numbers (Bottom of Page)"/>
        <w:docPartUnique/>
      </w:docPartObj>
    </w:sdtPr>
    <w:sdtEndPr>
      <w:rPr>
        <w:noProof/>
      </w:rPr>
    </w:sdtEndPr>
    <w:sdtContent>
      <w:p w:rsidR="00A919E5" w:rsidRDefault="00A919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19E5" w:rsidRDefault="00A9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A2" w:rsidRDefault="009D4EA2" w:rsidP="00A919E5">
      <w:pPr>
        <w:spacing w:after="0" w:line="240" w:lineRule="auto"/>
      </w:pPr>
      <w:r>
        <w:separator/>
      </w:r>
    </w:p>
  </w:footnote>
  <w:footnote w:type="continuationSeparator" w:id="0">
    <w:p w:rsidR="009D4EA2" w:rsidRDefault="009D4EA2" w:rsidP="00A91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C68"/>
    <w:multiLevelType w:val="hybridMultilevel"/>
    <w:tmpl w:val="09707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F4C35"/>
    <w:multiLevelType w:val="hybridMultilevel"/>
    <w:tmpl w:val="16A05D3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57ED6"/>
    <w:multiLevelType w:val="hybridMultilevel"/>
    <w:tmpl w:val="16A05D3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F2088"/>
    <w:multiLevelType w:val="hybridMultilevel"/>
    <w:tmpl w:val="9828B89C"/>
    <w:lvl w:ilvl="0" w:tplc="B6FC5844">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651E7E"/>
    <w:multiLevelType w:val="hybridMultilevel"/>
    <w:tmpl w:val="16A05D3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1158A3"/>
    <w:multiLevelType w:val="hybridMultilevel"/>
    <w:tmpl w:val="5F00D9DE"/>
    <w:lvl w:ilvl="0" w:tplc="A5227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B4"/>
    <w:rsid w:val="00004831"/>
    <w:rsid w:val="000569AC"/>
    <w:rsid w:val="00092C11"/>
    <w:rsid w:val="000B4A70"/>
    <w:rsid w:val="000C46D9"/>
    <w:rsid w:val="001419E7"/>
    <w:rsid w:val="00142F84"/>
    <w:rsid w:val="001C0989"/>
    <w:rsid w:val="001F3018"/>
    <w:rsid w:val="00237A6B"/>
    <w:rsid w:val="00242856"/>
    <w:rsid w:val="002514C6"/>
    <w:rsid w:val="00271E07"/>
    <w:rsid w:val="00272205"/>
    <w:rsid w:val="0029169F"/>
    <w:rsid w:val="00297A06"/>
    <w:rsid w:val="002A3893"/>
    <w:rsid w:val="002C2E58"/>
    <w:rsid w:val="00371A27"/>
    <w:rsid w:val="00386731"/>
    <w:rsid w:val="003C2317"/>
    <w:rsid w:val="003D221A"/>
    <w:rsid w:val="0043048B"/>
    <w:rsid w:val="0043094F"/>
    <w:rsid w:val="004429BA"/>
    <w:rsid w:val="00463A3E"/>
    <w:rsid w:val="004D7F79"/>
    <w:rsid w:val="004E45FE"/>
    <w:rsid w:val="00503878"/>
    <w:rsid w:val="005678A1"/>
    <w:rsid w:val="00584FA2"/>
    <w:rsid w:val="005E478F"/>
    <w:rsid w:val="005F2ECB"/>
    <w:rsid w:val="0060208D"/>
    <w:rsid w:val="0060525D"/>
    <w:rsid w:val="00605340"/>
    <w:rsid w:val="00650264"/>
    <w:rsid w:val="006D037A"/>
    <w:rsid w:val="0070078E"/>
    <w:rsid w:val="00705C28"/>
    <w:rsid w:val="007274ED"/>
    <w:rsid w:val="00735CC6"/>
    <w:rsid w:val="00737531"/>
    <w:rsid w:val="007640FA"/>
    <w:rsid w:val="00784CA3"/>
    <w:rsid w:val="00786E13"/>
    <w:rsid w:val="007F67ED"/>
    <w:rsid w:val="00830907"/>
    <w:rsid w:val="008920F4"/>
    <w:rsid w:val="00894D0E"/>
    <w:rsid w:val="008A3B26"/>
    <w:rsid w:val="00922930"/>
    <w:rsid w:val="00963D28"/>
    <w:rsid w:val="00993991"/>
    <w:rsid w:val="009C39A9"/>
    <w:rsid w:val="009D3756"/>
    <w:rsid w:val="009D4EA2"/>
    <w:rsid w:val="009E7839"/>
    <w:rsid w:val="00A05A2D"/>
    <w:rsid w:val="00A45F8F"/>
    <w:rsid w:val="00A64DD1"/>
    <w:rsid w:val="00A919E5"/>
    <w:rsid w:val="00AC1017"/>
    <w:rsid w:val="00B32BD7"/>
    <w:rsid w:val="00B90EA1"/>
    <w:rsid w:val="00BC2E97"/>
    <w:rsid w:val="00C350AE"/>
    <w:rsid w:val="00CB1AD9"/>
    <w:rsid w:val="00CC0B34"/>
    <w:rsid w:val="00CF413B"/>
    <w:rsid w:val="00D00E45"/>
    <w:rsid w:val="00D04517"/>
    <w:rsid w:val="00D32452"/>
    <w:rsid w:val="00D41250"/>
    <w:rsid w:val="00D97D46"/>
    <w:rsid w:val="00DA3BE1"/>
    <w:rsid w:val="00DC4117"/>
    <w:rsid w:val="00DC6A8F"/>
    <w:rsid w:val="00DF184F"/>
    <w:rsid w:val="00DF2685"/>
    <w:rsid w:val="00DF321E"/>
    <w:rsid w:val="00E1562C"/>
    <w:rsid w:val="00E47C62"/>
    <w:rsid w:val="00E56E22"/>
    <w:rsid w:val="00E85FB4"/>
    <w:rsid w:val="00EC7410"/>
    <w:rsid w:val="00ED74C4"/>
    <w:rsid w:val="00EE7056"/>
    <w:rsid w:val="00EE76BF"/>
    <w:rsid w:val="00EF45D5"/>
    <w:rsid w:val="00F900F5"/>
    <w:rsid w:val="00FA4135"/>
    <w:rsid w:val="00FB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51A"/>
  <w15:chartTrackingRefBased/>
  <w15:docId w15:val="{957B8B14-73E2-476D-BFD3-54AA914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A27"/>
    <w:pPr>
      <w:ind w:left="720"/>
      <w:contextualSpacing/>
    </w:pPr>
  </w:style>
  <w:style w:type="paragraph" w:styleId="NormalWeb">
    <w:name w:val="Normal (Web)"/>
    <w:basedOn w:val="Normal"/>
    <w:uiPriority w:val="99"/>
    <w:unhideWhenUsed/>
    <w:rsid w:val="00386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6731"/>
    <w:rPr>
      <w:color w:val="0000FF"/>
      <w:u w:val="single"/>
    </w:rPr>
  </w:style>
  <w:style w:type="paragraph" w:styleId="Header">
    <w:name w:val="header"/>
    <w:basedOn w:val="Normal"/>
    <w:link w:val="HeaderChar"/>
    <w:uiPriority w:val="99"/>
    <w:unhideWhenUsed/>
    <w:rsid w:val="00A91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9E5"/>
  </w:style>
  <w:style w:type="paragraph" w:styleId="Footer">
    <w:name w:val="footer"/>
    <w:basedOn w:val="Normal"/>
    <w:link w:val="FooterChar"/>
    <w:uiPriority w:val="99"/>
    <w:unhideWhenUsed/>
    <w:rsid w:val="00A91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32353">
      <w:bodyDiv w:val="1"/>
      <w:marLeft w:val="0"/>
      <w:marRight w:val="0"/>
      <w:marTop w:val="0"/>
      <w:marBottom w:val="0"/>
      <w:divBdr>
        <w:top w:val="none" w:sz="0" w:space="0" w:color="auto"/>
        <w:left w:val="none" w:sz="0" w:space="0" w:color="auto"/>
        <w:bottom w:val="none" w:sz="0" w:space="0" w:color="auto"/>
        <w:right w:val="none" w:sz="0" w:space="0" w:color="auto"/>
      </w:divBdr>
    </w:div>
    <w:div w:id="1980530058">
      <w:bodyDiv w:val="1"/>
      <w:marLeft w:val="0"/>
      <w:marRight w:val="0"/>
      <w:marTop w:val="0"/>
      <w:marBottom w:val="0"/>
      <w:divBdr>
        <w:top w:val="none" w:sz="0" w:space="0" w:color="auto"/>
        <w:left w:val="none" w:sz="0" w:space="0" w:color="auto"/>
        <w:bottom w:val="none" w:sz="0" w:space="0" w:color="auto"/>
        <w:right w:val="none" w:sz="0" w:space="0" w:color="auto"/>
      </w:divBdr>
      <w:divsChild>
        <w:div w:id="1574900005">
          <w:marLeft w:val="0"/>
          <w:marRight w:val="0"/>
          <w:marTop w:val="0"/>
          <w:marBottom w:val="0"/>
          <w:divBdr>
            <w:top w:val="none" w:sz="0" w:space="0" w:color="auto"/>
            <w:left w:val="none" w:sz="0" w:space="0" w:color="auto"/>
            <w:bottom w:val="none" w:sz="0" w:space="0" w:color="auto"/>
            <w:right w:val="none" w:sz="0" w:space="0" w:color="auto"/>
          </w:divBdr>
          <w:divsChild>
            <w:div w:id="435714854">
              <w:marLeft w:val="0"/>
              <w:marRight w:val="0"/>
              <w:marTop w:val="0"/>
              <w:marBottom w:val="0"/>
              <w:divBdr>
                <w:top w:val="none" w:sz="0" w:space="0" w:color="auto"/>
                <w:left w:val="none" w:sz="0" w:space="0" w:color="auto"/>
                <w:bottom w:val="none" w:sz="0" w:space="0" w:color="auto"/>
                <w:right w:val="none" w:sz="0" w:space="0" w:color="auto"/>
              </w:divBdr>
              <w:divsChild>
                <w:div w:id="224948406">
                  <w:marLeft w:val="0"/>
                  <w:marRight w:val="0"/>
                  <w:marTop w:val="0"/>
                  <w:marBottom w:val="0"/>
                  <w:divBdr>
                    <w:top w:val="none" w:sz="0" w:space="0" w:color="auto"/>
                    <w:left w:val="none" w:sz="0" w:space="0" w:color="auto"/>
                    <w:bottom w:val="none" w:sz="0" w:space="0" w:color="auto"/>
                    <w:right w:val="none" w:sz="0" w:space="0" w:color="auto"/>
                  </w:divBdr>
                </w:div>
                <w:div w:id="373652193">
                  <w:marLeft w:val="0"/>
                  <w:marRight w:val="0"/>
                  <w:marTop w:val="0"/>
                  <w:marBottom w:val="0"/>
                  <w:divBdr>
                    <w:top w:val="none" w:sz="0" w:space="0" w:color="auto"/>
                    <w:left w:val="none" w:sz="0" w:space="0" w:color="auto"/>
                    <w:bottom w:val="none" w:sz="0" w:space="0" w:color="auto"/>
                    <w:right w:val="none" w:sz="0" w:space="0" w:color="auto"/>
                  </w:divBdr>
                </w:div>
                <w:div w:id="925530873">
                  <w:marLeft w:val="0"/>
                  <w:marRight w:val="0"/>
                  <w:marTop w:val="0"/>
                  <w:marBottom w:val="0"/>
                  <w:divBdr>
                    <w:top w:val="none" w:sz="0" w:space="0" w:color="auto"/>
                    <w:left w:val="none" w:sz="0" w:space="0" w:color="auto"/>
                    <w:bottom w:val="none" w:sz="0" w:space="0" w:color="auto"/>
                    <w:right w:val="none" w:sz="0" w:space="0" w:color="auto"/>
                  </w:divBdr>
                </w:div>
                <w:div w:id="1033076252">
                  <w:marLeft w:val="0"/>
                  <w:marRight w:val="0"/>
                  <w:marTop w:val="0"/>
                  <w:marBottom w:val="0"/>
                  <w:divBdr>
                    <w:top w:val="none" w:sz="0" w:space="0" w:color="auto"/>
                    <w:left w:val="none" w:sz="0" w:space="0" w:color="auto"/>
                    <w:bottom w:val="none" w:sz="0" w:space="0" w:color="auto"/>
                    <w:right w:val="none" w:sz="0" w:space="0" w:color="auto"/>
                  </w:divBdr>
                </w:div>
                <w:div w:id="398094486">
                  <w:marLeft w:val="0"/>
                  <w:marRight w:val="0"/>
                  <w:marTop w:val="0"/>
                  <w:marBottom w:val="0"/>
                  <w:divBdr>
                    <w:top w:val="none" w:sz="0" w:space="0" w:color="auto"/>
                    <w:left w:val="none" w:sz="0" w:space="0" w:color="auto"/>
                    <w:bottom w:val="none" w:sz="0" w:space="0" w:color="auto"/>
                    <w:right w:val="none" w:sz="0" w:space="0" w:color="auto"/>
                  </w:divBdr>
                </w:div>
                <w:div w:id="1136290435">
                  <w:marLeft w:val="0"/>
                  <w:marRight w:val="0"/>
                  <w:marTop w:val="0"/>
                  <w:marBottom w:val="0"/>
                  <w:divBdr>
                    <w:top w:val="none" w:sz="0" w:space="0" w:color="auto"/>
                    <w:left w:val="none" w:sz="0" w:space="0" w:color="auto"/>
                    <w:bottom w:val="none" w:sz="0" w:space="0" w:color="auto"/>
                    <w:right w:val="none" w:sz="0" w:space="0" w:color="auto"/>
                  </w:divBdr>
                </w:div>
                <w:div w:id="1183743802">
                  <w:marLeft w:val="0"/>
                  <w:marRight w:val="0"/>
                  <w:marTop w:val="0"/>
                  <w:marBottom w:val="0"/>
                  <w:divBdr>
                    <w:top w:val="none" w:sz="0" w:space="0" w:color="auto"/>
                    <w:left w:val="none" w:sz="0" w:space="0" w:color="auto"/>
                    <w:bottom w:val="none" w:sz="0" w:space="0" w:color="auto"/>
                    <w:right w:val="none" w:sz="0" w:space="0" w:color="auto"/>
                  </w:divBdr>
                </w:div>
                <w:div w:id="2041323783">
                  <w:marLeft w:val="0"/>
                  <w:marRight w:val="150"/>
                  <w:marTop w:val="0"/>
                  <w:marBottom w:val="0"/>
                  <w:divBdr>
                    <w:top w:val="none" w:sz="0" w:space="0" w:color="auto"/>
                    <w:left w:val="none" w:sz="0" w:space="0" w:color="auto"/>
                    <w:bottom w:val="none" w:sz="0" w:space="0" w:color="auto"/>
                    <w:right w:val="none" w:sz="0" w:space="0" w:color="auto"/>
                  </w:divBdr>
                </w:div>
              </w:divsChild>
            </w:div>
            <w:div w:id="1222716745">
              <w:marLeft w:val="-240"/>
              <w:marRight w:val="-240"/>
              <w:marTop w:val="0"/>
              <w:marBottom w:val="600"/>
              <w:divBdr>
                <w:top w:val="none" w:sz="0" w:space="0" w:color="auto"/>
                <w:left w:val="none" w:sz="0" w:space="0" w:color="auto"/>
                <w:bottom w:val="none" w:sz="0" w:space="0" w:color="auto"/>
                <w:right w:val="none" w:sz="0" w:space="0" w:color="auto"/>
              </w:divBdr>
              <w:divsChild>
                <w:div w:id="828668571">
                  <w:marLeft w:val="0"/>
                  <w:marRight w:val="0"/>
                  <w:marTop w:val="0"/>
                  <w:marBottom w:val="0"/>
                  <w:divBdr>
                    <w:top w:val="none" w:sz="0" w:space="0" w:color="auto"/>
                    <w:left w:val="none" w:sz="0" w:space="0" w:color="auto"/>
                    <w:bottom w:val="none" w:sz="0" w:space="0" w:color="auto"/>
                    <w:right w:val="none" w:sz="0" w:space="0" w:color="auto"/>
                  </w:divBdr>
                  <w:divsChild>
                    <w:div w:id="559753564">
                      <w:marLeft w:val="0"/>
                      <w:marRight w:val="0"/>
                      <w:marTop w:val="0"/>
                      <w:marBottom w:val="0"/>
                      <w:divBdr>
                        <w:top w:val="none" w:sz="0" w:space="0" w:color="auto"/>
                        <w:left w:val="none" w:sz="0" w:space="0" w:color="auto"/>
                        <w:bottom w:val="none" w:sz="0" w:space="0" w:color="auto"/>
                        <w:right w:val="none" w:sz="0" w:space="0" w:color="auto"/>
                      </w:divBdr>
                      <w:divsChild>
                        <w:div w:id="351029170">
                          <w:marLeft w:val="0"/>
                          <w:marRight w:val="0"/>
                          <w:marTop w:val="0"/>
                          <w:marBottom w:val="0"/>
                          <w:divBdr>
                            <w:top w:val="none" w:sz="0" w:space="0" w:color="auto"/>
                            <w:left w:val="none" w:sz="0" w:space="0" w:color="auto"/>
                            <w:bottom w:val="none" w:sz="0" w:space="0" w:color="auto"/>
                            <w:right w:val="none" w:sz="0" w:space="0" w:color="auto"/>
                          </w:divBdr>
                          <w:divsChild>
                            <w:div w:id="905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ia.icap.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Phillips, Andrew</cp:lastModifiedBy>
  <cp:revision>4</cp:revision>
  <dcterms:created xsi:type="dcterms:W3CDTF">2020-11-19T11:40:00Z</dcterms:created>
  <dcterms:modified xsi:type="dcterms:W3CDTF">2020-11-19T11:54:00Z</dcterms:modified>
</cp:coreProperties>
</file>