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0CD66" w14:textId="538BAACF" w:rsidR="009F328E" w:rsidRPr="009F328E" w:rsidRDefault="009F328E" w:rsidP="009F328E">
      <w:pPr>
        <w:spacing w:after="0" w:line="240" w:lineRule="auto"/>
        <w:jc w:val="center"/>
        <w:rPr>
          <w:b/>
          <w:bCs/>
        </w:rPr>
      </w:pPr>
      <w:r w:rsidRPr="009F328E">
        <w:rPr>
          <w:b/>
          <w:bCs/>
        </w:rPr>
        <w:t>A Brief Review of Open Science Practices</w:t>
      </w:r>
    </w:p>
    <w:p w14:paraId="3024B100" w14:textId="0AA712C3" w:rsidR="009F328E" w:rsidRDefault="009F328E" w:rsidP="009F328E">
      <w:pPr>
        <w:spacing w:after="0" w:line="240" w:lineRule="auto"/>
        <w:jc w:val="center"/>
      </w:pPr>
    </w:p>
    <w:p w14:paraId="46877A70" w14:textId="634BB5CC" w:rsidR="009F328E" w:rsidRDefault="009F328E" w:rsidP="009F328E">
      <w:pPr>
        <w:spacing w:after="0" w:line="240" w:lineRule="auto"/>
        <w:jc w:val="center"/>
      </w:pPr>
      <w:r>
        <w:t>By: Wilhelmina van Dijk &amp; Sara A. Hart</w:t>
      </w:r>
    </w:p>
    <w:p w14:paraId="6A8A2F0B" w14:textId="06EE20F1" w:rsidR="009F328E" w:rsidRDefault="009F328E" w:rsidP="009F328E">
      <w:pPr>
        <w:spacing w:after="0" w:line="240" w:lineRule="auto"/>
        <w:jc w:val="center"/>
      </w:pPr>
      <w:r>
        <w:t>Florida State University</w:t>
      </w:r>
      <w:bookmarkStart w:id="0" w:name="_GoBack"/>
      <w:bookmarkEnd w:id="0"/>
    </w:p>
    <w:p w14:paraId="5A656FBC" w14:textId="77777777" w:rsidR="009F328E" w:rsidRDefault="009F328E" w:rsidP="009F328E">
      <w:pPr>
        <w:spacing w:after="0" w:line="240" w:lineRule="auto"/>
      </w:pPr>
    </w:p>
    <w:p w14:paraId="6B222BCB" w14:textId="03A48A97" w:rsidR="009F328E" w:rsidRPr="009F328E" w:rsidRDefault="009F328E" w:rsidP="009F328E">
      <w:pPr>
        <w:spacing w:after="0" w:line="240" w:lineRule="auto"/>
      </w:pPr>
      <w:r w:rsidRPr="009F328E">
        <w:t>Open Science movement aims to increase the trust in research results by making all elements of the research projects more transparent and reproducible (see van Dijk et al., 2020</w:t>
      </w:r>
      <w:r>
        <w:t xml:space="preserve">, </w:t>
      </w:r>
      <w:hyperlink r:id="rId5" w:history="1">
        <w:r>
          <w:rPr>
            <w:rStyle w:val="Hyperlink"/>
            <w:rFonts w:ascii="Arial" w:hAnsi="Arial" w:cs="Arial"/>
            <w:color w:val="006ACC"/>
            <w:sz w:val="21"/>
            <w:szCs w:val="21"/>
            <w:shd w:val="clear" w:color="auto" w:fill="FFFFFF"/>
          </w:rPr>
          <w:t>https://doi.org/10.1177/0022219420945267</w:t>
        </w:r>
      </w:hyperlink>
      <w:r w:rsidRPr="009F328E">
        <w:t>)</w:t>
      </w:r>
    </w:p>
    <w:p w14:paraId="18F6FD77" w14:textId="77777777" w:rsidR="009F328E" w:rsidRPr="009F328E" w:rsidRDefault="009F328E" w:rsidP="009F328E">
      <w:pPr>
        <w:spacing w:after="0" w:line="240" w:lineRule="auto"/>
      </w:pPr>
    </w:p>
    <w:p w14:paraId="5666754D" w14:textId="77777777" w:rsidR="009F328E" w:rsidRPr="009F328E" w:rsidRDefault="009F328E" w:rsidP="009F328E">
      <w:pPr>
        <w:numPr>
          <w:ilvl w:val="1"/>
          <w:numId w:val="1"/>
        </w:numPr>
        <w:spacing w:after="0" w:line="240" w:lineRule="auto"/>
      </w:pPr>
      <w:r w:rsidRPr="009F328E">
        <w:t>Open data</w:t>
      </w:r>
    </w:p>
    <w:p w14:paraId="33AEF838" w14:textId="77777777" w:rsidR="009F328E" w:rsidRPr="009F328E" w:rsidRDefault="009F328E" w:rsidP="009F328E">
      <w:pPr>
        <w:spacing w:after="0" w:line="240" w:lineRule="auto"/>
      </w:pPr>
      <w:r w:rsidRPr="009F328E">
        <w:t>In a nutshell, Open Data means making all the raw data of a project publicly available. This stands in contrast to presenting only summary statistics (means, standard deviations, correlations) in published manuscripts.</w:t>
      </w:r>
    </w:p>
    <w:p w14:paraId="5A754FBD" w14:textId="77777777" w:rsidR="009F328E" w:rsidRPr="009F328E" w:rsidRDefault="009F328E" w:rsidP="009F328E">
      <w:pPr>
        <w:spacing w:after="0" w:line="240" w:lineRule="auto"/>
      </w:pPr>
      <w:r w:rsidRPr="009F328E">
        <w:t> </w:t>
      </w:r>
    </w:p>
    <w:p w14:paraId="6180E5DE" w14:textId="77777777" w:rsidR="009F328E" w:rsidRPr="009F328E" w:rsidRDefault="009F328E" w:rsidP="009F328E">
      <w:pPr>
        <w:spacing w:after="0" w:line="240" w:lineRule="auto"/>
      </w:pPr>
      <w:r w:rsidRPr="009F328E">
        <w:t xml:space="preserve">This includes data at the individual participant level that has been ‘cleaned [insert link to that resource page here] and deidentified [insert link here], as well as metadata. That is, information about the dataset in a codebook and more general information about the </w:t>
      </w:r>
      <w:proofErr w:type="gramStart"/>
      <w:r w:rsidRPr="009F328E">
        <w:t>project as a whole</w:t>
      </w:r>
      <w:proofErr w:type="gramEnd"/>
      <w:r w:rsidRPr="009F328E">
        <w:t>.</w:t>
      </w:r>
    </w:p>
    <w:p w14:paraId="28FF582E" w14:textId="77777777" w:rsidR="009F328E" w:rsidRPr="009F328E" w:rsidRDefault="009F328E" w:rsidP="009F328E">
      <w:pPr>
        <w:spacing w:after="0" w:line="240" w:lineRule="auto"/>
      </w:pPr>
      <w:r w:rsidRPr="009F328E">
        <w:t> </w:t>
      </w:r>
    </w:p>
    <w:p w14:paraId="66E6B114" w14:textId="77777777" w:rsidR="009F328E" w:rsidRPr="009F328E" w:rsidRDefault="009F328E" w:rsidP="009F328E">
      <w:pPr>
        <w:spacing w:after="0" w:line="240" w:lineRule="auto"/>
      </w:pPr>
      <w:r w:rsidRPr="009F328E">
        <w:t>Many grant funding agencies require data collected by their grantees to be publicly available.</w:t>
      </w:r>
    </w:p>
    <w:p w14:paraId="3B243A56" w14:textId="77777777" w:rsidR="009F328E" w:rsidRPr="009F328E" w:rsidRDefault="009F328E" w:rsidP="009F328E">
      <w:pPr>
        <w:spacing w:after="0" w:line="240" w:lineRule="auto"/>
      </w:pPr>
      <w:r w:rsidRPr="009F328E">
        <w:t> </w:t>
      </w:r>
    </w:p>
    <w:p w14:paraId="77DEC88F" w14:textId="77777777" w:rsidR="009F328E" w:rsidRPr="009F328E" w:rsidRDefault="009F328E" w:rsidP="009F328E">
      <w:pPr>
        <w:spacing w:after="0" w:line="240" w:lineRule="auto"/>
      </w:pPr>
      <w:r w:rsidRPr="009F328E">
        <w:t>Researchers can choose to share only those variables used in the analyses or share all other variables as well (with the exceptions of personal identifiers).</w:t>
      </w:r>
    </w:p>
    <w:p w14:paraId="38C1158E" w14:textId="77777777" w:rsidR="009F328E" w:rsidRPr="009F328E" w:rsidRDefault="009F328E" w:rsidP="009F328E">
      <w:pPr>
        <w:spacing w:after="0" w:line="240" w:lineRule="auto"/>
      </w:pPr>
      <w:r w:rsidRPr="009F328E">
        <w:t> </w:t>
      </w:r>
    </w:p>
    <w:p w14:paraId="6264A8F3" w14:textId="77777777" w:rsidR="009F328E" w:rsidRPr="009F328E" w:rsidRDefault="009F328E" w:rsidP="009F328E">
      <w:pPr>
        <w:spacing w:after="0" w:line="240" w:lineRule="auto"/>
      </w:pPr>
      <w:r w:rsidRPr="009F328E">
        <w:t>Openly available datasets are considered permanent products of a research project. Carry a DOI and are citable, giving researchers opportunity to show their impact beyond traditional publications. Publications that are accompanied by open data get cited more often than publications without open data attached (Piwowar &amp; Vision, 2013).</w:t>
      </w:r>
    </w:p>
    <w:p w14:paraId="4AB24D3D" w14:textId="77777777" w:rsidR="009F328E" w:rsidRPr="009F328E" w:rsidRDefault="009F328E" w:rsidP="009F328E">
      <w:pPr>
        <w:spacing w:after="0" w:line="240" w:lineRule="auto"/>
      </w:pPr>
      <w:r w:rsidRPr="009F328E">
        <w:t> </w:t>
      </w:r>
    </w:p>
    <w:p w14:paraId="354A0AA2" w14:textId="77777777" w:rsidR="009F328E" w:rsidRPr="009F328E" w:rsidRDefault="009F328E" w:rsidP="009F328E">
      <w:pPr>
        <w:spacing w:after="0" w:line="240" w:lineRule="auto"/>
      </w:pPr>
      <w:r w:rsidRPr="009F328E">
        <w:t xml:space="preserve">To make replication of the research possible, researchers should also share any code used to analyze data. These codes should include how subsets of the total data were made, and how analysis </w:t>
      </w:r>
      <w:proofErr w:type="gramStart"/>
      <w:r w:rsidRPr="009F328E">
        <w:t>were</w:t>
      </w:r>
      <w:proofErr w:type="gramEnd"/>
      <w:r w:rsidRPr="009F328E">
        <w:t xml:space="preserve"> run. Besides the syntax, researcher should annotate the code to illuminate why certain decisions were made.</w:t>
      </w:r>
    </w:p>
    <w:p w14:paraId="7486AAC9" w14:textId="77777777" w:rsidR="009F328E" w:rsidRPr="009F328E" w:rsidRDefault="009F328E" w:rsidP="009F328E">
      <w:pPr>
        <w:spacing w:after="0" w:line="240" w:lineRule="auto"/>
      </w:pPr>
      <w:r w:rsidRPr="009F328E">
        <w:t> </w:t>
      </w:r>
    </w:p>
    <w:p w14:paraId="048F7745" w14:textId="77777777" w:rsidR="009F328E" w:rsidRDefault="009F328E" w:rsidP="009F328E">
      <w:pPr>
        <w:spacing w:after="0" w:line="240" w:lineRule="auto"/>
      </w:pPr>
      <w:r w:rsidRPr="009F328E">
        <w:t>For more information on data curation see:</w:t>
      </w:r>
      <w:r>
        <w:t xml:space="preserve"> </w:t>
      </w:r>
    </w:p>
    <w:p w14:paraId="1EB123CD" w14:textId="0EDF3B94" w:rsidR="009F328E" w:rsidRPr="009F328E" w:rsidRDefault="009F328E" w:rsidP="009F328E">
      <w:pPr>
        <w:spacing w:after="0" w:line="240" w:lineRule="auto"/>
      </w:pPr>
      <w:r w:rsidRPr="009F328E">
        <w:t>Digital Curation Centre (DCC) (</w:t>
      </w:r>
      <w:hyperlink r:id="rId6" w:history="1">
        <w:r w:rsidRPr="009F328E">
          <w:rPr>
            <w:rStyle w:val="Hyperlink"/>
          </w:rPr>
          <w:t>www.dcc.ac.uk</w:t>
        </w:r>
      </w:hyperlink>
      <w:r w:rsidRPr="009F328E">
        <w:t>)</w:t>
      </w:r>
    </w:p>
    <w:p w14:paraId="0CB74053" w14:textId="77777777" w:rsidR="009F328E" w:rsidRPr="009F328E" w:rsidRDefault="009F328E" w:rsidP="009F328E">
      <w:pPr>
        <w:spacing w:after="0" w:line="240" w:lineRule="auto"/>
      </w:pPr>
      <w:r w:rsidRPr="009F328E">
        <w:t>Document, Discover, and Interoperate Alliance (DDI) (</w:t>
      </w:r>
      <w:hyperlink r:id="rId7" w:history="1">
        <w:r w:rsidRPr="009F328E">
          <w:rPr>
            <w:rStyle w:val="Hyperlink"/>
          </w:rPr>
          <w:t>https://ddialliance.org</w:t>
        </w:r>
      </w:hyperlink>
      <w:r w:rsidRPr="009F328E">
        <w:t>)</w:t>
      </w:r>
    </w:p>
    <w:p w14:paraId="6D2B6340" w14:textId="77777777" w:rsidR="009F328E" w:rsidRPr="009F328E" w:rsidRDefault="009F328E" w:rsidP="009F328E">
      <w:pPr>
        <w:spacing w:after="0" w:line="240" w:lineRule="auto"/>
      </w:pPr>
      <w:r w:rsidRPr="009F328E">
        <w:t>And your institution’s librarians will be helpful!</w:t>
      </w:r>
    </w:p>
    <w:p w14:paraId="348B89CF" w14:textId="77777777" w:rsidR="009F328E" w:rsidRPr="009F328E" w:rsidRDefault="009F328E" w:rsidP="009F328E">
      <w:pPr>
        <w:spacing w:after="0" w:line="240" w:lineRule="auto"/>
      </w:pPr>
      <w:r w:rsidRPr="009F328E">
        <w:t> </w:t>
      </w:r>
    </w:p>
    <w:p w14:paraId="683291E7" w14:textId="77777777" w:rsidR="009F328E" w:rsidRPr="009F328E" w:rsidRDefault="009F328E" w:rsidP="009F328E">
      <w:pPr>
        <w:numPr>
          <w:ilvl w:val="1"/>
          <w:numId w:val="2"/>
        </w:numPr>
        <w:tabs>
          <w:tab w:val="clear" w:pos="1440"/>
          <w:tab w:val="num" w:pos="0"/>
        </w:tabs>
        <w:spacing w:after="0" w:line="240" w:lineRule="auto"/>
        <w:ind w:left="0" w:firstLine="0"/>
      </w:pPr>
      <w:r w:rsidRPr="009F328E">
        <w:t>Open documentation</w:t>
      </w:r>
    </w:p>
    <w:p w14:paraId="77144499" w14:textId="77777777" w:rsidR="009F328E" w:rsidRPr="009F328E" w:rsidRDefault="009F328E" w:rsidP="009F328E">
      <w:pPr>
        <w:spacing w:after="0" w:line="240" w:lineRule="auto"/>
      </w:pPr>
      <w:r w:rsidRPr="009F328E">
        <w:t>Open documentation refers to the practice of making anything necessary to carry out the project that is not data or code available to other researchers.</w:t>
      </w:r>
    </w:p>
    <w:p w14:paraId="5F98A12F" w14:textId="77777777" w:rsidR="009F328E" w:rsidRPr="009F328E" w:rsidRDefault="009F328E" w:rsidP="009F328E">
      <w:pPr>
        <w:spacing w:after="0" w:line="240" w:lineRule="auto"/>
      </w:pPr>
      <w:r w:rsidRPr="009F328E">
        <w:t> </w:t>
      </w:r>
    </w:p>
    <w:p w14:paraId="7D6C6ECC" w14:textId="77777777" w:rsidR="009F328E" w:rsidRPr="009F328E" w:rsidRDefault="009F328E" w:rsidP="009F328E">
      <w:pPr>
        <w:spacing w:after="0" w:line="240" w:lineRule="auto"/>
      </w:pPr>
      <w:r w:rsidRPr="009F328E">
        <w:t>Sharing materials openly can help other researchers replicate a project, either directly, or with very controlled differences. Replication of research helps to determine its robustness and generalizability.</w:t>
      </w:r>
    </w:p>
    <w:p w14:paraId="43E38970" w14:textId="77777777" w:rsidR="009F328E" w:rsidRPr="009F328E" w:rsidRDefault="009F328E" w:rsidP="009F328E">
      <w:pPr>
        <w:spacing w:after="0" w:line="240" w:lineRule="auto"/>
      </w:pPr>
      <w:r w:rsidRPr="009F328E">
        <w:t> </w:t>
      </w:r>
    </w:p>
    <w:p w14:paraId="0B1C54F3" w14:textId="77777777" w:rsidR="009F328E" w:rsidRPr="009F328E" w:rsidRDefault="009F328E" w:rsidP="009F328E">
      <w:pPr>
        <w:spacing w:after="0" w:line="240" w:lineRule="auto"/>
      </w:pPr>
      <w:r w:rsidRPr="009F328E">
        <w:t>In many cases, open materials will include study protocols, decision flowcharts, intervention materials, stimuli, blank consent forms, or assessment materials. Any materials that are commercially available should not be shared.</w:t>
      </w:r>
    </w:p>
    <w:p w14:paraId="58F397C9" w14:textId="77777777" w:rsidR="009F328E" w:rsidRPr="009F328E" w:rsidRDefault="009F328E" w:rsidP="009F328E">
      <w:pPr>
        <w:spacing w:after="0" w:line="240" w:lineRule="auto"/>
      </w:pPr>
      <w:r w:rsidRPr="009F328E">
        <w:t> </w:t>
      </w:r>
    </w:p>
    <w:p w14:paraId="1412EBFD" w14:textId="77777777" w:rsidR="009F328E" w:rsidRPr="009F328E" w:rsidRDefault="009F328E" w:rsidP="009F328E">
      <w:pPr>
        <w:spacing w:after="0" w:line="240" w:lineRule="auto"/>
      </w:pPr>
      <w:r w:rsidRPr="009F328E">
        <w:lastRenderedPageBreak/>
        <w:t>Often project materials are already digitally stored and limited resources need to be expended on sharing.</w:t>
      </w:r>
    </w:p>
    <w:p w14:paraId="34F406F4" w14:textId="77777777" w:rsidR="009F328E" w:rsidRPr="009F328E" w:rsidRDefault="009F328E" w:rsidP="009F328E">
      <w:pPr>
        <w:spacing w:after="0" w:line="240" w:lineRule="auto"/>
      </w:pPr>
      <w:r w:rsidRPr="009F328E">
        <w:t> </w:t>
      </w:r>
    </w:p>
    <w:p w14:paraId="10BB8168" w14:textId="77777777" w:rsidR="009F328E" w:rsidRPr="009F328E" w:rsidRDefault="009F328E" w:rsidP="009F328E">
      <w:pPr>
        <w:numPr>
          <w:ilvl w:val="1"/>
          <w:numId w:val="3"/>
        </w:numPr>
        <w:tabs>
          <w:tab w:val="clear" w:pos="1440"/>
        </w:tabs>
        <w:spacing w:after="0" w:line="240" w:lineRule="auto"/>
        <w:ind w:left="0" w:firstLine="0"/>
      </w:pPr>
      <w:r w:rsidRPr="009F328E">
        <w:t>Preregistration/registered reports</w:t>
      </w:r>
    </w:p>
    <w:p w14:paraId="04602031" w14:textId="77777777" w:rsidR="009F328E" w:rsidRPr="009F328E" w:rsidRDefault="009F328E" w:rsidP="009F328E">
      <w:pPr>
        <w:spacing w:after="0" w:line="240" w:lineRule="auto"/>
      </w:pPr>
      <w:r w:rsidRPr="009F328E">
        <w:t xml:space="preserve">Preregistration and registered reports go beyond sharing data, code, and materials of a project that has been conducted. In the case of preregistration and registered reports, researchers share the reasoning, design, data collection procedures, and data analytic plan of their study </w:t>
      </w:r>
      <w:r w:rsidRPr="009F328E">
        <w:rPr>
          <w:i/>
          <w:iCs/>
        </w:rPr>
        <w:t>before</w:t>
      </w:r>
      <w:r w:rsidRPr="009F328E">
        <w:t xml:space="preserve"> starting a project (van ‘t Veer &amp; </w:t>
      </w:r>
      <w:proofErr w:type="spellStart"/>
      <w:r w:rsidRPr="009F328E">
        <w:t>Giner-Sorolla</w:t>
      </w:r>
      <w:proofErr w:type="spellEnd"/>
      <w:r w:rsidRPr="009F328E">
        <w:t>, 2016).</w:t>
      </w:r>
    </w:p>
    <w:p w14:paraId="76BFAE1F" w14:textId="77777777" w:rsidR="009F328E" w:rsidRPr="009F328E" w:rsidRDefault="009F328E" w:rsidP="009F328E">
      <w:pPr>
        <w:spacing w:after="0" w:line="240" w:lineRule="auto"/>
      </w:pPr>
      <w:r w:rsidRPr="009F328E">
        <w:t> </w:t>
      </w:r>
    </w:p>
    <w:p w14:paraId="3287CF8D" w14:textId="77777777" w:rsidR="009F328E" w:rsidRPr="009F328E" w:rsidRDefault="009F328E" w:rsidP="009F328E">
      <w:pPr>
        <w:spacing w:after="0" w:line="240" w:lineRule="auto"/>
      </w:pPr>
      <w:r w:rsidRPr="009F328E">
        <w:t xml:space="preserve">Preregistrations are submitted to a registry and occasionally can receive feedback before plans are carried out. After submission, researcher </w:t>
      </w:r>
      <w:proofErr w:type="gramStart"/>
      <w:r w:rsidRPr="009F328E">
        <w:t>are</w:t>
      </w:r>
      <w:proofErr w:type="gramEnd"/>
      <w:r w:rsidRPr="009F328E">
        <w:t xml:space="preserve"> able to make changes to their original plans during the design and data collection phases, if unforeseen challenges occurred. Once data is collected, however, changes to the original data analytic plan should be noted in a report. This signals to consumers which analyses were confirmatory (planned) and which were exploratory (unplanned) (</w:t>
      </w:r>
      <w:proofErr w:type="spellStart"/>
      <w:r w:rsidRPr="009F328E">
        <w:t>Gelhbach</w:t>
      </w:r>
      <w:proofErr w:type="spellEnd"/>
      <w:r w:rsidRPr="009F328E">
        <w:t xml:space="preserve"> &amp; Robinson, 2018).</w:t>
      </w:r>
    </w:p>
    <w:p w14:paraId="1F322A78" w14:textId="77777777" w:rsidR="009F328E" w:rsidRPr="009F328E" w:rsidRDefault="009F328E" w:rsidP="009F328E">
      <w:pPr>
        <w:spacing w:after="0" w:line="240" w:lineRule="auto"/>
      </w:pPr>
      <w:r w:rsidRPr="009F328E">
        <w:t> </w:t>
      </w:r>
    </w:p>
    <w:p w14:paraId="6293F3B1" w14:textId="77777777" w:rsidR="009F328E" w:rsidRPr="009F328E" w:rsidRDefault="009F328E" w:rsidP="009F328E">
      <w:pPr>
        <w:spacing w:after="0" w:line="240" w:lineRule="auto"/>
      </w:pPr>
      <w:r w:rsidRPr="009F328E">
        <w:t>Registered reports differ slightly from preregistrations. First, authors situate their project within the literature by adding an introduction. Second, the plan is then submitted to a journal and undergoes peer-review. Journals may then decide to give ‘in principle acceptance’. In other words, if researchers carry out the project as they have outlined, the journal will publish the results regardless of the outcomes (Nosek et al, 2019).</w:t>
      </w:r>
    </w:p>
    <w:p w14:paraId="60F8ACAF" w14:textId="77777777" w:rsidR="009F328E" w:rsidRPr="009F328E" w:rsidRDefault="009F328E" w:rsidP="009F328E">
      <w:pPr>
        <w:spacing w:after="0" w:line="240" w:lineRule="auto"/>
      </w:pPr>
      <w:r w:rsidRPr="009F328E">
        <w:t> </w:t>
      </w:r>
    </w:p>
    <w:p w14:paraId="3F05982E" w14:textId="77777777" w:rsidR="009F328E" w:rsidRPr="009F328E" w:rsidRDefault="009F328E" w:rsidP="009F328E">
      <w:pPr>
        <w:spacing w:after="0" w:line="240" w:lineRule="auto"/>
      </w:pPr>
      <w:r w:rsidRPr="009F328E">
        <w:t>Example registries are: Cochrane (</w:t>
      </w:r>
      <w:hyperlink r:id="rId8" w:history="1">
        <w:r w:rsidRPr="009F328E">
          <w:rPr>
            <w:rStyle w:val="Hyperlink"/>
          </w:rPr>
          <w:t>https://us.cochrane.org</w:t>
        </w:r>
      </w:hyperlink>
      <w:r w:rsidRPr="009F328E">
        <w:t>) and PROSPERO (</w:t>
      </w:r>
      <w:hyperlink r:id="rId9" w:history="1">
        <w:r w:rsidRPr="009F328E">
          <w:rPr>
            <w:rStyle w:val="Hyperlink"/>
          </w:rPr>
          <w:t>https://www.crd.york.ac.uk/propsero</w:t>
        </w:r>
      </w:hyperlink>
      <w:r w:rsidRPr="009F328E">
        <w:t>) for systematic reviews and meta-analyses, Society for Research on Educational Effectiveness (</w:t>
      </w:r>
      <w:hyperlink r:id="rId10" w:history="1">
        <w:r w:rsidRPr="009F328E">
          <w:rPr>
            <w:rStyle w:val="Hyperlink"/>
          </w:rPr>
          <w:t>https://sreereg.icpsr.umich.edu</w:t>
        </w:r>
      </w:hyperlink>
      <w:r w:rsidRPr="009F328E">
        <w:t>), Open Science Foundation (</w:t>
      </w:r>
      <w:hyperlink r:id="rId11" w:history="1">
        <w:r w:rsidRPr="009F328E">
          <w:rPr>
            <w:rStyle w:val="Hyperlink"/>
          </w:rPr>
          <w:t>www.osf.org</w:t>
        </w:r>
      </w:hyperlink>
      <w:r w:rsidRPr="009F328E">
        <w:t xml:space="preserve">), and </w:t>
      </w:r>
      <w:proofErr w:type="spellStart"/>
      <w:r w:rsidRPr="009F328E">
        <w:t>AsPredicted</w:t>
      </w:r>
      <w:proofErr w:type="spellEnd"/>
      <w:r w:rsidRPr="009F328E">
        <w:t xml:space="preserve"> (</w:t>
      </w:r>
      <w:hyperlink r:id="rId12" w:history="1">
        <w:r w:rsidRPr="009F328E">
          <w:rPr>
            <w:rStyle w:val="Hyperlink"/>
          </w:rPr>
          <w:t>www.aspredicted.org</w:t>
        </w:r>
      </w:hyperlink>
      <w:r w:rsidRPr="009F328E">
        <w:t>) for general studies. These sites have protocols for preregistration of different types of studies.</w:t>
      </w:r>
    </w:p>
    <w:p w14:paraId="54ABF80C" w14:textId="77777777" w:rsidR="009F328E" w:rsidRPr="009F328E" w:rsidRDefault="009F328E" w:rsidP="009F328E">
      <w:pPr>
        <w:spacing w:after="0" w:line="240" w:lineRule="auto"/>
      </w:pPr>
    </w:p>
    <w:p w14:paraId="6457CE4E" w14:textId="77777777" w:rsidR="009F328E" w:rsidRPr="009F328E" w:rsidRDefault="009F328E" w:rsidP="009F328E">
      <w:pPr>
        <w:numPr>
          <w:ilvl w:val="1"/>
          <w:numId w:val="4"/>
        </w:numPr>
        <w:tabs>
          <w:tab w:val="clear" w:pos="1440"/>
          <w:tab w:val="num" w:pos="0"/>
        </w:tabs>
        <w:spacing w:after="0" w:line="240" w:lineRule="auto"/>
        <w:ind w:left="0" w:firstLine="0"/>
      </w:pPr>
      <w:r w:rsidRPr="009F328E">
        <w:t>Open Access</w:t>
      </w:r>
    </w:p>
    <w:p w14:paraId="17928066" w14:textId="77777777" w:rsidR="009F328E" w:rsidRPr="009F328E" w:rsidRDefault="009F328E" w:rsidP="009F328E">
      <w:pPr>
        <w:spacing w:after="0" w:line="240" w:lineRule="auto"/>
      </w:pPr>
      <w:r w:rsidRPr="009F328E">
        <w:t>Publishing Open Access (OA) helps to make the results of research available to everyone, not just people or institutions with subscriptions to specific journals (Klein et al., 2018; Norris et al., 2008). Open Access articles generally receive more citations.</w:t>
      </w:r>
    </w:p>
    <w:p w14:paraId="6A547868" w14:textId="77777777" w:rsidR="009F328E" w:rsidRPr="009F328E" w:rsidRDefault="009F328E" w:rsidP="009F328E">
      <w:pPr>
        <w:spacing w:after="0" w:line="240" w:lineRule="auto"/>
      </w:pPr>
      <w:r w:rsidRPr="009F328E">
        <w:t> </w:t>
      </w:r>
    </w:p>
    <w:p w14:paraId="459C2631" w14:textId="77777777" w:rsidR="009F328E" w:rsidRPr="009F328E" w:rsidRDefault="009F328E" w:rsidP="009F328E">
      <w:pPr>
        <w:spacing w:after="0" w:line="240" w:lineRule="auto"/>
      </w:pPr>
      <w:r w:rsidRPr="009F328E">
        <w:t>There are several ways to publish papers Open Access. First, there are specific Open Access journals. Publishing in these journals is often referred to as Gold OA, and all authors pay an article-processing charge. In many cases, journals are not completely OA, but authors can choose to pay the charge to make their article OA; this is often referred to as hybrid OA.</w:t>
      </w:r>
    </w:p>
    <w:p w14:paraId="1271FBAC" w14:textId="77777777" w:rsidR="009F328E" w:rsidRPr="009F328E" w:rsidRDefault="009F328E" w:rsidP="009F328E">
      <w:pPr>
        <w:spacing w:after="0" w:line="240" w:lineRule="auto"/>
      </w:pPr>
      <w:r w:rsidRPr="009F328E">
        <w:t> </w:t>
      </w:r>
    </w:p>
    <w:p w14:paraId="39D0AF1B" w14:textId="77777777" w:rsidR="009F328E" w:rsidRPr="009F328E" w:rsidRDefault="009F328E" w:rsidP="009F328E">
      <w:pPr>
        <w:spacing w:after="0" w:line="240" w:lineRule="auto"/>
      </w:pPr>
      <w:r w:rsidRPr="009F328E">
        <w:t xml:space="preserve">Additionally, authors can post preprints and </w:t>
      </w:r>
      <w:proofErr w:type="spellStart"/>
      <w:r w:rsidRPr="009F328E">
        <w:t>postprints</w:t>
      </w:r>
      <w:proofErr w:type="spellEnd"/>
      <w:r w:rsidRPr="009F328E">
        <w:t xml:space="preserve"> to repositories and archives; this practice is referred to as Green OA. Preprints are manuscript that are openly shared before undergoing peer-review by a journal. </w:t>
      </w:r>
      <w:proofErr w:type="spellStart"/>
      <w:r w:rsidRPr="009F328E">
        <w:t>Postprints</w:t>
      </w:r>
      <w:proofErr w:type="spellEnd"/>
      <w:r w:rsidRPr="009F328E">
        <w:t xml:space="preserve"> are versions of the manuscript posted after peer-review that are not formatted according to the journal preferences. Finally, many grant funding agencies mandate papers to be made available through their repositories (e.g., ERIC, </w:t>
      </w:r>
      <w:proofErr w:type="spellStart"/>
      <w:r w:rsidRPr="009F328E">
        <w:t>PubMedCentral</w:t>
      </w:r>
      <w:proofErr w:type="spellEnd"/>
      <w:r w:rsidRPr="009F328E">
        <w:t>, or NSF-PAR).</w:t>
      </w:r>
    </w:p>
    <w:p w14:paraId="15DA6C70" w14:textId="77777777" w:rsidR="009F328E" w:rsidRPr="009F328E" w:rsidRDefault="009F328E" w:rsidP="009F328E">
      <w:pPr>
        <w:spacing w:after="0" w:line="240" w:lineRule="auto"/>
      </w:pPr>
      <w:r w:rsidRPr="009F328E">
        <w:t> </w:t>
      </w:r>
    </w:p>
    <w:p w14:paraId="777EBF0E" w14:textId="77777777" w:rsidR="009F328E" w:rsidRPr="009F328E" w:rsidRDefault="009F328E" w:rsidP="009F328E">
      <w:pPr>
        <w:spacing w:after="0" w:line="240" w:lineRule="auto"/>
      </w:pPr>
      <w:r w:rsidRPr="009F328E">
        <w:t>Journals have different policies regarding Open Access publishing, and it is recommended authors check before posting their work. Information on journals’ archiving policies and access options can be found on the SHERPA/ROMEO website (</w:t>
      </w:r>
      <w:hyperlink r:id="rId13" w:history="1">
        <w:r w:rsidRPr="009F328E">
          <w:rPr>
            <w:rStyle w:val="Hyperlink"/>
          </w:rPr>
          <w:t>http://www.sherpa.ac.uk/romeo/search.php</w:t>
        </w:r>
      </w:hyperlink>
      <w:r w:rsidRPr="009F328E">
        <w:t>).</w:t>
      </w:r>
    </w:p>
    <w:p w14:paraId="54746908" w14:textId="77777777" w:rsidR="009F328E" w:rsidRPr="009F328E" w:rsidRDefault="009F328E" w:rsidP="009F328E">
      <w:pPr>
        <w:spacing w:after="0" w:line="240" w:lineRule="auto"/>
      </w:pPr>
      <w:r w:rsidRPr="009F328E">
        <w:t> </w:t>
      </w:r>
    </w:p>
    <w:p w14:paraId="10EE35F2" w14:textId="77777777" w:rsidR="009F328E" w:rsidRPr="009F328E" w:rsidRDefault="009F328E" w:rsidP="009F328E">
      <w:pPr>
        <w:numPr>
          <w:ilvl w:val="1"/>
          <w:numId w:val="5"/>
        </w:numPr>
        <w:tabs>
          <w:tab w:val="clear" w:pos="1440"/>
          <w:tab w:val="num" w:pos="0"/>
        </w:tabs>
        <w:spacing w:after="0" w:line="240" w:lineRule="auto"/>
        <w:ind w:left="0" w:firstLine="0"/>
      </w:pPr>
      <w:r w:rsidRPr="009F328E">
        <w:lastRenderedPageBreak/>
        <w:t>Open Science Badges</w:t>
      </w:r>
    </w:p>
    <w:p w14:paraId="1D9836D2" w14:textId="77777777" w:rsidR="009F328E" w:rsidRPr="009F328E" w:rsidRDefault="009F328E" w:rsidP="009F328E">
      <w:pPr>
        <w:spacing w:after="0" w:line="240" w:lineRule="auto"/>
      </w:pPr>
      <w:r w:rsidRPr="009F328E">
        <w:t>Some journals award badges to authors of manuscripts adhering to one or more of three Open Science principles: Open Data, Open Materials, and Preregistration. (</w:t>
      </w:r>
      <w:hyperlink r:id="rId14" w:history="1">
        <w:r w:rsidRPr="009F328E">
          <w:rPr>
            <w:rStyle w:val="Hyperlink"/>
          </w:rPr>
          <w:t>https://osf.io/tvyxz/wiki/1.%20View%20the%20Badges/</w:t>
        </w:r>
      </w:hyperlink>
      <w:r w:rsidRPr="009F328E">
        <w:t xml:space="preserve"> )</w:t>
      </w:r>
    </w:p>
    <w:p w14:paraId="737BC8B7" w14:textId="77777777" w:rsidR="009F328E" w:rsidRPr="009F328E" w:rsidRDefault="009F328E" w:rsidP="009F328E">
      <w:pPr>
        <w:spacing w:after="0" w:line="240" w:lineRule="auto"/>
      </w:pPr>
      <w:r w:rsidRPr="009F328E">
        <w:t> </w:t>
      </w:r>
    </w:p>
    <w:p w14:paraId="6ECFF7AF" w14:textId="77777777" w:rsidR="009F328E" w:rsidRPr="009F328E" w:rsidRDefault="009F328E" w:rsidP="009F328E">
      <w:pPr>
        <w:spacing w:after="0" w:line="240" w:lineRule="auto"/>
      </w:pPr>
      <w:r w:rsidRPr="009F328E">
        <w:t>To qualify for the Open Data badge, authors of a paper need to specify the data are publicly available in a repository, with a unique, persistent identifier, and a timestamp. The data should be accompanied by a codebook and have a license that allows for others to copy, distribute, and use the data while at the same time keeping credit and copyright with the authors.</w:t>
      </w:r>
    </w:p>
    <w:p w14:paraId="3B5DE14C" w14:textId="77777777" w:rsidR="009F328E" w:rsidRPr="009F328E" w:rsidRDefault="009F328E" w:rsidP="009F328E">
      <w:pPr>
        <w:spacing w:after="0" w:line="240" w:lineRule="auto"/>
      </w:pPr>
      <w:r w:rsidRPr="009F328E">
        <w:t> </w:t>
      </w:r>
    </w:p>
    <w:p w14:paraId="1B98E9AB" w14:textId="77777777" w:rsidR="009F328E" w:rsidRPr="009F328E" w:rsidRDefault="009F328E" w:rsidP="009F328E">
      <w:pPr>
        <w:spacing w:after="0" w:line="240" w:lineRule="auto"/>
      </w:pPr>
      <w:r w:rsidRPr="009F328E">
        <w:t>For Open Materials, authors should specify that all materials needed to reproduce the results are openly available. Just as Open Data, materials need an identifier, timestamp, and license. Authors should also make clear how each of the materials are related to the study and its analyses.</w:t>
      </w:r>
    </w:p>
    <w:p w14:paraId="5448FC6B" w14:textId="77777777" w:rsidR="009F328E" w:rsidRPr="009F328E" w:rsidRDefault="009F328E" w:rsidP="009F328E">
      <w:pPr>
        <w:spacing w:after="0" w:line="240" w:lineRule="auto"/>
      </w:pPr>
      <w:r w:rsidRPr="009F328E">
        <w:t> </w:t>
      </w:r>
    </w:p>
    <w:p w14:paraId="0F0870A9" w14:textId="77777777" w:rsidR="009F328E" w:rsidRPr="009F328E" w:rsidRDefault="009F328E" w:rsidP="009F328E">
      <w:pPr>
        <w:spacing w:after="0" w:line="240" w:lineRule="auto"/>
      </w:pPr>
      <w:r w:rsidRPr="009F328E">
        <w:t>Finally, authors can be awarded a badge for preregistering their study. The registration should be timestamped and submitted in an institutional registration system. The registration should be stamped before intervention or conduction of the study. Finally, the design in the manuscript should correspond to the registration, or detail how and why it differed, as well as report all results of hypotheses posed in the registration.</w:t>
      </w:r>
    </w:p>
    <w:p w14:paraId="51D6CA6D" w14:textId="77777777" w:rsidR="009F328E" w:rsidRPr="009F328E" w:rsidRDefault="009F328E" w:rsidP="009F328E">
      <w:pPr>
        <w:spacing w:after="0" w:line="240" w:lineRule="auto"/>
      </w:pPr>
      <w:r w:rsidRPr="009F328E">
        <w:t> </w:t>
      </w:r>
    </w:p>
    <w:p w14:paraId="382098EE" w14:textId="7FE492CD" w:rsidR="009F328E" w:rsidRDefault="009F328E" w:rsidP="009F328E">
      <w:pPr>
        <w:spacing w:after="0" w:line="240" w:lineRule="auto"/>
      </w:pPr>
      <w:r w:rsidRPr="009F328E">
        <w:t>The Open Science Foundation keeps a list of journals awarding badges (</w:t>
      </w:r>
      <w:hyperlink r:id="rId15" w:history="1">
        <w:r w:rsidRPr="009F328E">
          <w:rPr>
            <w:rStyle w:val="Hyperlink"/>
          </w:rPr>
          <w:t>https://www.cos.io/our-services/badges</w:t>
        </w:r>
      </w:hyperlink>
      <w:r w:rsidRPr="009F328E">
        <w:t>).</w:t>
      </w:r>
    </w:p>
    <w:p w14:paraId="7EE0B3C3" w14:textId="77777777" w:rsidR="009F328E" w:rsidRPr="009F328E" w:rsidRDefault="009F328E" w:rsidP="009F328E">
      <w:pPr>
        <w:spacing w:after="0" w:line="240" w:lineRule="auto"/>
      </w:pPr>
    </w:p>
    <w:p w14:paraId="5597BA6D" w14:textId="4EE43435" w:rsidR="009F328E" w:rsidRDefault="009F328E" w:rsidP="009F328E">
      <w:pPr>
        <w:numPr>
          <w:ilvl w:val="1"/>
          <w:numId w:val="6"/>
        </w:numPr>
        <w:tabs>
          <w:tab w:val="clear" w:pos="1440"/>
          <w:tab w:val="num" w:pos="0"/>
        </w:tabs>
        <w:spacing w:after="0" w:line="240" w:lineRule="auto"/>
        <w:ind w:left="0" w:firstLine="0"/>
      </w:pPr>
      <w:r w:rsidRPr="009F328E">
        <w:t>Recommended reading and references</w:t>
      </w:r>
    </w:p>
    <w:p w14:paraId="23B3B7F0" w14:textId="77777777" w:rsidR="009F328E" w:rsidRPr="009F328E" w:rsidRDefault="009F328E" w:rsidP="009F328E">
      <w:pPr>
        <w:spacing w:after="0" w:line="240" w:lineRule="auto"/>
      </w:pPr>
    </w:p>
    <w:p w14:paraId="38D7CAE1" w14:textId="40A42E21" w:rsidR="009F328E" w:rsidRDefault="009F328E" w:rsidP="009F328E">
      <w:pPr>
        <w:spacing w:after="0" w:line="240" w:lineRule="auto"/>
      </w:pPr>
      <w:r w:rsidRPr="009F328E">
        <w:t xml:space="preserve">Cook, B. G. (2016). Reforms in academic publishing: Should behavioral disorders and special education journals embrace them? </w:t>
      </w:r>
      <w:r w:rsidRPr="009F328E">
        <w:rPr>
          <w:i/>
          <w:iCs/>
        </w:rPr>
        <w:t>Behavioral Disorders</w:t>
      </w:r>
      <w:r w:rsidRPr="009F328E">
        <w:t xml:space="preserve">, </w:t>
      </w:r>
      <w:r w:rsidRPr="009F328E">
        <w:rPr>
          <w:i/>
          <w:iCs/>
        </w:rPr>
        <w:t>41</w:t>
      </w:r>
      <w:r w:rsidRPr="009F328E">
        <w:t>(3), 161–172.</w:t>
      </w:r>
      <w:hyperlink r:id="rId16" w:history="1">
        <w:r w:rsidRPr="009F328E">
          <w:rPr>
            <w:rStyle w:val="Hyperlink"/>
          </w:rPr>
          <w:t xml:space="preserve"> https://doi.org/10.17988/0198-7429-41.3.161</w:t>
        </w:r>
      </w:hyperlink>
    </w:p>
    <w:p w14:paraId="758A8DD0" w14:textId="77777777" w:rsidR="009F328E" w:rsidRPr="009F328E" w:rsidRDefault="009F328E" w:rsidP="009F328E">
      <w:pPr>
        <w:spacing w:after="0" w:line="240" w:lineRule="auto"/>
      </w:pPr>
    </w:p>
    <w:p w14:paraId="498EE710" w14:textId="0D33BD67" w:rsidR="009F328E" w:rsidRDefault="009F328E" w:rsidP="009F328E">
      <w:pPr>
        <w:spacing w:after="0" w:line="240" w:lineRule="auto"/>
      </w:pPr>
      <w:r w:rsidRPr="009F328E">
        <w:t xml:space="preserve">Coyne, M. D., Cook, B. G., &amp; Therrien, W. J. (2016). Recommendations for replication research in special education: A framework of systematic, conceptual replications. </w:t>
      </w:r>
      <w:r w:rsidRPr="009F328E">
        <w:rPr>
          <w:i/>
          <w:iCs/>
        </w:rPr>
        <w:t>Remedial and Special Education</w:t>
      </w:r>
      <w:r w:rsidRPr="009F328E">
        <w:t xml:space="preserve">, </w:t>
      </w:r>
      <w:r w:rsidRPr="009F328E">
        <w:rPr>
          <w:i/>
          <w:iCs/>
        </w:rPr>
        <w:t>37</w:t>
      </w:r>
      <w:r w:rsidRPr="009F328E">
        <w:t>(4), 244–253.</w:t>
      </w:r>
      <w:hyperlink r:id="rId17" w:history="1">
        <w:r w:rsidRPr="009F328E">
          <w:rPr>
            <w:rStyle w:val="Hyperlink"/>
          </w:rPr>
          <w:t xml:space="preserve"> https://doi.org/10.1177/0741932516648463</w:t>
        </w:r>
      </w:hyperlink>
    </w:p>
    <w:p w14:paraId="14F5D94F" w14:textId="77777777" w:rsidR="009F328E" w:rsidRPr="009F328E" w:rsidRDefault="009F328E" w:rsidP="009F328E">
      <w:pPr>
        <w:spacing w:after="0" w:line="240" w:lineRule="auto"/>
      </w:pPr>
    </w:p>
    <w:p w14:paraId="0A433C0A" w14:textId="369E6AB7" w:rsidR="009F328E" w:rsidRDefault="009F328E" w:rsidP="009F328E">
      <w:pPr>
        <w:spacing w:after="0" w:line="240" w:lineRule="auto"/>
      </w:pPr>
      <w:proofErr w:type="spellStart"/>
      <w:r w:rsidRPr="009F328E">
        <w:t>Gehlbach</w:t>
      </w:r>
      <w:proofErr w:type="spellEnd"/>
      <w:r w:rsidRPr="009F328E">
        <w:t xml:space="preserve">, H., &amp; Robinson, C. D. (2018). Mitigating illusory results through preregistration in education. </w:t>
      </w:r>
      <w:r w:rsidRPr="009F328E">
        <w:rPr>
          <w:i/>
          <w:iCs/>
        </w:rPr>
        <w:t>Journal of Research on Educational Effectiveness</w:t>
      </w:r>
      <w:r w:rsidRPr="009F328E">
        <w:t xml:space="preserve">, </w:t>
      </w:r>
      <w:r w:rsidRPr="009F328E">
        <w:rPr>
          <w:i/>
          <w:iCs/>
        </w:rPr>
        <w:t>11</w:t>
      </w:r>
      <w:r w:rsidRPr="009F328E">
        <w:t>(2), 296–315.</w:t>
      </w:r>
      <w:hyperlink r:id="rId18" w:history="1">
        <w:r w:rsidRPr="009F328E">
          <w:rPr>
            <w:rStyle w:val="Hyperlink"/>
          </w:rPr>
          <w:t xml:space="preserve"> https://doi.org/10.1080/19345747.2017.1387950</w:t>
        </w:r>
      </w:hyperlink>
    </w:p>
    <w:p w14:paraId="7670BF1A" w14:textId="77777777" w:rsidR="009F328E" w:rsidRPr="009F328E" w:rsidRDefault="009F328E" w:rsidP="009F328E">
      <w:pPr>
        <w:spacing w:after="0" w:line="240" w:lineRule="auto"/>
      </w:pPr>
    </w:p>
    <w:p w14:paraId="5062FC56" w14:textId="5E60335E" w:rsidR="009F328E" w:rsidRDefault="009F328E" w:rsidP="009F328E">
      <w:pPr>
        <w:spacing w:after="0" w:line="240" w:lineRule="auto"/>
      </w:pPr>
      <w:proofErr w:type="spellStart"/>
      <w:r w:rsidRPr="009F328E">
        <w:t>Grahe</w:t>
      </w:r>
      <w:proofErr w:type="spellEnd"/>
      <w:r w:rsidRPr="009F328E">
        <w:t xml:space="preserve">, J. (2018). Another step towards scientific transparency: Requiring research materials for publication. </w:t>
      </w:r>
      <w:r w:rsidRPr="009F328E">
        <w:rPr>
          <w:i/>
          <w:iCs/>
        </w:rPr>
        <w:t>The Journal of Social Psychology</w:t>
      </w:r>
      <w:r w:rsidRPr="009F328E">
        <w:t xml:space="preserve">, </w:t>
      </w:r>
      <w:r w:rsidRPr="009F328E">
        <w:rPr>
          <w:i/>
          <w:iCs/>
        </w:rPr>
        <w:t>158</w:t>
      </w:r>
      <w:r w:rsidRPr="009F328E">
        <w:t>(1), 1–6.</w:t>
      </w:r>
      <w:hyperlink r:id="rId19" w:history="1">
        <w:r w:rsidRPr="009F328E">
          <w:rPr>
            <w:rStyle w:val="Hyperlink"/>
          </w:rPr>
          <w:t xml:space="preserve"> https://doi.org/10.1080/00224545.2018.1416272</w:t>
        </w:r>
      </w:hyperlink>
    </w:p>
    <w:p w14:paraId="2B9F7EC8" w14:textId="77777777" w:rsidR="009F328E" w:rsidRPr="009F328E" w:rsidRDefault="009F328E" w:rsidP="009F328E">
      <w:pPr>
        <w:spacing w:after="0" w:line="240" w:lineRule="auto"/>
      </w:pPr>
    </w:p>
    <w:p w14:paraId="00774BA2" w14:textId="20CF8C22" w:rsidR="009F328E" w:rsidRDefault="009F328E" w:rsidP="009F328E">
      <w:pPr>
        <w:spacing w:after="0" w:line="240" w:lineRule="auto"/>
      </w:pPr>
      <w:proofErr w:type="spellStart"/>
      <w:r w:rsidRPr="009F328E">
        <w:t>Harnad</w:t>
      </w:r>
      <w:proofErr w:type="spellEnd"/>
      <w:r w:rsidRPr="009F328E">
        <w:t xml:space="preserve">, S., Brody, T., </w:t>
      </w:r>
      <w:proofErr w:type="spellStart"/>
      <w:r w:rsidRPr="009F328E">
        <w:t>Vallières</w:t>
      </w:r>
      <w:proofErr w:type="spellEnd"/>
      <w:r w:rsidRPr="009F328E">
        <w:t xml:space="preserve">, F., </w:t>
      </w:r>
      <w:proofErr w:type="spellStart"/>
      <w:r w:rsidRPr="009F328E">
        <w:t>Carr</w:t>
      </w:r>
      <w:proofErr w:type="spellEnd"/>
      <w:r w:rsidRPr="009F328E">
        <w:t xml:space="preserve">, L., Hitchcock, S., Gingras, Y., Oppenheim, C., </w:t>
      </w:r>
      <w:proofErr w:type="spellStart"/>
      <w:r w:rsidRPr="009F328E">
        <w:t>Stamerjohanns</w:t>
      </w:r>
      <w:proofErr w:type="spellEnd"/>
      <w:r w:rsidRPr="009F328E">
        <w:t xml:space="preserve">, H., &amp; </w:t>
      </w:r>
      <w:proofErr w:type="spellStart"/>
      <w:r w:rsidRPr="009F328E">
        <w:t>Hilf</w:t>
      </w:r>
      <w:proofErr w:type="spellEnd"/>
      <w:r w:rsidRPr="009F328E">
        <w:t xml:space="preserve">, E. R. (2004). The access/impact problem and the green and gold roads to open access. </w:t>
      </w:r>
      <w:r w:rsidRPr="009F328E">
        <w:rPr>
          <w:i/>
          <w:iCs/>
        </w:rPr>
        <w:t>Serials Review</w:t>
      </w:r>
      <w:r w:rsidRPr="009F328E">
        <w:t xml:space="preserve">, </w:t>
      </w:r>
      <w:r w:rsidRPr="009F328E">
        <w:rPr>
          <w:i/>
          <w:iCs/>
        </w:rPr>
        <w:t>30</w:t>
      </w:r>
      <w:r w:rsidRPr="009F328E">
        <w:t>(4), 310–314.</w:t>
      </w:r>
    </w:p>
    <w:p w14:paraId="553FC725" w14:textId="77777777" w:rsidR="009F328E" w:rsidRPr="009F328E" w:rsidRDefault="009F328E" w:rsidP="009F328E">
      <w:pPr>
        <w:spacing w:after="0" w:line="240" w:lineRule="auto"/>
      </w:pPr>
    </w:p>
    <w:p w14:paraId="7B9D37E6" w14:textId="0AC7CBA2" w:rsidR="009F328E" w:rsidRDefault="009F328E" w:rsidP="009F328E">
      <w:pPr>
        <w:spacing w:after="0" w:line="240" w:lineRule="auto"/>
      </w:pPr>
      <w:r w:rsidRPr="009F328E">
        <w:t xml:space="preserve">Klein, O., Hardwicke, T. E., Aust, F., Breuer, J., </w:t>
      </w:r>
      <w:proofErr w:type="spellStart"/>
      <w:r w:rsidRPr="009F328E">
        <w:t>Danielsson</w:t>
      </w:r>
      <w:proofErr w:type="spellEnd"/>
      <w:r w:rsidRPr="009F328E">
        <w:t xml:space="preserve">, H., Mohr, A. H., </w:t>
      </w:r>
      <w:proofErr w:type="spellStart"/>
      <w:r w:rsidRPr="009F328E">
        <w:t>Ijzerman</w:t>
      </w:r>
      <w:proofErr w:type="spellEnd"/>
      <w:r w:rsidRPr="009F328E">
        <w:t xml:space="preserve">, H., </w:t>
      </w:r>
      <w:proofErr w:type="spellStart"/>
      <w:r w:rsidRPr="009F328E">
        <w:t>Nilsonne</w:t>
      </w:r>
      <w:proofErr w:type="spellEnd"/>
      <w:r w:rsidRPr="009F328E">
        <w:t xml:space="preserve">, G., </w:t>
      </w:r>
      <w:proofErr w:type="spellStart"/>
      <w:r w:rsidRPr="009F328E">
        <w:t>Vanpaemel</w:t>
      </w:r>
      <w:proofErr w:type="spellEnd"/>
      <w:r w:rsidRPr="009F328E">
        <w:t xml:space="preserve">, W., &amp; Frank, M. C. (2018). A practical guide for transparency in psychological science. </w:t>
      </w:r>
      <w:r w:rsidRPr="009F328E">
        <w:rPr>
          <w:i/>
          <w:iCs/>
        </w:rPr>
        <w:t>Collabra: Psychology</w:t>
      </w:r>
      <w:r w:rsidRPr="009F328E">
        <w:t xml:space="preserve">, </w:t>
      </w:r>
      <w:r w:rsidRPr="009F328E">
        <w:rPr>
          <w:i/>
          <w:iCs/>
        </w:rPr>
        <w:t>4</w:t>
      </w:r>
      <w:r w:rsidRPr="009F328E">
        <w:t>(1), 20.</w:t>
      </w:r>
      <w:hyperlink r:id="rId20" w:history="1">
        <w:r w:rsidRPr="009F328E">
          <w:rPr>
            <w:rStyle w:val="Hyperlink"/>
          </w:rPr>
          <w:t xml:space="preserve"> https://doi.org/10.1525/collabra.158</w:t>
        </w:r>
      </w:hyperlink>
    </w:p>
    <w:p w14:paraId="2DDBBCA0" w14:textId="77777777" w:rsidR="009F328E" w:rsidRPr="009F328E" w:rsidRDefault="009F328E" w:rsidP="009F328E">
      <w:pPr>
        <w:spacing w:after="0" w:line="240" w:lineRule="auto"/>
      </w:pPr>
    </w:p>
    <w:p w14:paraId="59767FA5" w14:textId="77777777" w:rsidR="009F328E" w:rsidRPr="009F328E" w:rsidRDefault="009F328E" w:rsidP="009F328E">
      <w:pPr>
        <w:spacing w:after="0" w:line="240" w:lineRule="auto"/>
      </w:pPr>
      <w:r w:rsidRPr="009F328E">
        <w:t xml:space="preserve">Norris, M., Oppenheim, C., &amp; Rowland, F. (2008). The citation advantage of open-access articles. </w:t>
      </w:r>
      <w:r w:rsidRPr="009F328E">
        <w:rPr>
          <w:i/>
          <w:iCs/>
        </w:rPr>
        <w:t>Journal of the American Society for Information Science and Technology</w:t>
      </w:r>
      <w:r w:rsidRPr="009F328E">
        <w:t xml:space="preserve">, </w:t>
      </w:r>
      <w:r w:rsidRPr="009F328E">
        <w:rPr>
          <w:i/>
          <w:iCs/>
        </w:rPr>
        <w:t>59</w:t>
      </w:r>
      <w:r w:rsidRPr="009F328E">
        <w:t>(12), 1963–1972.</w:t>
      </w:r>
      <w:hyperlink r:id="rId21" w:history="1">
        <w:r w:rsidRPr="009F328E">
          <w:rPr>
            <w:rStyle w:val="Hyperlink"/>
          </w:rPr>
          <w:t xml:space="preserve"> https://doi.org/10.1002/asi.20898</w:t>
        </w:r>
      </w:hyperlink>
    </w:p>
    <w:p w14:paraId="320BC385" w14:textId="61E0177F" w:rsidR="009F328E" w:rsidRDefault="009F328E" w:rsidP="009F328E">
      <w:pPr>
        <w:spacing w:after="0" w:line="240" w:lineRule="auto"/>
      </w:pPr>
      <w:r w:rsidRPr="009F328E">
        <w:t xml:space="preserve">Nosek, B. A., Beck, E. D., Campbell, L., Flake, J. K., Hardwicke, T. E., Mellor, D. T., van ’t Veer, A. E., &amp; </w:t>
      </w:r>
      <w:proofErr w:type="spellStart"/>
      <w:r w:rsidRPr="009F328E">
        <w:t>Vazire</w:t>
      </w:r>
      <w:proofErr w:type="spellEnd"/>
      <w:r w:rsidRPr="009F328E">
        <w:t xml:space="preserve">, S. (2019). </w:t>
      </w:r>
      <w:r w:rsidRPr="009F328E">
        <w:rPr>
          <w:i/>
          <w:iCs/>
        </w:rPr>
        <w:t>Preregistration is hard, and worthwhile</w:t>
      </w:r>
      <w:r w:rsidRPr="009F328E">
        <w:t xml:space="preserve"> [Preprint]. </w:t>
      </w:r>
      <w:proofErr w:type="spellStart"/>
      <w:r w:rsidRPr="009F328E">
        <w:t>PsyArXiv</w:t>
      </w:r>
      <w:proofErr w:type="spellEnd"/>
      <w:r w:rsidRPr="009F328E">
        <w:t>.</w:t>
      </w:r>
      <w:hyperlink r:id="rId22" w:history="1">
        <w:r w:rsidRPr="009F328E">
          <w:rPr>
            <w:rStyle w:val="Hyperlink"/>
          </w:rPr>
          <w:t xml:space="preserve"> https://doi.org/10.31234/osf.io/wu3vs</w:t>
        </w:r>
      </w:hyperlink>
    </w:p>
    <w:p w14:paraId="6CF24704" w14:textId="77777777" w:rsidR="009F328E" w:rsidRPr="009F328E" w:rsidRDefault="009F328E" w:rsidP="009F328E">
      <w:pPr>
        <w:spacing w:after="0" w:line="240" w:lineRule="auto"/>
      </w:pPr>
    </w:p>
    <w:p w14:paraId="08589259" w14:textId="259B432A" w:rsidR="009F328E" w:rsidRDefault="009F328E" w:rsidP="009F328E">
      <w:pPr>
        <w:spacing w:after="0" w:line="240" w:lineRule="auto"/>
      </w:pPr>
      <w:r w:rsidRPr="009F328E">
        <w:t xml:space="preserve">Nosek, B. A., Spies, J. R., &amp; </w:t>
      </w:r>
      <w:proofErr w:type="spellStart"/>
      <w:r w:rsidRPr="009F328E">
        <w:t>Motyl</w:t>
      </w:r>
      <w:proofErr w:type="spellEnd"/>
      <w:r w:rsidRPr="009F328E">
        <w:t xml:space="preserve">, M. (2012). Scientific Utopia: II. Restructuring incentives and practices to promote truth over </w:t>
      </w:r>
      <w:proofErr w:type="spellStart"/>
      <w:r w:rsidRPr="009F328E">
        <w:t>publishability</w:t>
      </w:r>
      <w:proofErr w:type="spellEnd"/>
      <w:r w:rsidRPr="009F328E">
        <w:t xml:space="preserve">. </w:t>
      </w:r>
      <w:r w:rsidRPr="009F328E">
        <w:rPr>
          <w:i/>
          <w:iCs/>
        </w:rPr>
        <w:t>Perspectives on Psychological Science</w:t>
      </w:r>
      <w:r w:rsidRPr="009F328E">
        <w:t xml:space="preserve">, </w:t>
      </w:r>
      <w:r w:rsidRPr="009F328E">
        <w:rPr>
          <w:i/>
          <w:iCs/>
        </w:rPr>
        <w:t>7</w:t>
      </w:r>
      <w:r w:rsidRPr="009F328E">
        <w:t>(6), 615– 631.</w:t>
      </w:r>
    </w:p>
    <w:p w14:paraId="506C6C83" w14:textId="77777777" w:rsidR="009F328E" w:rsidRPr="009F328E" w:rsidRDefault="009F328E" w:rsidP="009F328E">
      <w:pPr>
        <w:spacing w:after="0" w:line="240" w:lineRule="auto"/>
      </w:pPr>
    </w:p>
    <w:p w14:paraId="48F30951" w14:textId="6A8BB7A7" w:rsidR="009F328E" w:rsidRDefault="009F328E" w:rsidP="009F328E">
      <w:pPr>
        <w:spacing w:after="0" w:line="240" w:lineRule="auto"/>
      </w:pPr>
      <w:r w:rsidRPr="009F328E">
        <w:t xml:space="preserve">Van den Akker, O., Weston, S. J., Campbell, L., </w:t>
      </w:r>
      <w:proofErr w:type="spellStart"/>
      <w:r w:rsidRPr="009F328E">
        <w:t>Chopik</w:t>
      </w:r>
      <w:proofErr w:type="spellEnd"/>
      <w:r w:rsidRPr="009F328E">
        <w:t xml:space="preserve">, W. J., Damian, R. I., Davis-Kean, P., Hall, A. N., </w:t>
      </w:r>
      <w:proofErr w:type="spellStart"/>
      <w:r w:rsidRPr="009F328E">
        <w:t>Kosie</w:t>
      </w:r>
      <w:proofErr w:type="spellEnd"/>
      <w:r w:rsidRPr="009F328E">
        <w:t xml:space="preserve">, J. E., Kruse, E. T., Olsen, J., Ritchie, S. J., Valentine, K. D., van ’t Veer, A. E., &amp; Bakker, M. (2019). </w:t>
      </w:r>
      <w:r w:rsidRPr="009F328E">
        <w:rPr>
          <w:i/>
          <w:iCs/>
        </w:rPr>
        <w:t>Preregistration of secondary data analysis: A template and tutorial</w:t>
      </w:r>
      <w:r w:rsidRPr="009F328E">
        <w:t xml:space="preserve"> [Preprint]. </w:t>
      </w:r>
      <w:proofErr w:type="spellStart"/>
      <w:r w:rsidRPr="009F328E">
        <w:t>PsyArXiv</w:t>
      </w:r>
      <w:proofErr w:type="spellEnd"/>
      <w:r w:rsidRPr="009F328E">
        <w:t>.</w:t>
      </w:r>
      <w:hyperlink r:id="rId23" w:history="1">
        <w:r w:rsidRPr="009F328E">
          <w:rPr>
            <w:rStyle w:val="Hyperlink"/>
          </w:rPr>
          <w:t xml:space="preserve"> https://doi.org/10.31234/osf.io/hvfmr</w:t>
        </w:r>
      </w:hyperlink>
    </w:p>
    <w:p w14:paraId="0D116840" w14:textId="77777777" w:rsidR="009F328E" w:rsidRPr="009F328E" w:rsidRDefault="009F328E" w:rsidP="009F328E">
      <w:pPr>
        <w:spacing w:after="0" w:line="240" w:lineRule="auto"/>
      </w:pPr>
    </w:p>
    <w:p w14:paraId="2EB94FFA" w14:textId="6FD905E9" w:rsidR="009F328E" w:rsidRDefault="009F328E" w:rsidP="009F328E">
      <w:pPr>
        <w:spacing w:after="0" w:line="240" w:lineRule="auto"/>
      </w:pPr>
      <w:r w:rsidRPr="009F328E">
        <w:t xml:space="preserve">van der Zee, T., &amp; Reich, J. (2018). Open education science. </w:t>
      </w:r>
      <w:r w:rsidRPr="009F328E">
        <w:rPr>
          <w:i/>
          <w:iCs/>
        </w:rPr>
        <w:t>AERA Open</w:t>
      </w:r>
      <w:r w:rsidRPr="009F328E">
        <w:t xml:space="preserve">, </w:t>
      </w:r>
      <w:r w:rsidRPr="009F328E">
        <w:rPr>
          <w:i/>
          <w:iCs/>
        </w:rPr>
        <w:t>4</w:t>
      </w:r>
      <w:r w:rsidRPr="009F328E">
        <w:t>(3), 1–15.</w:t>
      </w:r>
      <w:hyperlink r:id="rId24" w:history="1">
        <w:r w:rsidRPr="009F328E">
          <w:rPr>
            <w:rStyle w:val="Hyperlink"/>
          </w:rPr>
          <w:t xml:space="preserve"> https://doi.org/10.1177/2332858418787466</w:t>
        </w:r>
      </w:hyperlink>
    </w:p>
    <w:p w14:paraId="73C4B15B" w14:textId="77777777" w:rsidR="009F328E" w:rsidRPr="009F328E" w:rsidRDefault="009F328E" w:rsidP="009F328E">
      <w:pPr>
        <w:spacing w:after="0" w:line="240" w:lineRule="auto"/>
      </w:pPr>
    </w:p>
    <w:p w14:paraId="163E04B6" w14:textId="5BD4D7AF" w:rsidR="009F328E" w:rsidRDefault="009F328E" w:rsidP="009F328E">
      <w:pPr>
        <w:spacing w:after="0" w:line="240" w:lineRule="auto"/>
      </w:pPr>
      <w:r w:rsidRPr="009F328E">
        <w:t xml:space="preserve">van Dijk, W., Schatschneider, C., &amp; Hart, S. A. (2020). Open Science in Education Sciences. </w:t>
      </w:r>
      <w:r w:rsidRPr="009F328E">
        <w:rPr>
          <w:i/>
          <w:iCs/>
        </w:rPr>
        <w:t>Journal of Learning Disabilities</w:t>
      </w:r>
      <w:r w:rsidRPr="009F328E">
        <w:t>, advance online publication.</w:t>
      </w:r>
      <w:hyperlink r:id="rId25" w:history="1">
        <w:r w:rsidRPr="009F328E">
          <w:rPr>
            <w:rStyle w:val="Hyperlink"/>
          </w:rPr>
          <w:t xml:space="preserve"> https://doi.org/10.1177/0022219420945267</w:t>
        </w:r>
      </w:hyperlink>
    </w:p>
    <w:p w14:paraId="0F633682" w14:textId="77777777" w:rsidR="009F328E" w:rsidRPr="009F328E" w:rsidRDefault="009F328E" w:rsidP="009F328E">
      <w:pPr>
        <w:spacing w:after="0" w:line="240" w:lineRule="auto"/>
      </w:pPr>
    </w:p>
    <w:p w14:paraId="64477A41" w14:textId="6C2EDC36" w:rsidR="009F328E" w:rsidRDefault="009F328E" w:rsidP="009F328E">
      <w:pPr>
        <w:spacing w:after="0" w:line="240" w:lineRule="auto"/>
      </w:pPr>
      <w:r w:rsidRPr="009F328E">
        <w:t xml:space="preserve">van ’t Veer, A. E., &amp; </w:t>
      </w:r>
      <w:proofErr w:type="spellStart"/>
      <w:r w:rsidRPr="009F328E">
        <w:t>Giner-Sorolla</w:t>
      </w:r>
      <w:proofErr w:type="spellEnd"/>
      <w:r w:rsidRPr="009F328E">
        <w:t xml:space="preserve">, R. (2016). Pre-registration in social psychology—A discussion and suggested template. </w:t>
      </w:r>
      <w:r w:rsidRPr="009F328E">
        <w:rPr>
          <w:i/>
          <w:iCs/>
        </w:rPr>
        <w:t>Journal of Experimental Social Psychology</w:t>
      </w:r>
      <w:r w:rsidRPr="009F328E">
        <w:t xml:space="preserve">, </w:t>
      </w:r>
      <w:r w:rsidRPr="009F328E">
        <w:rPr>
          <w:i/>
          <w:iCs/>
        </w:rPr>
        <w:t>67</w:t>
      </w:r>
      <w:r w:rsidRPr="009F328E">
        <w:t>, 2–12.</w:t>
      </w:r>
      <w:hyperlink r:id="rId26" w:history="1">
        <w:r w:rsidRPr="009F328E">
          <w:rPr>
            <w:rStyle w:val="Hyperlink"/>
          </w:rPr>
          <w:t xml:space="preserve"> https://doi.org/10.1016/j.jesp.2016.03.004</w:t>
        </w:r>
      </w:hyperlink>
    </w:p>
    <w:p w14:paraId="5CC2EC4A" w14:textId="77777777" w:rsidR="009F328E" w:rsidRPr="009F328E" w:rsidRDefault="009F328E" w:rsidP="009F328E">
      <w:pPr>
        <w:spacing w:after="0" w:line="240" w:lineRule="auto"/>
      </w:pPr>
    </w:p>
    <w:p w14:paraId="2529FC09" w14:textId="77777777" w:rsidR="009F328E" w:rsidRPr="009F328E" w:rsidRDefault="009F328E" w:rsidP="009F328E">
      <w:pPr>
        <w:spacing w:after="0" w:line="240" w:lineRule="auto"/>
      </w:pPr>
      <w:r w:rsidRPr="009F328E">
        <w:t xml:space="preserve">Wilkinson, M. D., Dumontier, M., </w:t>
      </w:r>
      <w:proofErr w:type="spellStart"/>
      <w:r w:rsidRPr="009F328E">
        <w:t>Aalbersberg</w:t>
      </w:r>
      <w:proofErr w:type="spellEnd"/>
      <w:r w:rsidRPr="009F328E">
        <w:t xml:space="preserve">, </w:t>
      </w:r>
      <w:proofErr w:type="spellStart"/>
      <w:r w:rsidRPr="009F328E">
        <w:t>Ij</w:t>
      </w:r>
      <w:proofErr w:type="spellEnd"/>
      <w:r w:rsidRPr="009F328E">
        <w:t xml:space="preserve">. J., Appleton, G., Axton, M., </w:t>
      </w:r>
      <w:proofErr w:type="spellStart"/>
      <w:r w:rsidRPr="009F328E">
        <w:t>Baak</w:t>
      </w:r>
      <w:proofErr w:type="spellEnd"/>
      <w:r w:rsidRPr="009F328E">
        <w:t xml:space="preserve">, A., Blomberg, N., </w:t>
      </w:r>
      <w:proofErr w:type="spellStart"/>
      <w:r w:rsidRPr="009F328E">
        <w:t>Boiten</w:t>
      </w:r>
      <w:proofErr w:type="spellEnd"/>
      <w:r w:rsidRPr="009F328E">
        <w:t xml:space="preserve">, J.-W., da Silva Santos, L. B., Bourne, P. E., </w:t>
      </w:r>
      <w:proofErr w:type="spellStart"/>
      <w:r w:rsidRPr="009F328E">
        <w:t>Bouwman</w:t>
      </w:r>
      <w:proofErr w:type="spellEnd"/>
      <w:r w:rsidRPr="009F328E">
        <w:t xml:space="preserve">, J., Brookes, A. J., Clark, T., </w:t>
      </w:r>
      <w:proofErr w:type="spellStart"/>
      <w:r w:rsidRPr="009F328E">
        <w:t>Crosas</w:t>
      </w:r>
      <w:proofErr w:type="spellEnd"/>
      <w:r w:rsidRPr="009F328E">
        <w:t xml:space="preserve">, M., </w:t>
      </w:r>
      <w:proofErr w:type="spellStart"/>
      <w:r w:rsidRPr="009F328E">
        <w:t>Dillo</w:t>
      </w:r>
      <w:proofErr w:type="spellEnd"/>
      <w:r w:rsidRPr="009F328E">
        <w:t xml:space="preserve">, I., </w:t>
      </w:r>
      <w:proofErr w:type="spellStart"/>
      <w:r w:rsidRPr="009F328E">
        <w:t>Dumon</w:t>
      </w:r>
      <w:proofErr w:type="spellEnd"/>
      <w:r w:rsidRPr="009F328E">
        <w:t xml:space="preserve">, O., Edmunds, S., </w:t>
      </w:r>
      <w:proofErr w:type="spellStart"/>
      <w:r w:rsidRPr="009F328E">
        <w:t>Evelo</w:t>
      </w:r>
      <w:proofErr w:type="spellEnd"/>
      <w:r w:rsidRPr="009F328E">
        <w:t xml:space="preserve">, C. T., </w:t>
      </w:r>
      <w:proofErr w:type="spellStart"/>
      <w:r w:rsidRPr="009F328E">
        <w:t>Finkers</w:t>
      </w:r>
      <w:proofErr w:type="spellEnd"/>
      <w:r w:rsidRPr="009F328E">
        <w:t xml:space="preserve">, R., … Mons, B. (2016). The FAIR Guiding Principles for scientific data management and stewardship. </w:t>
      </w:r>
      <w:r w:rsidRPr="009F328E">
        <w:rPr>
          <w:i/>
          <w:iCs/>
        </w:rPr>
        <w:t>Scientific Data</w:t>
      </w:r>
      <w:r w:rsidRPr="009F328E">
        <w:t xml:space="preserve">, </w:t>
      </w:r>
      <w:r w:rsidRPr="009F328E">
        <w:rPr>
          <w:i/>
          <w:iCs/>
        </w:rPr>
        <w:t>3</w:t>
      </w:r>
      <w:r w:rsidRPr="009F328E">
        <w:t>(1), 160018.</w:t>
      </w:r>
      <w:hyperlink r:id="rId27" w:history="1">
        <w:r w:rsidRPr="009F328E">
          <w:rPr>
            <w:rStyle w:val="Hyperlink"/>
          </w:rPr>
          <w:t xml:space="preserve"> </w:t>
        </w:r>
        <w:r w:rsidRPr="009F328E">
          <w:rPr>
            <w:rStyle w:val="Hyperlink"/>
          </w:rPr>
          <w:t>https://doi.org/10.1038/sdata.2016.18</w:t>
        </w:r>
      </w:hyperlink>
    </w:p>
    <w:p w14:paraId="561794F5" w14:textId="77777777" w:rsidR="009F328E" w:rsidRDefault="009F328E" w:rsidP="009F328E">
      <w:pPr>
        <w:spacing w:after="0" w:line="240" w:lineRule="auto"/>
      </w:pPr>
    </w:p>
    <w:p w14:paraId="56B6B8BD" w14:textId="1004083D" w:rsidR="009F328E" w:rsidRPr="009F328E" w:rsidRDefault="009F328E" w:rsidP="009F328E">
      <w:pPr>
        <w:spacing w:after="0" w:line="240" w:lineRule="auto"/>
      </w:pPr>
      <w:hyperlink r:id="rId28" w:history="1">
        <w:r w:rsidRPr="009F328E">
          <w:rPr>
            <w:rStyle w:val="Hyperlink"/>
          </w:rPr>
          <w:t>https://www.dtls.nl/fair-data/fair-data/</w:t>
        </w:r>
      </w:hyperlink>
    </w:p>
    <w:p w14:paraId="57DCCA35" w14:textId="77777777" w:rsidR="002145F1" w:rsidRDefault="002145F1" w:rsidP="009F328E">
      <w:pPr>
        <w:spacing w:after="0" w:line="240" w:lineRule="auto"/>
      </w:pPr>
    </w:p>
    <w:sectPr w:rsidR="00214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A16"/>
    <w:multiLevelType w:val="multilevel"/>
    <w:tmpl w:val="E17AC0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89181E"/>
    <w:multiLevelType w:val="hybridMultilevel"/>
    <w:tmpl w:val="FAA649B8"/>
    <w:lvl w:ilvl="0" w:tplc="688C20A0">
      <w:start w:val="1"/>
      <w:numFmt w:val="decimal"/>
      <w:lvlText w:val="%1."/>
      <w:lvlJc w:val="left"/>
      <w:pPr>
        <w:tabs>
          <w:tab w:val="num" w:pos="720"/>
        </w:tabs>
        <w:ind w:left="720" w:hanging="360"/>
      </w:pPr>
    </w:lvl>
    <w:lvl w:ilvl="1" w:tplc="066EEAD2">
      <w:start w:val="4"/>
      <w:numFmt w:val="lowerLetter"/>
      <w:lvlText w:val="%2."/>
      <w:lvlJc w:val="left"/>
      <w:pPr>
        <w:tabs>
          <w:tab w:val="num" w:pos="1440"/>
        </w:tabs>
        <w:ind w:left="1440" w:hanging="360"/>
      </w:pPr>
    </w:lvl>
    <w:lvl w:ilvl="2" w:tplc="09CAD60E" w:tentative="1">
      <w:start w:val="1"/>
      <w:numFmt w:val="decimal"/>
      <w:lvlText w:val="%3."/>
      <w:lvlJc w:val="left"/>
      <w:pPr>
        <w:tabs>
          <w:tab w:val="num" w:pos="2160"/>
        </w:tabs>
        <w:ind w:left="2160" w:hanging="360"/>
      </w:pPr>
    </w:lvl>
    <w:lvl w:ilvl="3" w:tplc="65A4BFB6" w:tentative="1">
      <w:start w:val="1"/>
      <w:numFmt w:val="decimal"/>
      <w:lvlText w:val="%4."/>
      <w:lvlJc w:val="left"/>
      <w:pPr>
        <w:tabs>
          <w:tab w:val="num" w:pos="2880"/>
        </w:tabs>
        <w:ind w:left="2880" w:hanging="360"/>
      </w:pPr>
    </w:lvl>
    <w:lvl w:ilvl="4" w:tplc="62DADBBA" w:tentative="1">
      <w:start w:val="1"/>
      <w:numFmt w:val="decimal"/>
      <w:lvlText w:val="%5."/>
      <w:lvlJc w:val="left"/>
      <w:pPr>
        <w:tabs>
          <w:tab w:val="num" w:pos="3600"/>
        </w:tabs>
        <w:ind w:left="3600" w:hanging="360"/>
      </w:pPr>
    </w:lvl>
    <w:lvl w:ilvl="5" w:tplc="065EB054" w:tentative="1">
      <w:start w:val="1"/>
      <w:numFmt w:val="decimal"/>
      <w:lvlText w:val="%6."/>
      <w:lvlJc w:val="left"/>
      <w:pPr>
        <w:tabs>
          <w:tab w:val="num" w:pos="4320"/>
        </w:tabs>
        <w:ind w:left="4320" w:hanging="360"/>
      </w:pPr>
    </w:lvl>
    <w:lvl w:ilvl="6" w:tplc="F24E222E" w:tentative="1">
      <w:start w:val="1"/>
      <w:numFmt w:val="decimal"/>
      <w:lvlText w:val="%7."/>
      <w:lvlJc w:val="left"/>
      <w:pPr>
        <w:tabs>
          <w:tab w:val="num" w:pos="5040"/>
        </w:tabs>
        <w:ind w:left="5040" w:hanging="360"/>
      </w:pPr>
    </w:lvl>
    <w:lvl w:ilvl="7" w:tplc="97424B4C" w:tentative="1">
      <w:start w:val="1"/>
      <w:numFmt w:val="decimal"/>
      <w:lvlText w:val="%8."/>
      <w:lvlJc w:val="left"/>
      <w:pPr>
        <w:tabs>
          <w:tab w:val="num" w:pos="5760"/>
        </w:tabs>
        <w:ind w:left="5760" w:hanging="360"/>
      </w:pPr>
    </w:lvl>
    <w:lvl w:ilvl="8" w:tplc="395E2602" w:tentative="1">
      <w:start w:val="1"/>
      <w:numFmt w:val="decimal"/>
      <w:lvlText w:val="%9."/>
      <w:lvlJc w:val="left"/>
      <w:pPr>
        <w:tabs>
          <w:tab w:val="num" w:pos="6480"/>
        </w:tabs>
        <w:ind w:left="6480" w:hanging="360"/>
      </w:pPr>
    </w:lvl>
  </w:abstractNum>
  <w:abstractNum w:abstractNumId="2" w15:restartNumberingAfterBreak="0">
    <w:nsid w:val="3D867C2A"/>
    <w:multiLevelType w:val="hybridMultilevel"/>
    <w:tmpl w:val="6A84E766"/>
    <w:lvl w:ilvl="0" w:tplc="D0221FE0">
      <w:start w:val="1"/>
      <w:numFmt w:val="decimal"/>
      <w:lvlText w:val="%1."/>
      <w:lvlJc w:val="left"/>
      <w:pPr>
        <w:tabs>
          <w:tab w:val="num" w:pos="720"/>
        </w:tabs>
        <w:ind w:left="720" w:hanging="360"/>
      </w:pPr>
    </w:lvl>
    <w:lvl w:ilvl="1" w:tplc="2550F2BE">
      <w:start w:val="6"/>
      <w:numFmt w:val="lowerLetter"/>
      <w:lvlText w:val="%2."/>
      <w:lvlJc w:val="left"/>
      <w:pPr>
        <w:tabs>
          <w:tab w:val="num" w:pos="1440"/>
        </w:tabs>
        <w:ind w:left="1440" w:hanging="360"/>
      </w:pPr>
    </w:lvl>
    <w:lvl w:ilvl="2" w:tplc="F35A81C0" w:tentative="1">
      <w:start w:val="1"/>
      <w:numFmt w:val="decimal"/>
      <w:lvlText w:val="%3."/>
      <w:lvlJc w:val="left"/>
      <w:pPr>
        <w:tabs>
          <w:tab w:val="num" w:pos="2160"/>
        </w:tabs>
        <w:ind w:left="2160" w:hanging="360"/>
      </w:pPr>
    </w:lvl>
    <w:lvl w:ilvl="3" w:tplc="1EA277E2" w:tentative="1">
      <w:start w:val="1"/>
      <w:numFmt w:val="decimal"/>
      <w:lvlText w:val="%4."/>
      <w:lvlJc w:val="left"/>
      <w:pPr>
        <w:tabs>
          <w:tab w:val="num" w:pos="2880"/>
        </w:tabs>
        <w:ind w:left="2880" w:hanging="360"/>
      </w:pPr>
    </w:lvl>
    <w:lvl w:ilvl="4" w:tplc="9FE46F34" w:tentative="1">
      <w:start w:val="1"/>
      <w:numFmt w:val="decimal"/>
      <w:lvlText w:val="%5."/>
      <w:lvlJc w:val="left"/>
      <w:pPr>
        <w:tabs>
          <w:tab w:val="num" w:pos="3600"/>
        </w:tabs>
        <w:ind w:left="3600" w:hanging="360"/>
      </w:pPr>
    </w:lvl>
    <w:lvl w:ilvl="5" w:tplc="A798264E" w:tentative="1">
      <w:start w:val="1"/>
      <w:numFmt w:val="decimal"/>
      <w:lvlText w:val="%6."/>
      <w:lvlJc w:val="left"/>
      <w:pPr>
        <w:tabs>
          <w:tab w:val="num" w:pos="4320"/>
        </w:tabs>
        <w:ind w:left="4320" w:hanging="360"/>
      </w:pPr>
    </w:lvl>
    <w:lvl w:ilvl="6" w:tplc="F9B2B9E8" w:tentative="1">
      <w:start w:val="1"/>
      <w:numFmt w:val="decimal"/>
      <w:lvlText w:val="%7."/>
      <w:lvlJc w:val="left"/>
      <w:pPr>
        <w:tabs>
          <w:tab w:val="num" w:pos="5040"/>
        </w:tabs>
        <w:ind w:left="5040" w:hanging="360"/>
      </w:pPr>
    </w:lvl>
    <w:lvl w:ilvl="7" w:tplc="8BF24214" w:tentative="1">
      <w:start w:val="1"/>
      <w:numFmt w:val="decimal"/>
      <w:lvlText w:val="%8."/>
      <w:lvlJc w:val="left"/>
      <w:pPr>
        <w:tabs>
          <w:tab w:val="num" w:pos="5760"/>
        </w:tabs>
        <w:ind w:left="5760" w:hanging="360"/>
      </w:pPr>
    </w:lvl>
    <w:lvl w:ilvl="8" w:tplc="72A0D132" w:tentative="1">
      <w:start w:val="1"/>
      <w:numFmt w:val="decimal"/>
      <w:lvlText w:val="%9."/>
      <w:lvlJc w:val="left"/>
      <w:pPr>
        <w:tabs>
          <w:tab w:val="num" w:pos="6480"/>
        </w:tabs>
        <w:ind w:left="6480" w:hanging="360"/>
      </w:pPr>
    </w:lvl>
  </w:abstractNum>
  <w:abstractNum w:abstractNumId="3" w15:restartNumberingAfterBreak="0">
    <w:nsid w:val="3F8A3FA7"/>
    <w:multiLevelType w:val="hybridMultilevel"/>
    <w:tmpl w:val="34F27C94"/>
    <w:lvl w:ilvl="0" w:tplc="C4D00774">
      <w:start w:val="1"/>
      <w:numFmt w:val="decimal"/>
      <w:lvlText w:val="%1."/>
      <w:lvlJc w:val="left"/>
      <w:pPr>
        <w:tabs>
          <w:tab w:val="num" w:pos="720"/>
        </w:tabs>
        <w:ind w:left="720" w:hanging="360"/>
      </w:pPr>
    </w:lvl>
    <w:lvl w:ilvl="1" w:tplc="3AB8080C">
      <w:start w:val="2"/>
      <w:numFmt w:val="lowerLetter"/>
      <w:lvlText w:val="%2."/>
      <w:lvlJc w:val="left"/>
      <w:pPr>
        <w:tabs>
          <w:tab w:val="num" w:pos="1440"/>
        </w:tabs>
        <w:ind w:left="1440" w:hanging="360"/>
      </w:pPr>
    </w:lvl>
    <w:lvl w:ilvl="2" w:tplc="22A44E1C" w:tentative="1">
      <w:start w:val="1"/>
      <w:numFmt w:val="decimal"/>
      <w:lvlText w:val="%3."/>
      <w:lvlJc w:val="left"/>
      <w:pPr>
        <w:tabs>
          <w:tab w:val="num" w:pos="2160"/>
        </w:tabs>
        <w:ind w:left="2160" w:hanging="360"/>
      </w:pPr>
    </w:lvl>
    <w:lvl w:ilvl="3" w:tplc="E6A00712" w:tentative="1">
      <w:start w:val="1"/>
      <w:numFmt w:val="decimal"/>
      <w:lvlText w:val="%4."/>
      <w:lvlJc w:val="left"/>
      <w:pPr>
        <w:tabs>
          <w:tab w:val="num" w:pos="2880"/>
        </w:tabs>
        <w:ind w:left="2880" w:hanging="360"/>
      </w:pPr>
    </w:lvl>
    <w:lvl w:ilvl="4" w:tplc="96CCBA8E" w:tentative="1">
      <w:start w:val="1"/>
      <w:numFmt w:val="decimal"/>
      <w:lvlText w:val="%5."/>
      <w:lvlJc w:val="left"/>
      <w:pPr>
        <w:tabs>
          <w:tab w:val="num" w:pos="3600"/>
        </w:tabs>
        <w:ind w:left="3600" w:hanging="360"/>
      </w:pPr>
    </w:lvl>
    <w:lvl w:ilvl="5" w:tplc="5DAE5C0A" w:tentative="1">
      <w:start w:val="1"/>
      <w:numFmt w:val="decimal"/>
      <w:lvlText w:val="%6."/>
      <w:lvlJc w:val="left"/>
      <w:pPr>
        <w:tabs>
          <w:tab w:val="num" w:pos="4320"/>
        </w:tabs>
        <w:ind w:left="4320" w:hanging="360"/>
      </w:pPr>
    </w:lvl>
    <w:lvl w:ilvl="6" w:tplc="75967564" w:tentative="1">
      <w:start w:val="1"/>
      <w:numFmt w:val="decimal"/>
      <w:lvlText w:val="%7."/>
      <w:lvlJc w:val="left"/>
      <w:pPr>
        <w:tabs>
          <w:tab w:val="num" w:pos="5040"/>
        </w:tabs>
        <w:ind w:left="5040" w:hanging="360"/>
      </w:pPr>
    </w:lvl>
    <w:lvl w:ilvl="7" w:tplc="D83E7CC0" w:tentative="1">
      <w:start w:val="1"/>
      <w:numFmt w:val="decimal"/>
      <w:lvlText w:val="%8."/>
      <w:lvlJc w:val="left"/>
      <w:pPr>
        <w:tabs>
          <w:tab w:val="num" w:pos="5760"/>
        </w:tabs>
        <w:ind w:left="5760" w:hanging="360"/>
      </w:pPr>
    </w:lvl>
    <w:lvl w:ilvl="8" w:tplc="549E9F5C" w:tentative="1">
      <w:start w:val="1"/>
      <w:numFmt w:val="decimal"/>
      <w:lvlText w:val="%9."/>
      <w:lvlJc w:val="left"/>
      <w:pPr>
        <w:tabs>
          <w:tab w:val="num" w:pos="6480"/>
        </w:tabs>
        <w:ind w:left="6480" w:hanging="360"/>
      </w:pPr>
    </w:lvl>
  </w:abstractNum>
  <w:abstractNum w:abstractNumId="4" w15:restartNumberingAfterBreak="0">
    <w:nsid w:val="5A3034DA"/>
    <w:multiLevelType w:val="hybridMultilevel"/>
    <w:tmpl w:val="A4388FAE"/>
    <w:lvl w:ilvl="0" w:tplc="80D62490">
      <w:start w:val="1"/>
      <w:numFmt w:val="decimal"/>
      <w:lvlText w:val="%1."/>
      <w:lvlJc w:val="left"/>
      <w:pPr>
        <w:tabs>
          <w:tab w:val="num" w:pos="720"/>
        </w:tabs>
        <w:ind w:left="720" w:hanging="360"/>
      </w:pPr>
    </w:lvl>
    <w:lvl w:ilvl="1" w:tplc="1D7C8A5A">
      <w:start w:val="5"/>
      <w:numFmt w:val="lowerLetter"/>
      <w:lvlText w:val="%2."/>
      <w:lvlJc w:val="left"/>
      <w:pPr>
        <w:tabs>
          <w:tab w:val="num" w:pos="1440"/>
        </w:tabs>
        <w:ind w:left="1440" w:hanging="360"/>
      </w:pPr>
    </w:lvl>
    <w:lvl w:ilvl="2" w:tplc="2F92761C" w:tentative="1">
      <w:start w:val="1"/>
      <w:numFmt w:val="decimal"/>
      <w:lvlText w:val="%3."/>
      <w:lvlJc w:val="left"/>
      <w:pPr>
        <w:tabs>
          <w:tab w:val="num" w:pos="2160"/>
        </w:tabs>
        <w:ind w:left="2160" w:hanging="360"/>
      </w:pPr>
    </w:lvl>
    <w:lvl w:ilvl="3" w:tplc="97EA8796" w:tentative="1">
      <w:start w:val="1"/>
      <w:numFmt w:val="decimal"/>
      <w:lvlText w:val="%4."/>
      <w:lvlJc w:val="left"/>
      <w:pPr>
        <w:tabs>
          <w:tab w:val="num" w:pos="2880"/>
        </w:tabs>
        <w:ind w:left="2880" w:hanging="360"/>
      </w:pPr>
    </w:lvl>
    <w:lvl w:ilvl="4" w:tplc="02DC2F7C" w:tentative="1">
      <w:start w:val="1"/>
      <w:numFmt w:val="decimal"/>
      <w:lvlText w:val="%5."/>
      <w:lvlJc w:val="left"/>
      <w:pPr>
        <w:tabs>
          <w:tab w:val="num" w:pos="3600"/>
        </w:tabs>
        <w:ind w:left="3600" w:hanging="360"/>
      </w:pPr>
    </w:lvl>
    <w:lvl w:ilvl="5" w:tplc="02AAA26A" w:tentative="1">
      <w:start w:val="1"/>
      <w:numFmt w:val="decimal"/>
      <w:lvlText w:val="%6."/>
      <w:lvlJc w:val="left"/>
      <w:pPr>
        <w:tabs>
          <w:tab w:val="num" w:pos="4320"/>
        </w:tabs>
        <w:ind w:left="4320" w:hanging="360"/>
      </w:pPr>
    </w:lvl>
    <w:lvl w:ilvl="6" w:tplc="328C7842" w:tentative="1">
      <w:start w:val="1"/>
      <w:numFmt w:val="decimal"/>
      <w:lvlText w:val="%7."/>
      <w:lvlJc w:val="left"/>
      <w:pPr>
        <w:tabs>
          <w:tab w:val="num" w:pos="5040"/>
        </w:tabs>
        <w:ind w:left="5040" w:hanging="360"/>
      </w:pPr>
    </w:lvl>
    <w:lvl w:ilvl="7" w:tplc="FFFACCCE" w:tentative="1">
      <w:start w:val="1"/>
      <w:numFmt w:val="decimal"/>
      <w:lvlText w:val="%8."/>
      <w:lvlJc w:val="left"/>
      <w:pPr>
        <w:tabs>
          <w:tab w:val="num" w:pos="5760"/>
        </w:tabs>
        <w:ind w:left="5760" w:hanging="360"/>
      </w:pPr>
    </w:lvl>
    <w:lvl w:ilvl="8" w:tplc="B96C0E00" w:tentative="1">
      <w:start w:val="1"/>
      <w:numFmt w:val="decimal"/>
      <w:lvlText w:val="%9."/>
      <w:lvlJc w:val="left"/>
      <w:pPr>
        <w:tabs>
          <w:tab w:val="num" w:pos="6480"/>
        </w:tabs>
        <w:ind w:left="6480" w:hanging="360"/>
      </w:pPr>
    </w:lvl>
  </w:abstractNum>
  <w:abstractNum w:abstractNumId="5" w15:restartNumberingAfterBreak="0">
    <w:nsid w:val="7A5A1443"/>
    <w:multiLevelType w:val="hybridMultilevel"/>
    <w:tmpl w:val="2362E4EE"/>
    <w:lvl w:ilvl="0" w:tplc="45E27CD0">
      <w:start w:val="1"/>
      <w:numFmt w:val="decimal"/>
      <w:lvlText w:val="%1."/>
      <w:lvlJc w:val="left"/>
      <w:pPr>
        <w:tabs>
          <w:tab w:val="num" w:pos="720"/>
        </w:tabs>
        <w:ind w:left="720" w:hanging="360"/>
      </w:pPr>
    </w:lvl>
    <w:lvl w:ilvl="1" w:tplc="C62400EE">
      <w:start w:val="3"/>
      <w:numFmt w:val="lowerLetter"/>
      <w:lvlText w:val="%2."/>
      <w:lvlJc w:val="left"/>
      <w:pPr>
        <w:tabs>
          <w:tab w:val="num" w:pos="1440"/>
        </w:tabs>
        <w:ind w:left="1440" w:hanging="360"/>
      </w:pPr>
    </w:lvl>
    <w:lvl w:ilvl="2" w:tplc="2560575A" w:tentative="1">
      <w:start w:val="1"/>
      <w:numFmt w:val="decimal"/>
      <w:lvlText w:val="%3."/>
      <w:lvlJc w:val="left"/>
      <w:pPr>
        <w:tabs>
          <w:tab w:val="num" w:pos="2160"/>
        </w:tabs>
        <w:ind w:left="2160" w:hanging="360"/>
      </w:pPr>
    </w:lvl>
    <w:lvl w:ilvl="3" w:tplc="952C6592" w:tentative="1">
      <w:start w:val="1"/>
      <w:numFmt w:val="decimal"/>
      <w:lvlText w:val="%4."/>
      <w:lvlJc w:val="left"/>
      <w:pPr>
        <w:tabs>
          <w:tab w:val="num" w:pos="2880"/>
        </w:tabs>
        <w:ind w:left="2880" w:hanging="360"/>
      </w:pPr>
    </w:lvl>
    <w:lvl w:ilvl="4" w:tplc="10640A80" w:tentative="1">
      <w:start w:val="1"/>
      <w:numFmt w:val="decimal"/>
      <w:lvlText w:val="%5."/>
      <w:lvlJc w:val="left"/>
      <w:pPr>
        <w:tabs>
          <w:tab w:val="num" w:pos="3600"/>
        </w:tabs>
        <w:ind w:left="3600" w:hanging="360"/>
      </w:pPr>
    </w:lvl>
    <w:lvl w:ilvl="5" w:tplc="4418BE60" w:tentative="1">
      <w:start w:val="1"/>
      <w:numFmt w:val="decimal"/>
      <w:lvlText w:val="%6."/>
      <w:lvlJc w:val="left"/>
      <w:pPr>
        <w:tabs>
          <w:tab w:val="num" w:pos="4320"/>
        </w:tabs>
        <w:ind w:left="4320" w:hanging="360"/>
      </w:pPr>
    </w:lvl>
    <w:lvl w:ilvl="6" w:tplc="F2821F64" w:tentative="1">
      <w:start w:val="1"/>
      <w:numFmt w:val="decimal"/>
      <w:lvlText w:val="%7."/>
      <w:lvlJc w:val="left"/>
      <w:pPr>
        <w:tabs>
          <w:tab w:val="num" w:pos="5040"/>
        </w:tabs>
        <w:ind w:left="5040" w:hanging="360"/>
      </w:pPr>
    </w:lvl>
    <w:lvl w:ilvl="7" w:tplc="82DCBB58" w:tentative="1">
      <w:start w:val="1"/>
      <w:numFmt w:val="decimal"/>
      <w:lvlText w:val="%8."/>
      <w:lvlJc w:val="left"/>
      <w:pPr>
        <w:tabs>
          <w:tab w:val="num" w:pos="5760"/>
        </w:tabs>
        <w:ind w:left="5760" w:hanging="360"/>
      </w:pPr>
    </w:lvl>
    <w:lvl w:ilvl="8" w:tplc="B52835CA" w:tentative="1">
      <w:start w:val="1"/>
      <w:numFmt w:val="decimal"/>
      <w:lvlText w:val="%9."/>
      <w:lvlJc w:val="left"/>
      <w:pPr>
        <w:tabs>
          <w:tab w:val="num" w:pos="6480"/>
        </w:tabs>
        <w:ind w:left="6480" w:hanging="360"/>
      </w:pPr>
    </w:lvl>
  </w:abstractNum>
  <w:num w:numId="1">
    <w:abstractNumId w:val="0"/>
    <w:lvlOverride w:ilvl="1">
      <w:lvl w:ilvl="1">
        <w:numFmt w:val="lowerLetter"/>
        <w:lvlText w:val="%2."/>
        <w:lvlJc w:val="left"/>
      </w:lvl>
    </w:lvlOverride>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F60"/>
    <w:rsid w:val="002145F1"/>
    <w:rsid w:val="00453F60"/>
    <w:rsid w:val="009F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DBD4"/>
  <w15:chartTrackingRefBased/>
  <w15:docId w15:val="{132CF002-C559-4568-8081-091E8871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28E"/>
    <w:rPr>
      <w:color w:val="0563C1" w:themeColor="hyperlink"/>
      <w:u w:val="single"/>
    </w:rPr>
  </w:style>
  <w:style w:type="character" w:styleId="UnresolvedMention">
    <w:name w:val="Unresolved Mention"/>
    <w:basedOn w:val="DefaultParagraphFont"/>
    <w:uiPriority w:val="99"/>
    <w:semiHidden/>
    <w:unhideWhenUsed/>
    <w:rsid w:val="009F328E"/>
    <w:rPr>
      <w:color w:val="605E5C"/>
      <w:shd w:val="clear" w:color="auto" w:fill="E1DFDD"/>
    </w:rPr>
  </w:style>
  <w:style w:type="character" w:styleId="FollowedHyperlink">
    <w:name w:val="FollowedHyperlink"/>
    <w:basedOn w:val="DefaultParagraphFont"/>
    <w:uiPriority w:val="99"/>
    <w:semiHidden/>
    <w:unhideWhenUsed/>
    <w:rsid w:val="009F32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77935">
      <w:bodyDiv w:val="1"/>
      <w:marLeft w:val="0"/>
      <w:marRight w:val="0"/>
      <w:marTop w:val="0"/>
      <w:marBottom w:val="0"/>
      <w:divBdr>
        <w:top w:val="none" w:sz="0" w:space="0" w:color="auto"/>
        <w:left w:val="none" w:sz="0" w:space="0" w:color="auto"/>
        <w:bottom w:val="none" w:sz="0" w:space="0" w:color="auto"/>
        <w:right w:val="none" w:sz="0" w:space="0" w:color="auto"/>
      </w:divBdr>
    </w:div>
    <w:div w:id="63506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cochrane.org" TargetMode="External"/><Relationship Id="rId13" Type="http://schemas.openxmlformats.org/officeDocument/2006/relationships/hyperlink" Target="http://www.sherpa.ac.uk/romeo/search.php" TargetMode="External"/><Relationship Id="rId18" Type="http://schemas.openxmlformats.org/officeDocument/2006/relationships/hyperlink" Target="https://doi.org/10.1080/19345747.2017.1387950" TargetMode="External"/><Relationship Id="rId26" Type="http://schemas.openxmlformats.org/officeDocument/2006/relationships/hyperlink" Target="https://doi.org/10.1016/j.jesp.2016.03.004" TargetMode="External"/><Relationship Id="rId3" Type="http://schemas.openxmlformats.org/officeDocument/2006/relationships/settings" Target="settings.xml"/><Relationship Id="rId21" Type="http://schemas.openxmlformats.org/officeDocument/2006/relationships/hyperlink" Target="https://doi.org/10.1002/asi.20898" TargetMode="External"/><Relationship Id="rId7" Type="http://schemas.openxmlformats.org/officeDocument/2006/relationships/hyperlink" Target="https://ddialliance.org" TargetMode="External"/><Relationship Id="rId12" Type="http://schemas.openxmlformats.org/officeDocument/2006/relationships/hyperlink" Target="http://www.aspredicted.org" TargetMode="External"/><Relationship Id="rId17" Type="http://schemas.openxmlformats.org/officeDocument/2006/relationships/hyperlink" Target="https://doi.org/10.1177/0741932516648463" TargetMode="External"/><Relationship Id="rId25" Type="http://schemas.openxmlformats.org/officeDocument/2006/relationships/hyperlink" Target="https://doi.org/10.1177/0022219420945267" TargetMode="External"/><Relationship Id="rId2" Type="http://schemas.openxmlformats.org/officeDocument/2006/relationships/styles" Target="styles.xml"/><Relationship Id="rId16" Type="http://schemas.openxmlformats.org/officeDocument/2006/relationships/hyperlink" Target="https://doi.org/10.17988/0198-7429-41.3.161" TargetMode="External"/><Relationship Id="rId20" Type="http://schemas.openxmlformats.org/officeDocument/2006/relationships/hyperlink" Target="https://doi.org/10.1525/collabra.15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cc.ac.uk" TargetMode="External"/><Relationship Id="rId11" Type="http://schemas.openxmlformats.org/officeDocument/2006/relationships/hyperlink" Target="http://www.osf.org" TargetMode="External"/><Relationship Id="rId24" Type="http://schemas.openxmlformats.org/officeDocument/2006/relationships/hyperlink" Target="https://doi.org/10.1177/2332858418787466" TargetMode="External"/><Relationship Id="rId5" Type="http://schemas.openxmlformats.org/officeDocument/2006/relationships/hyperlink" Target="https://doi.org/10.1177%2F0022219420945267" TargetMode="External"/><Relationship Id="rId15" Type="http://schemas.openxmlformats.org/officeDocument/2006/relationships/hyperlink" Target="https://www.cos.io/our-services/badges" TargetMode="External"/><Relationship Id="rId23" Type="http://schemas.openxmlformats.org/officeDocument/2006/relationships/hyperlink" Target="https://doi.org/10.31234/osf.io/hvfmr" TargetMode="External"/><Relationship Id="rId28" Type="http://schemas.openxmlformats.org/officeDocument/2006/relationships/hyperlink" Target="https://www.dtls.nl/fair-data/fair-data/" TargetMode="External"/><Relationship Id="rId10" Type="http://schemas.openxmlformats.org/officeDocument/2006/relationships/hyperlink" Target="https://sreereg.icpsr.umich.edu" TargetMode="External"/><Relationship Id="rId19" Type="http://schemas.openxmlformats.org/officeDocument/2006/relationships/hyperlink" Target="https://doi.org/10.1080/00224545.2018.1416272" TargetMode="External"/><Relationship Id="rId4" Type="http://schemas.openxmlformats.org/officeDocument/2006/relationships/webSettings" Target="webSettings.xml"/><Relationship Id="rId9" Type="http://schemas.openxmlformats.org/officeDocument/2006/relationships/hyperlink" Target="https://www.crd.york.ac.uk/propsero" TargetMode="External"/><Relationship Id="rId14" Type="http://schemas.openxmlformats.org/officeDocument/2006/relationships/hyperlink" Target="https://osf.io/tvyxz/wiki/1.%20View%20the%20Badges/" TargetMode="External"/><Relationship Id="rId22" Type="http://schemas.openxmlformats.org/officeDocument/2006/relationships/hyperlink" Target="https://doi.org/10.31234/osf.io/wu3vs" TargetMode="External"/><Relationship Id="rId27" Type="http://schemas.openxmlformats.org/officeDocument/2006/relationships/hyperlink" Target="https://doi.org/10.1038/sdata.2016.1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1797</Words>
  <Characters>10247</Characters>
  <Application>Microsoft Office Word</Application>
  <DocSecurity>0</DocSecurity>
  <Lines>85</Lines>
  <Paragraphs>24</Paragraphs>
  <ScaleCrop>false</ScaleCrop>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Hart</dc:creator>
  <cp:keywords/>
  <dc:description/>
  <cp:lastModifiedBy>Sara Hart</cp:lastModifiedBy>
  <cp:revision>2</cp:revision>
  <dcterms:created xsi:type="dcterms:W3CDTF">2020-11-10T16:31:00Z</dcterms:created>
  <dcterms:modified xsi:type="dcterms:W3CDTF">2020-11-10T16:37:00Z</dcterms:modified>
</cp:coreProperties>
</file>