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35F" w:rsidRDefault="00A0335F" w:rsidP="00A0335F">
      <w:pPr>
        <w:spacing w:after="0"/>
        <w:jc w:val="both"/>
        <w:rPr>
          <w:rFonts w:ascii="Times" w:hAnsi="Times" w:cs="Times"/>
          <w:b/>
          <w:sz w:val="24"/>
          <w:szCs w:val="24"/>
          <w:u w:val="single"/>
        </w:rPr>
      </w:pPr>
      <w:r>
        <w:rPr>
          <w:rFonts w:ascii="Times" w:hAnsi="Times" w:cs="Times"/>
          <w:b/>
          <w:sz w:val="24"/>
          <w:szCs w:val="24"/>
          <w:u w:val="single"/>
        </w:rPr>
        <w:t xml:space="preserve">Additional Data: </w:t>
      </w:r>
    </w:p>
    <w:p w:rsidR="00A0335F" w:rsidRDefault="00A0335F" w:rsidP="00A0335F">
      <w:pPr>
        <w:spacing w:after="0"/>
        <w:jc w:val="both"/>
        <w:rPr>
          <w:rFonts w:ascii="Times" w:hAnsi="Times" w:cs="Times"/>
          <w:b/>
          <w:sz w:val="24"/>
          <w:szCs w:val="24"/>
          <w:u w:val="single"/>
        </w:rPr>
      </w:pPr>
    </w:p>
    <w:p w:rsidR="00A0335F" w:rsidRDefault="00A0335F" w:rsidP="00A0335F">
      <w:pPr>
        <w:spacing w:after="0"/>
        <w:jc w:val="both"/>
      </w:pPr>
      <w:r>
        <w:rPr>
          <w:rFonts w:ascii="Times" w:hAnsi="Times" w:cs="Times"/>
          <w:b/>
          <w:sz w:val="24"/>
          <w:szCs w:val="24"/>
          <w:u w:val="single"/>
        </w:rPr>
        <w:t>Supplementary Figures</w:t>
      </w:r>
    </w:p>
    <w:p w:rsidR="00A0335F" w:rsidRDefault="00A0335F" w:rsidP="00A0335F">
      <w:r>
        <w:rPr>
          <w:noProof/>
        </w:rPr>
        <w:drawing>
          <wp:inline distT="0" distB="0" distL="0" distR="0">
            <wp:extent cx="5486400" cy="4118610"/>
            <wp:effectExtent l="0" t="0" r="0" b="0"/>
            <wp:docPr id="12" name="Picture 12" descr="Mri image –case 1 αντωνοπουλου A-paper-2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ri image –case 1 αντωνοπουλου A-paper-2001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5F" w:rsidRPr="00F555C4" w:rsidRDefault="00A0335F" w:rsidP="00A0335F">
      <w:pPr>
        <w:spacing w:after="0"/>
        <w:jc w:val="both"/>
        <w:rPr>
          <w:rFonts w:ascii="Times" w:hAnsi="Times" w:cs="Times"/>
          <w:b/>
          <w:sz w:val="24"/>
          <w:szCs w:val="24"/>
          <w:u w:val="single"/>
        </w:rPr>
      </w:pPr>
      <w:r w:rsidRPr="00F555C4">
        <w:rPr>
          <w:rFonts w:ascii="Times" w:hAnsi="Times" w:cs="Times"/>
          <w:b/>
          <w:sz w:val="24"/>
          <w:szCs w:val="24"/>
          <w:u w:val="single"/>
        </w:rPr>
        <w:t>Supplementary Figure 1: MRI of Case 2 showing BCS-type lesion before and after treatment with cyclophosphamide</w:t>
      </w:r>
    </w:p>
    <w:p w:rsidR="00A0335F" w:rsidRPr="00F555C4" w:rsidRDefault="00A0335F" w:rsidP="00A033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555C4">
        <w:rPr>
          <w:rFonts w:ascii="Times New Roman" w:hAnsi="Times New Roman" w:cs="Times New Roman"/>
          <w:sz w:val="20"/>
          <w:szCs w:val="20"/>
        </w:rPr>
        <w:t>Tumefactive BCS-type lesion in the right centrum semiovale at symptom onset (Α) with peripheral ring-like Gd+ at outer layer (B, C). BCS-type</w:t>
      </w:r>
      <w:r w:rsidR="00F555C4" w:rsidRPr="00F555C4">
        <w:rPr>
          <w:rFonts w:ascii="Times New Roman" w:hAnsi="Times New Roman" w:cs="Times New Roman"/>
          <w:sz w:val="20"/>
          <w:szCs w:val="20"/>
        </w:rPr>
        <w:t xml:space="preserve"> lesion </w:t>
      </w:r>
      <w:r w:rsidRPr="00F555C4">
        <w:rPr>
          <w:rFonts w:ascii="Times New Roman" w:hAnsi="Times New Roman" w:cs="Times New Roman"/>
          <w:sz w:val="20"/>
          <w:szCs w:val="20"/>
        </w:rPr>
        <w:t xml:space="preserve">(D, F arrow) with no Gd+ (E) 10 months from onset and 3 months after the 6th cyclophosphamide course. </w:t>
      </w:r>
    </w:p>
    <w:p w:rsidR="00A0335F" w:rsidRPr="00F555C4" w:rsidRDefault="00A0335F" w:rsidP="00A033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555C4">
        <w:rPr>
          <w:rFonts w:ascii="Times New Roman" w:hAnsi="Times New Roman" w:cs="Times New Roman"/>
          <w:sz w:val="20"/>
          <w:szCs w:val="20"/>
        </w:rPr>
        <w:t>A: FLAIR image.  B, C, E: T1-weighted contrast-enh</w:t>
      </w:r>
      <w:r w:rsidR="00F555C4" w:rsidRPr="00F555C4">
        <w:rPr>
          <w:rFonts w:ascii="Times New Roman" w:hAnsi="Times New Roman" w:cs="Times New Roman"/>
          <w:sz w:val="20"/>
          <w:szCs w:val="20"/>
        </w:rPr>
        <w:t>anced images. D: 3D FLAIR image</w:t>
      </w:r>
      <w:r w:rsidRPr="00F555C4">
        <w:rPr>
          <w:rFonts w:ascii="Times New Roman" w:hAnsi="Times New Roman" w:cs="Times New Roman"/>
          <w:sz w:val="20"/>
          <w:szCs w:val="20"/>
        </w:rPr>
        <w:t>. F: T2-weighted image</w:t>
      </w:r>
      <w:r w:rsidR="00F555C4" w:rsidRPr="00F555C4">
        <w:rPr>
          <w:rFonts w:ascii="Times New Roman" w:hAnsi="Times New Roman" w:cs="Times New Roman"/>
          <w:sz w:val="20"/>
          <w:szCs w:val="20"/>
        </w:rPr>
        <w:t>.</w:t>
      </w:r>
    </w:p>
    <w:p w:rsidR="00A0335F" w:rsidRDefault="00A0335F" w:rsidP="00A033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555C4">
        <w:rPr>
          <w:rFonts w:ascii="Times New Roman" w:hAnsi="Times New Roman" w:cs="Times New Roman"/>
          <w:sz w:val="20"/>
          <w:szCs w:val="20"/>
        </w:rPr>
        <w:t>BCS: Baló’s concentric sclerosis, Gd+: gadolinium enhancement</w:t>
      </w:r>
      <w:r w:rsidR="00683B1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0335F" w:rsidRDefault="00A0335F" w:rsidP="00A033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0335F" w:rsidRDefault="00A0335F" w:rsidP="00A033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0335F" w:rsidRDefault="00A0335F" w:rsidP="00A0335F"/>
    <w:p w:rsidR="00A0335F" w:rsidRDefault="00A0335F" w:rsidP="00A0335F">
      <w:r>
        <w:rPr>
          <w:noProof/>
        </w:rPr>
        <w:lastRenderedPageBreak/>
        <w:drawing>
          <wp:inline distT="0" distB="0" distL="0" distR="0">
            <wp:extent cx="5486400" cy="4118610"/>
            <wp:effectExtent l="0" t="0" r="0" b="0"/>
            <wp:docPr id="11" name="Picture 11" descr="images-case 3 -μπικουβαρακης-2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-case 3 -μπικουβαρακης-200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5F" w:rsidRDefault="00A0335F" w:rsidP="00A0335F"/>
    <w:p w:rsidR="00A0335F" w:rsidRPr="00F555C4" w:rsidRDefault="00A0335F" w:rsidP="00A0335F">
      <w:pPr>
        <w:spacing w:after="0"/>
        <w:rPr>
          <w:rFonts w:ascii="Times" w:hAnsi="Times" w:cs="Times"/>
          <w:b/>
          <w:sz w:val="24"/>
          <w:szCs w:val="24"/>
          <w:u w:val="single"/>
        </w:rPr>
      </w:pPr>
      <w:r w:rsidRPr="00F555C4">
        <w:rPr>
          <w:rFonts w:ascii="Times" w:hAnsi="Times" w:cs="Times"/>
          <w:b/>
          <w:sz w:val="24"/>
          <w:szCs w:val="24"/>
          <w:u w:val="single"/>
        </w:rPr>
        <w:t xml:space="preserve">Supplementary Figure 2:  MRI of Case 3 showing BCS-type lesion before and after mitoxantrone treatment </w:t>
      </w:r>
    </w:p>
    <w:p w:rsidR="00A0335F" w:rsidRPr="00F555C4" w:rsidRDefault="00A0335F" w:rsidP="00A0335F">
      <w:pPr>
        <w:spacing w:after="0"/>
        <w:jc w:val="both"/>
        <w:rPr>
          <w:rFonts w:ascii="Times" w:hAnsi="Times" w:cs="Times"/>
        </w:rPr>
      </w:pPr>
      <w:r w:rsidRPr="00F555C4">
        <w:rPr>
          <w:rFonts w:ascii="Times" w:hAnsi="Times" w:cs="Times"/>
        </w:rPr>
        <w:t>A concentric tumefactive lesion involving the left corona radiata and the adjacent frontal subcortical white matter (A, B) with an almost complete peripheral ring-like enhancement at outer two layers (C) and presence of MS-like white matter lesions (D thin arrows) at symptom onset.</w:t>
      </w:r>
      <w:r w:rsidR="00683B15">
        <w:rPr>
          <w:rFonts w:ascii="Times" w:hAnsi="Times" w:cs="Times"/>
        </w:rPr>
        <w:t xml:space="preserve"> </w:t>
      </w:r>
      <w:r w:rsidRPr="00F555C4">
        <w:rPr>
          <w:rFonts w:ascii="Times" w:hAnsi="Times" w:cs="Times"/>
        </w:rPr>
        <w:t>Nine years from disease onset</w:t>
      </w:r>
      <w:r w:rsidR="00F555C4" w:rsidRPr="00F555C4">
        <w:rPr>
          <w:rFonts w:ascii="Times" w:hAnsi="Times" w:cs="Times"/>
        </w:rPr>
        <w:t xml:space="preserve"> (E thick arrow, </w:t>
      </w:r>
      <w:r w:rsidRPr="00F555C4">
        <w:rPr>
          <w:rFonts w:ascii="Times" w:hAnsi="Times" w:cs="Times"/>
        </w:rPr>
        <w:t xml:space="preserve">F thick arrow), after mitoxantrone treatment (4 pulses) during the first year. </w:t>
      </w:r>
    </w:p>
    <w:p w:rsidR="00A0335F" w:rsidRPr="00F555C4" w:rsidRDefault="00A0335F" w:rsidP="00A0335F">
      <w:pPr>
        <w:spacing w:after="0"/>
        <w:jc w:val="both"/>
        <w:rPr>
          <w:rFonts w:ascii="Times" w:hAnsi="Times" w:cs="Times"/>
        </w:rPr>
      </w:pPr>
      <w:r w:rsidRPr="00F555C4">
        <w:rPr>
          <w:rFonts w:ascii="Times" w:hAnsi="Times" w:cs="Times"/>
        </w:rPr>
        <w:t xml:space="preserve">A: T2-weighted image. B, D, E: FLAIR images. C: T1-weighted contrast-enhanced image. </w:t>
      </w:r>
    </w:p>
    <w:p w:rsidR="00A0335F" w:rsidRPr="00F555C4" w:rsidRDefault="00A0335F" w:rsidP="00A0335F">
      <w:pPr>
        <w:spacing w:after="0"/>
        <w:jc w:val="both"/>
        <w:rPr>
          <w:rFonts w:ascii="Times" w:hAnsi="Times" w:cs="Times"/>
        </w:rPr>
      </w:pPr>
      <w:r w:rsidRPr="00F555C4">
        <w:rPr>
          <w:rFonts w:ascii="Times" w:hAnsi="Times" w:cs="Times"/>
        </w:rPr>
        <w:t>F: 3D T1-weighted contrast-enhanced image.</w:t>
      </w:r>
    </w:p>
    <w:p w:rsidR="00A0335F" w:rsidRDefault="00A0335F" w:rsidP="00A0335F">
      <w:pPr>
        <w:spacing w:after="0"/>
        <w:jc w:val="both"/>
        <w:rPr>
          <w:rFonts w:ascii="Times" w:hAnsi="Times" w:cs="Times"/>
        </w:rPr>
      </w:pPr>
      <w:r w:rsidRPr="00F555C4">
        <w:rPr>
          <w:rFonts w:ascii="Times" w:hAnsi="Times" w:cs="Times"/>
        </w:rPr>
        <w:t>BCS: Baló’s concentric sclerosis, Gd+: gadolinium enhancement</w:t>
      </w:r>
      <w:r w:rsidR="00683B15">
        <w:rPr>
          <w:rFonts w:ascii="Times" w:hAnsi="Times" w:cs="Times"/>
        </w:rPr>
        <w:t>.</w:t>
      </w:r>
    </w:p>
    <w:p w:rsidR="00A0335F" w:rsidRDefault="00A0335F" w:rsidP="00A0335F"/>
    <w:p w:rsidR="00A0335F" w:rsidRDefault="00A0335F" w:rsidP="00A033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0335F" w:rsidRDefault="00A0335F" w:rsidP="00A0335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0335F" w:rsidRDefault="00A0335F" w:rsidP="00A0335F"/>
    <w:p w:rsidR="00A0335F" w:rsidRDefault="00A0335F" w:rsidP="00A0335F"/>
    <w:p w:rsidR="00A0335F" w:rsidRDefault="00A0335F" w:rsidP="00A0335F"/>
    <w:p w:rsidR="00A0335F" w:rsidRDefault="00A0335F" w:rsidP="00A0335F">
      <w:pPr>
        <w:rPr>
          <w:rFonts w:ascii="Times" w:hAnsi="Times" w:cs="Times"/>
          <w:szCs w:val="24"/>
        </w:rPr>
      </w:pPr>
      <w:r>
        <w:rPr>
          <w:rFonts w:ascii="Times" w:hAnsi="Times" w:cs="Times"/>
          <w:noProof/>
          <w:szCs w:val="24"/>
        </w:rPr>
        <w:lastRenderedPageBreak/>
        <w:drawing>
          <wp:inline distT="0" distB="0" distL="0" distR="0">
            <wp:extent cx="5486400" cy="4118610"/>
            <wp:effectExtent l="0" t="0" r="0" b="0"/>
            <wp:docPr id="10" name="Picture 10" descr="SUP FIG 3-pt Ε-χατζησταυρου-2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P FIG 3-pt Ε-χατζησταυρου-2001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5F" w:rsidRPr="00BA468F" w:rsidRDefault="00A0335F" w:rsidP="00A0335F">
      <w:pPr>
        <w:spacing w:after="0"/>
        <w:rPr>
          <w:rFonts w:ascii="Courier New" w:hAnsi="Courier New" w:cs="Courier New"/>
          <w:sz w:val="24"/>
          <w:szCs w:val="24"/>
          <w:u w:val="single"/>
        </w:rPr>
      </w:pPr>
      <w:r w:rsidRPr="00BA468F">
        <w:rPr>
          <w:rFonts w:ascii="Times" w:hAnsi="Times" w:cs="Times"/>
          <w:b/>
          <w:sz w:val="24"/>
          <w:szCs w:val="24"/>
          <w:u w:val="single"/>
        </w:rPr>
        <w:t xml:space="preserve">Supplementary Figure 3:  MRI of Case 5 </w:t>
      </w:r>
    </w:p>
    <w:p w:rsidR="00A0335F" w:rsidRPr="00BA468F" w:rsidRDefault="00A0335F" w:rsidP="00A0335F">
      <w:pPr>
        <w:spacing w:after="0"/>
        <w:jc w:val="both"/>
        <w:rPr>
          <w:rFonts w:ascii="Times" w:hAnsi="Times" w:cs="Times"/>
          <w:szCs w:val="24"/>
        </w:rPr>
      </w:pPr>
      <w:r w:rsidRPr="00BA468F">
        <w:rPr>
          <w:rFonts w:ascii="Times" w:hAnsi="Times" w:cs="Times"/>
          <w:szCs w:val="24"/>
        </w:rPr>
        <w:t>BCS-type at the onset with typical “onion bulb’’ appearance (A and B thick arrow) in the left centrum semiovale, with Gd+ (C thick arrow) and multiple periventricular lesions (A thin arrows). Nine years after BCS onset and 20 days postpartum the patient had a clinical relapse; the BCS-type lesion</w:t>
      </w:r>
      <w:r w:rsidR="00BA468F" w:rsidRPr="00BA468F">
        <w:rPr>
          <w:rFonts w:ascii="Times" w:hAnsi="Times" w:cs="Times"/>
          <w:szCs w:val="24"/>
        </w:rPr>
        <w:t xml:space="preserve"> </w:t>
      </w:r>
      <w:r w:rsidRPr="00BA468F">
        <w:rPr>
          <w:rFonts w:ascii="Times" w:hAnsi="Times" w:cs="Times"/>
          <w:szCs w:val="24"/>
        </w:rPr>
        <w:t>(D thick arrow) and 5 new Gd+ brain lesions (E, F). BCS-type lesion (G thick arrow) at month-11 of natalizumab treatment and 10 years from disease onset.</w:t>
      </w:r>
    </w:p>
    <w:p w:rsidR="00A0335F" w:rsidRPr="00BA468F" w:rsidRDefault="00A0335F" w:rsidP="00A0335F">
      <w:pPr>
        <w:spacing w:after="0"/>
        <w:jc w:val="both"/>
        <w:rPr>
          <w:rFonts w:ascii="Times" w:hAnsi="Times" w:cs="Times"/>
          <w:szCs w:val="24"/>
        </w:rPr>
      </w:pPr>
      <w:r w:rsidRPr="00BA468F">
        <w:rPr>
          <w:rFonts w:ascii="Times" w:hAnsi="Times" w:cs="Times"/>
          <w:szCs w:val="24"/>
        </w:rPr>
        <w:t xml:space="preserve">Α, D, G: FLAIR images.  Β: T2-weighted image.  C, E, F: T1-weighted contrast-enhanced images. </w:t>
      </w:r>
    </w:p>
    <w:p w:rsidR="00A0335F" w:rsidRPr="00BA468F" w:rsidRDefault="00A0335F" w:rsidP="00A0335F">
      <w:pPr>
        <w:spacing w:after="0"/>
        <w:jc w:val="both"/>
        <w:rPr>
          <w:rFonts w:ascii="Times" w:hAnsi="Times" w:cs="Times"/>
          <w:szCs w:val="24"/>
        </w:rPr>
      </w:pPr>
      <w:r w:rsidRPr="00BA468F">
        <w:rPr>
          <w:rFonts w:ascii="Times" w:hAnsi="Times" w:cs="Times"/>
          <w:szCs w:val="24"/>
        </w:rPr>
        <w:t xml:space="preserve">G: 3D FLAIR image. </w:t>
      </w:r>
    </w:p>
    <w:p w:rsidR="00A0335F" w:rsidRDefault="00A0335F" w:rsidP="00A0335F">
      <w:pPr>
        <w:spacing w:after="0"/>
        <w:jc w:val="both"/>
        <w:rPr>
          <w:rFonts w:ascii="Times" w:hAnsi="Times" w:cs="Times"/>
          <w:szCs w:val="24"/>
        </w:rPr>
      </w:pPr>
      <w:r w:rsidRPr="00BA468F">
        <w:rPr>
          <w:rFonts w:ascii="Times" w:hAnsi="Times" w:cs="Times"/>
          <w:szCs w:val="24"/>
        </w:rPr>
        <w:t>BCS: Baló’s concentric sclerosis, Gd+: gadolinium enhancement</w:t>
      </w:r>
      <w:r w:rsidR="00683B15">
        <w:rPr>
          <w:rFonts w:ascii="Times" w:hAnsi="Times" w:cs="Times"/>
          <w:szCs w:val="24"/>
        </w:rPr>
        <w:t>.</w:t>
      </w:r>
      <w:r>
        <w:rPr>
          <w:rFonts w:ascii="Times" w:hAnsi="Times" w:cs="Times"/>
          <w:szCs w:val="24"/>
        </w:rPr>
        <w:t xml:space="preserve"> </w:t>
      </w:r>
    </w:p>
    <w:p w:rsidR="00A0335F" w:rsidRDefault="00A0335F" w:rsidP="00A0335F">
      <w:pPr>
        <w:spacing w:after="0"/>
        <w:jc w:val="both"/>
        <w:rPr>
          <w:rFonts w:ascii="Times" w:hAnsi="Times" w:cs="Times"/>
          <w:szCs w:val="24"/>
        </w:rPr>
      </w:pPr>
    </w:p>
    <w:p w:rsidR="00A0335F" w:rsidRDefault="00A0335F" w:rsidP="00A0335F">
      <w:pPr>
        <w:spacing w:after="0"/>
        <w:rPr>
          <w:rFonts w:ascii="Times" w:hAnsi="Times" w:cs="Times"/>
          <w:b/>
          <w:sz w:val="24"/>
          <w:szCs w:val="24"/>
          <w:u w:val="single"/>
        </w:rPr>
      </w:pPr>
      <w:r>
        <w:rPr>
          <w:rFonts w:ascii="Times" w:hAnsi="Times" w:cs="Times"/>
          <w:b/>
          <w:noProof/>
          <w:sz w:val="24"/>
          <w:szCs w:val="24"/>
        </w:rPr>
        <w:lastRenderedPageBreak/>
        <w:drawing>
          <wp:inline distT="0" distB="0" distL="0" distR="0">
            <wp:extent cx="5486400" cy="4118610"/>
            <wp:effectExtent l="0" t="0" r="0" b="0"/>
            <wp:docPr id="9" name="Picture 9" descr="Case 8 = patient Η paper = ιωαννου-2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se 8 = patient Η paper = ιωαννου-2001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5F" w:rsidRDefault="00A0335F" w:rsidP="00A0335F">
      <w:pPr>
        <w:spacing w:after="0"/>
        <w:rPr>
          <w:rFonts w:ascii="Times" w:hAnsi="Times" w:cs="Times"/>
          <w:b/>
          <w:sz w:val="24"/>
          <w:szCs w:val="24"/>
          <w:u w:val="single"/>
        </w:rPr>
      </w:pPr>
    </w:p>
    <w:p w:rsidR="00A0335F" w:rsidRPr="007B00FF" w:rsidRDefault="00A0335F" w:rsidP="007B00FF">
      <w:pPr>
        <w:spacing w:after="0"/>
        <w:jc w:val="both"/>
        <w:rPr>
          <w:rFonts w:ascii="Times" w:hAnsi="Times" w:cs="Times"/>
          <w:sz w:val="24"/>
          <w:szCs w:val="24"/>
          <w:u w:val="single"/>
        </w:rPr>
      </w:pPr>
      <w:r w:rsidRPr="007B00FF">
        <w:rPr>
          <w:rFonts w:ascii="Times" w:hAnsi="Times" w:cs="Times"/>
          <w:b/>
          <w:sz w:val="24"/>
          <w:szCs w:val="24"/>
          <w:u w:val="single"/>
        </w:rPr>
        <w:t xml:space="preserve">Supplementary Figure 4:  MRI of Case 8 </w:t>
      </w:r>
    </w:p>
    <w:p w:rsidR="00A0335F" w:rsidRPr="007B00FF" w:rsidRDefault="00A0335F" w:rsidP="007B00FF">
      <w:pPr>
        <w:spacing w:after="0"/>
        <w:jc w:val="both"/>
        <w:rPr>
          <w:rFonts w:ascii="Times" w:hAnsi="Times" w:cs="Times"/>
          <w:szCs w:val="24"/>
        </w:rPr>
      </w:pPr>
      <w:r w:rsidRPr="007B00FF">
        <w:rPr>
          <w:rFonts w:ascii="Times" w:hAnsi="Times" w:cs="Times"/>
          <w:szCs w:val="24"/>
        </w:rPr>
        <w:t xml:space="preserve">BCS-type lesion in the right centrum semiovale (A and B thick arrow) with partial ring-like Gd+ (C thick arrow) and few lesions with no </w:t>
      </w:r>
      <w:r w:rsidR="007B00FF" w:rsidRPr="007B00FF">
        <w:rPr>
          <w:rFonts w:ascii="Times" w:hAnsi="Times" w:cs="Times"/>
          <w:szCs w:val="24"/>
        </w:rPr>
        <w:t xml:space="preserve">Gd+ in cerebral hemispheres and </w:t>
      </w:r>
      <w:r w:rsidRPr="007B00FF">
        <w:rPr>
          <w:rFonts w:ascii="Times" w:hAnsi="Times" w:cs="Times"/>
          <w:szCs w:val="24"/>
        </w:rPr>
        <w:t>right cerebellar peduncle (D black arrow and E thin arrow). Enlargement of the BCS lesion at 2-month follow-up (F) aft</w:t>
      </w:r>
      <w:r w:rsidR="007B00FF" w:rsidRPr="007B00FF">
        <w:rPr>
          <w:rFonts w:ascii="Times" w:hAnsi="Times" w:cs="Times"/>
          <w:szCs w:val="24"/>
        </w:rPr>
        <w:t xml:space="preserve">er intravenous corticosteroids. </w:t>
      </w:r>
      <w:r w:rsidRPr="007B00FF">
        <w:rPr>
          <w:rFonts w:ascii="Times" w:hAnsi="Times" w:cs="Times"/>
          <w:szCs w:val="24"/>
        </w:rPr>
        <w:t xml:space="preserve">The BCS-type lesion after 4 months following a second corticosteroid course (G, H). </w:t>
      </w:r>
    </w:p>
    <w:p w:rsidR="00A0335F" w:rsidRPr="007B00FF" w:rsidRDefault="00A0335F" w:rsidP="007B00FF">
      <w:pPr>
        <w:spacing w:after="0"/>
        <w:jc w:val="both"/>
        <w:rPr>
          <w:rFonts w:ascii="Times" w:hAnsi="Times" w:cs="Times"/>
          <w:szCs w:val="24"/>
        </w:rPr>
      </w:pPr>
      <w:r w:rsidRPr="007B00FF">
        <w:rPr>
          <w:rFonts w:ascii="Times" w:hAnsi="Times" w:cs="Times"/>
          <w:szCs w:val="24"/>
        </w:rPr>
        <w:t xml:space="preserve">Α, D, E, F, G, H: 3D FLAIR images. C: 3D T1-weighted contrast-enhanced image. </w:t>
      </w:r>
    </w:p>
    <w:p w:rsidR="00A0335F" w:rsidRDefault="00A0335F" w:rsidP="007B00FF">
      <w:pPr>
        <w:spacing w:after="0"/>
        <w:jc w:val="both"/>
        <w:rPr>
          <w:rFonts w:ascii="Times" w:hAnsi="Times" w:cs="Times"/>
          <w:szCs w:val="24"/>
        </w:rPr>
      </w:pPr>
      <w:r w:rsidRPr="007B00FF">
        <w:rPr>
          <w:rFonts w:ascii="Times" w:hAnsi="Times" w:cs="Times"/>
          <w:szCs w:val="24"/>
        </w:rPr>
        <w:t>BCS: Baló’s concentric sclerosis, Gd+: gadolinium enhancement</w:t>
      </w:r>
      <w:r w:rsidR="00683B15">
        <w:rPr>
          <w:rFonts w:ascii="Times" w:hAnsi="Times" w:cs="Times"/>
          <w:szCs w:val="24"/>
        </w:rPr>
        <w:t>.</w:t>
      </w:r>
      <w:bookmarkStart w:id="0" w:name="_GoBack"/>
      <w:bookmarkEnd w:id="0"/>
      <w:r>
        <w:rPr>
          <w:rFonts w:ascii="Times" w:hAnsi="Times" w:cs="Times"/>
          <w:szCs w:val="24"/>
        </w:rPr>
        <w:t xml:space="preserve"> </w:t>
      </w:r>
    </w:p>
    <w:p w:rsidR="00A0335F" w:rsidRDefault="00A0335F" w:rsidP="00A0335F">
      <w:pPr>
        <w:rPr>
          <w:b/>
          <w:sz w:val="24"/>
          <w:u w:val="single"/>
        </w:rPr>
      </w:pPr>
    </w:p>
    <w:p w:rsidR="00AE73B3" w:rsidRPr="00A0335F" w:rsidRDefault="00AE73B3" w:rsidP="00A0335F"/>
    <w:sectPr w:rsidR="00AE73B3" w:rsidRPr="00A033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FB6" w:rsidRDefault="00DB7FB6" w:rsidP="00AE73B3">
      <w:pPr>
        <w:spacing w:after="0" w:line="240" w:lineRule="auto"/>
      </w:pPr>
      <w:r>
        <w:separator/>
      </w:r>
    </w:p>
  </w:endnote>
  <w:endnote w:type="continuationSeparator" w:id="0">
    <w:p w:rsidR="00DB7FB6" w:rsidRDefault="00DB7FB6" w:rsidP="00AE7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3B3" w:rsidRDefault="00AE73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8274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73B3" w:rsidRDefault="00AE73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3B1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E73B3" w:rsidRDefault="00AE73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3B3" w:rsidRDefault="00AE73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FB6" w:rsidRDefault="00DB7FB6" w:rsidP="00AE73B3">
      <w:pPr>
        <w:spacing w:after="0" w:line="240" w:lineRule="auto"/>
      </w:pPr>
      <w:r>
        <w:separator/>
      </w:r>
    </w:p>
  </w:footnote>
  <w:footnote w:type="continuationSeparator" w:id="0">
    <w:p w:rsidR="00DB7FB6" w:rsidRDefault="00DB7FB6" w:rsidP="00AE7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3B3" w:rsidRDefault="00AE73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3B3" w:rsidRDefault="00AE73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3B3" w:rsidRDefault="00AE73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hideSpellingErrors/>
  <w:hideGrammatical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I3tTQxNzU3MjUzNTdX0lEKTi0uzszPAykwqQUANURYDiwAAAA="/>
  </w:docVars>
  <w:rsids>
    <w:rsidRoot w:val="00ED5B71"/>
    <w:rsid w:val="0000088D"/>
    <w:rsid w:val="00387A0F"/>
    <w:rsid w:val="00683B15"/>
    <w:rsid w:val="007B00FF"/>
    <w:rsid w:val="00921C3E"/>
    <w:rsid w:val="00A0335F"/>
    <w:rsid w:val="00A27B08"/>
    <w:rsid w:val="00AE73B3"/>
    <w:rsid w:val="00B467A2"/>
    <w:rsid w:val="00BA468F"/>
    <w:rsid w:val="00DB7FB6"/>
    <w:rsid w:val="00ED5B71"/>
    <w:rsid w:val="00F5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93AC3"/>
  <w15:chartTrackingRefBased/>
  <w15:docId w15:val="{06142BDC-6E5E-4C91-90D1-9BD85D9F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3B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AE73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AE73B3"/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E73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E73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3B3"/>
  </w:style>
  <w:style w:type="paragraph" w:styleId="Footer">
    <w:name w:val="footer"/>
    <w:basedOn w:val="Normal"/>
    <w:link w:val="FooterChar"/>
    <w:uiPriority w:val="99"/>
    <w:unhideWhenUsed/>
    <w:rsid w:val="00AE73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5A369D1B-26CC-49A8-A414-EFCE77C3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6</cp:revision>
  <dcterms:created xsi:type="dcterms:W3CDTF">2020-08-24T16:27:00Z</dcterms:created>
  <dcterms:modified xsi:type="dcterms:W3CDTF">2020-10-14T20:47:00Z</dcterms:modified>
</cp:coreProperties>
</file>