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577EBF"/>
          <w:left w:val="single" w:sz="6" w:space="0" w:color="577EBF"/>
          <w:bottom w:val="single" w:sz="6" w:space="0" w:color="577EBF"/>
          <w:right w:val="single" w:sz="6" w:space="0" w:color="577E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1800"/>
        <w:gridCol w:w="2997"/>
        <w:gridCol w:w="2512"/>
      </w:tblGrid>
      <w:tr w:rsidR="00C5256D" w:rsidRPr="008255EA" w14:paraId="4005A655" w14:textId="77777777" w:rsidTr="00C5256D">
        <w:trPr>
          <w:tblHeader/>
        </w:trPr>
        <w:tc>
          <w:tcPr>
            <w:tcW w:w="2035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5DB5D" w14:textId="77777777" w:rsidR="008255EA" w:rsidRPr="008255EA" w:rsidRDefault="008255EA" w:rsidP="008255EA">
            <w:pPr>
              <w:spacing w:before="90" w:after="225" w:line="40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</w:rPr>
            </w:pPr>
            <w:r w:rsidRPr="008255EA"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</w:rPr>
              <w:t>Stage</w:t>
            </w:r>
          </w:p>
        </w:tc>
        <w:tc>
          <w:tcPr>
            <w:tcW w:w="1800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D6691" w14:textId="77777777" w:rsidR="008255EA" w:rsidRPr="008255EA" w:rsidRDefault="008255EA" w:rsidP="008255E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Number of people included</w:t>
            </w:r>
          </w:p>
        </w:tc>
        <w:tc>
          <w:tcPr>
            <w:tcW w:w="2997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46BD1" w14:textId="77777777" w:rsidR="008255EA" w:rsidRPr="008255EA" w:rsidRDefault="008255EA" w:rsidP="008255E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Number of people not included or excluded</w:t>
            </w:r>
          </w:p>
        </w:tc>
        <w:tc>
          <w:tcPr>
            <w:tcW w:w="2512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91208" w14:textId="77777777" w:rsidR="008255EA" w:rsidRPr="008255EA" w:rsidRDefault="008255EA" w:rsidP="008255EA">
            <w:pPr>
              <w:spacing w:before="90" w:after="225" w:line="40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</w:rPr>
            </w:pPr>
            <w:r w:rsidRPr="008255EA"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</w:rPr>
              <w:t>Rationale</w:t>
            </w:r>
          </w:p>
        </w:tc>
      </w:tr>
      <w:tr w:rsidR="00C5256D" w:rsidRPr="008255EA" w14:paraId="0525245F" w14:textId="77777777" w:rsidTr="00C5256D">
        <w:tc>
          <w:tcPr>
            <w:tcW w:w="2035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AD429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Enrolment</w:t>
            </w: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9F51A" w14:textId="1AC361A6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41 family units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evaluated for potential enrolment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C8F81" w14:textId="5D3DE22E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 units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did not meet the inclusion criteria or met the inclusion criteria but declined to be enrolled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after tasting the intervention nutrient bar</w:t>
            </w:r>
          </w:p>
        </w:tc>
        <w:tc>
          <w:tcPr>
            <w:tcW w:w="2512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A3662" w14:textId="61805641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The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participants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enrolled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are 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representative</w:t>
            </w:r>
            <w:proofErr w:type="gramEnd"/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of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the demographic and metabolic distribution common to the weight management program, supporting  e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xternal validity.</w:t>
            </w:r>
          </w:p>
        </w:tc>
      </w:tr>
      <w:tr w:rsidR="00C5256D" w:rsidRPr="008255EA" w14:paraId="5125BD74" w14:textId="77777777" w:rsidTr="00C5256D">
        <w:tc>
          <w:tcPr>
            <w:tcW w:w="2035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11106" w14:textId="478DCBD1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Randomi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z</w:t>
            </w: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ation</w:t>
            </w: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6FC14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Participants randomly assigned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1707F" w14:textId="3B297AB3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  <w:r w:rsidR="00D751A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Because Intervention (INT) groups </w:t>
            </w:r>
            <w:r w:rsidR="00C5256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met</w:t>
            </w:r>
            <w:r w:rsidR="00D751A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earlier in the week than Control (CONT) groups, </w:t>
            </w:r>
            <w:r w:rsidR="00C5256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and the study had to begin by the end of June to permit the full 2 </w:t>
            </w:r>
            <w:proofErr w:type="spellStart"/>
            <w:r w:rsidR="00C5256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mo</w:t>
            </w:r>
            <w:proofErr w:type="spellEnd"/>
            <w:r w:rsidR="00C5256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trial over summer, </w:t>
            </w:r>
            <w:r w:rsidR="00D751A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randomization was weighted toward I</w:t>
            </w:r>
            <w:r w:rsidR="00C5256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NT at first then balanced with CONT in the final recruitment, to allow additional weekdays for baseline assessments prior to initiation of the program.  Family units were enrolled in the following order: 6 INT, 1 CONT, 3 INT, 1 CONT, 1 INT, and 6 CONT.  </w:t>
            </w:r>
          </w:p>
        </w:tc>
        <w:tc>
          <w:tcPr>
            <w:tcW w:w="2512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57AD2" w14:textId="2E1B8BDB" w:rsidR="008255EA" w:rsidRPr="008255EA" w:rsidRDefault="00904CA0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All of the participants enrolled were included in the intention to treat analyses (with the exception of one parent who changed their mind following enrollment and consent/assent but prior to the first assessments).</w:t>
            </w:r>
          </w:p>
        </w:tc>
      </w:tr>
      <w:tr w:rsidR="00C5256D" w:rsidRPr="008255EA" w14:paraId="2ED05174" w14:textId="77777777" w:rsidTr="00C5256D">
        <w:tc>
          <w:tcPr>
            <w:tcW w:w="2035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1EC06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Treatment allocation</w:t>
            </w: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876B4" w14:textId="318337B3" w:rsidR="008255EA" w:rsidRPr="008255EA" w:rsidRDefault="00C5256D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36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articipants received treatment as allocated, by study group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E86AB" w14:textId="7B8720A0" w:rsidR="008255EA" w:rsidRPr="008255EA" w:rsidRDefault="00C5256D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Note that the fourth family unit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(INT</w:t>
            </w:r>
            <w:r w:rsidR="00904CA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triad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) h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ad 2 P</w:t>
            </w:r>
            <w:r w:rsidR="00904CA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arent/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</w:t>
            </w:r>
            <w:r w:rsidR="00904CA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dult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</w:t>
            </w:r>
            <w:r w:rsidR="00904CA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aretakers (PAC)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, one of whom dropped out prior to baseline assessment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, so did not receive treatment, but the remaining members of this unit continued. </w:t>
            </w:r>
          </w:p>
        </w:tc>
        <w:tc>
          <w:tcPr>
            <w:tcW w:w="2512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13F8F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Important counts for assessment of internal validity and interpretation of results; reasons for not receiving treatment as allocated should be given.</w:t>
            </w:r>
          </w:p>
        </w:tc>
      </w:tr>
      <w:tr w:rsidR="00C5256D" w:rsidRPr="008255EA" w14:paraId="678E7CF9" w14:textId="77777777" w:rsidTr="00C5256D">
        <w:tc>
          <w:tcPr>
            <w:tcW w:w="2035" w:type="dxa"/>
            <w:vMerge w:val="restart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19667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Follow-up</w:t>
            </w: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396ED" w14:textId="6615DD68" w:rsidR="008255EA" w:rsidRPr="008255EA" w:rsidRDefault="00904CA0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36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articipants completed treatment as allocated, by study group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1F411" w14:textId="486E5255" w:rsidR="008255EA" w:rsidRPr="008255EA" w:rsidRDefault="00904CA0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Only 1 PAC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articipant did not complete treatment as allocated,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as noted above under treatment allocation.</w:t>
            </w:r>
          </w:p>
        </w:tc>
        <w:tc>
          <w:tcPr>
            <w:tcW w:w="2512" w:type="dxa"/>
            <w:vMerge w:val="restart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CEE4B" w14:textId="43F6E6BA" w:rsidR="008255EA" w:rsidRPr="008255EA" w:rsidRDefault="00EF0116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loodwork was incomplete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pre &amp;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post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on one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CONT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PAC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who proved to be a difficult draw but overall excellent study adherence reassures the investigators of good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internal validity and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gives confidence in the 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interpretation of result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s.</w:t>
            </w:r>
          </w:p>
        </w:tc>
      </w:tr>
      <w:tr w:rsidR="00C5256D" w:rsidRPr="008255EA" w14:paraId="1905695C" w14:textId="77777777" w:rsidTr="00C5256D">
        <w:tc>
          <w:tcPr>
            <w:tcW w:w="2035" w:type="dxa"/>
            <w:vMerge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vAlign w:val="center"/>
            <w:hideMark/>
          </w:tcPr>
          <w:p w14:paraId="605D5278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1A2A7" w14:textId="1D3C26DA" w:rsidR="008255EA" w:rsidRPr="008255EA" w:rsidRDefault="00904CA0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36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articipants completed follow-up as planned, by study group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9D16F" w14:textId="5E80616F" w:rsidR="008255EA" w:rsidRPr="008255EA" w:rsidRDefault="00904CA0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All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articipants complete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follow-up as planned, by study group</w:t>
            </w:r>
          </w:p>
        </w:tc>
        <w:tc>
          <w:tcPr>
            <w:tcW w:w="2512" w:type="dxa"/>
            <w:vMerge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vAlign w:val="center"/>
            <w:hideMark/>
          </w:tcPr>
          <w:p w14:paraId="33247767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</w:tr>
      <w:tr w:rsidR="00C5256D" w:rsidRPr="008255EA" w14:paraId="1098DE7B" w14:textId="77777777" w:rsidTr="00C5256D">
        <w:tc>
          <w:tcPr>
            <w:tcW w:w="2035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7B813" w14:textId="77777777" w:rsidR="008255EA" w:rsidRPr="008255EA" w:rsidRDefault="008255EA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Analysis</w:t>
            </w:r>
          </w:p>
        </w:tc>
        <w:tc>
          <w:tcPr>
            <w:tcW w:w="1800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9FF2" w14:textId="7C60DF2A" w:rsidR="008255EA" w:rsidRPr="008255EA" w:rsidRDefault="00B416DC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36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articipants included in main analysis, by study group</w:t>
            </w:r>
          </w:p>
        </w:tc>
        <w:tc>
          <w:tcPr>
            <w:tcW w:w="2997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DE840" w14:textId="0BBA3A3A" w:rsidR="008255EA" w:rsidRPr="008255EA" w:rsidRDefault="00B416DC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No p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articipants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were 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excluded from main analysis, by study group</w:t>
            </w:r>
          </w:p>
        </w:tc>
        <w:tc>
          <w:tcPr>
            <w:tcW w:w="2512" w:type="dxa"/>
            <w:tcBorders>
              <w:top w:val="single" w:sz="6" w:space="0" w:color="577EBF"/>
              <w:left w:val="single" w:sz="6" w:space="0" w:color="577EBF"/>
              <w:bottom w:val="single" w:sz="6" w:space="0" w:color="577EBF"/>
              <w:right w:val="single" w:sz="6" w:space="0" w:color="577E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390DA" w14:textId="5F0C0CFC" w:rsidR="008255EA" w:rsidRPr="008255EA" w:rsidRDefault="00B416DC" w:rsidP="008255EA">
            <w:pPr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The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trial has been analy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z</w:t>
            </w:r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ed by intention to treat</w:t>
            </w:r>
            <w:bookmarkStart w:id="0" w:name="_GoBack"/>
            <w:bookmarkEnd w:id="0"/>
            <w:r w:rsidR="008255EA" w:rsidRPr="008255EA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.</w:t>
            </w:r>
          </w:p>
        </w:tc>
      </w:tr>
    </w:tbl>
    <w:p w14:paraId="478BADA2" w14:textId="77777777" w:rsidR="006D1334" w:rsidRDefault="006D1334"/>
    <w:sectPr w:rsidR="006D1334" w:rsidSect="00D3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EA"/>
    <w:rsid w:val="000252A5"/>
    <w:rsid w:val="00030530"/>
    <w:rsid w:val="00043BFD"/>
    <w:rsid w:val="00082581"/>
    <w:rsid w:val="00087B96"/>
    <w:rsid w:val="00091BAC"/>
    <w:rsid w:val="000A402D"/>
    <w:rsid w:val="000A449D"/>
    <w:rsid w:val="000B4675"/>
    <w:rsid w:val="000D3AD1"/>
    <w:rsid w:val="001738B1"/>
    <w:rsid w:val="001745D9"/>
    <w:rsid w:val="001B10C1"/>
    <w:rsid w:val="001C2BB4"/>
    <w:rsid w:val="001D4549"/>
    <w:rsid w:val="001F0690"/>
    <w:rsid w:val="00213C71"/>
    <w:rsid w:val="0021740A"/>
    <w:rsid w:val="002207F8"/>
    <w:rsid w:val="00250DE8"/>
    <w:rsid w:val="00261B22"/>
    <w:rsid w:val="00273602"/>
    <w:rsid w:val="00273BF5"/>
    <w:rsid w:val="002B69DE"/>
    <w:rsid w:val="00300FFA"/>
    <w:rsid w:val="003217F2"/>
    <w:rsid w:val="003506C2"/>
    <w:rsid w:val="00356D27"/>
    <w:rsid w:val="00386D83"/>
    <w:rsid w:val="003C768C"/>
    <w:rsid w:val="004201E5"/>
    <w:rsid w:val="00467B64"/>
    <w:rsid w:val="00477917"/>
    <w:rsid w:val="00484395"/>
    <w:rsid w:val="00485D2B"/>
    <w:rsid w:val="004C1DFF"/>
    <w:rsid w:val="004E5646"/>
    <w:rsid w:val="004E7E06"/>
    <w:rsid w:val="004F59D6"/>
    <w:rsid w:val="00524F3B"/>
    <w:rsid w:val="00547C14"/>
    <w:rsid w:val="005541B4"/>
    <w:rsid w:val="0056705B"/>
    <w:rsid w:val="005839A3"/>
    <w:rsid w:val="00596A02"/>
    <w:rsid w:val="005B6CB1"/>
    <w:rsid w:val="005B6ECD"/>
    <w:rsid w:val="005C6584"/>
    <w:rsid w:val="006013C6"/>
    <w:rsid w:val="00606D02"/>
    <w:rsid w:val="006148ED"/>
    <w:rsid w:val="00632DA2"/>
    <w:rsid w:val="00633696"/>
    <w:rsid w:val="0064584E"/>
    <w:rsid w:val="0067009A"/>
    <w:rsid w:val="00675EA2"/>
    <w:rsid w:val="006A7937"/>
    <w:rsid w:val="006C0BDB"/>
    <w:rsid w:val="006D1334"/>
    <w:rsid w:val="006F7880"/>
    <w:rsid w:val="0070557A"/>
    <w:rsid w:val="00716E0B"/>
    <w:rsid w:val="00734E06"/>
    <w:rsid w:val="00767E55"/>
    <w:rsid w:val="00776BE7"/>
    <w:rsid w:val="0079197B"/>
    <w:rsid w:val="007A1E31"/>
    <w:rsid w:val="007E5364"/>
    <w:rsid w:val="008048CB"/>
    <w:rsid w:val="008078A7"/>
    <w:rsid w:val="008255EA"/>
    <w:rsid w:val="008373D1"/>
    <w:rsid w:val="00860BD3"/>
    <w:rsid w:val="00864976"/>
    <w:rsid w:val="008664CD"/>
    <w:rsid w:val="0088496E"/>
    <w:rsid w:val="008F41FA"/>
    <w:rsid w:val="00904CA0"/>
    <w:rsid w:val="00913E8A"/>
    <w:rsid w:val="0092304A"/>
    <w:rsid w:val="00924F5C"/>
    <w:rsid w:val="009306E4"/>
    <w:rsid w:val="00955C95"/>
    <w:rsid w:val="00991A79"/>
    <w:rsid w:val="009B05E9"/>
    <w:rsid w:val="009B35B1"/>
    <w:rsid w:val="009C06B5"/>
    <w:rsid w:val="009C0FCC"/>
    <w:rsid w:val="009D2C3F"/>
    <w:rsid w:val="00A103A4"/>
    <w:rsid w:val="00A11D12"/>
    <w:rsid w:val="00A26A65"/>
    <w:rsid w:val="00A27457"/>
    <w:rsid w:val="00A618C0"/>
    <w:rsid w:val="00A77541"/>
    <w:rsid w:val="00AA066D"/>
    <w:rsid w:val="00AA16DF"/>
    <w:rsid w:val="00AD3531"/>
    <w:rsid w:val="00AE4998"/>
    <w:rsid w:val="00B14DBA"/>
    <w:rsid w:val="00B21D6B"/>
    <w:rsid w:val="00B416DC"/>
    <w:rsid w:val="00B41FD8"/>
    <w:rsid w:val="00B733BF"/>
    <w:rsid w:val="00BA0CF5"/>
    <w:rsid w:val="00BA7181"/>
    <w:rsid w:val="00BA7916"/>
    <w:rsid w:val="00BB2EEE"/>
    <w:rsid w:val="00BE30DD"/>
    <w:rsid w:val="00BF26DE"/>
    <w:rsid w:val="00BF71BF"/>
    <w:rsid w:val="00C36556"/>
    <w:rsid w:val="00C44F91"/>
    <w:rsid w:val="00C46A5C"/>
    <w:rsid w:val="00C5256D"/>
    <w:rsid w:val="00C5390E"/>
    <w:rsid w:val="00C57457"/>
    <w:rsid w:val="00C60D95"/>
    <w:rsid w:val="00C717D8"/>
    <w:rsid w:val="00C75452"/>
    <w:rsid w:val="00CB768E"/>
    <w:rsid w:val="00CD11F4"/>
    <w:rsid w:val="00CF6010"/>
    <w:rsid w:val="00D254B5"/>
    <w:rsid w:val="00D315E9"/>
    <w:rsid w:val="00D457CC"/>
    <w:rsid w:val="00D751AD"/>
    <w:rsid w:val="00D85471"/>
    <w:rsid w:val="00D956CE"/>
    <w:rsid w:val="00DB765B"/>
    <w:rsid w:val="00DC0949"/>
    <w:rsid w:val="00DD1E06"/>
    <w:rsid w:val="00DD1ED2"/>
    <w:rsid w:val="00E1061D"/>
    <w:rsid w:val="00E34083"/>
    <w:rsid w:val="00E44EC0"/>
    <w:rsid w:val="00E455CC"/>
    <w:rsid w:val="00E62C68"/>
    <w:rsid w:val="00E8645A"/>
    <w:rsid w:val="00EA790F"/>
    <w:rsid w:val="00EB6F03"/>
    <w:rsid w:val="00EC173E"/>
    <w:rsid w:val="00ED38AC"/>
    <w:rsid w:val="00EF0116"/>
    <w:rsid w:val="00EF7020"/>
    <w:rsid w:val="00F071E8"/>
    <w:rsid w:val="00F16004"/>
    <w:rsid w:val="00F21278"/>
    <w:rsid w:val="00F810CA"/>
    <w:rsid w:val="00F92873"/>
    <w:rsid w:val="00FB328B"/>
    <w:rsid w:val="00FB746E"/>
    <w:rsid w:val="00FE0170"/>
    <w:rsid w:val="00FE78B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115E"/>
  <w15:chartTrackingRefBased/>
  <w15:docId w15:val="{16372AA4-AC05-8940-9E33-DFCDB85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55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5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Mietus-Snyder</dc:creator>
  <cp:keywords/>
  <dc:description/>
  <cp:lastModifiedBy>Michele Mietus-Snyder</cp:lastModifiedBy>
  <cp:revision>1</cp:revision>
  <dcterms:created xsi:type="dcterms:W3CDTF">2019-12-29T23:45:00Z</dcterms:created>
  <dcterms:modified xsi:type="dcterms:W3CDTF">2019-12-30T05:16:00Z</dcterms:modified>
</cp:coreProperties>
</file>