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9E6BC" w14:textId="2F99711E" w:rsidR="00532A70" w:rsidRDefault="00532A70">
      <w:r>
        <w:t>Appendix</w:t>
      </w:r>
      <w:r w:rsidR="00E71FC8">
        <w:t xml:space="preserve"> A</w:t>
      </w:r>
      <w:bookmarkStart w:id="0" w:name="_GoBack"/>
      <w:bookmarkEnd w:id="0"/>
      <w:r>
        <w:t>:</w:t>
      </w:r>
    </w:p>
    <w:p w14:paraId="4005A43F" w14:textId="77777777" w:rsidR="00532A70" w:rsidRPr="00532A70" w:rsidRDefault="00532A70" w:rsidP="00532A70">
      <w:pPr>
        <w:pStyle w:val="Heading2"/>
        <w:rPr>
          <w:sz w:val="24"/>
        </w:rPr>
      </w:pPr>
      <w:r w:rsidRPr="00532A70">
        <w:rPr>
          <w:sz w:val="24"/>
        </w:rPr>
        <w:t>Methods for calculating stormwater runoff and Total Suspended Solids (TSS) load</w:t>
      </w:r>
    </w:p>
    <w:p w14:paraId="337AD8BC" w14:textId="77777777" w:rsidR="00B31BCF" w:rsidRDefault="00C354A8">
      <w:r w:rsidRPr="00C354A8">
        <w:t xml:space="preserve">We conducted spatial data processing and analysis with Google Earth Engine (Gorelick et al. 2017). </w:t>
      </w:r>
      <w:r w:rsidR="00BD64CB">
        <w:t>The study area consisted of watersheds flowing</w:t>
      </w:r>
      <w:r w:rsidR="00B70AC8">
        <w:t xml:space="preserve"> </w:t>
      </w:r>
      <w:r w:rsidR="00BD64CB">
        <w:t xml:space="preserve">from the USA states of Washington, Oregon, and California to </w:t>
      </w:r>
      <w:r w:rsidR="00B70AC8">
        <w:t xml:space="preserve">Pacific coastal waters </w:t>
      </w:r>
      <w:r w:rsidR="00BD64CB">
        <w:t xml:space="preserve">south of the Canadian border to Point Conception, California. To roughly </w:t>
      </w:r>
      <w:r w:rsidR="006423EB">
        <w:t>avoid complexities of large</w:t>
      </w:r>
      <w:r w:rsidR="00BD64CB">
        <w:t xml:space="preserve"> reservoirs and extreme transport distance, the analysis excludes areas of the Columbia Basin upstream of Bonneville Dam and areas upstream of the Shasta Dam on the Sacramento River.</w:t>
      </w:r>
      <w:r w:rsidR="006423EB">
        <w:t xml:space="preserve"> </w:t>
      </w:r>
      <w:r w:rsidR="00B31BCF">
        <w:t>The</w:t>
      </w:r>
      <w:r w:rsidR="006423EB">
        <w:t xml:space="preserve"> analysis may significantly under-calculate </w:t>
      </w:r>
      <w:r w:rsidR="00990202">
        <w:t>Total Suspended Solids (</w:t>
      </w:r>
      <w:r w:rsidR="006423EB">
        <w:t>TSS</w:t>
      </w:r>
      <w:r w:rsidR="00990202">
        <w:t>)</w:t>
      </w:r>
      <w:r w:rsidR="006423EB">
        <w:t xml:space="preserve"> loads by not including stormwater from those excluded areas. Likewise, rural areas were not well-accounted for </w:t>
      </w:r>
      <w:r w:rsidR="00B31BCF">
        <w:t>which</w:t>
      </w:r>
      <w:r w:rsidR="006423EB">
        <w:t xml:space="preserve"> likely lead</w:t>
      </w:r>
      <w:r w:rsidR="00B31BCF">
        <w:t xml:space="preserve"> further</w:t>
      </w:r>
      <w:r w:rsidR="006423EB">
        <w:t xml:space="preserve"> under-calculation of total </w:t>
      </w:r>
      <w:r w:rsidR="00B31BCF">
        <w:t xml:space="preserve">stormwater runoff and load. </w:t>
      </w:r>
      <w:r w:rsidR="00805551">
        <w:t>Conversely</w:t>
      </w:r>
      <w:r w:rsidR="00B31BCF">
        <w:t xml:space="preserve">, </w:t>
      </w:r>
      <w:r w:rsidR="00805551">
        <w:t xml:space="preserve">some over-calculation of TSS load may also occur because we do not address </w:t>
      </w:r>
      <w:r w:rsidR="00B31BCF">
        <w:t>fate and transport of TSS loads in our approach.</w:t>
      </w:r>
    </w:p>
    <w:p w14:paraId="0AD96197" w14:textId="77777777" w:rsidR="006C23D3" w:rsidRDefault="00B82BD4">
      <w:r>
        <w:t xml:space="preserve">To </w:t>
      </w:r>
      <w:r w:rsidR="00532A70">
        <w:t>calculate</w:t>
      </w:r>
      <w:r>
        <w:t xml:space="preserve"> stormwater runoff and </w:t>
      </w:r>
      <w:r w:rsidR="00655AE7">
        <w:t>TSS</w:t>
      </w:r>
      <w:r w:rsidR="00990202">
        <w:t xml:space="preserve"> </w:t>
      </w:r>
      <w:r>
        <w:t>load, w</w:t>
      </w:r>
      <w:r w:rsidR="008F13D1">
        <w:t>e employed the Simple Method</w:t>
      </w:r>
      <w:r>
        <w:t xml:space="preserve"> </w:t>
      </w:r>
      <w:r w:rsidR="00655AE7">
        <w:t>created</w:t>
      </w:r>
      <w:r>
        <w:t xml:space="preserve"> by the Center for Watershed Protection (CWP 2003)</w:t>
      </w:r>
      <w:r w:rsidR="00655AE7">
        <w:t xml:space="preserve">, which was based on </w:t>
      </w:r>
      <w:proofErr w:type="spellStart"/>
      <w:r w:rsidR="00655AE7">
        <w:t>S</w:t>
      </w:r>
      <w:r w:rsidR="008F13D1">
        <w:t>chueler</w:t>
      </w:r>
      <w:proofErr w:type="spellEnd"/>
      <w:r>
        <w:t xml:space="preserve"> (</w:t>
      </w:r>
      <w:r w:rsidR="008F13D1">
        <w:t>1987</w:t>
      </w:r>
      <w:r>
        <w:t>).</w:t>
      </w:r>
      <w:r w:rsidR="00655AE7">
        <w:t xml:space="preserve"> </w:t>
      </w:r>
      <w:r w:rsidR="00C354A8">
        <w:t>For load, we applied</w:t>
      </w:r>
      <w:r w:rsidR="00655AE7">
        <w:t xml:space="preserve"> </w:t>
      </w:r>
      <w:r w:rsidR="00532A70">
        <w:t xml:space="preserve">median observed </w:t>
      </w:r>
      <w:r w:rsidR="00655AE7">
        <w:t>concentration</w:t>
      </w:r>
      <w:r w:rsidR="00532A70">
        <w:t>s associated with specific land use types</w:t>
      </w:r>
      <w:r w:rsidR="00C354A8" w:rsidRPr="00C354A8">
        <w:t xml:space="preserve"> </w:t>
      </w:r>
      <w:r w:rsidR="00C354A8">
        <w:t>to account for differences in TSS concentrations present on various land use areas</w:t>
      </w:r>
      <w:r w:rsidR="00532A70">
        <w:t xml:space="preserve">. </w:t>
      </w:r>
    </w:p>
    <w:p w14:paraId="5081A7A9" w14:textId="77777777" w:rsidR="00532A70" w:rsidRPr="00532A70" w:rsidRDefault="006C23D3" w:rsidP="000239F9">
      <w:pPr>
        <w:rPr>
          <w:rStyle w:val="IntenseEmphasis"/>
          <w:rFonts w:asciiTheme="majorHAnsi" w:hAnsiTheme="majorHAnsi" w:cstheme="majorHAnsi"/>
        </w:rPr>
      </w:pPr>
      <w:r w:rsidRPr="00532A70">
        <w:rPr>
          <w:rStyle w:val="IntenseEmphasis"/>
          <w:rFonts w:asciiTheme="majorHAnsi" w:hAnsiTheme="majorHAnsi" w:cstheme="majorHAnsi"/>
        </w:rPr>
        <w:t>Annual Pollutant Load</w:t>
      </w:r>
      <w:r w:rsidR="00792C56" w:rsidRPr="00532A70">
        <w:rPr>
          <w:rStyle w:val="IntenseEmphasis"/>
          <w:rFonts w:asciiTheme="majorHAnsi" w:hAnsiTheme="majorHAnsi" w:cstheme="majorHAnsi"/>
        </w:rPr>
        <w:t xml:space="preserve"> (from CWP 2003, p.61)</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7920"/>
      </w:tblGrid>
      <w:tr w:rsidR="00792C56" w14:paraId="54EFC8DA" w14:textId="77777777" w:rsidTr="000239F9">
        <w:trPr>
          <w:jc w:val="center"/>
        </w:trPr>
        <w:tc>
          <w:tcPr>
            <w:tcW w:w="7920" w:type="dxa"/>
          </w:tcPr>
          <w:p w14:paraId="1909D504" w14:textId="77777777" w:rsidR="00792C56" w:rsidRPr="006C23D3" w:rsidRDefault="00792C56" w:rsidP="00792C56">
            <w:pPr>
              <w:rPr>
                <w:sz w:val="20"/>
              </w:rPr>
            </w:pPr>
            <w:r w:rsidRPr="006C23D3">
              <w:rPr>
                <w:sz w:val="20"/>
              </w:rPr>
              <w:t>The Simple Method estimates pollutant loads as the product of annual runoff volume and pollutant EMC, as:</w:t>
            </w:r>
          </w:p>
          <w:p w14:paraId="293DAD08" w14:textId="77777777" w:rsidR="00792C56" w:rsidRPr="00B31BCF" w:rsidRDefault="00792C56" w:rsidP="00792C56">
            <w:pPr>
              <w:jc w:val="center"/>
              <w:rPr>
                <w:b/>
                <w:sz w:val="20"/>
              </w:rPr>
            </w:pPr>
            <w:r w:rsidRPr="00B31BCF">
              <w:rPr>
                <w:b/>
                <w:sz w:val="20"/>
              </w:rPr>
              <w:t>L = 0.226 * R * C * A</w:t>
            </w:r>
          </w:p>
          <w:p w14:paraId="3E23D6AF" w14:textId="77777777" w:rsidR="00792C56" w:rsidRPr="006C23D3" w:rsidRDefault="00792C56" w:rsidP="00792C56">
            <w:pPr>
              <w:jc w:val="center"/>
              <w:rPr>
                <w:sz w:val="20"/>
              </w:rPr>
            </w:pPr>
          </w:p>
          <w:p w14:paraId="7FEFDC0D" w14:textId="77777777" w:rsidR="00792C56" w:rsidRPr="006C23D3" w:rsidRDefault="00792C56" w:rsidP="00792C56">
            <w:pPr>
              <w:rPr>
                <w:sz w:val="20"/>
              </w:rPr>
            </w:pPr>
            <w:r w:rsidRPr="006C23D3">
              <w:rPr>
                <w:sz w:val="20"/>
              </w:rPr>
              <w:t>Where:</w:t>
            </w:r>
            <w:r w:rsidRPr="006C23D3">
              <w:rPr>
                <w:sz w:val="20"/>
              </w:rPr>
              <w:tab/>
              <w:t>L = Annual load (</w:t>
            </w:r>
            <w:proofErr w:type="spellStart"/>
            <w:r w:rsidRPr="006C23D3">
              <w:rPr>
                <w:sz w:val="20"/>
              </w:rPr>
              <w:t>lbs</w:t>
            </w:r>
            <w:proofErr w:type="spellEnd"/>
            <w:r w:rsidRPr="006C23D3">
              <w:rPr>
                <w:sz w:val="20"/>
              </w:rPr>
              <w:t>), and:</w:t>
            </w:r>
          </w:p>
          <w:p w14:paraId="2FD9CED1" w14:textId="77777777" w:rsidR="00792C56" w:rsidRPr="006C23D3" w:rsidRDefault="00792C56" w:rsidP="00792C56">
            <w:pPr>
              <w:ind w:firstLine="720"/>
              <w:rPr>
                <w:sz w:val="20"/>
              </w:rPr>
            </w:pPr>
            <w:r w:rsidRPr="006C23D3">
              <w:rPr>
                <w:sz w:val="20"/>
              </w:rPr>
              <w:t>R = Annual runoff (inches)</w:t>
            </w:r>
          </w:p>
          <w:p w14:paraId="51DFF793" w14:textId="77777777" w:rsidR="00792C56" w:rsidRPr="006C23D3" w:rsidRDefault="00792C56" w:rsidP="00792C56">
            <w:pPr>
              <w:ind w:firstLine="720"/>
              <w:rPr>
                <w:sz w:val="20"/>
              </w:rPr>
            </w:pPr>
            <w:r w:rsidRPr="006C23D3">
              <w:rPr>
                <w:sz w:val="20"/>
              </w:rPr>
              <w:t>C = Pollutant concentration in stormwater, EMC (mg/l)</w:t>
            </w:r>
          </w:p>
          <w:p w14:paraId="18299F77" w14:textId="77777777" w:rsidR="00792C56" w:rsidRPr="006C23D3" w:rsidRDefault="00792C56" w:rsidP="00792C56">
            <w:pPr>
              <w:ind w:firstLine="720"/>
              <w:rPr>
                <w:sz w:val="20"/>
              </w:rPr>
            </w:pPr>
            <w:r w:rsidRPr="006C23D3">
              <w:rPr>
                <w:sz w:val="20"/>
              </w:rPr>
              <w:t>A = Area (acres)</w:t>
            </w:r>
          </w:p>
          <w:p w14:paraId="0FD762A3" w14:textId="77777777" w:rsidR="00792C56" w:rsidRPr="000239F9" w:rsidRDefault="00792C56" w:rsidP="000239F9">
            <w:pPr>
              <w:ind w:firstLine="720"/>
              <w:rPr>
                <w:sz w:val="20"/>
              </w:rPr>
            </w:pPr>
            <w:r w:rsidRPr="006C23D3">
              <w:rPr>
                <w:sz w:val="20"/>
              </w:rPr>
              <w:t>0.226 = Unit conversion factor</w:t>
            </w:r>
          </w:p>
        </w:tc>
      </w:tr>
    </w:tbl>
    <w:p w14:paraId="0DF93189" w14:textId="77777777" w:rsidR="006C23D3" w:rsidRDefault="006C23D3" w:rsidP="006C23D3"/>
    <w:p w14:paraId="2BEDFC2F" w14:textId="77777777" w:rsidR="006C23D3" w:rsidRPr="00532A70" w:rsidRDefault="006C23D3" w:rsidP="000239F9">
      <w:pPr>
        <w:rPr>
          <w:rStyle w:val="IntenseEmphasis"/>
          <w:rFonts w:asciiTheme="majorHAnsi" w:hAnsiTheme="majorHAnsi" w:cstheme="majorHAnsi"/>
        </w:rPr>
      </w:pPr>
      <w:r w:rsidRPr="00532A70">
        <w:rPr>
          <w:rStyle w:val="IntenseEmphasis"/>
          <w:rFonts w:asciiTheme="majorHAnsi" w:hAnsiTheme="majorHAnsi" w:cstheme="majorHAnsi"/>
        </w:rPr>
        <w:t>Annual Runoff</w:t>
      </w:r>
      <w:r w:rsidR="00792C56" w:rsidRPr="00532A70">
        <w:rPr>
          <w:rStyle w:val="IntenseEmphasis"/>
          <w:rFonts w:asciiTheme="majorHAnsi" w:hAnsiTheme="majorHAnsi" w:cstheme="majorHAnsi"/>
        </w:rPr>
        <w:t xml:space="preserve"> (from CWP 2003, p.61)</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7920"/>
      </w:tblGrid>
      <w:tr w:rsidR="00792C56" w14:paraId="5AA31577" w14:textId="77777777" w:rsidTr="00792C56">
        <w:trPr>
          <w:jc w:val="center"/>
        </w:trPr>
        <w:tc>
          <w:tcPr>
            <w:tcW w:w="7920" w:type="dxa"/>
          </w:tcPr>
          <w:p w14:paraId="63F05F61" w14:textId="77777777" w:rsidR="00792C56" w:rsidRPr="006C23D3" w:rsidRDefault="00792C56" w:rsidP="000239F9">
            <w:pPr>
              <w:rPr>
                <w:sz w:val="20"/>
              </w:rPr>
            </w:pPr>
            <w:r w:rsidRPr="006C23D3">
              <w:rPr>
                <w:sz w:val="20"/>
              </w:rPr>
              <w:t>The Simple Method calculates the depth of annual runoff as a product of annual runoff</w:t>
            </w:r>
            <w:r w:rsidR="000239F9">
              <w:rPr>
                <w:sz w:val="20"/>
              </w:rPr>
              <w:t xml:space="preserve"> </w:t>
            </w:r>
            <w:r w:rsidRPr="006C23D3">
              <w:rPr>
                <w:sz w:val="20"/>
              </w:rPr>
              <w:t>volume and a runoff coefficient (</w:t>
            </w:r>
            <w:proofErr w:type="spellStart"/>
            <w:r w:rsidRPr="006C23D3">
              <w:rPr>
                <w:sz w:val="20"/>
              </w:rPr>
              <w:t>Rv</w:t>
            </w:r>
            <w:proofErr w:type="spellEnd"/>
            <w:r w:rsidRPr="006C23D3">
              <w:rPr>
                <w:sz w:val="20"/>
              </w:rPr>
              <w:t>). Runoff volume is calculated as:</w:t>
            </w:r>
          </w:p>
          <w:p w14:paraId="1787F0F2" w14:textId="77777777" w:rsidR="00792C56" w:rsidRPr="00B31BCF" w:rsidRDefault="00792C56" w:rsidP="00792C56">
            <w:pPr>
              <w:jc w:val="center"/>
              <w:rPr>
                <w:b/>
                <w:sz w:val="20"/>
              </w:rPr>
            </w:pPr>
            <w:r w:rsidRPr="00B31BCF">
              <w:rPr>
                <w:b/>
                <w:sz w:val="20"/>
              </w:rPr>
              <w:t xml:space="preserve">R = P * </w:t>
            </w:r>
            <w:proofErr w:type="spellStart"/>
            <w:r w:rsidRPr="00B31BCF">
              <w:rPr>
                <w:b/>
                <w:sz w:val="20"/>
              </w:rPr>
              <w:t>Pj</w:t>
            </w:r>
            <w:proofErr w:type="spellEnd"/>
            <w:r w:rsidRPr="00B31BCF">
              <w:rPr>
                <w:b/>
                <w:sz w:val="20"/>
              </w:rPr>
              <w:t xml:space="preserve"> * </w:t>
            </w:r>
            <w:proofErr w:type="spellStart"/>
            <w:r w:rsidRPr="00B31BCF">
              <w:rPr>
                <w:b/>
                <w:sz w:val="20"/>
              </w:rPr>
              <w:t>Rv</w:t>
            </w:r>
            <w:proofErr w:type="spellEnd"/>
          </w:p>
          <w:p w14:paraId="55332C2F" w14:textId="77777777" w:rsidR="00792C56" w:rsidRPr="006C23D3" w:rsidRDefault="00792C56" w:rsidP="00792C56">
            <w:pPr>
              <w:jc w:val="center"/>
              <w:rPr>
                <w:sz w:val="20"/>
              </w:rPr>
            </w:pPr>
          </w:p>
          <w:p w14:paraId="2732F0BA" w14:textId="77777777" w:rsidR="00792C56" w:rsidRPr="006C23D3" w:rsidRDefault="00792C56" w:rsidP="00792C56">
            <w:pPr>
              <w:rPr>
                <w:sz w:val="20"/>
              </w:rPr>
            </w:pPr>
            <w:r w:rsidRPr="006C23D3">
              <w:rPr>
                <w:sz w:val="20"/>
              </w:rPr>
              <w:t>Where:</w:t>
            </w:r>
            <w:r w:rsidRPr="006C23D3">
              <w:rPr>
                <w:sz w:val="20"/>
              </w:rPr>
              <w:tab/>
              <w:t>R = Annual runoff (inches), and:</w:t>
            </w:r>
          </w:p>
          <w:p w14:paraId="6849C764" w14:textId="77777777" w:rsidR="00792C56" w:rsidRPr="006C23D3" w:rsidRDefault="00792C56" w:rsidP="00792C56">
            <w:pPr>
              <w:ind w:firstLine="720"/>
              <w:rPr>
                <w:sz w:val="20"/>
              </w:rPr>
            </w:pPr>
            <w:r w:rsidRPr="006C23D3">
              <w:rPr>
                <w:sz w:val="20"/>
              </w:rPr>
              <w:t>P = Annual rainfall (inches)</w:t>
            </w:r>
          </w:p>
          <w:p w14:paraId="71732D87" w14:textId="77777777" w:rsidR="00792C56" w:rsidRPr="006C23D3" w:rsidRDefault="00792C56" w:rsidP="00792C56">
            <w:pPr>
              <w:ind w:firstLine="720"/>
              <w:rPr>
                <w:sz w:val="20"/>
              </w:rPr>
            </w:pPr>
            <w:proofErr w:type="spellStart"/>
            <w:r w:rsidRPr="006C23D3">
              <w:rPr>
                <w:sz w:val="20"/>
              </w:rPr>
              <w:t>Pj</w:t>
            </w:r>
            <w:proofErr w:type="spellEnd"/>
            <w:r w:rsidRPr="006C23D3">
              <w:rPr>
                <w:sz w:val="20"/>
              </w:rPr>
              <w:t xml:space="preserve"> = Fraction of annual rainfall events that produce runoff (usually 0.9)</w:t>
            </w:r>
          </w:p>
          <w:p w14:paraId="6AA68AF4" w14:textId="77777777" w:rsidR="00792C56" w:rsidRDefault="00792C56" w:rsidP="00792C56">
            <w:pPr>
              <w:ind w:firstLine="720"/>
              <w:rPr>
                <w:sz w:val="20"/>
              </w:rPr>
            </w:pPr>
            <w:proofErr w:type="spellStart"/>
            <w:r w:rsidRPr="006C23D3">
              <w:rPr>
                <w:sz w:val="20"/>
              </w:rPr>
              <w:t>Rv</w:t>
            </w:r>
            <w:proofErr w:type="spellEnd"/>
            <w:r w:rsidRPr="006C23D3">
              <w:rPr>
                <w:sz w:val="20"/>
              </w:rPr>
              <w:t xml:space="preserve"> = Runoff coefficient</w:t>
            </w:r>
          </w:p>
          <w:p w14:paraId="122D96AC" w14:textId="77777777" w:rsidR="00792C56" w:rsidRDefault="00792C56" w:rsidP="00792C56">
            <w:pPr>
              <w:ind w:firstLine="720"/>
              <w:rPr>
                <w:sz w:val="20"/>
              </w:rPr>
            </w:pPr>
          </w:p>
          <w:p w14:paraId="79FA0AC4" w14:textId="77777777" w:rsidR="00792C56" w:rsidRPr="006C23D3" w:rsidRDefault="00792C56" w:rsidP="00792C56">
            <w:pPr>
              <w:rPr>
                <w:sz w:val="20"/>
              </w:rPr>
            </w:pPr>
            <w:r w:rsidRPr="006C23D3">
              <w:rPr>
                <w:sz w:val="20"/>
              </w:rPr>
              <w:t xml:space="preserve">In the Simple Method, the runoff coefficient is calculated based on IC in the </w:t>
            </w:r>
            <w:proofErr w:type="spellStart"/>
            <w:r w:rsidRPr="006C23D3">
              <w:rPr>
                <w:sz w:val="20"/>
              </w:rPr>
              <w:t>subwatershed</w:t>
            </w:r>
            <w:proofErr w:type="spellEnd"/>
            <w:r w:rsidRPr="006C23D3">
              <w:rPr>
                <w:sz w:val="20"/>
              </w:rPr>
              <w:t>.</w:t>
            </w:r>
            <w:r w:rsidR="000239F9">
              <w:rPr>
                <w:sz w:val="20"/>
              </w:rPr>
              <w:t xml:space="preserve"> </w:t>
            </w:r>
            <w:r w:rsidRPr="006C23D3">
              <w:rPr>
                <w:sz w:val="20"/>
              </w:rPr>
              <w:t>The following equation represents the best fit line for the data set (N=47, R</w:t>
            </w:r>
            <w:r w:rsidRPr="006C23D3">
              <w:rPr>
                <w:sz w:val="20"/>
                <w:vertAlign w:val="superscript"/>
              </w:rPr>
              <w:t>2</w:t>
            </w:r>
            <w:r w:rsidRPr="006C23D3">
              <w:rPr>
                <w:sz w:val="20"/>
              </w:rPr>
              <w:t>=0.71).</w:t>
            </w:r>
          </w:p>
          <w:p w14:paraId="087BE995" w14:textId="77777777" w:rsidR="00792C56" w:rsidRPr="00B31BCF" w:rsidRDefault="00792C56" w:rsidP="00792C56">
            <w:pPr>
              <w:jc w:val="center"/>
              <w:rPr>
                <w:b/>
                <w:sz w:val="20"/>
              </w:rPr>
            </w:pPr>
            <w:proofErr w:type="spellStart"/>
            <w:r w:rsidRPr="00B31BCF">
              <w:rPr>
                <w:b/>
                <w:sz w:val="20"/>
              </w:rPr>
              <w:t>Rv</w:t>
            </w:r>
            <w:proofErr w:type="spellEnd"/>
            <w:r w:rsidRPr="00B31BCF">
              <w:rPr>
                <w:b/>
                <w:sz w:val="20"/>
              </w:rPr>
              <w:t xml:space="preserve"> = 0.05 + 0.9Ia</w:t>
            </w:r>
          </w:p>
          <w:p w14:paraId="14BCADA8" w14:textId="77777777" w:rsidR="00792C56" w:rsidRPr="006C23D3" w:rsidRDefault="00792C56" w:rsidP="00792C56">
            <w:pPr>
              <w:jc w:val="center"/>
              <w:rPr>
                <w:sz w:val="20"/>
              </w:rPr>
            </w:pPr>
          </w:p>
          <w:p w14:paraId="255EC62C" w14:textId="77777777" w:rsidR="00792C56" w:rsidRPr="006C23D3" w:rsidRDefault="00792C56" w:rsidP="00792C56">
            <w:pPr>
              <w:rPr>
                <w:sz w:val="20"/>
              </w:rPr>
            </w:pPr>
            <w:r w:rsidRPr="006C23D3">
              <w:rPr>
                <w:sz w:val="20"/>
              </w:rPr>
              <w:t>Where:</w:t>
            </w:r>
            <w:r w:rsidRPr="006C23D3">
              <w:rPr>
                <w:sz w:val="20"/>
              </w:rPr>
              <w:tab/>
            </w:r>
            <w:proofErr w:type="spellStart"/>
            <w:r w:rsidRPr="006C23D3">
              <w:rPr>
                <w:sz w:val="20"/>
              </w:rPr>
              <w:t>Rv</w:t>
            </w:r>
            <w:proofErr w:type="spellEnd"/>
            <w:r w:rsidRPr="006C23D3">
              <w:rPr>
                <w:sz w:val="20"/>
              </w:rPr>
              <w:t xml:space="preserve"> = runoff coefficient, and:</w:t>
            </w:r>
          </w:p>
          <w:p w14:paraId="3FE54C0B" w14:textId="77777777" w:rsidR="00792C56" w:rsidRDefault="00792C56" w:rsidP="00792C56">
            <w:pPr>
              <w:ind w:firstLine="720"/>
            </w:pPr>
            <w:proofErr w:type="spellStart"/>
            <w:r w:rsidRPr="006C23D3">
              <w:rPr>
                <w:sz w:val="20"/>
              </w:rPr>
              <w:t>Ia</w:t>
            </w:r>
            <w:proofErr w:type="spellEnd"/>
            <w:r w:rsidRPr="006C23D3">
              <w:rPr>
                <w:sz w:val="20"/>
              </w:rPr>
              <w:t xml:space="preserve"> = Impervious fraction</w:t>
            </w:r>
          </w:p>
        </w:tc>
      </w:tr>
    </w:tbl>
    <w:p w14:paraId="3D7B5D68" w14:textId="77777777" w:rsidR="006C23D3" w:rsidRDefault="006C23D3"/>
    <w:p w14:paraId="40BB3D31" w14:textId="77777777" w:rsidR="007E46B0" w:rsidRDefault="008D44BB" w:rsidP="007E46B0">
      <w:r>
        <w:lastRenderedPageBreak/>
        <w:t>We calculated r</w:t>
      </w:r>
      <w:r w:rsidR="003923C6">
        <w:t xml:space="preserve">unoff and load </w:t>
      </w:r>
      <w:r w:rsidR="0055129C">
        <w:t>for each 30-meter pixel (900 m</w:t>
      </w:r>
      <w:r w:rsidR="0055129C" w:rsidRPr="00B82BD4">
        <w:rPr>
          <w:vertAlign w:val="superscript"/>
        </w:rPr>
        <w:t>2</w:t>
      </w:r>
      <w:r w:rsidR="0055129C">
        <w:t xml:space="preserve">) within </w:t>
      </w:r>
      <w:r w:rsidR="007E46B0">
        <w:t>a northern and southern region of the</w:t>
      </w:r>
      <w:r w:rsidR="0055129C">
        <w:t xml:space="preserve"> study area. Th</w:t>
      </w:r>
      <w:r w:rsidR="00532A70">
        <w:t>e</w:t>
      </w:r>
      <w:r w:rsidR="0055129C">
        <w:t xml:space="preserve"> area</w:t>
      </w:r>
      <w:r w:rsidR="00532A70">
        <w:t xml:space="preserve"> of each pixel</w:t>
      </w:r>
      <w:r w:rsidR="0055129C">
        <w:t xml:space="preserve"> was </w:t>
      </w:r>
      <w:r w:rsidR="00655AE7">
        <w:t xml:space="preserve">derived and </w:t>
      </w:r>
      <w:r w:rsidR="0055129C">
        <w:t xml:space="preserve">applied to each pixel load </w:t>
      </w:r>
      <w:r w:rsidR="00532A70">
        <w:t xml:space="preserve">on the fly </w:t>
      </w:r>
      <w:r w:rsidR="0055129C">
        <w:t>as directed in our GEE code</w:t>
      </w:r>
      <w:r w:rsidR="00655AE7">
        <w:t xml:space="preserve"> using pixel size of</w:t>
      </w:r>
      <w:r w:rsidR="000239F9">
        <w:t xml:space="preserve"> the National Land Cover Dataset (</w:t>
      </w:r>
      <w:r w:rsidR="006A7C62">
        <w:t>Yang et al. 2018</w:t>
      </w:r>
      <w:r w:rsidR="000239F9">
        <w:t>)</w:t>
      </w:r>
      <w:r w:rsidR="00655AE7">
        <w:t xml:space="preserve"> input</w:t>
      </w:r>
      <w:r w:rsidR="0055129C">
        <w:t>.</w:t>
      </w:r>
      <w:r w:rsidR="007E46B0" w:rsidRPr="007E46B0">
        <w:t xml:space="preserve"> </w:t>
      </w:r>
      <w:r w:rsidR="007E46B0">
        <w:t xml:space="preserve">We split the two regions on boundaries of USGS Hydrologic Unit Code </w:t>
      </w:r>
      <w:r w:rsidR="00805551">
        <w:t>4</w:t>
      </w:r>
      <w:r w:rsidR="007E46B0">
        <w:t xml:space="preserve">-digit polygons </w:t>
      </w:r>
      <w:r w:rsidR="007E46B0" w:rsidRPr="007E46B0">
        <w:t xml:space="preserve">(USGS </w:t>
      </w:r>
      <w:r w:rsidR="007E46B0">
        <w:t>2017) where they were near to the zonal boundaries of broadly recognized rainfall regimes. This division occurs just north of the San Francisco Bay area, so coastal watersheds north of and not flowing into San Francisco Bay are included in the northern region.</w:t>
      </w:r>
    </w:p>
    <w:p w14:paraId="6A27558B" w14:textId="77777777" w:rsidR="00B31BCF" w:rsidRDefault="00B31BCF">
      <w:r>
        <w:t>We calculated pre-development runoff and load by reassigning all development classes (Residential, Commercial, Industrial, and Roads) to the Open Space category. Change from pre-development to current was calculated as the difference between those two scenarios, and percent change as:</w:t>
      </w:r>
    </w:p>
    <w:p w14:paraId="0209A00C" w14:textId="77777777" w:rsidR="00B31BCF" w:rsidRDefault="00B31BCF" w:rsidP="004A2D66">
      <w:pPr>
        <w:jc w:val="center"/>
      </w:pPr>
      <w:r>
        <w:t>(current - predevelopment) / predevelopment</w:t>
      </w:r>
    </w:p>
    <w:p w14:paraId="464DAB13" w14:textId="77777777" w:rsidR="004A2D66" w:rsidRDefault="004A2D66" w:rsidP="004A2D66">
      <w:r>
        <w:t>While this approach likely over-calculates runoff and load (because load concentrations in non-developed vegetated areas would be lower than in developed Open Space), it provided a rough, conservative result.</w:t>
      </w:r>
    </w:p>
    <w:p w14:paraId="2CA8D305" w14:textId="77777777" w:rsidR="00990202" w:rsidRDefault="00805551" w:rsidP="004A2D66">
      <w:r>
        <w:t>We performed runoff and load comparisons with two sets of analysis units. For</w:t>
      </w:r>
      <w:r w:rsidR="00990202">
        <w:t xml:space="preserve"> runoff and loads of urban areas, we used the US Census Bureau (2016) Urban Areas and Clusters (UAC)</w:t>
      </w:r>
      <w:r>
        <w:t>. For</w:t>
      </w:r>
      <w:r w:rsidR="007E46B0">
        <w:t xml:space="preserve"> regional runoff and loads, we </w:t>
      </w:r>
      <w:r>
        <w:t>grouped HUC polygons into four units: those feeding the 1) Puget Sound, 2) Columbia River, 3) San Francisco Bay, and 4) all others, i.e. small coastal watersheds.</w:t>
      </w:r>
    </w:p>
    <w:p w14:paraId="63B42C7F" w14:textId="77777777" w:rsidR="00655AE7" w:rsidRPr="006F4B04" w:rsidRDefault="00655AE7">
      <w:pPr>
        <w:rPr>
          <w:rStyle w:val="IntenseEmphasis"/>
          <w:rFonts w:asciiTheme="majorHAnsi" w:hAnsiTheme="majorHAnsi" w:cstheme="majorHAnsi"/>
        </w:rPr>
      </w:pPr>
      <w:r w:rsidRPr="006F4B04">
        <w:rPr>
          <w:rStyle w:val="IntenseEmphasis"/>
          <w:rFonts w:asciiTheme="majorHAnsi" w:hAnsiTheme="majorHAnsi" w:cstheme="majorHAnsi"/>
        </w:rPr>
        <w:t>Input data included:</w:t>
      </w:r>
    </w:p>
    <w:p w14:paraId="121C017F" w14:textId="77777777" w:rsidR="00655AE7" w:rsidRDefault="00655AE7">
      <w:r w:rsidRPr="00275AB3">
        <w:rPr>
          <w:b/>
        </w:rPr>
        <w:t>Annual rainfall:</w:t>
      </w:r>
      <w:r w:rsidR="00582F79">
        <w:t xml:space="preserve"> We used PRISM (Parameter-elevation Regressions on Independent Slopes Model) Long-Term Average Climate Dataset</w:t>
      </w:r>
      <w:r w:rsidR="00DD58D1">
        <w:t xml:space="preserve"> Norm81m for annual precipitation (Daly et al. 2</w:t>
      </w:r>
      <w:r w:rsidR="00275AB3">
        <w:t>008</w:t>
      </w:r>
      <w:r w:rsidR="00DD58D1">
        <w:t>). This dataset was referenced in GEE code as “</w:t>
      </w:r>
      <w:r w:rsidR="00DD58D1" w:rsidRPr="00DD58D1">
        <w:t>OREGONSTATE/PRISM/Norm81m</w:t>
      </w:r>
      <w:r w:rsidR="00DD58D1">
        <w:t xml:space="preserve">” and by selecting band “ppt”. </w:t>
      </w:r>
    </w:p>
    <w:p w14:paraId="57721431" w14:textId="77777777" w:rsidR="00655AE7" w:rsidRDefault="00655AE7">
      <w:r w:rsidRPr="00BF1EC6">
        <w:rPr>
          <w:b/>
        </w:rPr>
        <w:t>Impervious fraction:</w:t>
      </w:r>
      <w:r w:rsidR="00275AB3">
        <w:t xml:space="preserve"> We used the 30-meter resolution National Land Cover Dataset 201</w:t>
      </w:r>
      <w:r w:rsidR="00BF1EC6">
        <w:t>1</w:t>
      </w:r>
      <w:r w:rsidR="00275AB3">
        <w:t xml:space="preserve"> impervious surface</w:t>
      </w:r>
      <w:r w:rsidR="00B73F53">
        <w:t xml:space="preserve"> layer</w:t>
      </w:r>
      <w:r w:rsidR="00275AB3">
        <w:t>, which provides the percent of each pixel that is human-made impervious</w:t>
      </w:r>
      <w:r w:rsidR="00BF1EC6">
        <w:t xml:space="preserve"> surface (</w:t>
      </w:r>
      <w:r w:rsidR="006A7C62">
        <w:t>Yang et al. 2018</w:t>
      </w:r>
      <w:r w:rsidR="00BF1EC6">
        <w:t>). This dataset was referenced in GEE code as “</w:t>
      </w:r>
      <w:r w:rsidR="00BF1EC6" w:rsidRPr="00BF1EC6">
        <w:t>USGS/NLCD/NLCD2011</w:t>
      </w:r>
      <w:r w:rsidR="00BF1EC6">
        <w:t>” and by selecting band “impervious”.</w:t>
      </w:r>
    </w:p>
    <w:p w14:paraId="4E7D7856" w14:textId="77777777" w:rsidR="00B73F53" w:rsidRDefault="00532A70">
      <w:r w:rsidRPr="003E6CD7">
        <w:rPr>
          <w:b/>
        </w:rPr>
        <w:t>Land use:</w:t>
      </w:r>
      <w:r w:rsidR="006A7C62">
        <w:t xml:space="preserve"> </w:t>
      </w:r>
      <w:r w:rsidR="00B73F53">
        <w:t>We used</w:t>
      </w:r>
      <w:r w:rsidR="003E6CD7">
        <w:t xml:space="preserve"> </w:t>
      </w:r>
      <w:r w:rsidR="00D93C12">
        <w:t xml:space="preserve">a </w:t>
      </w:r>
      <w:r w:rsidR="00836DC8">
        <w:t>land use</w:t>
      </w:r>
      <w:r w:rsidR="003E6CD7">
        <w:t xml:space="preserve"> dataset from Messager (2018) which was a combination of</w:t>
      </w:r>
      <w:r w:rsidR="0001254C">
        <w:t xml:space="preserve"> statewide </w:t>
      </w:r>
      <w:r w:rsidR="003E6CD7">
        <w:t>land use/zoning</w:t>
      </w:r>
      <w:r w:rsidR="0001254C">
        <w:t xml:space="preserve"> datasets</w:t>
      </w:r>
      <w:r w:rsidR="00D93C12">
        <w:t xml:space="preserve">, </w:t>
      </w:r>
      <w:r w:rsidR="00B73F53">
        <w:t>the 30-meter resolution National Land Cover Dataset 2011 (NLCD) land cover layer</w:t>
      </w:r>
      <w:r w:rsidR="00D93C12">
        <w:t>, and US Census Tiger road lines dataset</w:t>
      </w:r>
      <w:r w:rsidR="003E6CD7">
        <w:t xml:space="preserve">. </w:t>
      </w:r>
      <w:r w:rsidR="00D93C12">
        <w:t>The</w:t>
      </w:r>
      <w:r w:rsidR="003E6CD7">
        <w:t xml:space="preserve"> dataset</w:t>
      </w:r>
      <w:r w:rsidR="00D93C12">
        <w:t xml:space="preserve"> consisted of</w:t>
      </w:r>
      <w:r w:rsidR="00B73F53">
        <w:t xml:space="preserve"> five broad land use </w:t>
      </w:r>
      <w:r w:rsidR="00D93C12">
        <w:t>categories</w:t>
      </w:r>
      <w:r w:rsidR="00B73F53">
        <w:t xml:space="preserve"> which were associated with median observed TSS concentrations</w:t>
      </w:r>
      <w:r w:rsidR="00664478">
        <w:t>.</w:t>
      </w:r>
    </w:p>
    <w:tbl>
      <w:tblPr>
        <w:tblStyle w:val="TableGrid"/>
        <w:tblW w:w="0" w:type="auto"/>
        <w:tblLook w:val="04A0" w:firstRow="1" w:lastRow="0" w:firstColumn="1" w:lastColumn="0" w:noHBand="0" w:noVBand="1"/>
      </w:tblPr>
      <w:tblGrid>
        <w:gridCol w:w="1525"/>
        <w:gridCol w:w="7825"/>
      </w:tblGrid>
      <w:tr w:rsidR="0001254C" w:rsidRPr="00D93C12" w14:paraId="7F6FEF19" w14:textId="77777777" w:rsidTr="0001254C">
        <w:tc>
          <w:tcPr>
            <w:tcW w:w="1525" w:type="dxa"/>
          </w:tcPr>
          <w:p w14:paraId="3E7E6198" w14:textId="77777777" w:rsidR="0001254C" w:rsidRPr="00D93C12" w:rsidRDefault="0001254C">
            <w:pPr>
              <w:rPr>
                <w:i/>
              </w:rPr>
            </w:pPr>
            <w:r w:rsidRPr="00D93C12">
              <w:rPr>
                <w:i/>
              </w:rPr>
              <w:t>Land Use Type</w:t>
            </w:r>
          </w:p>
        </w:tc>
        <w:tc>
          <w:tcPr>
            <w:tcW w:w="7825" w:type="dxa"/>
          </w:tcPr>
          <w:p w14:paraId="1172E2B5" w14:textId="77777777" w:rsidR="0001254C" w:rsidRPr="00D93C12" w:rsidRDefault="0001254C">
            <w:pPr>
              <w:rPr>
                <w:i/>
              </w:rPr>
            </w:pPr>
            <w:r w:rsidRPr="00D93C12">
              <w:rPr>
                <w:i/>
              </w:rPr>
              <w:t>Input Data Source (NLCD values / zoning category)</w:t>
            </w:r>
          </w:p>
        </w:tc>
      </w:tr>
      <w:tr w:rsidR="0001254C" w14:paraId="62CAAAB1" w14:textId="77777777" w:rsidTr="0001254C">
        <w:tc>
          <w:tcPr>
            <w:tcW w:w="1525" w:type="dxa"/>
          </w:tcPr>
          <w:p w14:paraId="04349EE0" w14:textId="77777777" w:rsidR="0001254C" w:rsidRDefault="0001254C">
            <w:r>
              <w:t>Water</w:t>
            </w:r>
            <w:r w:rsidR="00F36ED0">
              <w:t>bodies</w:t>
            </w:r>
          </w:p>
        </w:tc>
        <w:tc>
          <w:tcPr>
            <w:tcW w:w="7825" w:type="dxa"/>
          </w:tcPr>
          <w:p w14:paraId="71BFB689" w14:textId="77777777" w:rsidR="0001254C" w:rsidRDefault="0001254C">
            <w:r>
              <w:t>NLCD Water (11)</w:t>
            </w:r>
          </w:p>
        </w:tc>
      </w:tr>
      <w:tr w:rsidR="0001254C" w14:paraId="3A5C9205" w14:textId="77777777" w:rsidTr="0001254C">
        <w:tc>
          <w:tcPr>
            <w:tcW w:w="1525" w:type="dxa"/>
          </w:tcPr>
          <w:p w14:paraId="14032B22" w14:textId="77777777" w:rsidR="0001254C" w:rsidRDefault="0001254C">
            <w:r>
              <w:t>Open Space</w:t>
            </w:r>
          </w:p>
        </w:tc>
        <w:tc>
          <w:tcPr>
            <w:tcW w:w="7825" w:type="dxa"/>
          </w:tcPr>
          <w:p w14:paraId="589A813B" w14:textId="77777777" w:rsidR="0001254C" w:rsidRDefault="0001254C">
            <w:r>
              <w:t xml:space="preserve">NLCD Developed, Open </w:t>
            </w:r>
            <w:proofErr w:type="gramStart"/>
            <w:r>
              <w:t>Space  (</w:t>
            </w:r>
            <w:proofErr w:type="gramEnd"/>
            <w:r>
              <w:t>21)</w:t>
            </w:r>
          </w:p>
        </w:tc>
      </w:tr>
      <w:tr w:rsidR="0001254C" w14:paraId="79BC5D1A" w14:textId="77777777" w:rsidTr="0001254C">
        <w:tc>
          <w:tcPr>
            <w:tcW w:w="1525" w:type="dxa"/>
          </w:tcPr>
          <w:p w14:paraId="0C5A9EA4" w14:textId="77777777" w:rsidR="0001254C" w:rsidRDefault="0001254C">
            <w:r>
              <w:t>Residential</w:t>
            </w:r>
          </w:p>
        </w:tc>
        <w:tc>
          <w:tcPr>
            <w:tcW w:w="7825" w:type="dxa"/>
          </w:tcPr>
          <w:p w14:paraId="0B849E5F" w14:textId="77777777" w:rsidR="0001254C" w:rsidRDefault="0001254C">
            <w:r>
              <w:t>NLCD Developed, Low and Medium Intensity (22, 23)</w:t>
            </w:r>
          </w:p>
        </w:tc>
      </w:tr>
      <w:tr w:rsidR="0001254C" w14:paraId="4EE434AD" w14:textId="77777777" w:rsidTr="0001254C">
        <w:tc>
          <w:tcPr>
            <w:tcW w:w="1525" w:type="dxa"/>
          </w:tcPr>
          <w:p w14:paraId="4A4CB04C" w14:textId="77777777" w:rsidR="0001254C" w:rsidRDefault="0001254C">
            <w:r>
              <w:t>Commercial</w:t>
            </w:r>
          </w:p>
        </w:tc>
        <w:tc>
          <w:tcPr>
            <w:tcW w:w="7825" w:type="dxa"/>
          </w:tcPr>
          <w:p w14:paraId="7B142534" w14:textId="77777777" w:rsidR="0001254C" w:rsidRDefault="003E6CD7">
            <w:r>
              <w:t xml:space="preserve">Zoning commercial or other; </w:t>
            </w:r>
            <w:r w:rsidR="0001254C">
              <w:t>NLCD Developed High Intensity (24)</w:t>
            </w:r>
          </w:p>
        </w:tc>
      </w:tr>
      <w:tr w:rsidR="0001254C" w14:paraId="10DA2400" w14:textId="77777777" w:rsidTr="0001254C">
        <w:tc>
          <w:tcPr>
            <w:tcW w:w="1525" w:type="dxa"/>
          </w:tcPr>
          <w:p w14:paraId="23C5A332" w14:textId="77777777" w:rsidR="0001254C" w:rsidRDefault="0001254C">
            <w:r>
              <w:t>Industrial</w:t>
            </w:r>
          </w:p>
        </w:tc>
        <w:tc>
          <w:tcPr>
            <w:tcW w:w="7825" w:type="dxa"/>
          </w:tcPr>
          <w:p w14:paraId="7012808A" w14:textId="77777777" w:rsidR="0001254C" w:rsidRDefault="003E6CD7">
            <w:r>
              <w:t xml:space="preserve">Zoning industrial; </w:t>
            </w:r>
            <w:r w:rsidR="0001254C">
              <w:t>NLCD Developed High Intensity (24)</w:t>
            </w:r>
            <w:r>
              <w:t xml:space="preserve">; </w:t>
            </w:r>
            <w:r w:rsidR="0001254C">
              <w:t>industrial zoning</w:t>
            </w:r>
          </w:p>
        </w:tc>
      </w:tr>
      <w:tr w:rsidR="0001254C" w14:paraId="7EA8812F" w14:textId="77777777" w:rsidTr="0001254C">
        <w:tc>
          <w:tcPr>
            <w:tcW w:w="1525" w:type="dxa"/>
          </w:tcPr>
          <w:p w14:paraId="1BA3BCD7" w14:textId="77777777" w:rsidR="0001254C" w:rsidRDefault="0001254C">
            <w:r>
              <w:t>Roads</w:t>
            </w:r>
          </w:p>
        </w:tc>
        <w:tc>
          <w:tcPr>
            <w:tcW w:w="7825" w:type="dxa"/>
          </w:tcPr>
          <w:p w14:paraId="7390375B" w14:textId="77777777" w:rsidR="0001254C" w:rsidRDefault="0001254C" w:rsidP="0001254C">
            <w:r>
              <w:t xml:space="preserve">NLCD </w:t>
            </w:r>
            <w:r w:rsidR="003E6CD7">
              <w:t>R</w:t>
            </w:r>
            <w:r>
              <w:t>oads</w:t>
            </w:r>
            <w:r w:rsidR="003E6CD7">
              <w:t xml:space="preserve"> (96);</w:t>
            </w:r>
            <w:r w:rsidR="00D93C12">
              <w:t xml:space="preserve"> A final step in developing this dataset was a reclassification to categorize a pixel as Road if for any developed pixel (21, 97, 98, 99), if 12-m buffered roads cover more than 50% of the impervious area in the developed pixel (NLCD values 21, 97, 98, 99), so (100*(rasterized roads)/(25*imperviousness) &gt; 0.50).</w:t>
            </w:r>
          </w:p>
        </w:tc>
      </w:tr>
    </w:tbl>
    <w:p w14:paraId="2170F444" w14:textId="77777777" w:rsidR="00664478" w:rsidRDefault="00664478">
      <w:pPr>
        <w:rPr>
          <w:b/>
        </w:rPr>
      </w:pPr>
    </w:p>
    <w:p w14:paraId="0557A8DA" w14:textId="77777777" w:rsidR="00B70AC8" w:rsidRDefault="00F36ED0">
      <w:r w:rsidRPr="00F36ED0">
        <w:rPr>
          <w:b/>
        </w:rPr>
        <w:t>TSS Concentration coefficients:</w:t>
      </w:r>
      <w:r>
        <w:t xml:space="preserve"> We </w:t>
      </w:r>
      <w:r w:rsidR="00664478">
        <w:t xml:space="preserve">applied </w:t>
      </w:r>
      <w:r w:rsidR="00ED11BE">
        <w:t xml:space="preserve">region-specific </w:t>
      </w:r>
      <w:r w:rsidR="00664478">
        <w:t>median observed TSS concentrations to a north</w:t>
      </w:r>
      <w:r w:rsidR="00ED11BE">
        <w:t>ern</w:t>
      </w:r>
      <w:r w:rsidR="00664478">
        <w:t xml:space="preserve"> and a south</w:t>
      </w:r>
      <w:r w:rsidR="00ED11BE">
        <w:t>ern</w:t>
      </w:r>
      <w:r w:rsidR="00664478">
        <w:t xml:space="preserve"> region of the study area</w:t>
      </w:r>
      <w:r w:rsidR="00ED11BE">
        <w:t xml:space="preserve">. </w:t>
      </w:r>
      <w:r w:rsidR="00B70AC8">
        <w:t>For the northern region, we used concentration values provided by Geosyntec Consultants, Inc. (2018), which were derived</w:t>
      </w:r>
      <w:r w:rsidR="00B70AC8" w:rsidRPr="00B70AC8">
        <w:t xml:space="preserve"> primarily from two sources: Washington State Department of Ecology 2015</w:t>
      </w:r>
      <w:r w:rsidR="00B70AC8">
        <w:t xml:space="preserve"> and </w:t>
      </w:r>
      <w:r w:rsidR="00B70AC8" w:rsidRPr="00B70AC8">
        <w:t>Washington State Department of Transportation 2015.</w:t>
      </w:r>
      <w:r w:rsidR="00B70AC8">
        <w:t xml:space="preserve"> For the southern region, we used national level concentration values from “The</w:t>
      </w:r>
      <w:r w:rsidR="00B70AC8" w:rsidRPr="00106E91">
        <w:t xml:space="preserve"> National Stormwater Quality Database</w:t>
      </w:r>
      <w:r w:rsidR="00B70AC8">
        <w:t xml:space="preserve"> (NSQD)” (Pitt et al. 2018)</w:t>
      </w:r>
      <w:r w:rsidR="006423EB">
        <w:t>.</w:t>
      </w:r>
      <w:r w:rsidR="00B70AC8">
        <w:t xml:space="preserve"> The TSS concentrations by region for each land use type are:</w:t>
      </w:r>
    </w:p>
    <w:tbl>
      <w:tblPr>
        <w:tblStyle w:val="TableGrid"/>
        <w:tblW w:w="0" w:type="auto"/>
        <w:tblLook w:val="04A0" w:firstRow="1" w:lastRow="0" w:firstColumn="1" w:lastColumn="0" w:noHBand="0" w:noVBand="1"/>
      </w:tblPr>
      <w:tblGrid>
        <w:gridCol w:w="1863"/>
        <w:gridCol w:w="1462"/>
        <w:gridCol w:w="1440"/>
      </w:tblGrid>
      <w:tr w:rsidR="00802236" w14:paraId="57296CE7" w14:textId="77777777" w:rsidTr="003646DA">
        <w:tc>
          <w:tcPr>
            <w:tcW w:w="1863" w:type="dxa"/>
            <w:vMerge w:val="restart"/>
            <w:vAlign w:val="center"/>
          </w:tcPr>
          <w:p w14:paraId="0EF56600" w14:textId="77777777" w:rsidR="00802236" w:rsidRDefault="00802236" w:rsidP="00802236">
            <w:pPr>
              <w:jc w:val="center"/>
            </w:pPr>
            <w:r>
              <w:t>Land Use Type</w:t>
            </w:r>
          </w:p>
        </w:tc>
        <w:tc>
          <w:tcPr>
            <w:tcW w:w="2902" w:type="dxa"/>
            <w:gridSpan w:val="2"/>
            <w:vAlign w:val="center"/>
          </w:tcPr>
          <w:p w14:paraId="7756C751" w14:textId="77777777" w:rsidR="00802236" w:rsidRDefault="00802236" w:rsidP="00802236">
            <w:pPr>
              <w:jc w:val="center"/>
            </w:pPr>
            <w:r>
              <w:t>TSS Concentration (g/L)</w:t>
            </w:r>
          </w:p>
        </w:tc>
      </w:tr>
      <w:tr w:rsidR="00802236" w14:paraId="18DCCD65" w14:textId="77777777" w:rsidTr="003646DA">
        <w:tc>
          <w:tcPr>
            <w:tcW w:w="1863" w:type="dxa"/>
            <w:vMerge/>
            <w:vAlign w:val="center"/>
          </w:tcPr>
          <w:p w14:paraId="6B43CB22" w14:textId="77777777" w:rsidR="00802236" w:rsidRDefault="00802236" w:rsidP="00802236">
            <w:pPr>
              <w:jc w:val="center"/>
            </w:pPr>
          </w:p>
        </w:tc>
        <w:tc>
          <w:tcPr>
            <w:tcW w:w="1462" w:type="dxa"/>
            <w:vAlign w:val="center"/>
          </w:tcPr>
          <w:p w14:paraId="22D4C2CD" w14:textId="77777777" w:rsidR="00802236" w:rsidRDefault="00802236" w:rsidP="00802236">
            <w:pPr>
              <w:jc w:val="center"/>
            </w:pPr>
            <w:r>
              <w:t xml:space="preserve">North </w:t>
            </w:r>
            <w:proofErr w:type="spellStart"/>
            <w:r>
              <w:t>Region</w:t>
            </w:r>
            <w:r w:rsidR="003646DA" w:rsidRPr="003646DA">
              <w:rPr>
                <w:vertAlign w:val="superscript"/>
              </w:rPr>
              <w:t>i</w:t>
            </w:r>
            <w:proofErr w:type="spellEnd"/>
          </w:p>
        </w:tc>
        <w:tc>
          <w:tcPr>
            <w:tcW w:w="1440" w:type="dxa"/>
            <w:vAlign w:val="center"/>
          </w:tcPr>
          <w:p w14:paraId="5741F83B" w14:textId="77777777" w:rsidR="00802236" w:rsidRDefault="00802236" w:rsidP="00802236">
            <w:pPr>
              <w:jc w:val="center"/>
            </w:pPr>
            <w:r>
              <w:t xml:space="preserve">South </w:t>
            </w:r>
            <w:proofErr w:type="spellStart"/>
            <w:r>
              <w:t>Region</w:t>
            </w:r>
            <w:r w:rsidR="003646DA" w:rsidRPr="003646DA">
              <w:rPr>
                <w:vertAlign w:val="superscript"/>
              </w:rPr>
              <w:t>ii</w:t>
            </w:r>
            <w:proofErr w:type="spellEnd"/>
          </w:p>
        </w:tc>
      </w:tr>
      <w:tr w:rsidR="00802236" w14:paraId="09DE1025" w14:textId="77777777" w:rsidTr="003646DA">
        <w:tc>
          <w:tcPr>
            <w:tcW w:w="1863" w:type="dxa"/>
          </w:tcPr>
          <w:p w14:paraId="69C06CFD" w14:textId="77777777" w:rsidR="00802236" w:rsidRDefault="00802236">
            <w:r>
              <w:t>Waterbodies</w:t>
            </w:r>
          </w:p>
        </w:tc>
        <w:tc>
          <w:tcPr>
            <w:tcW w:w="1462" w:type="dxa"/>
          </w:tcPr>
          <w:p w14:paraId="162202D3" w14:textId="77777777" w:rsidR="00802236" w:rsidRDefault="00802236" w:rsidP="00802236">
            <w:pPr>
              <w:jc w:val="center"/>
            </w:pPr>
            <w:r>
              <w:t>0</w:t>
            </w:r>
          </w:p>
        </w:tc>
        <w:tc>
          <w:tcPr>
            <w:tcW w:w="1440" w:type="dxa"/>
          </w:tcPr>
          <w:p w14:paraId="31D3151F" w14:textId="77777777" w:rsidR="00802236" w:rsidRDefault="00802236" w:rsidP="00802236">
            <w:pPr>
              <w:jc w:val="center"/>
            </w:pPr>
            <w:r>
              <w:t>0</w:t>
            </w:r>
          </w:p>
        </w:tc>
      </w:tr>
      <w:tr w:rsidR="00802236" w14:paraId="0A03C855" w14:textId="77777777" w:rsidTr="003646DA">
        <w:tc>
          <w:tcPr>
            <w:tcW w:w="1863" w:type="dxa"/>
          </w:tcPr>
          <w:p w14:paraId="271E12AA" w14:textId="77777777" w:rsidR="00802236" w:rsidRDefault="00802236" w:rsidP="00D93C12">
            <w:r>
              <w:t>Open Space</w:t>
            </w:r>
          </w:p>
        </w:tc>
        <w:tc>
          <w:tcPr>
            <w:tcW w:w="1462" w:type="dxa"/>
          </w:tcPr>
          <w:p w14:paraId="47BED894" w14:textId="77777777" w:rsidR="00802236" w:rsidRDefault="00802236" w:rsidP="00802236">
            <w:pPr>
              <w:jc w:val="center"/>
            </w:pPr>
            <w:r>
              <w:t>14</w:t>
            </w:r>
          </w:p>
        </w:tc>
        <w:tc>
          <w:tcPr>
            <w:tcW w:w="1440" w:type="dxa"/>
          </w:tcPr>
          <w:p w14:paraId="7F8770EA" w14:textId="77777777" w:rsidR="00802236" w:rsidRDefault="00802236" w:rsidP="00802236">
            <w:pPr>
              <w:jc w:val="center"/>
            </w:pPr>
            <w:r>
              <w:t>38</w:t>
            </w:r>
          </w:p>
        </w:tc>
      </w:tr>
      <w:tr w:rsidR="00802236" w14:paraId="1E2A523F" w14:textId="77777777" w:rsidTr="003646DA">
        <w:tc>
          <w:tcPr>
            <w:tcW w:w="1863" w:type="dxa"/>
          </w:tcPr>
          <w:p w14:paraId="4E291A27" w14:textId="77777777" w:rsidR="00802236" w:rsidRDefault="00802236" w:rsidP="00D93C12">
            <w:r>
              <w:t>Residential</w:t>
            </w:r>
          </w:p>
        </w:tc>
        <w:tc>
          <w:tcPr>
            <w:tcW w:w="1462" w:type="dxa"/>
          </w:tcPr>
          <w:p w14:paraId="19DD29A1" w14:textId="77777777" w:rsidR="00802236" w:rsidRDefault="00802236" w:rsidP="00802236">
            <w:pPr>
              <w:jc w:val="center"/>
            </w:pPr>
            <w:r>
              <w:t>28</w:t>
            </w:r>
          </w:p>
        </w:tc>
        <w:tc>
          <w:tcPr>
            <w:tcW w:w="1440" w:type="dxa"/>
          </w:tcPr>
          <w:p w14:paraId="5492C8B3" w14:textId="77777777" w:rsidR="00802236" w:rsidRDefault="00A751CC" w:rsidP="00802236">
            <w:pPr>
              <w:jc w:val="center"/>
            </w:pPr>
            <w:r>
              <w:t>56</w:t>
            </w:r>
          </w:p>
        </w:tc>
      </w:tr>
      <w:tr w:rsidR="00802236" w14:paraId="3BCB7807" w14:textId="77777777" w:rsidTr="003646DA">
        <w:tc>
          <w:tcPr>
            <w:tcW w:w="1863" w:type="dxa"/>
          </w:tcPr>
          <w:p w14:paraId="58A1FED8" w14:textId="77777777" w:rsidR="00802236" w:rsidRDefault="00802236" w:rsidP="00D93C12">
            <w:r>
              <w:t>Commercial</w:t>
            </w:r>
          </w:p>
        </w:tc>
        <w:tc>
          <w:tcPr>
            <w:tcW w:w="1462" w:type="dxa"/>
          </w:tcPr>
          <w:p w14:paraId="59BA9B01" w14:textId="77777777" w:rsidR="00802236" w:rsidRDefault="00802236" w:rsidP="00802236">
            <w:pPr>
              <w:jc w:val="center"/>
            </w:pPr>
            <w:r>
              <w:t>41</w:t>
            </w:r>
          </w:p>
        </w:tc>
        <w:tc>
          <w:tcPr>
            <w:tcW w:w="1440" w:type="dxa"/>
          </w:tcPr>
          <w:p w14:paraId="66D95CD6" w14:textId="77777777" w:rsidR="00802236" w:rsidRDefault="00802236" w:rsidP="00802236">
            <w:pPr>
              <w:jc w:val="center"/>
            </w:pPr>
            <w:r>
              <w:t>52</w:t>
            </w:r>
          </w:p>
        </w:tc>
      </w:tr>
      <w:tr w:rsidR="00802236" w14:paraId="2CC0091E" w14:textId="77777777" w:rsidTr="003646DA">
        <w:tc>
          <w:tcPr>
            <w:tcW w:w="1863" w:type="dxa"/>
          </w:tcPr>
          <w:p w14:paraId="07C868CE" w14:textId="77777777" w:rsidR="00802236" w:rsidRDefault="00802236" w:rsidP="00D93C12">
            <w:r>
              <w:t>Industrial</w:t>
            </w:r>
          </w:p>
        </w:tc>
        <w:tc>
          <w:tcPr>
            <w:tcW w:w="1462" w:type="dxa"/>
          </w:tcPr>
          <w:p w14:paraId="2E696C85" w14:textId="77777777" w:rsidR="00802236" w:rsidRDefault="00802236" w:rsidP="00802236">
            <w:pPr>
              <w:jc w:val="center"/>
            </w:pPr>
            <w:r>
              <w:t>48</w:t>
            </w:r>
          </w:p>
        </w:tc>
        <w:tc>
          <w:tcPr>
            <w:tcW w:w="1440" w:type="dxa"/>
          </w:tcPr>
          <w:p w14:paraId="1D750150" w14:textId="77777777" w:rsidR="00802236" w:rsidRDefault="00802236" w:rsidP="00802236">
            <w:pPr>
              <w:jc w:val="center"/>
            </w:pPr>
            <w:r>
              <w:t>74</w:t>
            </w:r>
          </w:p>
        </w:tc>
      </w:tr>
      <w:tr w:rsidR="00802236" w14:paraId="4DC03F97" w14:textId="77777777" w:rsidTr="003646DA">
        <w:tc>
          <w:tcPr>
            <w:tcW w:w="1863" w:type="dxa"/>
          </w:tcPr>
          <w:p w14:paraId="5E2AA06F" w14:textId="77777777" w:rsidR="00802236" w:rsidRDefault="00802236" w:rsidP="00D93C12">
            <w:r>
              <w:t>Roads</w:t>
            </w:r>
          </w:p>
        </w:tc>
        <w:tc>
          <w:tcPr>
            <w:tcW w:w="1462" w:type="dxa"/>
          </w:tcPr>
          <w:p w14:paraId="2459A8AE" w14:textId="77777777" w:rsidR="00802236" w:rsidRDefault="00802236" w:rsidP="00802236">
            <w:pPr>
              <w:jc w:val="center"/>
            </w:pPr>
            <w:r>
              <w:t>66</w:t>
            </w:r>
          </w:p>
        </w:tc>
        <w:tc>
          <w:tcPr>
            <w:tcW w:w="1440" w:type="dxa"/>
          </w:tcPr>
          <w:p w14:paraId="1EA8D356" w14:textId="77777777" w:rsidR="00802236" w:rsidRDefault="00802236" w:rsidP="00802236">
            <w:pPr>
              <w:jc w:val="center"/>
            </w:pPr>
            <w:r>
              <w:t>74</w:t>
            </w:r>
          </w:p>
        </w:tc>
      </w:tr>
    </w:tbl>
    <w:p w14:paraId="63546A48" w14:textId="77777777" w:rsidR="00F36ED0" w:rsidRPr="00301D32" w:rsidRDefault="003646DA" w:rsidP="00106E91">
      <w:pPr>
        <w:spacing w:after="0"/>
        <w:ind w:left="144"/>
        <w:rPr>
          <w:iCs/>
          <w:sz w:val="20"/>
        </w:rPr>
      </w:pPr>
      <w:proofErr w:type="spellStart"/>
      <w:proofErr w:type="gramStart"/>
      <w:r w:rsidRPr="003646DA">
        <w:rPr>
          <w:iCs/>
          <w:vertAlign w:val="superscript"/>
        </w:rPr>
        <w:t>i</w:t>
      </w:r>
      <w:proofErr w:type="spellEnd"/>
      <w:r w:rsidRPr="003646DA">
        <w:rPr>
          <w:iCs/>
        </w:rPr>
        <w:t xml:space="preserve"> </w:t>
      </w:r>
      <w:r w:rsidR="00106E91">
        <w:rPr>
          <w:iCs/>
        </w:rPr>
        <w:t xml:space="preserve"> </w:t>
      </w:r>
      <w:r w:rsidR="00301D32" w:rsidRPr="00106E91">
        <w:rPr>
          <w:iCs/>
          <w:sz w:val="20"/>
        </w:rPr>
        <w:t>Geosyntec</w:t>
      </w:r>
      <w:proofErr w:type="gramEnd"/>
      <w:r w:rsidR="00301D32">
        <w:rPr>
          <w:iCs/>
          <w:sz w:val="20"/>
        </w:rPr>
        <w:t xml:space="preserve"> Consultants, Inc.,</w:t>
      </w:r>
      <w:r w:rsidR="00301D32" w:rsidRPr="00106E91">
        <w:rPr>
          <w:iCs/>
          <w:sz w:val="20"/>
        </w:rPr>
        <w:t xml:space="preserve"> 201</w:t>
      </w:r>
      <w:r w:rsidR="00301D32">
        <w:rPr>
          <w:iCs/>
          <w:sz w:val="20"/>
        </w:rPr>
        <w:t xml:space="preserve">8, </w:t>
      </w:r>
      <w:bookmarkStart w:id="1" w:name="_Hlk29460234"/>
      <w:r w:rsidR="00301D32">
        <w:rPr>
          <w:iCs/>
          <w:sz w:val="20"/>
        </w:rPr>
        <w:t xml:space="preserve">produced </w:t>
      </w:r>
      <w:r w:rsidR="00301D32" w:rsidRPr="00301D32">
        <w:rPr>
          <w:iCs/>
          <w:sz w:val="20"/>
        </w:rPr>
        <w:t xml:space="preserve">primarily from two sources: </w:t>
      </w:r>
      <w:r w:rsidR="00204410">
        <w:rPr>
          <w:iCs/>
          <w:sz w:val="20"/>
        </w:rPr>
        <w:t>Washington State Department of Ecology</w:t>
      </w:r>
      <w:r w:rsidR="00301D32" w:rsidRPr="00301D32">
        <w:rPr>
          <w:iCs/>
          <w:sz w:val="20"/>
        </w:rPr>
        <w:t xml:space="preserve"> 2015; </w:t>
      </w:r>
      <w:r w:rsidR="00204410">
        <w:rPr>
          <w:iCs/>
          <w:sz w:val="20"/>
        </w:rPr>
        <w:t>Washington State Department of Transportation</w:t>
      </w:r>
      <w:r w:rsidR="00301D32" w:rsidRPr="00301D32">
        <w:rPr>
          <w:iCs/>
          <w:sz w:val="20"/>
        </w:rPr>
        <w:t xml:space="preserve"> 2015.</w:t>
      </w:r>
      <w:bookmarkEnd w:id="1"/>
    </w:p>
    <w:p w14:paraId="387E319C" w14:textId="77777777" w:rsidR="003646DA" w:rsidRPr="00106E91" w:rsidRDefault="003646DA" w:rsidP="00106E91">
      <w:pPr>
        <w:spacing w:after="0"/>
        <w:ind w:left="144"/>
        <w:rPr>
          <w:sz w:val="20"/>
        </w:rPr>
      </w:pPr>
      <w:proofErr w:type="gramStart"/>
      <w:r w:rsidRPr="00106E91">
        <w:rPr>
          <w:iCs/>
          <w:vertAlign w:val="superscript"/>
        </w:rPr>
        <w:t>ii</w:t>
      </w:r>
      <w:r w:rsidRPr="00106E91">
        <w:rPr>
          <w:iCs/>
        </w:rPr>
        <w:t xml:space="preserve"> </w:t>
      </w:r>
      <w:r w:rsidR="00106E91">
        <w:rPr>
          <w:iCs/>
        </w:rPr>
        <w:t xml:space="preserve"> </w:t>
      </w:r>
      <w:r w:rsidR="00244389" w:rsidRPr="00106E91">
        <w:rPr>
          <w:iCs/>
          <w:sz w:val="20"/>
        </w:rPr>
        <w:t>Pitt</w:t>
      </w:r>
      <w:proofErr w:type="gramEnd"/>
      <w:r w:rsidR="00244389" w:rsidRPr="00106E91">
        <w:rPr>
          <w:iCs/>
          <w:sz w:val="20"/>
        </w:rPr>
        <w:t xml:space="preserve"> et al. </w:t>
      </w:r>
      <w:r w:rsidRPr="00106E91">
        <w:rPr>
          <w:iCs/>
          <w:sz w:val="20"/>
        </w:rPr>
        <w:t>2018</w:t>
      </w:r>
      <w:r w:rsidR="00244389" w:rsidRPr="00106E91">
        <w:rPr>
          <w:iCs/>
          <w:sz w:val="20"/>
        </w:rPr>
        <w:t>,</w:t>
      </w:r>
      <w:r w:rsidR="0092672E" w:rsidRPr="00106E91">
        <w:rPr>
          <w:iCs/>
          <w:sz w:val="20"/>
        </w:rPr>
        <w:t xml:space="preserve"> p</w:t>
      </w:r>
      <w:r w:rsidR="00244389" w:rsidRPr="00106E91">
        <w:rPr>
          <w:iCs/>
          <w:sz w:val="20"/>
        </w:rPr>
        <w:t>p.23</w:t>
      </w:r>
    </w:p>
    <w:p w14:paraId="5C420543" w14:textId="77777777" w:rsidR="003646DA" w:rsidRDefault="003646DA" w:rsidP="00FB2B3B">
      <w:pPr>
        <w:rPr>
          <w:rStyle w:val="IntenseEmphasis"/>
          <w:rFonts w:asciiTheme="majorHAnsi" w:hAnsiTheme="majorHAnsi" w:cstheme="majorHAnsi"/>
        </w:rPr>
      </w:pPr>
    </w:p>
    <w:p w14:paraId="6BD0C224" w14:textId="77777777" w:rsidR="00F36ED0" w:rsidRPr="00F36ED0" w:rsidRDefault="00F36ED0" w:rsidP="00FB2B3B">
      <w:pPr>
        <w:rPr>
          <w:rStyle w:val="IntenseEmphasis"/>
          <w:rFonts w:asciiTheme="majorHAnsi" w:hAnsiTheme="majorHAnsi" w:cstheme="majorHAnsi"/>
        </w:rPr>
      </w:pPr>
      <w:r w:rsidRPr="00F36ED0">
        <w:rPr>
          <w:rStyle w:val="IntenseEmphasis"/>
          <w:rFonts w:asciiTheme="majorHAnsi" w:hAnsiTheme="majorHAnsi" w:cstheme="majorHAnsi"/>
        </w:rPr>
        <w:t>Citations</w:t>
      </w:r>
    </w:p>
    <w:p w14:paraId="42B4C102" w14:textId="77777777" w:rsidR="00655AE7" w:rsidRDefault="00FB2B3B" w:rsidP="00FB2B3B">
      <w:r>
        <w:t xml:space="preserve">Daly, C., </w:t>
      </w:r>
      <w:proofErr w:type="spellStart"/>
      <w:r>
        <w:t>Halbleib</w:t>
      </w:r>
      <w:proofErr w:type="spellEnd"/>
      <w:r>
        <w:t xml:space="preserve">, M., Smith, J.I., Gibson, W.P., Doggett, M.K., Taylor, G.H., Curtis, J., and </w:t>
      </w:r>
      <w:proofErr w:type="spellStart"/>
      <w:r>
        <w:t>Pasteris</w:t>
      </w:r>
      <w:proofErr w:type="spellEnd"/>
      <w:r>
        <w:t xml:space="preserve">, P.A. 2008. </w:t>
      </w:r>
      <w:proofErr w:type="spellStart"/>
      <w:r>
        <w:t>Physiographically</w:t>
      </w:r>
      <w:proofErr w:type="spellEnd"/>
      <w:r>
        <w:t xml:space="preserve">-sensitive mapping of temperature and precipitation across the conterminous United States. </w:t>
      </w:r>
      <w:r w:rsidRPr="008D44BB">
        <w:rPr>
          <w:i/>
        </w:rPr>
        <w:t>International Journal of Climatology</w:t>
      </w:r>
      <w:r>
        <w:t>, 28: 2031-2064</w:t>
      </w:r>
    </w:p>
    <w:p w14:paraId="2B5D5327" w14:textId="77777777" w:rsidR="00E66E2C" w:rsidRDefault="00E66E2C" w:rsidP="00FB2B3B">
      <w:r w:rsidRPr="00106E91">
        <w:t>Geosyntec</w:t>
      </w:r>
      <w:r w:rsidR="00A37E61">
        <w:t xml:space="preserve"> Consultants, Inc</w:t>
      </w:r>
      <w:r w:rsidRPr="00106E91">
        <w:t>. 201</w:t>
      </w:r>
      <w:r w:rsidR="00A37E61">
        <w:t>8</w:t>
      </w:r>
      <w:r w:rsidR="00106E91">
        <w:t xml:space="preserve">. </w:t>
      </w:r>
      <w:r w:rsidR="00204410">
        <w:t>“</w:t>
      </w:r>
      <w:r w:rsidR="00A37E61">
        <w:t>Puget Sound Stormwater Decision Support Tool.</w:t>
      </w:r>
      <w:r w:rsidR="00204410">
        <w:t>”</w:t>
      </w:r>
      <w:r w:rsidR="00A37E61">
        <w:t xml:space="preserve"> </w:t>
      </w:r>
      <w:r w:rsidR="00A37E61" w:rsidRPr="00A37E61">
        <w:rPr>
          <w:i/>
        </w:rPr>
        <w:t>In draft</w:t>
      </w:r>
      <w:r w:rsidR="00A37E61">
        <w:t>.</w:t>
      </w:r>
    </w:p>
    <w:p w14:paraId="364BC873" w14:textId="77777777" w:rsidR="008D44BB" w:rsidRDefault="008D44BB" w:rsidP="00FB2B3B">
      <w:r w:rsidRPr="008D44BB">
        <w:t xml:space="preserve">Gorelick, N., </w:t>
      </w:r>
      <w:proofErr w:type="spellStart"/>
      <w:r w:rsidRPr="008D44BB">
        <w:t>Hancher</w:t>
      </w:r>
      <w:proofErr w:type="spellEnd"/>
      <w:r w:rsidRPr="008D44BB">
        <w:t xml:space="preserve">, M., Dixon, M., </w:t>
      </w:r>
      <w:proofErr w:type="spellStart"/>
      <w:r w:rsidRPr="008D44BB">
        <w:t>Ilyushchenko</w:t>
      </w:r>
      <w:proofErr w:type="spellEnd"/>
      <w:r w:rsidRPr="008D44BB">
        <w:t xml:space="preserve">, S., </w:t>
      </w:r>
      <w:proofErr w:type="spellStart"/>
      <w:r w:rsidRPr="008D44BB">
        <w:t>Thau</w:t>
      </w:r>
      <w:proofErr w:type="spellEnd"/>
      <w:r w:rsidRPr="008D44BB">
        <w:t xml:space="preserve">, D., &amp; Moore, R. 2017. Google Earth Engine: Planetary-scale geospatial analysis for everyone. </w:t>
      </w:r>
      <w:r w:rsidRPr="008D44BB">
        <w:rPr>
          <w:i/>
        </w:rPr>
        <w:t>Remote Sensing of Environment</w:t>
      </w:r>
      <w:r w:rsidRPr="008D44BB">
        <w:t>.</w:t>
      </w:r>
    </w:p>
    <w:p w14:paraId="1455AFFB" w14:textId="77777777" w:rsidR="00F36ED0" w:rsidRDefault="00F36ED0" w:rsidP="00FB2B3B">
      <w:r>
        <w:t xml:space="preserve">Messager, M. 2018. </w:t>
      </w:r>
      <w:r w:rsidR="00301D32">
        <w:t xml:space="preserve">Unpublished digital data. </w:t>
      </w:r>
      <w:r w:rsidR="009A5C61">
        <w:t>Accessed on</w:t>
      </w:r>
      <w:r w:rsidR="00301D32">
        <w:t xml:space="preserve"> November 16, 2018. </w:t>
      </w:r>
      <w:r>
        <w:t xml:space="preserve">Methods described at </w:t>
      </w:r>
      <w:r w:rsidRPr="00F36ED0">
        <w:t>https://github.com/messamat/PacificStormwater</w:t>
      </w:r>
      <w:r>
        <w:t xml:space="preserve">. </w:t>
      </w:r>
    </w:p>
    <w:p w14:paraId="364CFF9C" w14:textId="77777777" w:rsidR="003646DA" w:rsidRDefault="00244389" w:rsidP="00FB2B3B">
      <w:r w:rsidRPr="00106E91">
        <w:t xml:space="preserve">Pitt, R., </w:t>
      </w:r>
      <w:proofErr w:type="spellStart"/>
      <w:r w:rsidRPr="00106E91">
        <w:t>Maestre</w:t>
      </w:r>
      <w:proofErr w:type="spellEnd"/>
      <w:r w:rsidRPr="00106E91">
        <w:t>, A., and Clary, J. 2018.</w:t>
      </w:r>
      <w:r w:rsidR="00106E91">
        <w:t xml:space="preserve"> </w:t>
      </w:r>
      <w:r w:rsidR="00204410">
        <w:t>“</w:t>
      </w:r>
      <w:r w:rsidR="00106E91">
        <w:t>The</w:t>
      </w:r>
      <w:r w:rsidRPr="00106E91">
        <w:t xml:space="preserve"> </w:t>
      </w:r>
      <w:r w:rsidR="003646DA" w:rsidRPr="00106E91">
        <w:t>National Stormwater Quality Database</w:t>
      </w:r>
      <w:r w:rsidR="00106E91">
        <w:t xml:space="preserve"> (NSQD), V</w:t>
      </w:r>
      <w:r w:rsidR="003646DA" w:rsidRPr="00106E91">
        <w:t>ersion 4</w:t>
      </w:r>
      <w:r w:rsidR="00106E91" w:rsidRPr="00106E91">
        <w:t>.02</w:t>
      </w:r>
      <w:r w:rsidR="003646DA" w:rsidRPr="00106E91">
        <w:t>.</w:t>
      </w:r>
      <w:r w:rsidR="00204410">
        <w:t>”</w:t>
      </w:r>
      <w:r w:rsidR="003646DA" w:rsidRPr="00106E91">
        <w:t xml:space="preserve"> </w:t>
      </w:r>
      <w:r w:rsidR="009A5C61">
        <w:t>Accessed on</w:t>
      </w:r>
      <w:r w:rsidR="00106E91" w:rsidRPr="00106E91">
        <w:t xml:space="preserve"> January 1, 2020, at</w:t>
      </w:r>
      <w:r w:rsidR="00301D32">
        <w:t xml:space="preserve"> </w:t>
      </w:r>
      <w:r w:rsidR="00204410" w:rsidRPr="00C354A8">
        <w:t>http://www.bmpdatabase.org/Docs/NSQD_ver_4_brief_Feb_18_2018.pdf</w:t>
      </w:r>
    </w:p>
    <w:p w14:paraId="42F6CBD4" w14:textId="77777777" w:rsidR="00990202" w:rsidRDefault="00990202" w:rsidP="00FB2B3B">
      <w:r>
        <w:t xml:space="preserve">US Census Bureau. 2016. </w:t>
      </w:r>
      <w:r w:rsidRPr="00990202">
        <w:t>TIGER/Line Shapefile, 2016, 2010 nation, U.S., 2010 Census Urban Area National</w:t>
      </w:r>
      <w:r w:rsidR="009A5C61">
        <w:t xml:space="preserve">. Accessed on November 16, 2018, at </w:t>
      </w:r>
      <w:r w:rsidR="009A5C61" w:rsidRPr="00C354A8">
        <w:t>http://www2.census.gov/geo/tiger/TIGER2016/UAC10/tl_2016_us_uac10.zip</w:t>
      </w:r>
    </w:p>
    <w:p w14:paraId="10F65AC9" w14:textId="77777777" w:rsidR="007E46B0" w:rsidRDefault="007E46B0" w:rsidP="00FB2B3B">
      <w:r>
        <w:t xml:space="preserve">USGS. 2017. </w:t>
      </w:r>
      <w:r w:rsidRPr="007E46B0">
        <w:t>HUC0</w:t>
      </w:r>
      <w:r w:rsidR="00C354A8">
        <w:t>4</w:t>
      </w:r>
      <w:r w:rsidRPr="007E46B0">
        <w:t>: USGS Watershed Boundary Dataset of Basins</w:t>
      </w:r>
      <w:r>
        <w:t xml:space="preserve">. Accessed on November 16, 2018, at </w:t>
      </w:r>
      <w:r w:rsidRPr="00C354A8">
        <w:t>https://developers.google.com/earth-engine/datasets/catalog/USGS_WBD_2017_HUC0</w:t>
      </w:r>
      <w:r w:rsidR="00C354A8" w:rsidRPr="00C354A8">
        <w:t>4</w:t>
      </w:r>
    </w:p>
    <w:p w14:paraId="56059188" w14:textId="77777777" w:rsidR="00204410" w:rsidRDefault="00204410" w:rsidP="00FB2B3B">
      <w:r w:rsidRPr="00204410">
        <w:lastRenderedPageBreak/>
        <w:t xml:space="preserve">Washington State Department of Ecology. 2015. </w:t>
      </w:r>
      <w:r>
        <w:t>“</w:t>
      </w:r>
      <w:r w:rsidRPr="00204410">
        <w:t>Western Washington NPDES Phase I Stormwater Permit Final S8. D Data Characterization.</w:t>
      </w:r>
      <w:r>
        <w:t xml:space="preserve">” </w:t>
      </w:r>
      <w:r w:rsidR="00C354A8" w:rsidRPr="00C354A8">
        <w:t>https://fortress.wa.gov/ecy/publications/SummaryPages/1210050.html</w:t>
      </w:r>
      <w:r w:rsidRPr="00204410">
        <w:t>.</w:t>
      </w:r>
    </w:p>
    <w:p w14:paraId="2EACF74F" w14:textId="77777777" w:rsidR="00204410" w:rsidRDefault="00204410" w:rsidP="00FB2B3B">
      <w:r w:rsidRPr="00204410">
        <w:t xml:space="preserve">Washington State Department of Transportation. 2015. </w:t>
      </w:r>
      <w:r>
        <w:t>“</w:t>
      </w:r>
      <w:r w:rsidRPr="00204410">
        <w:t>WSDOT NPDES Municipal Stormwater Permit Final Highway Runoff Characterization Report (S7. B) Water Years 2012-2014</w:t>
      </w:r>
      <w:r w:rsidR="00FF7DE6">
        <w:t>.</w:t>
      </w:r>
      <w:r w:rsidRPr="00204410">
        <w:t>” October.</w:t>
      </w:r>
    </w:p>
    <w:p w14:paraId="3C985091" w14:textId="77777777" w:rsidR="006A7C62" w:rsidRDefault="006A7C62" w:rsidP="00FB2B3B">
      <w:r w:rsidRPr="006A7C62">
        <w:t xml:space="preserve">Yang, L., </w:t>
      </w:r>
      <w:proofErr w:type="spellStart"/>
      <w:r w:rsidRPr="006A7C62">
        <w:t>Jin</w:t>
      </w:r>
      <w:proofErr w:type="spellEnd"/>
      <w:r w:rsidRPr="006A7C62">
        <w:t xml:space="preserve">, S., Danielson, P., Homer, C., </w:t>
      </w:r>
      <w:proofErr w:type="spellStart"/>
      <w:r w:rsidRPr="006A7C62">
        <w:t>Gass</w:t>
      </w:r>
      <w:proofErr w:type="spellEnd"/>
      <w:r w:rsidRPr="006A7C62">
        <w:t xml:space="preserve">, L., Case, A., Costello, C., </w:t>
      </w:r>
      <w:proofErr w:type="spellStart"/>
      <w:r w:rsidRPr="006A7C62">
        <w:t>Dewitz</w:t>
      </w:r>
      <w:proofErr w:type="spellEnd"/>
      <w:r w:rsidRPr="006A7C62">
        <w:t xml:space="preserve">, J., Fry, J., Funk, M., </w:t>
      </w:r>
      <w:proofErr w:type="spellStart"/>
      <w:r w:rsidRPr="006A7C62">
        <w:t>Grannemann</w:t>
      </w:r>
      <w:proofErr w:type="spellEnd"/>
      <w:r w:rsidRPr="006A7C62">
        <w:t xml:space="preserve">, B., </w:t>
      </w:r>
      <w:proofErr w:type="spellStart"/>
      <w:r w:rsidRPr="006A7C62">
        <w:t>Rigge</w:t>
      </w:r>
      <w:proofErr w:type="spellEnd"/>
      <w:r w:rsidRPr="006A7C62">
        <w:t>, M. and G. Xian. 2018, A New Generation of the United States National Land Cover Database: Requirements, Research Priorities, Design, and Implementation Strategies, p. 108–123.</w:t>
      </w:r>
    </w:p>
    <w:sectPr w:rsidR="006A7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72B8C"/>
    <w:multiLevelType w:val="hybridMultilevel"/>
    <w:tmpl w:val="B25E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63FF8"/>
    <w:multiLevelType w:val="multilevel"/>
    <w:tmpl w:val="7B947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8F3D60"/>
    <w:multiLevelType w:val="multilevel"/>
    <w:tmpl w:val="96B08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D1"/>
    <w:rsid w:val="0001254C"/>
    <w:rsid w:val="000239F9"/>
    <w:rsid w:val="00106E91"/>
    <w:rsid w:val="00204410"/>
    <w:rsid w:val="00244389"/>
    <w:rsid w:val="00275AB3"/>
    <w:rsid w:val="002A1883"/>
    <w:rsid w:val="00301D32"/>
    <w:rsid w:val="003646DA"/>
    <w:rsid w:val="003923C6"/>
    <w:rsid w:val="003E6CD7"/>
    <w:rsid w:val="00402AEC"/>
    <w:rsid w:val="004A2D66"/>
    <w:rsid w:val="00532A70"/>
    <w:rsid w:val="0055129C"/>
    <w:rsid w:val="00582F79"/>
    <w:rsid w:val="005A5A46"/>
    <w:rsid w:val="006423EB"/>
    <w:rsid w:val="00655AE7"/>
    <w:rsid w:val="00664478"/>
    <w:rsid w:val="006A7C62"/>
    <w:rsid w:val="006C23D3"/>
    <w:rsid w:val="006F4B04"/>
    <w:rsid w:val="00730CA8"/>
    <w:rsid w:val="00792C56"/>
    <w:rsid w:val="007E46B0"/>
    <w:rsid w:val="00802236"/>
    <w:rsid w:val="00805551"/>
    <w:rsid w:val="00836DC8"/>
    <w:rsid w:val="008D44BB"/>
    <w:rsid w:val="008F13D1"/>
    <w:rsid w:val="0092672E"/>
    <w:rsid w:val="00990202"/>
    <w:rsid w:val="009A5C61"/>
    <w:rsid w:val="00A37E61"/>
    <w:rsid w:val="00A65D26"/>
    <w:rsid w:val="00A751CC"/>
    <w:rsid w:val="00A92B75"/>
    <w:rsid w:val="00AA3CD8"/>
    <w:rsid w:val="00B015AD"/>
    <w:rsid w:val="00B31BCF"/>
    <w:rsid w:val="00B70AC8"/>
    <w:rsid w:val="00B73F53"/>
    <w:rsid w:val="00B82BD4"/>
    <w:rsid w:val="00BD64CB"/>
    <w:rsid w:val="00BE6ABE"/>
    <w:rsid w:val="00BF1EC6"/>
    <w:rsid w:val="00C354A8"/>
    <w:rsid w:val="00D55AAB"/>
    <w:rsid w:val="00D93C12"/>
    <w:rsid w:val="00DD58D1"/>
    <w:rsid w:val="00E66E2C"/>
    <w:rsid w:val="00E71FC8"/>
    <w:rsid w:val="00ED11BE"/>
    <w:rsid w:val="00EF2099"/>
    <w:rsid w:val="00F36ED0"/>
    <w:rsid w:val="00FB2B3B"/>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F596"/>
  <w15:chartTrackingRefBased/>
  <w15:docId w15:val="{E9F84322-CB71-452D-AA7A-AA38E8AC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46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2A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532A70"/>
    <w:rPr>
      <w:i/>
      <w:iCs/>
      <w:color w:val="4472C4" w:themeColor="accent1"/>
    </w:rPr>
  </w:style>
  <w:style w:type="character" w:customStyle="1" w:styleId="Heading2Char">
    <w:name w:val="Heading 2 Char"/>
    <w:basedOn w:val="DefaultParagraphFont"/>
    <w:link w:val="Heading2"/>
    <w:uiPriority w:val="9"/>
    <w:rsid w:val="00532A7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D58D1"/>
    <w:rPr>
      <w:color w:val="0000FF"/>
      <w:u w:val="single"/>
    </w:rPr>
  </w:style>
  <w:style w:type="paragraph" w:styleId="ListParagraph">
    <w:name w:val="List Paragraph"/>
    <w:basedOn w:val="Normal"/>
    <w:uiPriority w:val="34"/>
    <w:qFormat/>
    <w:rsid w:val="00B73F53"/>
    <w:pPr>
      <w:ind w:left="720"/>
      <w:contextualSpacing/>
    </w:pPr>
  </w:style>
  <w:style w:type="character" w:styleId="UnresolvedMention">
    <w:name w:val="Unresolved Mention"/>
    <w:basedOn w:val="DefaultParagraphFont"/>
    <w:uiPriority w:val="99"/>
    <w:semiHidden/>
    <w:unhideWhenUsed/>
    <w:rsid w:val="00F36ED0"/>
    <w:rPr>
      <w:color w:val="605E5C"/>
      <w:shd w:val="clear" w:color="auto" w:fill="E1DFDD"/>
    </w:rPr>
  </w:style>
  <w:style w:type="character" w:customStyle="1" w:styleId="textold1">
    <w:name w:val="textold1"/>
    <w:basedOn w:val="DefaultParagraphFont"/>
    <w:rsid w:val="009A5C61"/>
    <w:rPr>
      <w:color w:val="999999"/>
    </w:rPr>
  </w:style>
  <w:style w:type="character" w:customStyle="1" w:styleId="Heading1Char">
    <w:name w:val="Heading 1 Char"/>
    <w:basedOn w:val="DefaultParagraphFont"/>
    <w:link w:val="Heading1"/>
    <w:uiPriority w:val="9"/>
    <w:rsid w:val="007E46B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83925">
      <w:bodyDiv w:val="1"/>
      <w:marLeft w:val="0"/>
      <w:marRight w:val="0"/>
      <w:marTop w:val="0"/>
      <w:marBottom w:val="0"/>
      <w:divBdr>
        <w:top w:val="none" w:sz="0" w:space="0" w:color="auto"/>
        <w:left w:val="none" w:sz="0" w:space="0" w:color="auto"/>
        <w:bottom w:val="none" w:sz="0" w:space="0" w:color="auto"/>
        <w:right w:val="none" w:sz="0" w:space="0" w:color="auto"/>
      </w:divBdr>
    </w:div>
    <w:div w:id="613288980">
      <w:bodyDiv w:val="1"/>
      <w:marLeft w:val="0"/>
      <w:marRight w:val="0"/>
      <w:marTop w:val="0"/>
      <w:marBottom w:val="0"/>
      <w:divBdr>
        <w:top w:val="none" w:sz="0" w:space="0" w:color="auto"/>
        <w:left w:val="none" w:sz="0" w:space="0" w:color="auto"/>
        <w:bottom w:val="none" w:sz="0" w:space="0" w:color="auto"/>
        <w:right w:val="none" w:sz="0" w:space="0" w:color="auto"/>
      </w:divBdr>
    </w:div>
    <w:div w:id="951590799">
      <w:bodyDiv w:val="1"/>
      <w:marLeft w:val="0"/>
      <w:marRight w:val="0"/>
      <w:marTop w:val="0"/>
      <w:marBottom w:val="0"/>
      <w:divBdr>
        <w:top w:val="none" w:sz="0" w:space="0" w:color="auto"/>
        <w:left w:val="none" w:sz="0" w:space="0" w:color="auto"/>
        <w:bottom w:val="none" w:sz="0" w:space="0" w:color="auto"/>
        <w:right w:val="none" w:sz="0" w:space="0" w:color="auto"/>
      </w:divBdr>
    </w:div>
    <w:div w:id="152628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1701</TotalTime>
  <Pages>4</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Robertson</dc:creator>
  <cp:keywords/>
  <dc:description/>
  <cp:lastModifiedBy>Phil Levin</cp:lastModifiedBy>
  <cp:revision>8</cp:revision>
  <dcterms:created xsi:type="dcterms:W3CDTF">2020-01-08T16:22:00Z</dcterms:created>
  <dcterms:modified xsi:type="dcterms:W3CDTF">2020-01-10T22:01:00Z</dcterms:modified>
</cp:coreProperties>
</file>