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Electronic Supplementary Material</w:t>
      </w:r>
    </w:p>
    <w:p>
      <w:pPr>
        <w:pStyle w:val="Normal"/>
        <w:spacing w:lineRule="auto" w:line="480"/>
        <w:rPr>
          <w:rFonts w:ascii="Times New Roman" w:hAnsi="Times New Roman" w:cs="Times New Roman"/>
          <w:sz w:val="24"/>
          <w:szCs w:val="24"/>
          <w:lang w:val="en-GB-oxendict" w:bidi="ar-SA"/>
        </w:rPr>
      </w:pPr>
      <w:r>
        <w:rPr>
          <w:rFonts w:cs="Times New Roman" w:ascii="Times New Roman" w:hAnsi="Times New Roman"/>
          <w:sz w:val="24"/>
          <w:szCs w:val="24"/>
          <w:lang w:val="en-GB-oxendict" w:bidi="ar-SA"/>
        </w:rPr>
      </w:r>
    </w:p>
    <w:p>
      <w:pPr>
        <w:pStyle w:val="Normal"/>
        <w:spacing w:lineRule="auto" w:line="240"/>
        <w:rPr/>
      </w:pPr>
      <w:r>
        <w:rPr>
          <w:rFonts w:cs="Times New Roman" w:ascii="Times New Roman" w:hAnsi="Times New Roman"/>
          <w:b/>
          <w:bCs/>
          <w:sz w:val="24"/>
          <w:szCs w:val="24"/>
          <w:lang w:val="en-GB-oxendict" w:bidi="ar-SA"/>
        </w:rPr>
        <w:t xml:space="preserve">Asymmetric gene flow in the Antarctic bivalve </w:t>
      </w:r>
      <w:r>
        <w:rPr>
          <w:rFonts w:cs="Times New Roman" w:ascii="Times New Roman" w:hAnsi="Times New Roman"/>
          <w:b/>
          <w:bCs/>
          <w:i/>
          <w:sz w:val="24"/>
          <w:szCs w:val="24"/>
          <w:lang w:val="en-GB-oxendict" w:bidi="ar-SA"/>
        </w:rPr>
        <w:t>Aequiyoldia eighitsi</w:t>
      </w:r>
      <w:r>
        <w:rPr>
          <w:rFonts w:cs="Times New Roman" w:ascii="Times New Roman" w:hAnsi="Times New Roman"/>
          <w:b/>
          <w:bCs/>
          <w:sz w:val="24"/>
          <w:szCs w:val="24"/>
          <w:lang w:val="en-GB-oxendict" w:bidi="ar-SA"/>
        </w:rPr>
        <w:t xml:space="preserve"> suggest a role for the Antarctic Peninsula Coastal Current in larval dispersal</w:t>
      </w:r>
    </w:p>
    <w:p>
      <w:pPr>
        <w:pStyle w:val="Normal"/>
        <w:spacing w:lineRule="auto" w:line="240"/>
        <w:rPr>
          <w:rFonts w:ascii="Times New Roman" w:hAnsi="Times New Roman" w:cs="Times New Roman"/>
          <w:sz w:val="24"/>
          <w:szCs w:val="24"/>
          <w:lang w:val="en-GB-oxendict" w:bidi="ar-SA"/>
        </w:rPr>
      </w:pPr>
      <w:r>
        <w:rPr>
          <w:rFonts w:cs="Times New Roman" w:ascii="Times New Roman" w:hAnsi="Times New Roman"/>
          <w:sz w:val="24"/>
          <w:szCs w:val="24"/>
          <w:lang w:val="en-GB-oxendict" w:bidi="ar-SA"/>
        </w:rPr>
      </w:r>
    </w:p>
    <w:p>
      <w:pPr>
        <w:pStyle w:val="Normal"/>
        <w:spacing w:lineRule="auto" w:line="240"/>
        <w:rPr/>
      </w:pPr>
      <w:r>
        <w:rPr>
          <w:rFonts w:cs="Times New Roman" w:ascii="Times New Roman" w:hAnsi="Times New Roman"/>
          <w:sz w:val="24"/>
          <w:szCs w:val="24"/>
          <w:lang w:val="en-GB-oxendict" w:bidi="ar-SA"/>
        </w:rPr>
        <w:t>Muñoz-Ramírez Carlos</w:t>
      </w:r>
      <w:r>
        <w:rPr>
          <w:rFonts w:cs="Times New Roman" w:ascii="Times New Roman" w:hAnsi="Times New Roman"/>
          <w:sz w:val="24"/>
          <w:szCs w:val="24"/>
          <w:vertAlign w:val="superscript"/>
          <w:lang w:val="en-GB-oxendict" w:bidi="ar-SA"/>
        </w:rPr>
        <w:t>1,2,3</w:t>
      </w:r>
      <w:r>
        <w:rPr>
          <w:rFonts w:cs="Times New Roman" w:ascii="Times New Roman" w:hAnsi="Times New Roman"/>
          <w:sz w:val="24"/>
          <w:szCs w:val="24"/>
          <w:lang w:val="en-GB-oxendict" w:bidi="ar-SA"/>
        </w:rPr>
        <w:t>, Barnes David KA</w:t>
      </w:r>
      <w:r>
        <w:rPr>
          <w:rFonts w:cs="Times New Roman" w:ascii="Times New Roman" w:hAnsi="Times New Roman"/>
          <w:sz w:val="24"/>
          <w:szCs w:val="24"/>
          <w:vertAlign w:val="superscript"/>
          <w:lang w:val="en-GB-oxendict" w:bidi="ar-SA"/>
        </w:rPr>
        <w:t>4</w:t>
      </w:r>
      <w:r>
        <w:rPr>
          <w:rFonts w:cs="Times New Roman" w:ascii="Times New Roman" w:hAnsi="Times New Roman"/>
          <w:sz w:val="24"/>
          <w:szCs w:val="24"/>
          <w:lang w:val="en-GB-oxendict" w:bidi="ar-SA"/>
        </w:rPr>
        <w:t>, Cardenas Leyla</w:t>
      </w:r>
      <w:r>
        <w:rPr>
          <w:rFonts w:cs="Times New Roman" w:ascii="Times New Roman" w:hAnsi="Times New Roman"/>
          <w:sz w:val="24"/>
          <w:szCs w:val="24"/>
          <w:vertAlign w:val="superscript"/>
          <w:lang w:val="en-GB-oxendict" w:bidi="ar-SA"/>
        </w:rPr>
        <w:t>5</w:t>
      </w:r>
      <w:r>
        <w:rPr>
          <w:rFonts w:cs="Times New Roman" w:ascii="Times New Roman" w:hAnsi="Times New Roman"/>
          <w:sz w:val="24"/>
          <w:szCs w:val="24"/>
          <w:lang w:val="en-GB-oxendict" w:bidi="ar-SA"/>
        </w:rPr>
        <w:t>, Meredith Mike</w:t>
      </w:r>
      <w:r>
        <w:rPr>
          <w:rFonts w:cs="Times New Roman" w:ascii="Times New Roman" w:hAnsi="Times New Roman"/>
          <w:i w:val="false"/>
          <w:iCs w:val="false"/>
          <w:sz w:val="24"/>
          <w:szCs w:val="24"/>
          <w:vertAlign w:val="superscript"/>
          <w:lang w:val="en-GB-oxendict" w:bidi="ar-SA"/>
        </w:rPr>
        <w:t>4</w:t>
      </w:r>
      <w:r>
        <w:rPr>
          <w:rFonts w:cs="Times New Roman" w:ascii="Times New Roman" w:hAnsi="Times New Roman"/>
          <w:sz w:val="24"/>
          <w:szCs w:val="24"/>
          <w:lang w:val="en-GB-oxendict" w:bidi="ar-SA"/>
        </w:rPr>
        <w:t>, Morley Simon A</w:t>
      </w:r>
      <w:r>
        <w:rPr>
          <w:rFonts w:cs="Times New Roman" w:ascii="Times New Roman" w:hAnsi="Times New Roman"/>
          <w:sz w:val="24"/>
          <w:szCs w:val="24"/>
          <w:vertAlign w:val="superscript"/>
          <w:lang w:val="en-GB-oxendict" w:bidi="ar-SA"/>
        </w:rPr>
        <w:t>4</w:t>
      </w:r>
      <w:r>
        <w:rPr>
          <w:rFonts w:cs="Times New Roman" w:ascii="Times New Roman" w:hAnsi="Times New Roman"/>
          <w:sz w:val="24"/>
          <w:szCs w:val="24"/>
          <w:lang w:val="en-GB-oxendict" w:bidi="ar-SA"/>
        </w:rPr>
        <w:t>, Roman-Gonzalez Alejandro</w:t>
      </w:r>
      <w:r>
        <w:rPr>
          <w:rFonts w:cs="Times New Roman" w:ascii="Times New Roman" w:hAnsi="Times New Roman"/>
          <w:sz w:val="24"/>
          <w:szCs w:val="24"/>
          <w:vertAlign w:val="superscript"/>
          <w:lang w:val="en-GB-oxendict" w:bidi="ar-SA"/>
        </w:rPr>
        <w:t>6</w:t>
      </w:r>
      <w:r>
        <w:rPr>
          <w:rFonts w:cs="Times New Roman" w:ascii="Times New Roman" w:hAnsi="Times New Roman"/>
          <w:sz w:val="24"/>
          <w:szCs w:val="24"/>
          <w:lang w:val="en-GB-oxendict" w:bidi="ar-SA"/>
        </w:rPr>
        <w:t>, Sands Chester J</w:t>
      </w:r>
      <w:r>
        <w:rPr>
          <w:rFonts w:cs="Times New Roman" w:ascii="Times New Roman" w:hAnsi="Times New Roman"/>
          <w:sz w:val="24"/>
          <w:szCs w:val="24"/>
          <w:vertAlign w:val="superscript"/>
          <w:lang w:val="en-GB-oxendict" w:bidi="ar-SA"/>
        </w:rPr>
        <w:t>4</w:t>
      </w:r>
      <w:r>
        <w:rPr>
          <w:rFonts w:cs="Times New Roman" w:ascii="Times New Roman" w:hAnsi="Times New Roman"/>
          <w:sz w:val="24"/>
          <w:szCs w:val="24"/>
          <w:lang w:val="en-GB-oxendict" w:bidi="ar-SA"/>
        </w:rPr>
        <w:t>, Scourse James</w:t>
      </w:r>
      <w:r>
        <w:rPr>
          <w:rFonts w:cs="Times New Roman" w:ascii="Times New Roman" w:hAnsi="Times New Roman"/>
          <w:sz w:val="24"/>
          <w:szCs w:val="24"/>
          <w:vertAlign w:val="superscript"/>
          <w:lang w:val="en-GB-oxendict" w:bidi="ar-SA"/>
        </w:rPr>
        <w:t>6</w:t>
      </w:r>
      <w:r>
        <w:rPr>
          <w:rFonts w:cs="Times New Roman" w:ascii="Times New Roman" w:hAnsi="Times New Roman"/>
          <w:sz w:val="24"/>
          <w:szCs w:val="24"/>
          <w:lang w:val="en-GB-oxendict" w:bidi="ar-SA"/>
        </w:rPr>
        <w:t>,   Brante Antonio</w:t>
      </w:r>
      <w:r>
        <w:rPr>
          <w:rFonts w:cs="Times New Roman" w:ascii="Times New Roman" w:hAnsi="Times New Roman"/>
          <w:sz w:val="24"/>
          <w:szCs w:val="24"/>
          <w:vertAlign w:val="superscript"/>
          <w:lang w:val="en-GB-oxendict" w:bidi="ar-SA"/>
        </w:rPr>
        <w:t>2,3</w:t>
      </w:r>
    </w:p>
    <w:p>
      <w:pPr>
        <w:pStyle w:val="Normal"/>
        <w:rPr/>
      </w:pPr>
      <w:r>
        <w:rPr/>
      </w:r>
    </w:p>
    <w:p>
      <w:pPr>
        <w:pStyle w:val="Normal"/>
        <w:rPr/>
      </w:pPr>
      <w:r>
        <w:rPr/>
      </w:r>
    </w:p>
    <w:p>
      <w:pPr>
        <w:pStyle w:val="Normal"/>
        <w:rPr>
          <w:b/>
          <w:b/>
          <w:bCs/>
        </w:rPr>
      </w:pPr>
      <w:r>
        <w:rPr>
          <w:b/>
          <w:bCs/>
        </w:rPr>
        <w:t>Additional methodological details</w:t>
      </w:r>
    </w:p>
    <w:p>
      <w:pPr>
        <w:pStyle w:val="Normal"/>
        <w:rPr/>
      </w:pPr>
      <w:r>
        <w:rPr/>
      </w:r>
    </w:p>
    <w:p>
      <w:pPr>
        <w:pStyle w:val="Normal"/>
        <w:spacing w:before="0" w:after="200"/>
        <w:rPr/>
      </w:pPr>
      <w:r>
        <w:rPr>
          <w:rFonts w:cs="Times New Roman" w:ascii="Times New Roman" w:hAnsi="Times New Roman"/>
          <w:b w:val="false"/>
          <w:i w:val="false"/>
          <w:caps w:val="false"/>
          <w:smallCaps w:val="false"/>
          <w:color w:val="222222"/>
          <w:spacing w:val="0"/>
          <w:sz w:val="24"/>
          <w:szCs w:val="24"/>
        </w:rPr>
        <w:t>Given the different sensitivities of each analysis to missing data, we produced data sets with three levels of coverage. There is a compromise between number of loci and amount of missing data, where more loci are obtained by allowing higher missing data. Some analyses like DAPCA require low levels of missing data, so a data set was generated by filtering out all loci that were not represented in at least 20 individuals at the cost of fewer loci. On the other hand, phylogenetic analyses in RAxML are less restrictive in regards of missing data. In fact, missing data should not be removed according to Huang and Knowles (2016) because it would bias the analyses. Therefore, a large data set was generated for the phylogenetic analysis by keeping all loci that were represented by 4 or more individuals. We also generated a medium-size data set by retaining all loci that were present for at least 20 individuals, which was used for the STRUCTURE analyses and to test asymmetrical migration rates in divMigrate-online. Number of loci obtained under each minimum sample constraint is given in Table S1.</w:t>
      </w:r>
    </w:p>
    <w:p>
      <w:pPr>
        <w:pStyle w:val="Normal"/>
        <w:spacing w:before="0" w:after="200"/>
        <w:rPr/>
      </w:pPr>
      <w:r>
        <w:rPr>
          <w:rFonts w:cs="Times New Roman" w:ascii="Times New Roman" w:hAnsi="Times New Roman"/>
          <w:b w:val="false"/>
          <w:i w:val="false"/>
          <w:caps w:val="false"/>
          <w:smallCaps w:val="false"/>
          <w:color w:val="222222"/>
          <w:spacing w:val="0"/>
          <w:sz w:val="24"/>
          <w:szCs w:val="24"/>
        </w:rPr>
        <w:t xml:space="preserve">BayesAss3-SNPs was first run by using the BA3-SNPS-autotune.py script that comes with the program to fine tune the </w:t>
      </w:r>
      <w:r>
        <w:rPr>
          <w:rFonts w:cs="Times New Roman" w:ascii="Times New Roman" w:hAnsi="Times New Roman"/>
          <w:b w:val="false"/>
          <w:i w:val="false"/>
          <w:caps w:val="false"/>
          <w:smallCaps w:val="false"/>
          <w:color w:val="222222"/>
          <w:spacing w:val="0"/>
          <w:sz w:val="24"/>
          <w:szCs w:val="24"/>
        </w:rPr>
        <w:t>acceptance rates for proposed changes to parameters.</w:t>
      </w:r>
      <w:r>
        <w:rPr>
          <w:rFonts w:cs="Times New Roman" w:ascii="Times New Roman" w:hAnsi="Times New Roman"/>
          <w:b w:val="false"/>
          <w:i w:val="false"/>
          <w:caps w:val="false"/>
          <w:smallCaps w:val="false"/>
          <w:color w:val="222222"/>
          <w:spacing w:val="0"/>
          <w:sz w:val="24"/>
          <w:szCs w:val="24"/>
        </w:rPr>
        <w:t xml:space="preserve"> </w:t>
      </w:r>
      <w:r>
        <w:rPr>
          <w:rFonts w:cs="Times New Roman" w:ascii="Times New Roman" w:hAnsi="Times New Roman"/>
          <w:b w:val="false"/>
          <w:i w:val="false"/>
          <w:caps w:val="false"/>
          <w:smallCaps w:val="false"/>
          <w:color w:val="222222"/>
          <w:spacing w:val="0"/>
          <w:sz w:val="24"/>
          <w:szCs w:val="24"/>
        </w:rPr>
        <w:t>This resuled</w:t>
      </w:r>
      <w:r>
        <w:rPr>
          <w:rFonts w:cs="Times New Roman" w:ascii="Times New Roman" w:hAnsi="Times New Roman"/>
          <w:b w:val="false"/>
          <w:i w:val="false"/>
          <w:caps w:val="false"/>
          <w:smallCaps w:val="false"/>
          <w:color w:val="222222"/>
          <w:spacing w:val="0"/>
          <w:sz w:val="24"/>
          <w:szCs w:val="24"/>
        </w:rPr>
        <w:t xml:space="preserve"> in </w:t>
      </w:r>
      <w:r>
        <w:rPr>
          <w:rFonts w:cs="Times New Roman" w:ascii="Times New Roman" w:hAnsi="Times New Roman"/>
          <w:b w:val="false"/>
          <w:i w:val="false"/>
          <w:caps w:val="false"/>
          <w:smallCaps w:val="false"/>
          <w:color w:val="222222"/>
          <w:spacing w:val="0"/>
          <w:sz w:val="24"/>
          <w:szCs w:val="24"/>
        </w:rPr>
        <w:t xml:space="preserve">the following parameter values: </w:t>
      </w:r>
      <w:r>
        <w:rPr>
          <w:rFonts w:cs="Times New Roman" w:ascii="Times New Roman" w:hAnsi="Times New Roman"/>
          <w:b w:val="false"/>
          <w:i w:val="false"/>
          <w:caps w:val="false"/>
          <w:smallCaps w:val="false"/>
          <w:color w:val="222222"/>
          <w:spacing w:val="0"/>
          <w:sz w:val="24"/>
          <w:szCs w:val="24"/>
        </w:rPr>
        <w:t xml:space="preserve">m= 0.2125 </w:t>
      </w:r>
      <w:r>
        <w:rPr>
          <w:rFonts w:cs="Times New Roman" w:ascii="Times New Roman" w:hAnsi="Times New Roman"/>
          <w:b w:val="false"/>
          <w:i w:val="false"/>
          <w:caps w:val="false"/>
          <w:smallCaps w:val="false"/>
          <w:color w:val="222222"/>
          <w:spacing w:val="0"/>
          <w:sz w:val="24"/>
          <w:szCs w:val="24"/>
        </w:rPr>
        <w:t>(for the allele frequencies)</w:t>
      </w:r>
      <w:r>
        <w:rPr>
          <w:rFonts w:cs="Times New Roman" w:ascii="Times New Roman" w:hAnsi="Times New Roman"/>
          <w:b w:val="false"/>
          <w:i w:val="false"/>
          <w:caps w:val="false"/>
          <w:smallCaps w:val="false"/>
          <w:color w:val="222222"/>
          <w:spacing w:val="0"/>
          <w:sz w:val="24"/>
          <w:szCs w:val="24"/>
        </w:rPr>
        <w:t xml:space="preserve">, a= 0.7750 </w:t>
      </w:r>
      <w:r>
        <w:rPr>
          <w:rFonts w:cs="Times New Roman" w:ascii="Times New Roman" w:hAnsi="Times New Roman"/>
          <w:b w:val="false"/>
          <w:i w:val="false"/>
          <w:caps w:val="false"/>
          <w:smallCaps w:val="false"/>
          <w:color w:val="222222"/>
          <w:spacing w:val="0"/>
          <w:sz w:val="24"/>
          <w:szCs w:val="24"/>
        </w:rPr>
        <w:t xml:space="preserve">(for inbreeding coefficients) </w:t>
      </w:r>
      <w:r>
        <w:rPr>
          <w:rFonts w:cs="Times New Roman" w:ascii="Times New Roman" w:hAnsi="Times New Roman"/>
          <w:b w:val="false"/>
          <w:i w:val="false"/>
          <w:caps w:val="false"/>
          <w:smallCaps w:val="false"/>
          <w:color w:val="222222"/>
          <w:spacing w:val="0"/>
          <w:sz w:val="24"/>
          <w:szCs w:val="24"/>
        </w:rPr>
        <w:t xml:space="preserve">, and f= 0.0375 </w:t>
      </w:r>
      <w:r>
        <w:rPr>
          <w:rFonts w:cs="Times New Roman" w:ascii="Times New Roman" w:hAnsi="Times New Roman"/>
          <w:b w:val="false"/>
          <w:i w:val="false"/>
          <w:caps w:val="false"/>
          <w:smallCaps w:val="false"/>
          <w:color w:val="222222"/>
          <w:spacing w:val="0"/>
          <w:sz w:val="24"/>
          <w:szCs w:val="24"/>
        </w:rPr>
        <w:t>(for migration rates)</w:t>
      </w:r>
      <w:r>
        <w:rPr>
          <w:rFonts w:cs="Times New Roman" w:ascii="Times New Roman" w:hAnsi="Times New Roman"/>
          <w:b w:val="false"/>
          <w:i w:val="false"/>
          <w:caps w:val="false"/>
          <w:smallCaps w:val="false"/>
          <w:color w:val="222222"/>
          <w:spacing w:val="0"/>
          <w:sz w:val="24"/>
          <w:szCs w:val="24"/>
        </w:rPr>
        <w:t xml:space="preserve">. </w:t>
      </w:r>
      <w:r>
        <w:rPr>
          <w:rFonts w:cs="Times New Roman" w:ascii="Times New Roman" w:hAnsi="Times New Roman"/>
          <w:b w:val="false"/>
          <w:i w:val="false"/>
          <w:caps w:val="false"/>
          <w:smallCaps w:val="false"/>
          <w:color w:val="222222"/>
          <w:spacing w:val="0"/>
          <w:sz w:val="24"/>
          <w:szCs w:val="24"/>
        </w:rPr>
        <w:t xml:space="preserve">Accepted rates were </w:t>
      </w:r>
      <w:r>
        <w:rPr>
          <w:rFonts w:cs="Times New Roman" w:ascii="Times New Roman" w:hAnsi="Times New Roman"/>
          <w:b w:val="false"/>
          <w:i w:val="false"/>
          <w:caps w:val="false"/>
          <w:smallCaps w:val="false"/>
          <w:color w:val="222222"/>
          <w:spacing w:val="0"/>
          <w:sz w:val="24"/>
          <w:szCs w:val="24"/>
        </w:rPr>
        <w:t>as follow:</w:t>
      </w:r>
      <w:r>
        <w:rPr>
          <w:rFonts w:cs="Times New Roman" w:ascii="Times New Roman" w:hAnsi="Times New Roman"/>
          <w:b w:val="false"/>
          <w:i w:val="false"/>
          <w:caps w:val="false"/>
          <w:smallCaps w:val="false"/>
          <w:color w:val="222222"/>
          <w:spacing w:val="0"/>
          <w:sz w:val="24"/>
          <w:szCs w:val="24"/>
        </w:rPr>
        <w:t xml:space="preserve"> migration rate</w:t>
      </w:r>
      <w:r>
        <w:rPr>
          <w:rFonts w:cs="Times New Roman" w:ascii="Times New Roman" w:hAnsi="Times New Roman"/>
          <w:b w:val="false"/>
          <w:i w:val="false"/>
          <w:caps w:val="false"/>
          <w:smallCaps w:val="false"/>
          <w:color w:val="222222"/>
          <w:spacing w:val="0"/>
          <w:sz w:val="24"/>
          <w:szCs w:val="24"/>
        </w:rPr>
        <w:t>s</w:t>
      </w:r>
      <w:r>
        <w:rPr>
          <w:rFonts w:cs="Times New Roman" w:ascii="Times New Roman" w:hAnsi="Times New Roman"/>
          <w:b w:val="false"/>
          <w:i w:val="false"/>
          <w:caps w:val="false"/>
          <w:smallCaps w:val="false"/>
          <w:color w:val="222222"/>
          <w:spacing w:val="0"/>
          <w:sz w:val="24"/>
          <w:szCs w:val="24"/>
        </w:rPr>
        <w:t xml:space="preserve">= 0.45, </w:t>
      </w:r>
      <w:r>
        <w:rPr>
          <w:rFonts w:cs="Times New Roman" w:ascii="Times New Roman" w:hAnsi="Times New Roman"/>
          <w:b w:val="false"/>
          <w:i w:val="false"/>
          <w:caps w:val="false"/>
          <w:smallCaps w:val="false"/>
          <w:color w:val="222222"/>
          <w:spacing w:val="0"/>
          <w:sz w:val="24"/>
          <w:szCs w:val="24"/>
        </w:rPr>
        <w:t xml:space="preserve">individual migrant ancestries= </w:t>
      </w:r>
      <w:r>
        <w:rPr>
          <w:rFonts w:cs="Times New Roman" w:ascii="Times New Roman" w:hAnsi="Times New Roman"/>
          <w:b w:val="false"/>
          <w:i w:val="false"/>
          <w:caps w:val="false"/>
          <w:smallCaps w:val="false"/>
          <w:color w:val="222222"/>
          <w:spacing w:val="0"/>
          <w:sz w:val="24"/>
          <w:szCs w:val="24"/>
        </w:rPr>
        <w:t xml:space="preserve">0.00, </w:t>
      </w:r>
      <w:r>
        <w:rPr>
          <w:rFonts w:cs="Times New Roman" w:ascii="Times New Roman" w:hAnsi="Times New Roman"/>
          <w:b w:val="false"/>
          <w:i w:val="false"/>
          <w:caps w:val="false"/>
          <w:smallCaps w:val="false"/>
          <w:color w:val="222222"/>
          <w:spacing w:val="0"/>
          <w:sz w:val="24"/>
          <w:szCs w:val="24"/>
        </w:rPr>
        <w:t xml:space="preserve">allele frequencies= </w:t>
      </w:r>
      <w:r>
        <w:rPr>
          <w:rFonts w:cs="Times New Roman" w:ascii="Times New Roman" w:hAnsi="Times New Roman"/>
          <w:b w:val="false"/>
          <w:i w:val="false"/>
          <w:caps w:val="false"/>
          <w:smallCaps w:val="false"/>
          <w:color w:val="222222"/>
          <w:spacing w:val="0"/>
          <w:sz w:val="24"/>
          <w:szCs w:val="24"/>
        </w:rPr>
        <w:t xml:space="preserve">0.44, </w:t>
      </w:r>
      <w:r>
        <w:rPr>
          <w:rFonts w:cs="Times New Roman" w:ascii="Times New Roman" w:hAnsi="Times New Roman"/>
          <w:b w:val="false"/>
          <w:i w:val="false"/>
          <w:caps w:val="false"/>
          <w:smallCaps w:val="false"/>
          <w:color w:val="222222"/>
          <w:spacing w:val="0"/>
          <w:sz w:val="24"/>
          <w:szCs w:val="24"/>
        </w:rPr>
        <w:t>inbreeding coefficient=</w:t>
      </w:r>
      <w:r>
        <w:rPr>
          <w:rFonts w:cs="Times New Roman" w:ascii="Times New Roman" w:hAnsi="Times New Roman"/>
          <w:b w:val="false"/>
          <w:i w:val="false"/>
          <w:caps w:val="false"/>
          <w:smallCaps w:val="false"/>
          <w:color w:val="222222"/>
          <w:spacing w:val="0"/>
          <w:sz w:val="24"/>
          <w:szCs w:val="24"/>
        </w:rPr>
        <w:t xml:space="preserve"> 0.36, </w:t>
      </w:r>
      <w:r>
        <w:rPr>
          <w:rFonts w:cs="Times New Roman" w:ascii="Times New Roman" w:hAnsi="Times New Roman"/>
          <w:b w:val="false"/>
          <w:i w:val="false"/>
          <w:caps w:val="false"/>
          <w:smallCaps w:val="false"/>
          <w:color w:val="222222"/>
          <w:spacing w:val="0"/>
          <w:sz w:val="24"/>
          <w:szCs w:val="24"/>
        </w:rPr>
        <w:t xml:space="preserve">and missing genotypes= </w:t>
      </w:r>
      <w:r>
        <w:rPr>
          <w:rFonts w:cs="Times New Roman" w:ascii="Times New Roman" w:hAnsi="Times New Roman"/>
          <w:b w:val="false"/>
          <w:i w:val="false"/>
          <w:caps w:val="false"/>
          <w:smallCaps w:val="false"/>
          <w:color w:val="222222"/>
          <w:spacing w:val="0"/>
          <w:sz w:val="24"/>
          <w:szCs w:val="24"/>
        </w:rPr>
        <w:t xml:space="preserve">0.82. </w:t>
      </w:r>
      <w:r>
        <w:rPr>
          <w:rFonts w:cs="Times New Roman" w:ascii="Times New Roman" w:hAnsi="Times New Roman"/>
          <w:b w:val="false"/>
          <w:i w:val="false"/>
          <w:caps w:val="false"/>
          <w:smallCaps w:val="false"/>
          <w:color w:val="222222"/>
          <w:spacing w:val="0"/>
          <w:sz w:val="24"/>
          <w:szCs w:val="24"/>
        </w:rPr>
        <w:t xml:space="preserve">Acceptance rates are recommended to be between 20 and 60 %. Based on these results, it was not possible to get all the acceptance values between recommended range, with </w:t>
      </w:r>
      <w:r>
        <w:rPr>
          <w:rFonts w:cs="Times New Roman" w:ascii="Times New Roman" w:hAnsi="Times New Roman"/>
          <w:b w:val="false"/>
          <w:i w:val="false"/>
          <w:caps w:val="false"/>
          <w:smallCaps w:val="false"/>
          <w:color w:val="222222"/>
          <w:spacing w:val="0"/>
          <w:sz w:val="24"/>
          <w:szCs w:val="24"/>
        </w:rPr>
        <w:t>the</w:t>
      </w:r>
      <w:r>
        <w:rPr>
          <w:rFonts w:cs="Times New Roman" w:ascii="Times New Roman" w:hAnsi="Times New Roman"/>
          <w:b w:val="false"/>
          <w:i w:val="false"/>
          <w:caps w:val="false"/>
          <w:smallCaps w:val="false"/>
          <w:color w:val="222222"/>
          <w:spacing w:val="0"/>
          <w:sz w:val="24"/>
          <w:szCs w:val="24"/>
        </w:rPr>
        <w:t xml:space="preserve"> individual migrant ancestries </w:t>
      </w:r>
      <w:r>
        <w:rPr>
          <w:rFonts w:cs="Times New Roman" w:ascii="Times New Roman" w:hAnsi="Times New Roman"/>
          <w:b w:val="false"/>
          <w:i w:val="false"/>
          <w:caps w:val="false"/>
          <w:smallCaps w:val="false"/>
          <w:color w:val="222222"/>
          <w:spacing w:val="0"/>
          <w:sz w:val="24"/>
          <w:szCs w:val="24"/>
        </w:rPr>
        <w:t>value</w:t>
      </w:r>
      <w:r>
        <w:rPr>
          <w:rFonts w:cs="Times New Roman" w:ascii="Times New Roman" w:hAnsi="Times New Roman"/>
          <w:b w:val="false"/>
          <w:i w:val="false"/>
          <w:caps w:val="false"/>
          <w:smallCaps w:val="false"/>
          <w:color w:val="222222"/>
          <w:spacing w:val="0"/>
          <w:sz w:val="24"/>
          <w:szCs w:val="24"/>
        </w:rPr>
        <w:t xml:space="preserve"> and </w:t>
      </w:r>
      <w:r>
        <w:rPr>
          <w:rFonts w:cs="Times New Roman" w:ascii="Times New Roman" w:hAnsi="Times New Roman"/>
          <w:b w:val="false"/>
          <w:i w:val="false"/>
          <w:caps w:val="false"/>
          <w:smallCaps w:val="false"/>
          <w:color w:val="222222"/>
          <w:spacing w:val="0"/>
          <w:sz w:val="24"/>
          <w:szCs w:val="24"/>
        </w:rPr>
        <w:t xml:space="preserve">the </w:t>
      </w:r>
      <w:r>
        <w:rPr>
          <w:rFonts w:cs="Times New Roman" w:ascii="Times New Roman" w:hAnsi="Times New Roman"/>
          <w:b w:val="false"/>
          <w:i w:val="false"/>
          <w:caps w:val="false"/>
          <w:smallCaps w:val="false"/>
          <w:color w:val="222222"/>
          <w:spacing w:val="0"/>
          <w:sz w:val="24"/>
          <w:szCs w:val="24"/>
        </w:rPr>
        <w:t xml:space="preserve">missing genotypes </w:t>
      </w:r>
      <w:r>
        <w:rPr>
          <w:rFonts w:cs="Times New Roman" w:ascii="Times New Roman" w:hAnsi="Times New Roman"/>
          <w:b w:val="false"/>
          <w:i w:val="false"/>
          <w:caps w:val="false"/>
          <w:smallCaps w:val="false"/>
          <w:color w:val="222222"/>
          <w:spacing w:val="0"/>
          <w:sz w:val="24"/>
          <w:szCs w:val="24"/>
        </w:rPr>
        <w:t xml:space="preserve">value </w:t>
      </w:r>
      <w:r>
        <w:rPr>
          <w:rFonts w:cs="Times New Roman" w:ascii="Times New Roman" w:hAnsi="Times New Roman"/>
          <w:b w:val="false"/>
          <w:i w:val="false"/>
          <w:caps w:val="false"/>
          <w:smallCaps w:val="false"/>
          <w:color w:val="222222"/>
          <w:spacing w:val="0"/>
          <w:sz w:val="24"/>
          <w:szCs w:val="24"/>
        </w:rPr>
        <w:t>resulting out of range.</w:t>
      </w:r>
    </w:p>
    <w:p>
      <w:pPr>
        <w:pStyle w:val="Normal"/>
        <w:spacing w:before="0" w:after="200"/>
        <w:rPr/>
      </w:pPr>
      <w:r>
        <w:rPr>
          <w:rFonts w:cs="Times New Roman" w:ascii="Times New Roman" w:hAnsi="Times New Roman"/>
          <w:b w:val="false"/>
          <w:i w:val="false"/>
          <w:caps w:val="false"/>
          <w:smallCaps w:val="false"/>
          <w:color w:val="222222"/>
          <w:spacing w:val="0"/>
          <w:sz w:val="24"/>
          <w:szCs w:val="24"/>
        </w:rPr>
        <w:t xml:space="preserve"> </w:t>
      </w:r>
    </w:p>
    <w:p>
      <w:pPr>
        <w:pStyle w:val="Normal"/>
        <w:spacing w:before="0" w:after="200"/>
        <w:rPr/>
      </w:pPr>
      <w:r>
        <w:rPr>
          <w:rFonts w:cs="Times New Roman" w:ascii="Times New Roman" w:hAnsi="Times New Roman"/>
          <w:b w:val="false"/>
          <w:i w:val="false"/>
          <w:caps w:val="false"/>
          <w:smallCaps w:val="false"/>
          <w:color w:val="222222"/>
          <w:spacing w:val="0"/>
          <w:sz w:val="24"/>
          <w:szCs w:val="24"/>
        </w:rPr>
        <w:t xml:space="preserve">All data </w:t>
      </w:r>
      <w:r>
        <w:rPr>
          <w:rFonts w:cs="Times New Roman" w:ascii="Times New Roman" w:hAnsi="Times New Roman"/>
          <w:b w:val="false"/>
          <w:i w:val="false"/>
          <w:caps w:val="false"/>
          <w:smallCaps w:val="false"/>
          <w:color w:val="222222"/>
          <w:spacing w:val="0"/>
          <w:sz w:val="24"/>
          <w:szCs w:val="24"/>
        </w:rPr>
        <w:t xml:space="preserve">for analyses </w:t>
      </w:r>
      <w:r>
        <w:rPr>
          <w:rFonts w:cs="Times New Roman" w:ascii="Times New Roman" w:hAnsi="Times New Roman"/>
          <w:b w:val="false"/>
          <w:i w:val="false"/>
          <w:caps w:val="false"/>
          <w:smallCaps w:val="false"/>
          <w:color w:val="222222"/>
          <w:spacing w:val="0"/>
          <w:sz w:val="24"/>
          <w:szCs w:val="24"/>
        </w:rPr>
        <w:t xml:space="preserve">can be downloaded from: </w:t>
      </w:r>
      <w:r>
        <w:rPr>
          <w:rFonts w:cs="Times New Roman" w:ascii="Times New Roman" w:hAnsi="Times New Roman"/>
          <w:b w:val="false"/>
          <w:i w:val="false"/>
          <w:caps w:val="false"/>
          <w:smallCaps w:val="false"/>
          <w:color w:val="222222"/>
          <w:spacing w:val="0"/>
          <w:sz w:val="24"/>
          <w:szCs w:val="24"/>
        </w:rPr>
        <w:t>https://datadryad.org/stash/share/u30ZZTnVWdldwbDBChsJ1zuni0TVuwRFPVwcv_bQwO8</w:t>
      </w:r>
    </w:p>
    <w:p>
      <w:pPr>
        <w:pStyle w:val="Normal"/>
        <w:spacing w:before="0" w:after="200"/>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t>A description of each file is given below:</w:t>
      </w:r>
    </w:p>
    <w:p>
      <w:pPr>
        <w:pStyle w:val="TextBody"/>
        <w:spacing w:before="0" w:after="200"/>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t>"Yoldias_COI_popart.nex" contains mitochondrial DNA COI sequences used to build an haplotype network in POPART (Leigh and Bryant 2015)</w:t>
      </w:r>
    </w:p>
    <w:p>
      <w:pPr>
        <w:pStyle w:val="TextBody"/>
        <w:widowControl/>
        <w:spacing w:lineRule="auto" w:line="240"/>
        <w:ind w:left="0" w:right="0" w:hanging="0"/>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"Input2_NextRad_All.phy" is a concatenated data set using full-lenght reads, that includes not only the SNPs, but also the invariable sites. </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All loci containing data for at least 4 individuals were included in this data set. </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This </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file</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 was used to estimate a ML tree with RAxML v.8.1.16 (Stamatakis 2014)</w:t>
      </w:r>
    </w:p>
    <w:p>
      <w:pPr>
        <w:pStyle w:val="TextBody"/>
        <w:widowControl/>
        <w:spacing w:lineRule="auto" w:line="240"/>
        <w:ind w:left="0" w:right="0" w:hanging="0"/>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"Input3_NextRad_All.stru" is a Structure file created with the complete data set (41 individuals) and a minimum of 10 individuals with data for the locus to be called to the alignment </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which yielded nearly 8000 SNPs.</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 </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This file was</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 xml:space="preserve"> used to estimate population subdivision with the program STRUCTURE (Pritchard et al. 2000) </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and Fst values between populations (Table 2 in the main text)</w:t>
      </w: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w:t>
      </w:r>
    </w:p>
    <w:p>
      <w:pPr>
        <w:pStyle w:val="TextBody"/>
        <w:widowControl/>
        <w:spacing w:lineRule="auto" w:line="240"/>
        <w:ind w:left="0" w:right="0" w:hanging="0"/>
        <w:rPr>
          <w:rFonts w:ascii="Times New Roman" w:hAnsi="Times New Roman" w:eastAsia="Noto Sans CJK SC" w:cs="Times New Roman"/>
          <w:b w:val="false"/>
          <w:b w:val="false"/>
          <w:i w:val="false"/>
          <w:i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"Input4_NextRad_mag.stru" is a subset of individuals used to run STRUCTURE analysis on samples from South America only. It used a minimum of 7 individuals for a locus to be included in the data set.</w:t>
      </w:r>
    </w:p>
    <w:p>
      <w:pPr>
        <w:pStyle w:val="TextBody"/>
        <w:widowControl/>
        <w:spacing w:lineRule="auto" w:line="240"/>
        <w:ind w:left="0" w:right="0" w:hanging="0"/>
        <w:rPr>
          <w:rFonts w:ascii="Times New Roman" w:hAnsi="Times New Roman" w:eastAsia="Noto Sans CJK SC" w:cs="Times New Roman"/>
          <w:b w:val="false"/>
          <w:b w:val="false"/>
          <w:i w:val="false"/>
          <w:i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File "Input5_NextRad_antarctica.stru" is a subset from "branch_41_samples_yoldia_min10.u.stru" used to run STRUCTURE analysis on samples from Antarctica only. It used a minimum of 7 individuals for a locus to be included in the data set.</w:t>
      </w:r>
    </w:p>
    <w:p>
      <w:pPr>
        <w:pStyle w:val="TextBody"/>
        <w:widowControl/>
        <w:spacing w:lineRule="auto" w:line="240"/>
        <w:ind w:left="0" w:right="0" w:hanging="0"/>
        <w:rPr>
          <w:rFonts w:ascii="Times New Roman" w:hAnsi="Times New Roman" w:eastAsia="Noto Sans CJK SC" w:cs="Times New Roman"/>
          <w:b w:val="false"/>
          <w:b w:val="false"/>
          <w:i w:val="false"/>
          <w:i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File "Input6_NextRad_All_genepop" is a genepop file created from file "Input3_NextRad_All.stru" and used to estimate asymmetrical gene flow among populations with the program divMigrate-Online (Sundqvist et al. 2016).</w:t>
      </w:r>
    </w:p>
    <w:p>
      <w:pPr>
        <w:pStyle w:val="Normal"/>
        <w:spacing w:lineRule="auto" w:line="240" w:before="0" w:after="200"/>
        <w:rPr>
          <w:rFonts w:ascii="Times New Roman" w:hAnsi="Times New Roman" w:eastAsia="Noto Sans CJK SC" w:cs="Times New Roman"/>
          <w:b w:val="false"/>
          <w:b w:val="false"/>
          <w:i w:val="false"/>
          <w:i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File "Input7_NextRad_All_DAPC.stru" is a .stru (STRUCTURE) input file that can be transformed using R in a genlight object to perform the discriminant analysis of principal components. This file contains 811 SNPs and was generated by filtering out all loci represented by less than 20 individuals.</w:t>
      </w:r>
    </w:p>
    <w:p>
      <w:pPr>
        <w:pStyle w:val="Normal"/>
        <w:spacing w:lineRule="auto" w:line="240" w:before="0" w:after="200"/>
        <w:rPr>
          <w:rFonts w:ascii="Times New Roman" w:hAnsi="Times New Roman" w:eastAsia="Noto Sans CJK SC" w:cs="Times New Roman"/>
          <w:b w:val="false"/>
          <w:b w:val="false"/>
          <w:i w:val="false"/>
          <w:i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caps w:val="false"/>
          <w:smallCaps w:val="false"/>
          <w:color w:val="222222"/>
          <w:spacing w:val="0"/>
          <w:kern w:val="2"/>
          <w:sz w:val="24"/>
          <w:szCs w:val="24"/>
          <w:lang w:val="en-US" w:eastAsia="zh-CN" w:bidi="hi-IN"/>
        </w:rPr>
        <w:t>File "populations_yoldias.txt" is a file containing population assignments to be used in DAPC analyses.</w:t>
      </w:r>
    </w:p>
    <w:p>
      <w:pPr>
        <w:pStyle w:val="Normal"/>
        <w:rPr>
          <w:rFonts w:ascii="Times New Roman" w:hAnsi="Times New Roman" w:cs="Times New Roman"/>
          <w:b w:val="false"/>
          <w:b w:val="false"/>
          <w:i/>
          <w:i/>
          <w:iCs/>
          <w:caps w:val="false"/>
          <w:smallCaps w:val="false"/>
          <w:color w:val="222222"/>
          <w:spacing w:val="0"/>
          <w:sz w:val="24"/>
          <w:szCs w:val="24"/>
        </w:rPr>
      </w:pPr>
      <w:r>
        <w:rPr>
          <w:rFonts w:cs="Times New Roman" w:ascii="Times New Roman" w:hAnsi="Times New Roman"/>
          <w:b w:val="false"/>
          <w:i/>
          <w:iCs/>
          <w:caps w:val="false"/>
          <w:smallCaps w:val="false"/>
          <w:color w:val="222222"/>
          <w:spacing w:val="0"/>
          <w:sz w:val="24"/>
          <w:szCs w:val="24"/>
        </w:rPr>
      </w:r>
    </w:p>
    <w:p>
      <w:pPr>
        <w:pStyle w:val="Normal"/>
        <w:rPr/>
      </w:pPr>
      <w:r>
        <w:rPr>
          <w:rFonts w:cs="Times New Roman" w:ascii="Times New Roman" w:hAnsi="Times New Roman"/>
          <w:b w:val="false"/>
          <w:i w:val="false"/>
          <w:caps w:val="false"/>
          <w:smallCaps w:val="false"/>
          <w:color w:val="222222"/>
          <w:spacing w:val="0"/>
          <w:sz w:val="24"/>
          <w:szCs w:val="24"/>
        </w:rPr>
        <w:t xml:space="preserve">To run divMigrate-online it requires a genepop input file which was obtained by converting the structure file (.stru) from the STRUCTURE analysis. Firstly, the structure file is loaded into R using the command </w:t>
      </w:r>
      <w:r>
        <w:rPr>
          <w:rFonts w:cs="Times New Roman" w:ascii="Times New Roman" w:hAnsi="Times New Roman"/>
          <w:b w:val="false"/>
          <w:i/>
          <w:iCs/>
          <w:caps w:val="false"/>
          <w:smallCaps w:val="false"/>
          <w:color w:val="222222"/>
          <w:spacing w:val="0"/>
          <w:sz w:val="24"/>
          <w:szCs w:val="24"/>
        </w:rPr>
        <w:t>read.structure()</w:t>
      </w:r>
      <w:r>
        <w:rPr>
          <w:rFonts w:cs="Times New Roman" w:ascii="Times New Roman" w:hAnsi="Times New Roman"/>
          <w:b w:val="false"/>
          <w:i w:val="false"/>
          <w:caps w:val="false"/>
          <w:smallCaps w:val="false"/>
          <w:color w:val="222222"/>
          <w:spacing w:val="0"/>
          <w:sz w:val="24"/>
          <w:szCs w:val="24"/>
        </w:rPr>
        <w:t xml:space="preserve"> from the Adegenet package. To write out the genepop file, the function </w:t>
      </w:r>
      <w:r>
        <w:rPr>
          <w:rFonts w:cs="Times New Roman" w:ascii="Times New Roman" w:hAnsi="Times New Roman"/>
          <w:b w:val="false"/>
          <w:i/>
          <w:iCs/>
          <w:caps w:val="false"/>
          <w:smallCaps w:val="false"/>
          <w:color w:val="222222"/>
          <w:spacing w:val="0"/>
          <w:sz w:val="24"/>
          <w:szCs w:val="24"/>
        </w:rPr>
        <w:t>writeGenPop()</w:t>
      </w:r>
      <w:r>
        <w:rPr>
          <w:rFonts w:cs="Times New Roman" w:ascii="Times New Roman" w:hAnsi="Times New Roman"/>
          <w:b w:val="false"/>
          <w:i w:val="false"/>
          <w:caps w:val="false"/>
          <w:smallCaps w:val="false"/>
          <w:color w:val="222222"/>
          <w:spacing w:val="0"/>
          <w:sz w:val="24"/>
          <w:szCs w:val="24"/>
        </w:rPr>
        <w:t xml:space="preserve"> from the zvau package was used (</w:t>
      </w:r>
      <w:r>
        <w:rPr>
          <w:rFonts w:cs="Times New Roman" w:ascii="Times New Roman" w:hAnsi="Times New Roman"/>
          <w:b w:val="false"/>
          <w:i w:val="false"/>
          <w:caps w:val="false"/>
          <w:smallCaps w:val="false"/>
          <w:color w:val="222222"/>
          <w:spacing w:val="0"/>
          <w:sz w:val="20"/>
          <w:szCs w:val="20"/>
        </w:rPr>
        <w:t>https://rdrr.io/github/romunov/zvau/man/zvau-package.html</w:t>
      </w:r>
      <w:r>
        <w:rPr>
          <w:rFonts w:cs="Times New Roman" w:ascii="Times New Roman" w:hAnsi="Times New Roman"/>
          <w:b w:val="false"/>
          <w:i w:val="false"/>
          <w:caps w:val="false"/>
          <w:smallCaps w:val="false"/>
          <w:color w:val="222222"/>
          <w:spacing w:val="0"/>
          <w:sz w:val="24"/>
          <w:szCs w:val="24"/>
        </w:rPr>
        <w:t xml:space="preserve">). </w:t>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iCs w:val="false"/>
          <w:caps w:val="false"/>
          <w:smallCaps w:val="false"/>
          <w:color w:val="222222"/>
          <w:spacing w:val="0"/>
          <w:sz w:val="24"/>
          <w:szCs w:val="24"/>
        </w:rPr>
      </w:pPr>
      <w:r>
        <w:rPr>
          <w:rFonts w:cs="Times New Roman" w:ascii="Times New Roman" w:hAnsi="Times New Roman"/>
          <w:b w:val="false"/>
          <w:i w:val="false"/>
          <w:iCs w:val="false"/>
          <w:caps w:val="false"/>
          <w:smallCaps w:val="false"/>
          <w:color w:val="222222"/>
          <w:spacing w:val="0"/>
          <w:sz w:val="24"/>
          <w:szCs w:val="24"/>
        </w:rPr>
      </w:r>
    </w:p>
    <w:p>
      <w:pPr>
        <w:pStyle w:val="Normal"/>
        <w:rPr>
          <w:rFonts w:ascii="Times New Roman" w:hAnsi="Times New Roman" w:eastAsia="Noto Sans CJK SC" w:cs="Times New Roman"/>
          <w:b w:val="false"/>
          <w:b w:val="false"/>
          <w:i w:val="false"/>
          <w:i w:val="false"/>
          <w:iCs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iCs w:val="false"/>
          <w:caps w:val="false"/>
          <w:smallCaps w:val="false"/>
          <w:color w:val="222222"/>
          <w:spacing w:val="0"/>
          <w:kern w:val="2"/>
          <w:sz w:val="24"/>
          <w:szCs w:val="24"/>
          <w:lang w:val="en-US" w:eastAsia="zh-CN" w:bidi="hi-IN"/>
        </w:rPr>
      </w:r>
    </w:p>
    <w:p>
      <w:pPr>
        <w:pStyle w:val="Normal"/>
        <w:rPr>
          <w:rFonts w:ascii="Times New Roman" w:hAnsi="Times New Roman" w:eastAsia="Noto Sans CJK SC" w:cs="Times New Roman"/>
          <w:b w:val="false"/>
          <w:b w:val="false"/>
          <w:i w:val="false"/>
          <w:i w:val="false"/>
          <w:iCs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iCs w:val="false"/>
          <w:caps w:val="false"/>
          <w:smallCaps w:val="false"/>
          <w:color w:val="222222"/>
          <w:spacing w:val="0"/>
          <w:kern w:val="2"/>
          <w:sz w:val="24"/>
          <w:szCs w:val="24"/>
          <w:lang w:val="en-US" w:eastAsia="zh-CN" w:bidi="hi-IN"/>
        </w:rPr>
      </w:r>
    </w:p>
    <w:p>
      <w:pPr>
        <w:pStyle w:val="Normal"/>
        <w:rPr>
          <w:rFonts w:ascii="Times New Roman" w:hAnsi="Times New Roman" w:eastAsia="Noto Sans CJK SC" w:cs="Times New Roman"/>
          <w:b w:val="false"/>
          <w:b w:val="false"/>
          <w:i w:val="false"/>
          <w:i w:val="false"/>
          <w:iCs w:val="false"/>
          <w:caps w:val="false"/>
          <w:smallCaps w:val="false"/>
          <w:color w:val="222222"/>
          <w:spacing w:val="0"/>
          <w:kern w:val="2"/>
          <w:sz w:val="24"/>
          <w:szCs w:val="24"/>
          <w:lang w:val="en-US" w:eastAsia="zh-CN" w:bidi="hi-IN"/>
        </w:rPr>
      </w:pPr>
      <w:r>
        <w:rPr>
          <w:rFonts w:eastAsia="Noto Sans CJK SC" w:cs="Times New Roman" w:ascii="Times New Roman" w:hAnsi="Times New Roman"/>
          <w:b/>
          <w:bCs/>
          <w:i w:val="false"/>
          <w:iCs w:val="false"/>
          <w:caps w:val="false"/>
          <w:smallCaps w:val="false"/>
          <w:color w:val="222222"/>
          <w:spacing w:val="0"/>
          <w:kern w:val="2"/>
          <w:sz w:val="24"/>
          <w:szCs w:val="24"/>
          <w:lang w:val="en-US" w:eastAsia="zh-CN" w:bidi="hi-IN"/>
        </w:rPr>
        <w:t>References</w:t>
      </w:r>
    </w:p>
    <w:p>
      <w:pPr>
        <w:pStyle w:val="Normal"/>
        <w:spacing w:lineRule="auto" w:line="276"/>
        <w:rPr>
          <w:rFonts w:ascii="Times New Roman" w:hAnsi="Times New Roman" w:eastAsia="Noto Sans CJK SC" w:cs="Times New Roman"/>
          <w:b w:val="false"/>
          <w:b w:val="false"/>
          <w:i w:val="false"/>
          <w:i w:val="false"/>
          <w:iCs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iCs w:val="false"/>
          <w:caps w:val="false"/>
          <w:smallCaps w:val="false"/>
          <w:color w:val="222222"/>
          <w:spacing w:val="0"/>
          <w:kern w:val="2"/>
          <w:sz w:val="24"/>
          <w:szCs w:val="24"/>
          <w:lang w:val="en-US" w:eastAsia="zh-CN" w:bidi="hi-IN"/>
        </w:rPr>
      </w:r>
    </w:p>
    <w:p>
      <w:pPr>
        <w:pStyle w:val="Normal"/>
        <w:spacing w:lineRule="auto" w:line="276"/>
        <w:rPr>
          <w:rFonts w:ascii="Times New Roman" w:hAnsi="Times New Roman" w:eastAsia="Noto Sans CJK SC" w:cs="Times New Roman"/>
          <w:b w:val="false"/>
          <w:b w:val="false"/>
          <w:i w:val="false"/>
          <w:i w:val="false"/>
          <w:iCs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iCs w:val="false"/>
          <w:caps w:val="false"/>
          <w:smallCaps w:val="false"/>
          <w:color w:val="222222"/>
          <w:spacing w:val="0"/>
          <w:kern w:val="2"/>
          <w:sz w:val="24"/>
          <w:szCs w:val="24"/>
          <w:lang w:val="en-US" w:eastAsia="zh-CN" w:bidi="hi-IN"/>
        </w:rPr>
        <w:t xml:space="preserve">Huang H, Knowles LL. 2016 Unforeseen consequences of excluding missing data from next-generation sequences: Simulation study of rad sequences. </w:t>
      </w:r>
      <w:r>
        <w:rPr>
          <w:rFonts w:eastAsia="Noto Sans CJK SC" w:cs="Times New Roman" w:ascii="Times New Roman" w:hAnsi="Times New Roman"/>
          <w:b w:val="false"/>
          <w:i w:val="false"/>
          <w:iCs/>
          <w:caps w:val="false"/>
          <w:smallCaps w:val="false"/>
          <w:color w:val="222222"/>
          <w:spacing w:val="0"/>
          <w:kern w:val="2"/>
          <w:sz w:val="24"/>
          <w:szCs w:val="24"/>
          <w:lang w:val="en-US" w:eastAsia="zh-CN" w:bidi="hi-IN"/>
        </w:rPr>
        <w:t xml:space="preserve">Syst. Biol. </w:t>
      </w:r>
      <w:r>
        <w:rPr>
          <w:rFonts w:eastAsia="Noto Sans CJK SC" w:cs="Times New Roman" w:ascii="Times New Roman" w:hAnsi="Times New Roman"/>
          <w:b w:val="false"/>
          <w:bCs/>
          <w:i w:val="false"/>
          <w:iCs w:val="false"/>
          <w:caps w:val="false"/>
          <w:smallCaps w:val="false"/>
          <w:color w:val="222222"/>
          <w:spacing w:val="0"/>
          <w:kern w:val="2"/>
          <w:sz w:val="24"/>
          <w:szCs w:val="24"/>
          <w:lang w:val="en-US" w:eastAsia="zh-CN" w:bidi="hi-IN"/>
        </w:rPr>
        <w:t>65</w:t>
      </w:r>
      <w:r>
        <w:rPr>
          <w:rFonts w:eastAsia="Noto Sans CJK SC" w:cs="Times New Roman" w:ascii="Times New Roman" w:hAnsi="Times New Roman"/>
          <w:b w:val="false"/>
          <w:i w:val="false"/>
          <w:iCs w:val="false"/>
          <w:caps w:val="false"/>
          <w:smallCaps w:val="false"/>
          <w:color w:val="222222"/>
          <w:spacing w:val="0"/>
          <w:kern w:val="2"/>
          <w:sz w:val="24"/>
          <w:szCs w:val="24"/>
          <w:lang w:val="en-US" w:eastAsia="zh-CN" w:bidi="hi-IN"/>
        </w:rPr>
        <w:t>, 357–365. (doi:10.1093/sysbio/syu046)</w:t>
      </w:r>
    </w:p>
    <w:p>
      <w:pPr>
        <w:pStyle w:val="Normal"/>
        <w:rPr>
          <w:rFonts w:ascii="Times New Roman" w:hAnsi="Times New Roman" w:eastAsia="Noto Sans CJK SC" w:cs="Times New Roman"/>
          <w:b w:val="false"/>
          <w:b w:val="false"/>
          <w:i w:val="false"/>
          <w:i w:val="false"/>
          <w:iCs w:val="false"/>
          <w:caps w:val="false"/>
          <w:smallCaps w:val="false"/>
          <w:color w:val="222222"/>
          <w:spacing w:val="0"/>
          <w:kern w:val="2"/>
          <w:sz w:val="24"/>
          <w:szCs w:val="24"/>
          <w:lang w:val="en-US" w:eastAsia="zh-CN" w:bidi="hi-IN"/>
        </w:rPr>
      </w:pPr>
      <w:r>
        <w:rPr>
          <w:rFonts w:eastAsia="Noto Sans CJK SC" w:cs="Times New Roman" w:ascii="Times New Roman" w:hAnsi="Times New Roman"/>
          <w:b w:val="false"/>
          <w:i w:val="false"/>
          <w:iCs w:val="false"/>
          <w:caps w:val="false"/>
          <w:smallCaps w:val="false"/>
          <w:color w:val="222222"/>
          <w:spacing w:val="0"/>
          <w:kern w:val="2"/>
          <w:sz w:val="24"/>
          <w:szCs w:val="24"/>
          <w:lang w:val="en-US" w:eastAsia="zh-CN" w:bidi="hi-IN"/>
        </w:rPr>
      </w:r>
    </w:p>
    <w:p>
      <w:pPr>
        <w:pStyle w:val="Normal"/>
        <w:rPr>
          <w:rFonts w:ascii="Times New Roman" w:hAnsi="Times New Roman" w:cs="Times New Roman"/>
          <w:b w:val="false"/>
          <w:b w:val="false"/>
          <w:i w:val="false"/>
          <w:i w:val="false"/>
          <w:iCs w:val="false"/>
          <w:caps w:val="false"/>
          <w:smallCaps w:val="false"/>
          <w:color w:val="222222"/>
          <w:spacing w:val="0"/>
          <w:sz w:val="24"/>
          <w:szCs w:val="24"/>
        </w:rPr>
      </w:pPr>
      <w:r>
        <w:rPr>
          <w:rFonts w:cs="Times New Roman" w:ascii="Times New Roman" w:hAnsi="Times New Roman"/>
          <w:b w:val="false"/>
          <w:i w:val="false"/>
          <w:iCs w:val="false"/>
          <w:caps w:val="false"/>
          <w:smallCaps w:val="false"/>
          <w:color w:val="222222"/>
          <w:spacing w:val="0"/>
          <w:sz w:val="24"/>
          <w:szCs w:val="24"/>
        </w:rPr>
      </w:r>
    </w:p>
    <w:p>
      <w:pPr>
        <w:pStyle w:val="Normal"/>
        <w:rPr>
          <w:rFonts w:ascii="Times New Roman" w:hAnsi="Times New Roman" w:cs="Times New Roman"/>
          <w:b w:val="false"/>
          <w:b w:val="false"/>
          <w:i w:val="false"/>
          <w:i w:val="false"/>
          <w:iCs w:val="false"/>
          <w:caps w:val="false"/>
          <w:smallCaps w:val="false"/>
          <w:color w:val="222222"/>
          <w:spacing w:val="0"/>
          <w:sz w:val="24"/>
          <w:szCs w:val="24"/>
        </w:rPr>
      </w:pPr>
      <w:r>
        <w:rPr>
          <w:rFonts w:cs="Times New Roman" w:ascii="Times New Roman" w:hAnsi="Times New Roman"/>
          <w:b w:val="false"/>
          <w:i w:val="false"/>
          <w:iCs w:val="false"/>
          <w:caps w:val="false"/>
          <w:smallCaps w:val="false"/>
          <w:color w:val="222222"/>
          <w:spacing w:val="0"/>
          <w:sz w:val="24"/>
          <w:szCs w:val="24"/>
        </w:rPr>
      </w:r>
    </w:p>
    <w:p>
      <w:pPr>
        <w:pStyle w:val="Normal"/>
        <w:rPr>
          <w:b/>
          <w:b/>
          <w:bCs/>
        </w:rPr>
      </w:pPr>
      <w:r>
        <w:rPr>
          <w:rFonts w:cs="Times New Roman" w:ascii="Times New Roman" w:hAnsi="Times New Roman"/>
          <w:b/>
          <w:bCs/>
          <w:i w:val="false"/>
          <w:iCs w:val="false"/>
          <w:caps w:val="false"/>
          <w:smallCaps w:val="false"/>
          <w:color w:val="222222"/>
          <w:spacing w:val="0"/>
          <w:sz w:val="24"/>
          <w:szCs w:val="24"/>
        </w:rPr>
        <w:t>Supplementary Tables and Figures</w:t>
      </w:r>
      <w:r>
        <w:br w:type="page"/>
      </w:r>
    </w:p>
    <w:tbl>
      <w:tblPr>
        <w:tblW w:w="997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1175"/>
        <w:gridCol w:w="899"/>
        <w:gridCol w:w="900"/>
        <w:gridCol w:w="988"/>
        <w:gridCol w:w="1162"/>
        <w:gridCol w:w="899"/>
        <w:gridCol w:w="813"/>
        <w:gridCol w:w="1087"/>
        <w:gridCol w:w="713"/>
        <w:gridCol w:w="637"/>
        <w:gridCol w:w="700"/>
      </w:tblGrid>
      <w:tr>
        <w:trPr>
          <w:tblHeader w:val="true"/>
        </w:trPr>
        <w:tc>
          <w:tcPr>
            <w:tcW w:w="997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pageBreakBefore/>
              <w:rPr/>
            </w:pPr>
            <w:r>
              <w:rPr>
                <w:rFonts w:ascii="Times New Roman" w:hAnsi="Times New Roman"/>
                <w:sz w:val="24"/>
                <w:szCs w:val="24"/>
              </w:rPr>
              <w:t>Table S1: Summary statistics by sample and by population of the processing steps in iPyRAD. Last three columns show the number of loci generated under different coverage levels (minimum number of samples for a locus to be called); Min4= 4 or more samples, Min10= 10 or more samples, M20= 20 or more samples. Averages per population are given at the bottom of the table; MS= Magellan Strait, PW= Puerto Williams, BO= O’Higgins Base, Ye= Yelcho, and Ro= Rothera.</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reads_raw</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reads_passed_filter</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clusters_total</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clusters_hidepth</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hetero_est</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error_est</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reads_consens</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Min4</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Min10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Min20</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BB2_G1_3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1423927</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1412486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160711</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42312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0.0558</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0.0168</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23032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13355</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5247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9420654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9390091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341064</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134469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0.0399</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0.0072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96770</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10732</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4574</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821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8563470</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8538782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290473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107469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0.0423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0.0065</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76186</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12248</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4873</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807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8396051</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8370511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299711</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129771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0.0379</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0.0077</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95929</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13151</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5320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787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8722107</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8693594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343618</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115391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0.0283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0.0046</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90000</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14463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5477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808</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11630515</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11597402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439317</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140866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0.0308</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0.0043</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108308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11867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4727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817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7995902</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7971302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316275</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124947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0.0410</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0.0081</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90263</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2337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1088</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2836928</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2819357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187549</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42324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0.0463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0.0092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27508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8914</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3740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271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EM_08</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6553689</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6533757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324330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114238</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0.0262</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0.0051</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91910</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7871</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3281</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733</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PW_01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7478472</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7452998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268367</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98102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0.0405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0.0070</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70315</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7843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3265</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653</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PW_02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6667109</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6642304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292753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106646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0.0339</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0.0081</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76744</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9669</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4034</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702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PW_03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8536882</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8511982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233122</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94138</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0.0395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0.0057</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69378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1143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493</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727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PW_04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2022658</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2014758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93440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22466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0.0504</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0.0105</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14078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7592</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3320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105</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PW_05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7957774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7923331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290563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97720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0.0480</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0.0078</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67488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5503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2551</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628</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PW_06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5314706</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5292835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216175</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64014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0.0523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0.0089</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43055</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11357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4743</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532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5756516</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5743479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332581</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102060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0.0265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0.0047</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81330</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17446</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6303</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771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Y_Rot_17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10241854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10222424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407385</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145045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0.0264</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0.0046</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116842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11807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4670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Y_Rot_18_wgs</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6871627</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6858074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308826</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124568</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0.0415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0.0072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87293</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14517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5736</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751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Y_Rot_19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8007690</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7987681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322370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106772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0.0266</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86106</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12844</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5137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842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6597124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6583294</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345319</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107113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0.0264</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0.0044</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85402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12004</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4910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5804152</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5790126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359855</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111093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0.0246</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0.0049</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88051</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6399</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2836</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786</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3248379</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3240466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224318</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72143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0.0277</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0.0059</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57532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8147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3650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524</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3865756</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3852992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303758</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96686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0.0283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0.0063</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74444</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10401</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4364</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667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Y_Rot_8</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4860668</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4848969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361283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109152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0.0271</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0.0060</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83198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1888</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768</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727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1503811</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1490657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167077</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40972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0.0660</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0.0157</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20938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1011</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900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194</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Y_Yel_10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1073839</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1064222</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171782</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33309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0.0401</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0.0127</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21422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3783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442</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122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Y_Yel_19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2047119</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2034551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222584</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55525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0.0305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0.0083</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41042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2092</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1836</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411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1650772</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1636585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224273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47241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0.0377</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0.0096</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32469</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2189</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930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208</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1916523</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1906545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157900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49031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0.0671</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0.0161</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28658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3253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963</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188</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1991414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1980348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174657</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57209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0.0517</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0.0120</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34286</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1916</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1479</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333</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1614718</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1603016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165595</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44924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0.0575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0.0145</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24653</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2067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890</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193</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1623934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1611325</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144786</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34255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0.0580</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0.0152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19647</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2203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957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211</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Y_Yel_7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1673343</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1661846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167550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44720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0.0557</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0.0142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24434</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1675</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981</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185</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Ye_BO_34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5007425</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4990198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293990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107377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0.0345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0.0090</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77310</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6737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2854</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596</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Ye_BO_35</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3222550</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3206748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290739</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79024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0.0305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0.0079</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59894</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4658</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2072</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Ye_BO_36</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7067018</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7038006</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313943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113612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0.0423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0.0083</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80065</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8883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3787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702</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Ye_BO_37</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2962253</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2944687</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244643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71633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0.0464</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0.0132</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46040</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3657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1659</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409</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Ye_BO_38</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4280765</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4267541</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259193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108299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0.0470</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0.0109</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73934</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6561</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2622</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515</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Ye_BO_39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1997602</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1985813</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161215</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51660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0.0585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0.0163</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31062</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2449</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1036</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243</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Ye_BO_40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3468789</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3452213</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375341</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113859</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0.0307</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0.0096</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83408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4273</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1637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356</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Ye_BO_41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1747298</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1735659</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189720</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44161</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0.0371</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0.0117</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31229</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2397</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1086</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257</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Total Average</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4,966,434</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4,948,853</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263,126</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85,520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0.0405</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0.0090</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61,748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7,154</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2,957</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528</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b/>
                <w:b/>
                <w:bCs/>
                <w:sz w:val="16"/>
                <w:szCs w:val="16"/>
              </w:rPr>
            </w:pPr>
            <w:r>
              <w:rPr>
                <w:rFonts w:ascii="Times New Roman" w:hAnsi="Times New Roman"/>
                <w:b/>
                <w:bCs/>
                <w:sz w:val="16"/>
                <w:szCs w:val="16"/>
              </w:rPr>
              <w:t xml:space="preserve">Summaries </w:t>
            </w:r>
          </w:p>
          <w:p>
            <w:pPr>
              <w:pStyle w:val="Normal"/>
              <w:rPr>
                <w:rFonts w:ascii="Times New Roman" w:hAnsi="Times New Roman"/>
                <w:b/>
                <w:b/>
                <w:bCs/>
                <w:sz w:val="16"/>
                <w:szCs w:val="16"/>
              </w:rPr>
            </w:pPr>
            <w:r>
              <w:rPr>
                <w:rFonts w:ascii="Times New Roman" w:hAnsi="Times New Roman"/>
                <w:b/>
                <w:bCs/>
                <w:sz w:val="16"/>
                <w:szCs w:val="16"/>
              </w:rPr>
              <w:t>by Population</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MS</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8,014,915</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7,989,350</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317,792</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113,684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0.0366</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0.0066</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84,609</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10,198</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4,135</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729</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PW</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6,329,600</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6,306,368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232,403</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80,514</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0.0441</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0.0080</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56,843</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7,185</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3,068</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558</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OB</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3,719,213</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3,702,608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266,098</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86,203</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0.0409</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0.0109</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60,368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4,952</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2,094</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440</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Ye</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1,651,940</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1,640,158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175,692</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44,950</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0.0520</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0.0135</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27,058</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3,354</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1,463</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224</w:t>
            </w:r>
          </w:p>
        </w:tc>
      </w:tr>
      <w:tr>
        <w:trPr/>
        <w:tc>
          <w:tcPr>
            <w:tcW w:w="1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sz w:val="16"/>
                <w:szCs w:val="16"/>
              </w:rPr>
            </w:pPr>
            <w:r>
              <w:rPr>
                <w:rFonts w:ascii="Times New Roman" w:hAnsi="Times New Roman"/>
                <w:sz w:val="16"/>
                <w:szCs w:val="16"/>
              </w:rPr>
              <w:t>Ro</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6,139,307</w:t>
            </w:r>
          </w:p>
        </w:tc>
        <w:tc>
          <w:tcPr>
            <w:tcW w:w="9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6,125,278</w:t>
            </w:r>
          </w:p>
        </w:tc>
        <w:tc>
          <w:tcPr>
            <w:tcW w:w="9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329,522</w:t>
            </w:r>
          </w:p>
        </w:tc>
        <w:tc>
          <w:tcPr>
            <w:tcW w:w="11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108,292</w:t>
            </w:r>
          </w:p>
        </w:tc>
        <w:tc>
          <w:tcPr>
            <w:tcW w:w="8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0.0283</w:t>
            </w:r>
          </w:p>
        </w:tc>
        <w:tc>
          <w:tcPr>
            <w:tcW w:w="8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0.0054</w:t>
            </w:r>
          </w:p>
        </w:tc>
        <w:tc>
          <w:tcPr>
            <w:tcW w:w="10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84,466</w:t>
            </w:r>
          </w:p>
        </w:tc>
        <w:tc>
          <w:tcPr>
            <w:tcW w:w="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10,606</w:t>
            </w:r>
          </w:p>
        </w:tc>
        <w:tc>
          <w:tcPr>
            <w:tcW w:w="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4,264</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6"/>
                <w:szCs w:val="16"/>
              </w:rPr>
            </w:pPr>
            <w:r>
              <w:rPr>
                <w:rFonts w:ascii="Times New Roman" w:hAnsi="Times New Roman"/>
                <w:sz w:val="16"/>
                <w:szCs w:val="16"/>
              </w:rPr>
              <w:t>746</w:t>
            </w:r>
          </w:p>
        </w:tc>
      </w:tr>
    </w:tbl>
    <w:p>
      <w:pPr>
        <w:pStyle w:val="Normal"/>
        <w:rPr/>
      </w:pPr>
      <w:r>
        <w:br w:type="page"/>
      </w:r>
      <w:r>
        <w:rPr>
          <w:rFonts w:cs="Times New Roman" w:ascii="Times New Roman" w:hAnsi="Times New Roman"/>
          <w:b w:val="false"/>
          <w:i w:val="false"/>
          <w:iCs w:val="false"/>
          <w:caps w:val="false"/>
          <w:smallCaps w:val="false"/>
          <w:color w:val="222222"/>
          <w:spacing w:val="0"/>
          <w:sz w:val="24"/>
          <w:szCs w:val="24"/>
        </w:rPr>
        <w:t xml:space="preserve">Table S2: </w:t>
      </w:r>
      <w:r>
        <w:rPr>
          <w:rFonts w:eastAsia="Calibri" w:cs="DejaVu Sans" w:ascii="Times New Roman" w:hAnsi="Times New Roman"/>
          <w:b w:val="false"/>
          <w:i/>
          <w:iCs/>
          <w:caps w:val="false"/>
          <w:smallCaps w:val="false"/>
          <w:strike w:val="false"/>
          <w:dstrike w:val="false"/>
          <w:outline w:val="false"/>
          <w:shadow w:val="false"/>
          <w:color w:val="auto"/>
          <w:spacing w:val="0"/>
          <w:kern w:val="0"/>
          <w:sz w:val="22"/>
          <w:szCs w:val="22"/>
          <w:u w:val="none"/>
          <w:em w:val="none"/>
          <w:lang w:val="en-GB-oxendict" w:eastAsia="en-US" w:bidi="ar-SA"/>
        </w:rPr>
        <w:t>Fst</w:t>
      </w:r>
      <w:r>
        <w:rPr>
          <w:rFonts w:eastAsia="Calibri" w:cs="DejaVu Sans" w:ascii="Times New Roman" w:hAnsi="Times New Roman"/>
          <w:b w:val="false"/>
          <w:i w:val="false"/>
          <w:iCs w:val="false"/>
          <w:caps w:val="false"/>
          <w:smallCaps w:val="false"/>
          <w:strike w:val="false"/>
          <w:dstrike w:val="false"/>
          <w:outline w:val="false"/>
          <w:shadow w:val="false"/>
          <w:color w:val="auto"/>
          <w:spacing w:val="0"/>
          <w:kern w:val="0"/>
          <w:sz w:val="22"/>
          <w:szCs w:val="22"/>
          <w:u w:val="none"/>
          <w:em w:val="none"/>
          <w:lang w:val="en-GB-oxendict" w:eastAsia="en-US" w:bidi="ar-SA"/>
        </w:rPr>
        <w:t xml:space="preserve"> values (above the diagonal) and p-values (below the diagonal) between populations of </w:t>
      </w:r>
      <w:r>
        <w:rPr>
          <w:rFonts w:eastAsia="Calibri" w:cs="DejaVu Sans" w:ascii="Times New Roman" w:hAnsi="Times New Roman"/>
          <w:b w:val="false"/>
          <w:i/>
          <w:iCs/>
          <w:caps w:val="false"/>
          <w:smallCaps w:val="false"/>
          <w:strike w:val="false"/>
          <w:dstrike w:val="false"/>
          <w:outline w:val="false"/>
          <w:shadow w:val="false"/>
          <w:color w:val="auto"/>
          <w:spacing w:val="0"/>
          <w:kern w:val="0"/>
          <w:sz w:val="22"/>
          <w:szCs w:val="22"/>
          <w:u w:val="none"/>
          <w:em w:val="none"/>
          <w:lang w:val="en-GB-oxendict" w:eastAsia="en-US" w:bidi="ar-SA"/>
        </w:rPr>
        <w:t>Aequiyoldia eightsi</w:t>
      </w:r>
      <w:r>
        <w:rPr>
          <w:rFonts w:eastAsia="Calibri" w:cs="DejaVu Sans" w:ascii="Times New Roman" w:hAnsi="Times New Roman"/>
          <w:b w:val="false"/>
          <w:i w:val="false"/>
          <w:iCs w:val="false"/>
          <w:caps w:val="false"/>
          <w:smallCaps w:val="false"/>
          <w:strike w:val="false"/>
          <w:dstrike w:val="false"/>
          <w:outline w:val="false"/>
          <w:shadow w:val="false"/>
          <w:color w:val="auto"/>
          <w:spacing w:val="0"/>
          <w:kern w:val="0"/>
          <w:sz w:val="22"/>
          <w:szCs w:val="22"/>
          <w:u w:val="none"/>
          <w:em w:val="none"/>
          <w:lang w:val="en-GB-oxendict" w:eastAsia="en-US" w:bidi="ar-SA"/>
        </w:rPr>
        <w:t xml:space="preserve"> using the mtDNA (COI) data. P-values were obtained based on Monte-Carlo tests with 999 permutations. Fst values in bold are statistically significant.</w:t>
      </w:r>
    </w:p>
    <w:p>
      <w:pPr>
        <w:pStyle w:val="Normal"/>
        <w:rPr>
          <w:rFonts w:ascii="Times New Roman" w:hAnsi="Times New Roman" w:cs="Times New Roman"/>
          <w:b w:val="false"/>
          <w:b w:val="false"/>
          <w:i w:val="false"/>
          <w:i w:val="false"/>
          <w:iCs w:val="false"/>
          <w:caps w:val="false"/>
          <w:smallCaps w:val="false"/>
          <w:color w:val="222222"/>
          <w:spacing w:val="0"/>
          <w:sz w:val="24"/>
          <w:szCs w:val="24"/>
        </w:rPr>
      </w:pPr>
      <w:r>
        <w:rPr>
          <w:rFonts w:cs="Times New Roman" w:ascii="Times New Roman" w:hAnsi="Times New Roman"/>
          <w:b w:val="false"/>
          <w:i w:val="false"/>
          <w:iCs w:val="false"/>
          <w:caps w:val="false"/>
          <w:smallCaps w:val="false"/>
          <w:color w:val="222222"/>
          <w:spacing w:val="0"/>
          <w:sz w:val="24"/>
          <w:szCs w:val="24"/>
        </w:rPr>
      </w:r>
    </w:p>
    <w:p>
      <w:pPr>
        <w:pStyle w:val="Normal"/>
        <w:rPr>
          <w:rFonts w:ascii="Times New Roman" w:hAnsi="Times New Roman" w:cs="Times New Roman"/>
          <w:b w:val="false"/>
          <w:b w:val="false"/>
          <w:i w:val="false"/>
          <w:i w:val="false"/>
          <w:iCs w:val="false"/>
          <w:caps w:val="false"/>
          <w:smallCaps w:val="false"/>
          <w:color w:val="222222"/>
          <w:spacing w:val="0"/>
          <w:sz w:val="24"/>
          <w:szCs w:val="24"/>
        </w:rPr>
      </w:pPr>
      <w:r>
        <w:rPr>
          <w:rFonts w:cs="Times New Roman" w:ascii="Times New Roman" w:hAnsi="Times New Roman"/>
          <w:b w:val="false"/>
          <w:i w:val="false"/>
          <w:iCs w:val="false"/>
          <w:caps w:val="false"/>
          <w:smallCaps w:val="false"/>
          <w:color w:val="222222"/>
          <w:spacing w:val="0"/>
          <w:sz w:val="24"/>
          <w:szCs w:val="24"/>
        </w:rPr>
      </w:r>
    </w:p>
    <w:tbl>
      <w:tblPr>
        <w:tblW w:w="9363" w:type="dxa"/>
        <w:jc w:val="left"/>
        <w:tblInd w:w="0"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1175"/>
        <w:gridCol w:w="2061"/>
        <w:gridCol w:w="1987"/>
        <w:gridCol w:w="1801"/>
        <w:gridCol w:w="1163"/>
        <w:gridCol w:w="1175"/>
      </w:tblGrid>
      <w:tr>
        <w:trPr/>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rPr>
                <w:lang w:val="en-GB-oxendict" w:bidi="ar-SA"/>
              </w:rPr>
            </w:pPr>
            <w:r>
              <w:rPr>
                <w:lang w:val="en-GB-oxendict" w:bidi="ar-SA"/>
              </w:rPr>
            </w:r>
          </w:p>
        </w:tc>
        <w:tc>
          <w:tcPr>
            <w:tcW w:w="206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Puerto Williams (PW)</w:t>
            </w:r>
          </w:p>
        </w:tc>
        <w:tc>
          <w:tcPr>
            <w:tcW w:w="1987"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Maguellan Strait (MS)</w:t>
            </w:r>
          </w:p>
        </w:tc>
        <w:tc>
          <w:tcPr>
            <w:tcW w:w="180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O'Higgins Base (BO)</w:t>
            </w:r>
          </w:p>
        </w:tc>
        <w:tc>
          <w:tcPr>
            <w:tcW w:w="1163"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Yelcho (Yel)</w:t>
            </w:r>
          </w:p>
        </w:tc>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Rothera (Rot)</w:t>
            </w:r>
          </w:p>
        </w:tc>
      </w:tr>
      <w:tr>
        <w:trPr/>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rPr>
                <w:lang w:val="en-GB-oxendict" w:bidi="ar-SA"/>
              </w:rPr>
            </w:pPr>
            <w:r>
              <w:rPr>
                <w:lang w:val="en-GB-oxendict" w:bidi="ar-SA"/>
              </w:rPr>
              <w:t>PW</w:t>
            </w:r>
          </w:p>
        </w:tc>
        <w:tc>
          <w:tcPr>
            <w:tcW w:w="206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w:t>
            </w:r>
          </w:p>
        </w:tc>
        <w:tc>
          <w:tcPr>
            <w:tcW w:w="1987"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0.142</w:t>
            </w:r>
          </w:p>
        </w:tc>
        <w:tc>
          <w:tcPr>
            <w:tcW w:w="180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0.930</w:t>
            </w:r>
          </w:p>
        </w:tc>
        <w:tc>
          <w:tcPr>
            <w:tcW w:w="1163"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0.944</w:t>
            </w:r>
          </w:p>
        </w:tc>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0.965</w:t>
            </w:r>
          </w:p>
        </w:tc>
      </w:tr>
      <w:tr>
        <w:trPr/>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rPr>
                <w:lang w:val="en-GB-oxendict" w:bidi="ar-SA"/>
              </w:rPr>
            </w:pPr>
            <w:r>
              <w:rPr>
                <w:lang w:val="en-GB-oxendict" w:bidi="ar-SA"/>
              </w:rPr>
              <w:t>MS</w:t>
            </w:r>
          </w:p>
        </w:tc>
        <w:tc>
          <w:tcPr>
            <w:tcW w:w="206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0.131</w:t>
            </w:r>
          </w:p>
        </w:tc>
        <w:tc>
          <w:tcPr>
            <w:tcW w:w="1987"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w:t>
            </w:r>
          </w:p>
        </w:tc>
        <w:tc>
          <w:tcPr>
            <w:tcW w:w="180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0.956</w:t>
            </w:r>
          </w:p>
        </w:tc>
        <w:tc>
          <w:tcPr>
            <w:tcW w:w="1163"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0.967</w:t>
            </w:r>
          </w:p>
        </w:tc>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0.986</w:t>
            </w:r>
          </w:p>
        </w:tc>
      </w:tr>
      <w:tr>
        <w:trPr/>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rPr>
                <w:lang w:val="en-GB-oxendict" w:bidi="ar-SA"/>
              </w:rPr>
            </w:pPr>
            <w:r>
              <w:rPr>
                <w:lang w:val="en-GB-oxendict" w:bidi="ar-SA"/>
              </w:rPr>
              <w:t>BO</w:t>
            </w:r>
          </w:p>
        </w:tc>
        <w:tc>
          <w:tcPr>
            <w:tcW w:w="206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0.001</w:t>
            </w:r>
          </w:p>
        </w:tc>
        <w:tc>
          <w:tcPr>
            <w:tcW w:w="1987"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0.001</w:t>
            </w:r>
          </w:p>
        </w:tc>
        <w:tc>
          <w:tcPr>
            <w:tcW w:w="180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w:t>
            </w:r>
          </w:p>
        </w:tc>
        <w:tc>
          <w:tcPr>
            <w:tcW w:w="1163"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0.360</w:t>
            </w:r>
          </w:p>
        </w:tc>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jc w:val="center"/>
              <w:rPr>
                <w:b/>
                <w:b/>
                <w:bCs/>
                <w:lang w:val="en-GB-oxendict" w:bidi="ar-SA"/>
              </w:rPr>
            </w:pPr>
            <w:r>
              <w:rPr>
                <w:b/>
                <w:bCs/>
                <w:lang w:val="en-GB-oxendict" w:bidi="ar-SA"/>
              </w:rPr>
              <w:t>0.469</w:t>
            </w:r>
          </w:p>
        </w:tc>
      </w:tr>
      <w:tr>
        <w:trPr/>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rPr>
                <w:lang w:val="en-GB-oxendict" w:bidi="ar-SA"/>
              </w:rPr>
            </w:pPr>
            <w:r>
              <w:rPr>
                <w:lang w:val="en-GB-oxendict" w:bidi="ar-SA"/>
              </w:rPr>
              <w:t>Yel</w:t>
            </w:r>
          </w:p>
        </w:tc>
        <w:tc>
          <w:tcPr>
            <w:tcW w:w="206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0.001</w:t>
            </w:r>
          </w:p>
        </w:tc>
        <w:tc>
          <w:tcPr>
            <w:tcW w:w="1987"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0.001</w:t>
            </w:r>
          </w:p>
        </w:tc>
        <w:tc>
          <w:tcPr>
            <w:tcW w:w="180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0.012</w:t>
            </w:r>
          </w:p>
        </w:tc>
        <w:tc>
          <w:tcPr>
            <w:tcW w:w="1163"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w:t>
            </w:r>
          </w:p>
        </w:tc>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0.072</w:t>
            </w:r>
          </w:p>
        </w:tc>
      </w:tr>
      <w:tr>
        <w:trPr/>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rPr>
                <w:lang w:val="en-GB-oxendict" w:bidi="ar-SA"/>
              </w:rPr>
            </w:pPr>
            <w:r>
              <w:rPr>
                <w:lang w:val="en-GB-oxendict" w:bidi="ar-SA"/>
              </w:rPr>
              <w:t>Rot</w:t>
            </w:r>
          </w:p>
        </w:tc>
        <w:tc>
          <w:tcPr>
            <w:tcW w:w="206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0.001</w:t>
            </w:r>
          </w:p>
        </w:tc>
        <w:tc>
          <w:tcPr>
            <w:tcW w:w="1987"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0.001</w:t>
            </w:r>
          </w:p>
        </w:tc>
        <w:tc>
          <w:tcPr>
            <w:tcW w:w="1801"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0.008</w:t>
            </w:r>
          </w:p>
        </w:tc>
        <w:tc>
          <w:tcPr>
            <w:tcW w:w="1163"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0.304</w:t>
            </w:r>
          </w:p>
        </w:tc>
        <w:tc>
          <w:tcPr>
            <w:tcW w:w="1175" w:type="dxa"/>
            <w:tcBorders>
              <w:top w:val="single" w:sz="4" w:space="0" w:color="000000"/>
              <w:bottom w:val="single" w:sz="4" w:space="0" w:color="000000"/>
              <w:insideH w:val="single" w:sz="4" w:space="0" w:color="000000"/>
            </w:tcBorders>
            <w:shd w:fill="auto" w:val="clear"/>
          </w:tcPr>
          <w:p>
            <w:pPr>
              <w:pStyle w:val="TableContents"/>
              <w:spacing w:before="0" w:after="200"/>
              <w:jc w:val="center"/>
              <w:rPr>
                <w:lang w:val="en-GB-oxendict" w:bidi="ar-SA"/>
              </w:rPr>
            </w:pPr>
            <w:r>
              <w:rPr>
                <w:lang w:val="en-GB-oxendict" w:bidi="ar-SA"/>
              </w:rPr>
              <w:t>-</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Table S3: Asymmetrical migration rates calculated with divMigrate-online using Jost’s </w:t>
      </w:r>
      <w:r>
        <w:rPr>
          <w:i/>
          <w:iCs/>
        </w:rPr>
        <w:t>D</w:t>
      </w:r>
      <w:r>
        <w:rPr/>
        <w:t xml:space="preserve"> distances. Values in bold are statistically significant based on 200 bootstrap replicates.</w:t>
      </w:r>
    </w:p>
    <w:p>
      <w:pPr>
        <w:pStyle w:val="Normal"/>
        <w:rPr/>
      </w:pPr>
      <w:r>
        <w:rPr/>
      </w:r>
    </w:p>
    <w:tbl>
      <w:tblPr>
        <w:tblW w:w="9975" w:type="dxa"/>
        <w:jc w:val="left"/>
        <w:tblInd w:w="0"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1888"/>
        <w:gridCol w:w="1797"/>
        <w:gridCol w:w="1803"/>
        <w:gridCol w:w="1797"/>
        <w:gridCol w:w="1175"/>
        <w:gridCol w:w="1514"/>
      </w:tblGrid>
      <w:tr>
        <w:trPr/>
        <w:tc>
          <w:tcPr>
            <w:tcW w:w="1888" w:type="dxa"/>
            <w:tcBorders>
              <w:top w:val="single" w:sz="4" w:space="0" w:color="000000"/>
              <w:bottom w:val="single" w:sz="4" w:space="0" w:color="000000"/>
              <w:insideH w:val="single" w:sz="4" w:space="0" w:color="000000"/>
            </w:tcBorders>
            <w:shd w:fill="auto" w:val="clear"/>
          </w:tcPr>
          <w:p>
            <w:pPr>
              <w:pStyle w:val="TableContents"/>
              <w:rPr/>
            </w:pPr>
            <w:r>
              <w:rPr/>
              <w:t>Sites</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Magellan Strait</w:t>
            </w:r>
          </w:p>
        </w:tc>
        <w:tc>
          <w:tcPr>
            <w:tcW w:w="1803" w:type="dxa"/>
            <w:tcBorders>
              <w:top w:val="single" w:sz="4" w:space="0" w:color="000000"/>
              <w:bottom w:val="single" w:sz="4" w:space="0" w:color="000000"/>
              <w:insideH w:val="single" w:sz="4" w:space="0" w:color="000000"/>
            </w:tcBorders>
            <w:shd w:fill="auto" w:val="clear"/>
          </w:tcPr>
          <w:p>
            <w:pPr>
              <w:pStyle w:val="TableContents"/>
              <w:jc w:val="center"/>
              <w:rPr/>
            </w:pPr>
            <w:r>
              <w:rPr/>
              <w:t>Puerto Williams</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O’Higgins Base</w:t>
            </w:r>
          </w:p>
        </w:tc>
        <w:tc>
          <w:tcPr>
            <w:tcW w:w="1175" w:type="dxa"/>
            <w:tcBorders>
              <w:top w:val="single" w:sz="4" w:space="0" w:color="000000"/>
              <w:bottom w:val="single" w:sz="4" w:space="0" w:color="000000"/>
              <w:insideH w:val="single" w:sz="4" w:space="0" w:color="000000"/>
            </w:tcBorders>
            <w:shd w:fill="auto" w:val="clear"/>
          </w:tcPr>
          <w:p>
            <w:pPr>
              <w:pStyle w:val="TableContents"/>
              <w:jc w:val="center"/>
              <w:rPr/>
            </w:pPr>
            <w:r>
              <w:rPr/>
              <w:t xml:space="preserve">Yelcho </w:t>
            </w:r>
          </w:p>
        </w:tc>
        <w:tc>
          <w:tcPr>
            <w:tcW w:w="1514" w:type="dxa"/>
            <w:tcBorders>
              <w:top w:val="single" w:sz="4" w:space="0" w:color="000000"/>
              <w:bottom w:val="single" w:sz="4" w:space="0" w:color="000000"/>
              <w:insideH w:val="single" w:sz="4" w:space="0" w:color="000000"/>
            </w:tcBorders>
            <w:shd w:fill="auto" w:val="clear"/>
          </w:tcPr>
          <w:p>
            <w:pPr>
              <w:pStyle w:val="TableContents"/>
              <w:jc w:val="center"/>
              <w:rPr/>
            </w:pPr>
            <w:r>
              <w:rPr/>
              <w:t>Rothera</w:t>
            </w:r>
          </w:p>
        </w:tc>
      </w:tr>
      <w:tr>
        <w:trPr/>
        <w:tc>
          <w:tcPr>
            <w:tcW w:w="1888" w:type="dxa"/>
            <w:tcBorders>
              <w:top w:val="single" w:sz="4" w:space="0" w:color="000000"/>
              <w:bottom w:val="single" w:sz="4" w:space="0" w:color="000000"/>
              <w:insideH w:val="single" w:sz="4" w:space="0" w:color="000000"/>
            </w:tcBorders>
            <w:shd w:fill="auto" w:val="clear"/>
          </w:tcPr>
          <w:p>
            <w:pPr>
              <w:pStyle w:val="TableContents"/>
              <w:rPr/>
            </w:pPr>
            <w:r>
              <w:rPr/>
              <w:t>Magellan Strait</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w:t>
            </w:r>
          </w:p>
        </w:tc>
        <w:tc>
          <w:tcPr>
            <w:tcW w:w="1803" w:type="dxa"/>
            <w:tcBorders>
              <w:top w:val="single" w:sz="4" w:space="0" w:color="000000"/>
              <w:bottom w:val="single" w:sz="4" w:space="0" w:color="000000"/>
              <w:insideH w:val="single" w:sz="4" w:space="0" w:color="000000"/>
            </w:tcBorders>
            <w:shd w:fill="auto" w:val="clear"/>
          </w:tcPr>
          <w:p>
            <w:pPr>
              <w:pStyle w:val="TableContents"/>
              <w:jc w:val="center"/>
              <w:rPr/>
            </w:pPr>
            <w:r>
              <w:rPr/>
              <w:t>0.803</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0.052</w:t>
            </w:r>
          </w:p>
        </w:tc>
        <w:tc>
          <w:tcPr>
            <w:tcW w:w="1175" w:type="dxa"/>
            <w:tcBorders>
              <w:top w:val="single" w:sz="4" w:space="0" w:color="000000"/>
              <w:bottom w:val="single" w:sz="4" w:space="0" w:color="000000"/>
              <w:insideH w:val="single" w:sz="4" w:space="0" w:color="000000"/>
            </w:tcBorders>
            <w:shd w:fill="auto" w:val="clear"/>
          </w:tcPr>
          <w:p>
            <w:pPr>
              <w:pStyle w:val="TableContents"/>
              <w:jc w:val="center"/>
              <w:rPr/>
            </w:pPr>
            <w:r>
              <w:rPr/>
              <w:t>0.04</w:t>
            </w:r>
          </w:p>
        </w:tc>
        <w:tc>
          <w:tcPr>
            <w:tcW w:w="1514"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0.094</w:t>
            </w:r>
          </w:p>
        </w:tc>
      </w:tr>
      <w:tr>
        <w:trPr/>
        <w:tc>
          <w:tcPr>
            <w:tcW w:w="1888" w:type="dxa"/>
            <w:tcBorders>
              <w:top w:val="single" w:sz="4" w:space="0" w:color="000000"/>
              <w:bottom w:val="single" w:sz="4" w:space="0" w:color="000000"/>
              <w:insideH w:val="single" w:sz="4" w:space="0" w:color="000000"/>
            </w:tcBorders>
            <w:shd w:fill="auto" w:val="clear"/>
          </w:tcPr>
          <w:p>
            <w:pPr>
              <w:pStyle w:val="TableContents"/>
              <w:rPr/>
            </w:pPr>
            <w:r>
              <w:rPr/>
              <w:t>Puerto Williams</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1</w:t>
            </w:r>
          </w:p>
        </w:tc>
        <w:tc>
          <w:tcPr>
            <w:tcW w:w="1803" w:type="dxa"/>
            <w:tcBorders>
              <w:top w:val="single" w:sz="4" w:space="0" w:color="000000"/>
              <w:bottom w:val="single" w:sz="4" w:space="0" w:color="000000"/>
              <w:insideH w:val="single" w:sz="4" w:space="0" w:color="000000"/>
            </w:tcBorders>
            <w:shd w:fill="auto" w:val="clear"/>
          </w:tcPr>
          <w:p>
            <w:pPr>
              <w:pStyle w:val="TableContents"/>
              <w:jc w:val="center"/>
              <w:rPr/>
            </w:pPr>
            <w:r>
              <w:rPr/>
              <w:t>-</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0.048</w:t>
            </w:r>
          </w:p>
        </w:tc>
        <w:tc>
          <w:tcPr>
            <w:tcW w:w="1175" w:type="dxa"/>
            <w:tcBorders>
              <w:top w:val="single" w:sz="4" w:space="0" w:color="000000"/>
              <w:bottom w:val="single" w:sz="4" w:space="0" w:color="000000"/>
              <w:insideH w:val="single" w:sz="4" w:space="0" w:color="000000"/>
            </w:tcBorders>
            <w:shd w:fill="auto" w:val="clear"/>
          </w:tcPr>
          <w:p>
            <w:pPr>
              <w:pStyle w:val="TableContents"/>
              <w:jc w:val="center"/>
              <w:rPr/>
            </w:pPr>
            <w:r>
              <w:rPr/>
              <w:t>0.038</w:t>
            </w:r>
          </w:p>
        </w:tc>
        <w:tc>
          <w:tcPr>
            <w:tcW w:w="1514"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0.085</w:t>
            </w:r>
          </w:p>
        </w:tc>
      </w:tr>
      <w:tr>
        <w:trPr/>
        <w:tc>
          <w:tcPr>
            <w:tcW w:w="1888" w:type="dxa"/>
            <w:tcBorders>
              <w:top w:val="single" w:sz="4" w:space="0" w:color="000000"/>
              <w:bottom w:val="single" w:sz="4" w:space="0" w:color="000000"/>
              <w:insideH w:val="single" w:sz="4" w:space="0" w:color="000000"/>
            </w:tcBorders>
            <w:shd w:fill="auto" w:val="clear"/>
          </w:tcPr>
          <w:p>
            <w:pPr>
              <w:pStyle w:val="TableContents"/>
              <w:rPr/>
            </w:pPr>
            <w:r>
              <w:rPr/>
              <w:t>O’Higgins Base</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0.053</w:t>
            </w:r>
          </w:p>
        </w:tc>
        <w:tc>
          <w:tcPr>
            <w:tcW w:w="1803" w:type="dxa"/>
            <w:tcBorders>
              <w:top w:val="single" w:sz="4" w:space="0" w:color="000000"/>
              <w:bottom w:val="single" w:sz="4" w:space="0" w:color="000000"/>
              <w:insideH w:val="single" w:sz="4" w:space="0" w:color="000000"/>
            </w:tcBorders>
            <w:shd w:fill="auto" w:val="clear"/>
          </w:tcPr>
          <w:p>
            <w:pPr>
              <w:pStyle w:val="TableContents"/>
              <w:jc w:val="center"/>
              <w:rPr/>
            </w:pPr>
            <w:r>
              <w:rPr/>
              <w:t>0.044</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w:t>
            </w:r>
          </w:p>
        </w:tc>
        <w:tc>
          <w:tcPr>
            <w:tcW w:w="1175" w:type="dxa"/>
            <w:tcBorders>
              <w:top w:val="single" w:sz="4" w:space="0" w:color="000000"/>
              <w:bottom w:val="single" w:sz="4" w:space="0" w:color="000000"/>
              <w:insideH w:val="single" w:sz="4" w:space="0" w:color="000000"/>
            </w:tcBorders>
            <w:shd w:fill="auto" w:val="clear"/>
          </w:tcPr>
          <w:p>
            <w:pPr>
              <w:pStyle w:val="TableContents"/>
              <w:jc w:val="center"/>
              <w:rPr/>
            </w:pPr>
            <w:r>
              <w:rPr/>
              <w:t>0.15</w:t>
            </w:r>
          </w:p>
        </w:tc>
        <w:tc>
          <w:tcPr>
            <w:tcW w:w="1514"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0.693</w:t>
            </w:r>
          </w:p>
        </w:tc>
      </w:tr>
      <w:tr>
        <w:trPr/>
        <w:tc>
          <w:tcPr>
            <w:tcW w:w="1888" w:type="dxa"/>
            <w:tcBorders>
              <w:top w:val="single" w:sz="4" w:space="0" w:color="000000"/>
              <w:bottom w:val="single" w:sz="4" w:space="0" w:color="000000"/>
              <w:insideH w:val="single" w:sz="4" w:space="0" w:color="000000"/>
            </w:tcBorders>
            <w:shd w:fill="auto" w:val="clear"/>
          </w:tcPr>
          <w:p>
            <w:pPr>
              <w:pStyle w:val="TableContents"/>
              <w:rPr/>
            </w:pPr>
            <w:r>
              <w:rPr/>
              <w:t>Yelcho</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0.042</w:t>
            </w:r>
          </w:p>
        </w:tc>
        <w:tc>
          <w:tcPr>
            <w:tcW w:w="1803" w:type="dxa"/>
            <w:tcBorders>
              <w:top w:val="single" w:sz="4" w:space="0" w:color="000000"/>
              <w:bottom w:val="single" w:sz="4" w:space="0" w:color="000000"/>
              <w:insideH w:val="single" w:sz="4" w:space="0" w:color="000000"/>
            </w:tcBorders>
            <w:shd w:fill="auto" w:val="clear"/>
          </w:tcPr>
          <w:p>
            <w:pPr>
              <w:pStyle w:val="TableContents"/>
              <w:jc w:val="center"/>
              <w:rPr/>
            </w:pPr>
            <w:r>
              <w:rPr/>
              <w:t>0.038</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0.166</w:t>
            </w:r>
          </w:p>
        </w:tc>
        <w:tc>
          <w:tcPr>
            <w:tcW w:w="1175" w:type="dxa"/>
            <w:tcBorders>
              <w:top w:val="single" w:sz="4" w:space="0" w:color="000000"/>
              <w:bottom w:val="single" w:sz="4" w:space="0" w:color="000000"/>
              <w:insideH w:val="single" w:sz="4" w:space="0" w:color="000000"/>
            </w:tcBorders>
            <w:shd w:fill="auto" w:val="clear"/>
          </w:tcPr>
          <w:p>
            <w:pPr>
              <w:pStyle w:val="TableContents"/>
              <w:jc w:val="center"/>
              <w:rPr/>
            </w:pPr>
            <w:r>
              <w:rPr/>
              <w:t>-</w:t>
            </w:r>
          </w:p>
        </w:tc>
        <w:tc>
          <w:tcPr>
            <w:tcW w:w="1514" w:type="dxa"/>
            <w:tcBorders>
              <w:top w:val="single" w:sz="4" w:space="0" w:color="000000"/>
              <w:bottom w:val="single" w:sz="4" w:space="0" w:color="000000"/>
              <w:insideH w:val="single" w:sz="4" w:space="0" w:color="000000"/>
            </w:tcBorders>
            <w:shd w:fill="auto" w:val="clear"/>
          </w:tcPr>
          <w:p>
            <w:pPr>
              <w:pStyle w:val="TableContents"/>
              <w:jc w:val="center"/>
              <w:rPr>
                <w:b/>
                <w:b/>
                <w:bCs/>
              </w:rPr>
            </w:pPr>
            <w:r>
              <w:rPr>
                <w:b/>
                <w:bCs/>
              </w:rPr>
              <w:t>0.295</w:t>
            </w:r>
          </w:p>
        </w:tc>
      </w:tr>
      <w:tr>
        <w:trPr/>
        <w:tc>
          <w:tcPr>
            <w:tcW w:w="1888" w:type="dxa"/>
            <w:tcBorders>
              <w:top w:val="single" w:sz="4" w:space="0" w:color="000000"/>
              <w:bottom w:val="single" w:sz="4" w:space="0" w:color="000000"/>
              <w:insideH w:val="single" w:sz="4" w:space="0" w:color="000000"/>
            </w:tcBorders>
            <w:shd w:fill="auto" w:val="clear"/>
          </w:tcPr>
          <w:p>
            <w:pPr>
              <w:pStyle w:val="TableContents"/>
              <w:rPr/>
            </w:pPr>
            <w:r>
              <w:rPr/>
              <w:t>Rothera</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0.064</w:t>
            </w:r>
          </w:p>
        </w:tc>
        <w:tc>
          <w:tcPr>
            <w:tcW w:w="1803" w:type="dxa"/>
            <w:tcBorders>
              <w:top w:val="single" w:sz="4" w:space="0" w:color="000000"/>
              <w:bottom w:val="single" w:sz="4" w:space="0" w:color="000000"/>
              <w:insideH w:val="single" w:sz="4" w:space="0" w:color="000000"/>
            </w:tcBorders>
            <w:shd w:fill="auto" w:val="clear"/>
          </w:tcPr>
          <w:p>
            <w:pPr>
              <w:pStyle w:val="TableContents"/>
              <w:jc w:val="center"/>
              <w:rPr/>
            </w:pPr>
            <w:r>
              <w:rPr/>
              <w:t>0.055</w:t>
            </w:r>
          </w:p>
        </w:tc>
        <w:tc>
          <w:tcPr>
            <w:tcW w:w="1797" w:type="dxa"/>
            <w:tcBorders>
              <w:top w:val="single" w:sz="4" w:space="0" w:color="000000"/>
              <w:bottom w:val="single" w:sz="4" w:space="0" w:color="000000"/>
              <w:insideH w:val="single" w:sz="4" w:space="0" w:color="000000"/>
            </w:tcBorders>
            <w:shd w:fill="auto" w:val="clear"/>
          </w:tcPr>
          <w:p>
            <w:pPr>
              <w:pStyle w:val="TableContents"/>
              <w:jc w:val="center"/>
              <w:rPr/>
            </w:pPr>
            <w:r>
              <w:rPr/>
              <w:t>0.4</w:t>
            </w:r>
          </w:p>
        </w:tc>
        <w:tc>
          <w:tcPr>
            <w:tcW w:w="1175" w:type="dxa"/>
            <w:tcBorders>
              <w:top w:val="single" w:sz="4" w:space="0" w:color="000000"/>
              <w:bottom w:val="single" w:sz="4" w:space="0" w:color="000000"/>
              <w:insideH w:val="single" w:sz="4" w:space="0" w:color="000000"/>
            </w:tcBorders>
            <w:shd w:fill="auto" w:val="clear"/>
          </w:tcPr>
          <w:p>
            <w:pPr>
              <w:pStyle w:val="TableContents"/>
              <w:jc w:val="center"/>
              <w:rPr/>
            </w:pPr>
            <w:r>
              <w:rPr/>
              <w:t>0.173</w:t>
            </w:r>
          </w:p>
        </w:tc>
        <w:tc>
          <w:tcPr>
            <w:tcW w:w="1514" w:type="dxa"/>
            <w:tcBorders>
              <w:top w:val="single" w:sz="4" w:space="0" w:color="000000"/>
              <w:bottom w:val="single" w:sz="4" w:space="0" w:color="000000"/>
              <w:insideH w:val="single" w:sz="4" w:space="0" w:color="000000"/>
            </w:tcBorders>
            <w:shd w:fill="auto" w:val="clear"/>
          </w:tcPr>
          <w:p>
            <w:pPr>
              <w:pStyle w:val="TableContents"/>
              <w:jc w:val="center"/>
              <w:rPr/>
            </w:pPr>
            <w:r>
              <w:rPr/>
              <w:t>-</w:t>
            </w:r>
          </w:p>
        </w:tc>
      </w:tr>
    </w:tbl>
    <w:p>
      <w:pPr>
        <w:pStyle w:val="Normal"/>
        <w:rPr/>
      </w:pPr>
      <w:r>
        <w:rPr/>
      </w:r>
    </w:p>
    <w:p>
      <w:pPr>
        <w:pStyle w:val="Normal"/>
        <w:rPr/>
      </w:pPr>
      <w:r>
        <w:rPr/>
      </w:r>
      <w:r>
        <w:br w:type="page"/>
      </w:r>
    </w:p>
    <w:p>
      <w:pPr>
        <w:pStyle w:val="Normal"/>
        <w:rPr/>
      </w:pPr>
      <w:r>
        <w:rPr/>
        <w:t>Table S4: BayesAss migration estimates (as proportion of migrant individuals in population). Migration rates represent migration from the population on the top into the population on the left.</w:t>
      </w:r>
    </w:p>
    <w:p>
      <w:pPr>
        <w:pStyle w:val="Normal"/>
        <w:rPr/>
      </w:pPr>
      <w:r>
        <w:rPr/>
      </w:r>
    </w:p>
    <w:p>
      <w:pPr>
        <w:pStyle w:val="Normal"/>
        <w:rPr/>
      </w:pPr>
      <w:r>
        <w:rPr/>
      </w:r>
    </w:p>
    <w:tbl>
      <w:tblPr>
        <w:tblW w:w="99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1799"/>
        <w:gridCol w:w="1525"/>
        <w:gridCol w:w="1660"/>
        <w:gridCol w:w="1663"/>
        <w:gridCol w:w="1661"/>
        <w:gridCol w:w="1666"/>
      </w:tblGrid>
      <w:tr>
        <w:trPr/>
        <w:tc>
          <w:tcPr>
            <w:tcW w:w="17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ascii="Times New Roman" w:hAnsi="Times New Roman"/>
              </w:rPr>
            </w:r>
          </w:p>
        </w:tc>
        <w:tc>
          <w:tcPr>
            <w:tcW w:w="152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rPr>
            </w:pPr>
            <w:r>
              <w:rPr>
                <w:rFonts w:ascii="Times New Roman" w:hAnsi="Times New Roman"/>
              </w:rPr>
              <w:t>Magellan Strait</w:t>
            </w:r>
          </w:p>
        </w:tc>
        <w:tc>
          <w:tcPr>
            <w:tcW w:w="16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rPr>
            </w:pPr>
            <w:r>
              <w:rPr>
                <w:rFonts w:ascii="Times New Roman" w:hAnsi="Times New Roman"/>
              </w:rPr>
              <w:t>Puerto Williams</w:t>
            </w:r>
          </w:p>
        </w:tc>
        <w:tc>
          <w:tcPr>
            <w:tcW w:w="166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rPr>
            </w:pPr>
            <w:r>
              <w:rPr>
                <w:rFonts w:ascii="Times New Roman" w:hAnsi="Times New Roman"/>
              </w:rPr>
              <w:t>O’Higgins</w:t>
            </w:r>
          </w:p>
        </w:tc>
        <w:tc>
          <w:tcPr>
            <w:tcW w:w="16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rPr>
            </w:pPr>
            <w:r>
              <w:rPr>
                <w:rFonts w:ascii="Times New Roman" w:hAnsi="Times New Roman"/>
              </w:rPr>
              <w:t>Yelcho</w:t>
            </w:r>
          </w:p>
        </w:tc>
        <w:tc>
          <w:tcPr>
            <w:tcW w:w="1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rPr>
            </w:pPr>
            <w:r>
              <w:rPr>
                <w:rFonts w:ascii="Times New Roman" w:hAnsi="Times New Roman"/>
              </w:rPr>
              <w:t>Rothera</w:t>
            </w:r>
          </w:p>
        </w:tc>
      </w:tr>
      <w:tr>
        <w:trPr/>
        <w:tc>
          <w:tcPr>
            <w:tcW w:w="17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ascii="Times New Roman" w:hAnsi="Times New Roman"/>
              </w:rPr>
              <w:t>Magellan Strait</w:t>
            </w:r>
          </w:p>
        </w:tc>
        <w:tc>
          <w:tcPr>
            <w:tcW w:w="152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0.8718(0.0435) </w:t>
            </w:r>
          </w:p>
        </w:tc>
        <w:tc>
          <w:tcPr>
            <w:tcW w:w="16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0.0261(0.0248) </w:t>
            </w:r>
          </w:p>
        </w:tc>
        <w:tc>
          <w:tcPr>
            <w:tcW w:w="166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0.0258(0.0241)</w:t>
            </w:r>
          </w:p>
        </w:tc>
        <w:tc>
          <w:tcPr>
            <w:tcW w:w="16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0.0509(0.0318) </w:t>
            </w:r>
          </w:p>
        </w:tc>
        <w:tc>
          <w:tcPr>
            <w:tcW w:w="1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0.0255(0.0235) </w:t>
            </w:r>
          </w:p>
        </w:tc>
      </w:tr>
      <w:tr>
        <w:trPr/>
        <w:tc>
          <w:tcPr>
            <w:tcW w:w="17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ascii="Times New Roman" w:hAnsi="Times New Roman"/>
              </w:rPr>
              <w:t>Puerto Williams</w:t>
            </w:r>
          </w:p>
        </w:tc>
        <w:tc>
          <w:tcPr>
            <w:tcW w:w="152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0.0298(0.0273) </w:t>
            </w:r>
          </w:p>
        </w:tc>
        <w:tc>
          <w:tcPr>
            <w:tcW w:w="16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0.8490(0.0480) </w:t>
            </w:r>
          </w:p>
        </w:tc>
        <w:tc>
          <w:tcPr>
            <w:tcW w:w="166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0.0301(0.0274)</w:t>
            </w:r>
          </w:p>
        </w:tc>
        <w:tc>
          <w:tcPr>
            <w:tcW w:w="16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0.0612(0.0374) </w:t>
            </w:r>
          </w:p>
        </w:tc>
        <w:tc>
          <w:tcPr>
            <w:tcW w:w="1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0.0299(0.0276) </w:t>
            </w:r>
          </w:p>
        </w:tc>
      </w:tr>
      <w:tr>
        <w:trPr/>
        <w:tc>
          <w:tcPr>
            <w:tcW w:w="17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ascii="Times New Roman" w:hAnsi="Times New Roman"/>
              </w:rPr>
              <w:t>O’Higgins</w:t>
            </w:r>
          </w:p>
        </w:tc>
        <w:tc>
          <w:tcPr>
            <w:tcW w:w="152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0.0253(0.0232) </w:t>
            </w:r>
          </w:p>
        </w:tc>
        <w:tc>
          <w:tcPr>
            <w:tcW w:w="16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0.0256(0.0234) </w:t>
            </w:r>
          </w:p>
        </w:tc>
        <w:tc>
          <w:tcPr>
            <w:tcW w:w="166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0.8970(0.0412)</w:t>
            </w:r>
          </w:p>
        </w:tc>
        <w:tc>
          <w:tcPr>
            <w:tcW w:w="16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0.0260(0.0244) </w:t>
            </w:r>
          </w:p>
        </w:tc>
        <w:tc>
          <w:tcPr>
            <w:tcW w:w="1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0.0262(0.0238) </w:t>
            </w:r>
          </w:p>
        </w:tc>
      </w:tr>
      <w:tr>
        <w:trPr/>
        <w:tc>
          <w:tcPr>
            <w:tcW w:w="17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ascii="Times New Roman" w:hAnsi="Times New Roman"/>
              </w:rPr>
              <w:t>Yelcho</w:t>
            </w:r>
          </w:p>
        </w:tc>
        <w:tc>
          <w:tcPr>
            <w:tcW w:w="152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0.0223(0.0206) </w:t>
            </w:r>
          </w:p>
        </w:tc>
        <w:tc>
          <w:tcPr>
            <w:tcW w:w="16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0.0220(0.0209) </w:t>
            </w:r>
          </w:p>
        </w:tc>
        <w:tc>
          <w:tcPr>
            <w:tcW w:w="166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0.0221(0.0209)</w:t>
            </w:r>
          </w:p>
        </w:tc>
        <w:tc>
          <w:tcPr>
            <w:tcW w:w="16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0.9117(0.0366) </w:t>
            </w:r>
          </w:p>
        </w:tc>
        <w:tc>
          <w:tcPr>
            <w:tcW w:w="1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0.0219(0.0203) </w:t>
            </w:r>
          </w:p>
        </w:tc>
      </w:tr>
      <w:tr>
        <w:trPr/>
        <w:tc>
          <w:tcPr>
            <w:tcW w:w="17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ascii="Times New Roman" w:hAnsi="Times New Roman"/>
              </w:rPr>
              <w:t>Rothera</w:t>
            </w:r>
          </w:p>
        </w:tc>
        <w:tc>
          <w:tcPr>
            <w:tcW w:w="152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0.0235(0.0219) </w:t>
            </w:r>
          </w:p>
        </w:tc>
        <w:tc>
          <w:tcPr>
            <w:tcW w:w="16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0.0236(0.0220) </w:t>
            </w:r>
          </w:p>
        </w:tc>
        <w:tc>
          <w:tcPr>
            <w:tcW w:w="166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0.0235(0.0218)</w:t>
            </w:r>
          </w:p>
        </w:tc>
        <w:tc>
          <w:tcPr>
            <w:tcW w:w="16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0.0236(0.0220) </w:t>
            </w:r>
          </w:p>
        </w:tc>
        <w:tc>
          <w:tcPr>
            <w:tcW w:w="1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0.9057(0.0387)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Fonts w:cs="Times New Roman" w:ascii="Times New Roman" w:hAnsi="Times New Roman"/>
          <w:b w:val="false"/>
          <w:i w:val="false"/>
          <w:caps w:val="false"/>
          <w:smallCaps w:val="false"/>
          <w:color w:val="222222"/>
          <w:spacing w:val="0"/>
          <w:sz w:val="24"/>
          <w:szCs w:val="24"/>
        </w:rPr>
        <w:t>Supplementary Figures</w:t>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pPr>
      <w:r>
        <w:rPr/>
      </w:r>
    </w:p>
    <w:p>
      <w:pPr>
        <w:pStyle w:val="Normal"/>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4998720" cy="3593465"/>
            <wp:effectExtent l="0" t="0" r="0" b="0"/>
            <wp:wrapSquare wrapText="largest"/>
            <wp:docPr id="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descr=""/>
                    <pic:cNvPicPr>
                      <a:picLocks noChangeAspect="1" noChangeArrowheads="1"/>
                    </pic:cNvPicPr>
                  </pic:nvPicPr>
                  <pic:blipFill>
                    <a:blip r:embed="rId2"/>
                    <a:stretch>
                      <a:fillRect/>
                    </a:stretch>
                  </pic:blipFill>
                  <pic:spPr bwMode="auto">
                    <a:xfrm>
                      <a:off x="0" y="0"/>
                      <a:ext cx="4998720" cy="359346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Figure S1: Principal component analysis for 41 samples from South America and Antarctica based on a matrix of 811 SNPs </w:t>
      </w:r>
      <w:r>
        <w:rPr/>
        <w:t>(with a minimum of 20 individuals with data per loci)</w:t>
      </w:r>
      <w:r>
        <w:rPr/>
        <w:t>. Labels pointing to dots indicate those two samples that had the fewest loci in the genomic data set. Note the proximity of these dots to the center of the plot (0,0) that makes them look closer to the Antarctic site Yelcho, likely an artefact given the low information available (high missing data) for these samples.</w:t>
      </w:r>
      <w:r>
        <w:br w:type="page"/>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380865" cy="358076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380865" cy="3580765"/>
                    </a:xfrm>
                    <a:prstGeom prst="rect">
                      <a:avLst/>
                    </a:prstGeom>
                  </pic:spPr>
                </pic:pic>
              </a:graphicData>
            </a:graphic>
          </wp:anchor>
        </w:drawing>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pPr>
      <w:r>
        <w:rPr>
          <w:rFonts w:ascii="Liberation Sans" w:hAnsi="Liberation Sans"/>
          <w:b w:val="false"/>
          <w:i w:val="false"/>
          <w:strike w:val="false"/>
          <w:dstrike w:val="false"/>
          <w:outline w:val="false"/>
          <w:shadow w:val="false"/>
          <w:sz w:val="20"/>
          <w:u w:val="none"/>
          <w:em w:val="none"/>
        </w:rPr>
        <w:t>Figure S2: This graph shows BIC scores for different valus of k. It is observed a decrease until k = 2 clusters, after which BIC increases. In this case, the elbow in the curve matches the smallest BIC, and indicates 2 clusters should be retained.</w:t>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r>
        <w:br w:type="page"/>
      </w:r>
    </w:p>
    <w:p>
      <w:pPr>
        <w:pStyle w:val="Normal"/>
        <w:rPr/>
      </w:pPr>
      <w:r>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4466590" cy="43103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4466590" cy="4310380"/>
                    </a:xfrm>
                    <a:prstGeom prst="rect">
                      <a:avLst/>
                    </a:prstGeom>
                  </pic:spPr>
                </pic:pic>
              </a:graphicData>
            </a:graphic>
          </wp:anchor>
        </w:drawing>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rFonts w:ascii="Times New Roman" w:hAnsi="Times New Roman" w:cs="Times New Roman"/>
          <w:b w:val="false"/>
          <w:b w:val="false"/>
          <w:i w:val="false"/>
          <w:i w:val="false"/>
          <w:caps w:val="false"/>
          <w:smallCaps w:val="false"/>
          <w:color w:val="222222"/>
          <w:spacing w:val="0"/>
          <w:sz w:val="24"/>
          <w:szCs w:val="24"/>
        </w:rPr>
      </w:pPr>
      <w:r>
        <w:rPr>
          <w:rFonts w:cs="Times New Roman" w:ascii="Times New Roman" w:hAnsi="Times New Roman"/>
          <w:b w:val="false"/>
          <w:i w:val="false"/>
          <w:caps w:val="false"/>
          <w:smallCaps w:val="false"/>
          <w:color w:val="222222"/>
          <w:spacing w:val="0"/>
          <w:sz w:val="24"/>
          <w:szCs w:val="24"/>
        </w:rPr>
      </w:r>
    </w:p>
    <w:p>
      <w:pPr>
        <w:pStyle w:val="Normal"/>
        <w:rPr/>
      </w:pPr>
      <w:r>
        <w:rPr>
          <w:rFonts w:cs="Times New Roman" w:ascii="Times New Roman" w:hAnsi="Times New Roman"/>
          <w:b w:val="false"/>
          <w:i w:val="false"/>
          <w:caps w:val="false"/>
          <w:smallCaps w:val="false"/>
          <w:strike w:val="false"/>
          <w:dstrike w:val="false"/>
          <w:outline w:val="false"/>
          <w:shadow w:val="false"/>
          <w:color w:val="222222"/>
          <w:spacing w:val="0"/>
          <w:sz w:val="24"/>
          <w:szCs w:val="24"/>
          <w:u w:val="none"/>
          <w:em w:val="none"/>
        </w:rPr>
        <w:t xml:space="preserve">Figure S3: Asymmetrical migration rates between </w:t>
      </w:r>
      <w:r>
        <w:rPr>
          <w:rFonts w:cs="Times New Roman" w:ascii="Times New Roman" w:hAnsi="Times New Roman"/>
          <w:b w:val="false"/>
          <w:i w:val="false"/>
          <w:caps w:val="false"/>
          <w:smallCaps w:val="false"/>
          <w:strike w:val="false"/>
          <w:dstrike w:val="false"/>
          <w:outline w:val="false"/>
          <w:shadow w:val="false"/>
          <w:color w:val="222222"/>
          <w:spacing w:val="0"/>
          <w:sz w:val="24"/>
          <w:szCs w:val="24"/>
          <w:u w:val="none"/>
          <w:em w:val="none"/>
        </w:rPr>
        <w:t>five</w:t>
      </w:r>
      <w:r>
        <w:rPr>
          <w:rFonts w:cs="Times New Roman" w:ascii="Times New Roman" w:hAnsi="Times New Roman"/>
          <w:b w:val="false"/>
          <w:i w:val="false"/>
          <w:caps w:val="false"/>
          <w:smallCaps w:val="false"/>
          <w:strike w:val="false"/>
          <w:dstrike w:val="false"/>
          <w:outline w:val="false"/>
          <w:shadow w:val="false"/>
          <w:color w:val="222222"/>
          <w:spacing w:val="0"/>
          <w:sz w:val="24"/>
          <w:szCs w:val="24"/>
          <w:u w:val="none"/>
          <w:em w:val="none"/>
        </w:rPr>
        <w:t xml:space="preserve"> populations of </w:t>
      </w:r>
      <w:r>
        <w:rPr>
          <w:rFonts w:cs="Times New Roman" w:ascii="Times New Roman" w:hAnsi="Times New Roman"/>
          <w:b w:val="false"/>
          <w:i/>
          <w:iCs/>
          <w:caps w:val="false"/>
          <w:smallCaps w:val="false"/>
          <w:strike w:val="false"/>
          <w:dstrike w:val="false"/>
          <w:outline w:val="false"/>
          <w:shadow w:val="false"/>
          <w:color w:val="222222"/>
          <w:spacing w:val="0"/>
          <w:sz w:val="24"/>
          <w:szCs w:val="24"/>
          <w:u w:val="none"/>
          <w:em w:val="none"/>
        </w:rPr>
        <w:t>Aequiyoldia eights</w:t>
      </w:r>
      <w:r>
        <w:rPr>
          <w:rFonts w:cs="Times New Roman" w:ascii="Times New Roman" w:hAnsi="Times New Roman"/>
          <w:b w:val="false"/>
          <w:i/>
          <w:iCs/>
          <w:caps w:val="false"/>
          <w:smallCaps w:val="false"/>
          <w:strike w:val="false"/>
          <w:dstrike w:val="false"/>
          <w:outline w:val="false"/>
          <w:shadow w:val="false"/>
          <w:color w:val="222222"/>
          <w:spacing w:val="0"/>
          <w:sz w:val="24"/>
          <w:szCs w:val="24"/>
          <w:u w:val="none"/>
          <w:em w:val="none"/>
        </w:rPr>
        <w:t>i</w:t>
      </w:r>
      <w:r>
        <w:rPr>
          <w:rFonts w:cs="Times New Roman" w:ascii="Times New Roman" w:hAnsi="Times New Roman"/>
          <w:b w:val="false"/>
          <w:i/>
          <w:iCs/>
          <w:caps w:val="false"/>
          <w:smallCaps w:val="false"/>
          <w:strike w:val="false"/>
          <w:dstrike w:val="false"/>
          <w:outline w:val="false"/>
          <w:shadow w:val="false"/>
          <w:color w:val="222222"/>
          <w:spacing w:val="0"/>
          <w:sz w:val="24"/>
          <w:szCs w:val="24"/>
          <w:u w:val="none"/>
          <w:em w:val="none"/>
        </w:rPr>
        <w:t>i</w:t>
      </w:r>
      <w:r>
        <w:rPr>
          <w:rFonts w:cs="Times New Roman" w:ascii="Times New Roman" w:hAnsi="Times New Roman"/>
          <w:b w:val="false"/>
          <w:i w:val="false"/>
          <w:caps w:val="false"/>
          <w:smallCaps w:val="false"/>
          <w:strike w:val="false"/>
          <w:dstrike w:val="false"/>
          <w:outline w:val="false"/>
          <w:shadow w:val="false"/>
          <w:color w:val="222222"/>
          <w:spacing w:val="0"/>
          <w:sz w:val="24"/>
          <w:szCs w:val="24"/>
          <w:u w:val="none"/>
          <w:em w:val="none"/>
        </w:rPr>
        <w:t xml:space="preserve"> from South America and the West Antarctic Peninsula calculated with divMigrate -online based on Jost’s </w:t>
      </w:r>
      <w:r>
        <w:rPr>
          <w:rFonts w:cs="Times New Roman" w:ascii="Times New Roman" w:hAnsi="Times New Roman"/>
          <w:b w:val="false"/>
          <w:i/>
          <w:iCs/>
          <w:caps w:val="false"/>
          <w:smallCaps w:val="false"/>
          <w:strike w:val="false"/>
          <w:dstrike w:val="false"/>
          <w:outline w:val="false"/>
          <w:shadow w:val="false"/>
          <w:color w:val="222222"/>
          <w:spacing w:val="0"/>
          <w:sz w:val="24"/>
          <w:szCs w:val="24"/>
          <w:u w:val="none"/>
          <w:em w:val="none"/>
        </w:rPr>
        <w:t xml:space="preserve">D. </w:t>
      </w:r>
      <w:r>
        <w:rPr>
          <w:rFonts w:cs="Times New Roman" w:ascii="Times New Roman" w:hAnsi="Times New Roman"/>
          <w:b w:val="false"/>
          <w:i w:val="false"/>
          <w:iCs w:val="false"/>
          <w:caps w:val="false"/>
          <w:smallCaps w:val="false"/>
          <w:strike w:val="false"/>
          <w:dstrike w:val="false"/>
          <w:outline w:val="false"/>
          <w:shadow w:val="false"/>
          <w:color w:val="222222"/>
          <w:spacing w:val="0"/>
          <w:sz w:val="24"/>
          <w:szCs w:val="24"/>
          <w:u w:val="none"/>
          <w:em w:val="none"/>
        </w:rPr>
        <w:t xml:space="preserve">Thicker arrows represent higher migration rates. </w:t>
      </w:r>
      <w:r>
        <w:rPr>
          <w:rFonts w:cs="Times New Roman" w:ascii="Times New Roman" w:hAnsi="Times New Roman"/>
          <w:b w:val="false"/>
          <w:i w:val="false"/>
          <w:iCs w:val="false"/>
          <w:caps w:val="false"/>
          <w:smallCaps w:val="false"/>
          <w:strike w:val="false"/>
          <w:dstrike w:val="false"/>
          <w:outline w:val="false"/>
          <w:shadow w:val="false"/>
          <w:color w:val="222222"/>
          <w:spacing w:val="0"/>
          <w:sz w:val="24"/>
          <w:szCs w:val="24"/>
          <w:u w:val="none"/>
          <w:em w:val="none"/>
        </w:rPr>
        <w:t>The input file  “</w:t>
      </w:r>
      <w:r>
        <w:rPr>
          <w:rFonts w:eastAsia="Noto Sans CJK SC" w:cs="Times New Roman" w:ascii="Times New Roman" w:hAnsi="Times New Roman"/>
          <w:b w:val="false"/>
          <w:i w:val="false"/>
          <w:iCs w:val="false"/>
          <w:caps w:val="false"/>
          <w:smallCaps w:val="false"/>
          <w:strike w:val="false"/>
          <w:dstrike w:val="false"/>
          <w:outline w:val="false"/>
          <w:shadow w:val="false"/>
          <w:color w:val="222222"/>
          <w:spacing w:val="0"/>
          <w:kern w:val="2"/>
          <w:sz w:val="24"/>
          <w:szCs w:val="24"/>
          <w:u w:val="none"/>
          <w:em w:val="none"/>
          <w:lang w:val="en-US" w:eastAsia="zh-CN" w:bidi="hi-IN"/>
        </w:rPr>
        <w:t>Input6_NextRad_All_genepop” was used for this analysis, and consisted of 41 individuals and 7973 loci, with a minimum of 10 individuals with data per loci.</w:t>
      </w:r>
      <w:r>
        <w:br w:type="page"/>
      </w:r>
    </w:p>
    <w:p>
      <w:pPr>
        <w:pStyle w:val="Normal"/>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r>
    </w:p>
    <w:p>
      <w:pPr>
        <w:pStyle w:val="Normal"/>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380865" cy="358076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4380865" cy="358076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Figure S6: Results of a-score as a function of the number of retained PC axes. The plot suggest the retention of 1 PC to conduct the DAPC analysis. </w:t>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380865" cy="358076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4380865" cy="358076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Figure S7: Cumulative variance explained by retained PC axes.</w:t>
      </w:r>
    </w:p>
    <w:p>
      <w:pPr>
        <w:pStyle w:val="Normal"/>
        <w:rPr/>
      </w:pPr>
      <w:r>
        <w:rPr/>
      </w:r>
    </w:p>
    <w:p>
      <w:pPr>
        <w:pStyle w:val="Normal"/>
        <w:rPr/>
      </w:pPr>
      <w:r>
        <w:rPr/>
      </w:r>
      <w:r>
        <w:br w:type="page"/>
      </w:r>
    </w:p>
    <w:p>
      <w:pPr>
        <w:pStyle w:val="Normal"/>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332220" cy="4232910"/>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7"/>
                    <a:stretch>
                      <a:fillRect/>
                    </a:stretch>
                  </pic:blipFill>
                  <pic:spPr bwMode="auto">
                    <a:xfrm>
                      <a:off x="0" y="0"/>
                      <a:ext cx="6332220" cy="4232910"/>
                    </a:xfrm>
                    <a:prstGeom prst="rect">
                      <a:avLst/>
                    </a:prstGeom>
                  </pic:spPr>
                </pic:pic>
              </a:graphicData>
            </a:graphic>
          </wp:anchor>
        </w:drawing>
      </w:r>
    </w:p>
    <w:p>
      <w:pPr>
        <w:pStyle w:val="Normal"/>
        <w:rPr/>
      </w:pPr>
      <w:r>
        <w:rPr/>
        <w:t xml:space="preserve">Figure S8: Membership probabilities derived from the discriminant analyses of principal components. The upper plot shows memberships for k= 5, whereas the lower plot shows memberships for k= 2. </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w:cs="Lohit Devanagari"/>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7022</TotalTime>
  <Application>LibreOffice/6.0.7.3$Linux_X86_64 LibreOffice_project/00m0$Build-3</Application>
  <Pages>12</Pages>
  <Words>1813</Words>
  <Characters>10344</Characters>
  <CharactersWithSpaces>11544</CharactersWithSpaces>
  <Paragraphs>667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2019-11-23T12:19:38Z</dcterms:created>
  <dc:creator/>
  <dc:description/>
  <dc:language>en-US</dc:language>
  <cp:lastModifiedBy/>
  <dcterms:modified xsi:type="dcterms:W3CDTF">2020-06-11T12:02:41Z</dcterms:modified>
  <cp:revision>31</cp:revision>
  <dc:subject/>
  <dc:title/>
</cp:coreProperties>
</file>