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378DC3" w14:textId="77777777" w:rsidR="008E1B69" w:rsidRDefault="008E1B69" w:rsidP="008E1B69">
      <w:pPr>
        <w:ind w:right="1242"/>
        <w:rPr>
          <w:rFonts w:ascii="Times New Roman" w:hAnsi="Times New Roman" w:cs="Times New Roman"/>
          <w:sz w:val="24"/>
          <w:szCs w:val="24"/>
          <w:lang w:val="en-GB"/>
        </w:rPr>
      </w:pPr>
    </w:p>
    <w:p w14:paraId="0D540099" w14:textId="77777777" w:rsidR="008E1B69" w:rsidRPr="00EB15E3" w:rsidRDefault="008E1B69" w:rsidP="008E1B69">
      <w:pPr>
        <w:spacing w:line="480" w:lineRule="auto"/>
        <w:jc w:val="center"/>
        <w:rPr>
          <w:rFonts w:ascii="Times New Roman" w:hAnsi="Times New Roman" w:cs="Times New Roman"/>
          <w:sz w:val="24"/>
          <w:szCs w:val="24"/>
          <w:lang w:val="en-GB"/>
        </w:rPr>
      </w:pPr>
      <w:r w:rsidRPr="00EB15E3">
        <w:rPr>
          <w:noProof/>
          <w:lang w:val="en-GB"/>
        </w:rPr>
        <w:drawing>
          <wp:inline distT="0" distB="0" distL="0" distR="0" wp14:anchorId="1B7055D7" wp14:editId="3F99C7DC">
            <wp:extent cx="5936176" cy="46863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35232" cy="4685554"/>
                    </a:xfrm>
                    <a:prstGeom prst="rect">
                      <a:avLst/>
                    </a:prstGeom>
                    <a:noFill/>
                    <a:ln>
                      <a:noFill/>
                    </a:ln>
                  </pic:spPr>
                </pic:pic>
              </a:graphicData>
            </a:graphic>
          </wp:inline>
        </w:drawing>
      </w:r>
    </w:p>
    <w:p w14:paraId="6AA79AC3" w14:textId="77777777" w:rsidR="008E1B69" w:rsidRPr="00EB15E3" w:rsidRDefault="008E1B69" w:rsidP="008E1B69">
      <w:pPr>
        <w:spacing w:line="480" w:lineRule="auto"/>
        <w:jc w:val="center"/>
        <w:rPr>
          <w:rFonts w:ascii="Times New Roman" w:hAnsi="Times New Roman" w:cs="Times New Roman"/>
          <w:sz w:val="24"/>
          <w:szCs w:val="24"/>
          <w:lang w:val="en-GB"/>
        </w:rPr>
      </w:pPr>
    </w:p>
    <w:p w14:paraId="3AE918FC" w14:textId="77777777" w:rsidR="008E1B69" w:rsidRPr="00EB15E3" w:rsidRDefault="008E1B69" w:rsidP="008E1B69">
      <w:pPr>
        <w:spacing w:line="480" w:lineRule="auto"/>
        <w:rPr>
          <w:rFonts w:ascii="Times New Roman" w:hAnsi="Times New Roman" w:cs="Times New Roman"/>
          <w:sz w:val="24"/>
          <w:szCs w:val="24"/>
          <w:lang w:val="en-GB"/>
        </w:rPr>
        <w:sectPr w:rsidR="008E1B69" w:rsidRPr="00EB15E3" w:rsidSect="00211272">
          <w:pgSz w:w="12240" w:h="15840"/>
          <w:pgMar w:top="1440" w:right="864" w:bottom="1440" w:left="864" w:header="720" w:footer="720" w:gutter="0"/>
          <w:cols w:space="720"/>
          <w:docGrid w:linePitch="360"/>
        </w:sectPr>
      </w:pPr>
      <w:r w:rsidRPr="00EB15E3">
        <w:rPr>
          <w:rFonts w:ascii="Times New Roman" w:hAnsi="Times New Roman" w:cs="Times New Roman"/>
          <w:b/>
          <w:sz w:val="24"/>
          <w:szCs w:val="24"/>
          <w:lang w:val="en-GB"/>
        </w:rPr>
        <w:t>Fig S2</w:t>
      </w:r>
      <w:r>
        <w:rPr>
          <w:rFonts w:ascii="Times New Roman" w:hAnsi="Times New Roman" w:cs="Times New Roman"/>
          <w:b/>
          <w:sz w:val="24"/>
          <w:szCs w:val="24"/>
          <w:lang w:val="en-GB"/>
        </w:rPr>
        <w:t>.</w:t>
      </w:r>
      <w:r w:rsidRPr="00EB15E3">
        <w:rPr>
          <w:rFonts w:ascii="Times New Roman" w:hAnsi="Times New Roman" w:cs="Times New Roman"/>
          <w:b/>
          <w:sz w:val="24"/>
          <w:szCs w:val="24"/>
          <w:lang w:val="en-GB"/>
        </w:rPr>
        <w:t xml:space="preserve"> Comparisons of raw values and derived indices representing control, non-infested TN1 seedlings (green lines and symbols), brown planthopper-infested TN1 seedlings (brown lines and symbols) and </w:t>
      </w:r>
      <w:proofErr w:type="spellStart"/>
      <w:r w:rsidRPr="00EB15E3">
        <w:rPr>
          <w:rFonts w:ascii="Times New Roman" w:hAnsi="Times New Roman" w:cs="Times New Roman"/>
          <w:b/>
          <w:sz w:val="24"/>
          <w:szCs w:val="24"/>
          <w:lang w:val="en-GB"/>
        </w:rPr>
        <w:t>whitebacked</w:t>
      </w:r>
      <w:proofErr w:type="spellEnd"/>
      <w:r w:rsidRPr="00EB15E3">
        <w:rPr>
          <w:rFonts w:ascii="Times New Roman" w:hAnsi="Times New Roman" w:cs="Times New Roman"/>
          <w:b/>
          <w:sz w:val="24"/>
          <w:szCs w:val="24"/>
          <w:lang w:val="en-GB"/>
        </w:rPr>
        <w:t xml:space="preserve"> planthopper-infested TN1 seedlings (blue lines and symbols).</w:t>
      </w:r>
      <w:r w:rsidRPr="00EB15E3">
        <w:rPr>
          <w:rFonts w:ascii="Times New Roman" w:hAnsi="Times New Roman" w:cs="Times New Roman"/>
          <w:sz w:val="24"/>
          <w:szCs w:val="24"/>
          <w:lang w:val="en-GB"/>
        </w:rPr>
        <w:t xml:space="preserve"> Indicators are as follows: A, normalized red (r), B, normalized green (g), C, normalized blue (b), D, Hue, E, Saturation, F, GMR, G, GDR, H, NGRDI, I, VARI, J, GLI, K, TGI, and L, DGCI. Mean red, green and blue reflectance are indicated in Figure 1 and NGRDI, GLI and DGCI (inverse) appear again in Figure 2. Standard errors are </w:t>
      </w:r>
      <w:r w:rsidRPr="00EB15E3">
        <w:rPr>
          <w:rFonts w:ascii="Times New Roman" w:hAnsi="Times New Roman" w:cs="Times New Roman"/>
          <w:sz w:val="24"/>
          <w:szCs w:val="24"/>
          <w:lang w:val="en-GB"/>
        </w:rPr>
        <w:lastRenderedPageBreak/>
        <w:t>indicated. Results for repeated measures GLMs are indicated as time (T), treatment (H), and time*treatment interaction (T*H). *** = P ≤ 0.001, * = P ≤ 0.05, ns = P &gt; 0.05 (N = 3). F-values are presented in Table S2.</w:t>
      </w:r>
    </w:p>
    <w:p w14:paraId="424B6ACE" w14:textId="77777777" w:rsidR="00691A0D" w:rsidRDefault="008E1B69"/>
    <w:sectPr w:rsidR="00691A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8E1B69"/>
    <w:rsid w:val="000E4DD1"/>
    <w:rsid w:val="006D0C9D"/>
    <w:rsid w:val="008E1B69"/>
    <w:rsid w:val="008F55D4"/>
    <w:rsid w:val="00D33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064B2"/>
  <w15:chartTrackingRefBased/>
  <w15:docId w15:val="{70D3832D-AC08-4BE8-B440-444AD509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Words>
  <Characters>702</Characters>
  <Application>Microsoft Office Word</Application>
  <DocSecurity>0</DocSecurity>
  <Lines>5</Lines>
  <Paragraphs>1</Paragraphs>
  <ScaleCrop>false</ScaleCrop>
  <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chn off27</dc:creator>
  <cp:keywords/>
  <dc:description/>
  <cp:lastModifiedBy>chn off27</cp:lastModifiedBy>
  <cp:revision>1</cp:revision>
  <dcterms:created xsi:type="dcterms:W3CDTF">2020-08-20T16:23:00Z</dcterms:created>
  <dcterms:modified xsi:type="dcterms:W3CDTF">2020-08-20T16:23:00Z</dcterms:modified>
</cp:coreProperties>
</file>