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888E3" w14:textId="0919023C" w:rsidR="00277868" w:rsidRPr="00382F68" w:rsidRDefault="00EC1C20" w:rsidP="00755DC0">
      <w:pPr>
        <w:spacing w:before="120" w:after="120" w:line="360" w:lineRule="auto"/>
        <w:jc w:val="center"/>
        <w:rPr>
          <w:b/>
          <w:sz w:val="28"/>
        </w:rPr>
      </w:pPr>
      <w:bookmarkStart w:id="0" w:name="_GoBack"/>
      <w:bookmarkEnd w:id="0"/>
      <w:r w:rsidRPr="00382F68">
        <w:rPr>
          <w:b/>
          <w:sz w:val="28"/>
        </w:rPr>
        <w:t xml:space="preserve">Web </w:t>
      </w:r>
      <w:r w:rsidR="00D45A09" w:rsidRPr="00382F68">
        <w:rPr>
          <w:b/>
          <w:sz w:val="28"/>
        </w:rPr>
        <w:t>Appendix</w:t>
      </w:r>
    </w:p>
    <w:p w14:paraId="2BB20ADA" w14:textId="6CBED670" w:rsidR="00D45A09" w:rsidRPr="00382F68" w:rsidRDefault="001C0B86" w:rsidP="001C0B86">
      <w:pPr>
        <w:spacing w:before="120" w:after="120" w:line="360" w:lineRule="auto"/>
        <w:jc w:val="center"/>
        <w:rPr>
          <w:sz w:val="16"/>
        </w:rPr>
      </w:pPr>
      <w:r w:rsidRPr="00382F68">
        <w:rPr>
          <w:rFonts w:cstheme="minorHAnsi"/>
          <w:sz w:val="28"/>
          <w:szCs w:val="24"/>
        </w:rPr>
        <w:t xml:space="preserve">Benefit cost analysis of an interprofessional education program </w:t>
      </w:r>
      <w:r w:rsidR="00382F68" w:rsidRPr="00382F68">
        <w:rPr>
          <w:rFonts w:cstheme="minorHAnsi"/>
          <w:sz w:val="28"/>
          <w:szCs w:val="24"/>
        </w:rPr>
        <w:t>within</w:t>
      </w:r>
      <w:r w:rsidRPr="00382F68">
        <w:rPr>
          <w:rFonts w:cstheme="minorHAnsi"/>
          <w:sz w:val="28"/>
          <w:szCs w:val="24"/>
        </w:rPr>
        <w:t xml:space="preserve"> </w:t>
      </w:r>
      <w:r w:rsidR="0052235D" w:rsidRPr="00382F68">
        <w:rPr>
          <w:rFonts w:cstheme="minorHAnsi"/>
          <w:sz w:val="28"/>
          <w:szCs w:val="24"/>
        </w:rPr>
        <w:t xml:space="preserve">residential aged care facility in </w:t>
      </w:r>
      <w:r w:rsidRPr="00382F68">
        <w:rPr>
          <w:rFonts w:cstheme="minorHAnsi"/>
          <w:sz w:val="28"/>
          <w:szCs w:val="24"/>
        </w:rPr>
        <w:t>Western Australia</w:t>
      </w:r>
    </w:p>
    <w:p w14:paraId="6866A35E" w14:textId="77777777" w:rsidR="001C0B86" w:rsidRDefault="001C0B86" w:rsidP="00B85634">
      <w:pPr>
        <w:spacing w:before="120" w:after="120" w:line="360" w:lineRule="auto"/>
        <w:rPr>
          <w:rFonts w:cstheme="minorHAnsi"/>
          <w:szCs w:val="24"/>
        </w:rPr>
      </w:pPr>
    </w:p>
    <w:p w14:paraId="5B080445" w14:textId="345628C3" w:rsidR="005D5FC8" w:rsidRDefault="009D08F6" w:rsidP="00B85634">
      <w:pPr>
        <w:spacing w:before="120" w:after="120" w:line="360" w:lineRule="auto"/>
        <w:rPr>
          <w:rFonts w:cstheme="minorHAnsi"/>
          <w:szCs w:val="24"/>
        </w:rPr>
      </w:pPr>
      <w:r>
        <w:rPr>
          <w:rFonts w:cstheme="minorHAnsi"/>
          <w:szCs w:val="24"/>
        </w:rPr>
        <w:t xml:space="preserve">This Appendix documents </w:t>
      </w:r>
      <w:r w:rsidR="005D5FC8">
        <w:rPr>
          <w:rFonts w:cstheme="minorHAnsi"/>
          <w:szCs w:val="24"/>
        </w:rPr>
        <w:t xml:space="preserve">(A) </w:t>
      </w:r>
      <w:r>
        <w:rPr>
          <w:rFonts w:cstheme="minorHAnsi"/>
          <w:szCs w:val="24"/>
        </w:rPr>
        <w:t xml:space="preserve">the pre-modelling data analyses and assumptions performed for the benefit-cost analysis of the IPE </w:t>
      </w:r>
      <w:r w:rsidR="00E32A1F">
        <w:rPr>
          <w:rFonts w:cstheme="minorHAnsi"/>
          <w:szCs w:val="24"/>
        </w:rPr>
        <w:t>program</w:t>
      </w:r>
      <w:r w:rsidR="005D5FC8">
        <w:rPr>
          <w:rFonts w:cstheme="minorHAnsi"/>
          <w:szCs w:val="24"/>
        </w:rPr>
        <w:t xml:space="preserve"> and (B) the complete results of the base case analyses for all four perspectives (Project, Private, Efficiency and Referent-Group Analyses)</w:t>
      </w:r>
      <w:r w:rsidR="00E32A1F">
        <w:rPr>
          <w:rFonts w:cstheme="minorHAnsi"/>
          <w:szCs w:val="24"/>
        </w:rPr>
        <w:t xml:space="preserve">. </w:t>
      </w:r>
    </w:p>
    <w:p w14:paraId="685721DD" w14:textId="677A547C" w:rsidR="00D45A09" w:rsidRDefault="00D45A09" w:rsidP="00B85634">
      <w:pPr>
        <w:spacing w:before="120" w:after="120" w:line="360" w:lineRule="auto"/>
        <w:rPr>
          <w:rFonts w:cstheme="minorHAnsi"/>
          <w:szCs w:val="24"/>
        </w:rPr>
      </w:pPr>
      <w:r>
        <w:rPr>
          <w:rFonts w:cstheme="minorHAnsi"/>
          <w:szCs w:val="24"/>
        </w:rPr>
        <w:t>Benefit-cost</w:t>
      </w:r>
      <w:r w:rsidRPr="008A25FA">
        <w:rPr>
          <w:rFonts w:cstheme="minorHAnsi"/>
          <w:szCs w:val="24"/>
        </w:rPr>
        <w:t xml:space="preserve"> analysis is a process of identifying, measuring and comparing the benefits and costs of an investment program or project.</w:t>
      </w:r>
      <w:r>
        <w:rPr>
          <w:rFonts w:cstheme="minorHAnsi"/>
          <w:szCs w:val="24"/>
        </w:rPr>
        <w:t xml:space="preserve"> The key variables to calculate benefits and costs </w:t>
      </w:r>
      <w:r w:rsidR="00B06DD1">
        <w:rPr>
          <w:rFonts w:cstheme="minorHAnsi"/>
          <w:szCs w:val="24"/>
        </w:rPr>
        <w:t xml:space="preserve">for the economic evaluation of </w:t>
      </w:r>
      <w:r>
        <w:rPr>
          <w:rFonts w:cstheme="minorHAnsi"/>
          <w:szCs w:val="24"/>
        </w:rPr>
        <w:t xml:space="preserve">the Interprofessional Education (IPE) program </w:t>
      </w:r>
      <w:r w:rsidR="00B06DD1">
        <w:rPr>
          <w:rFonts w:cstheme="minorHAnsi"/>
          <w:szCs w:val="24"/>
        </w:rPr>
        <w:t xml:space="preserve">in a residential aged care facility (RACF) </w:t>
      </w:r>
      <w:r>
        <w:rPr>
          <w:rFonts w:cstheme="minorHAnsi"/>
          <w:szCs w:val="24"/>
        </w:rPr>
        <w:t xml:space="preserve">are described below. </w:t>
      </w:r>
      <w:r w:rsidR="00B85634" w:rsidRPr="008A25FA">
        <w:rPr>
          <w:rFonts w:cstheme="minorHAnsi"/>
          <w:szCs w:val="24"/>
        </w:rPr>
        <w:t>All benefits and costs were measured in 2016 Australian dollars (A$).</w:t>
      </w:r>
    </w:p>
    <w:p w14:paraId="3DDAA0CB" w14:textId="77777777" w:rsidR="00033F13" w:rsidRDefault="00033F13" w:rsidP="00755DC0">
      <w:pPr>
        <w:spacing w:before="120" w:after="120" w:line="360" w:lineRule="auto"/>
        <w:rPr>
          <w:rFonts w:cstheme="minorHAnsi"/>
          <w:b/>
          <w:sz w:val="24"/>
          <w:szCs w:val="24"/>
        </w:rPr>
      </w:pPr>
    </w:p>
    <w:p w14:paraId="027FD25D" w14:textId="18E254C4" w:rsidR="005D5FC8" w:rsidRPr="005D5FC8" w:rsidRDefault="005D5FC8" w:rsidP="00755DC0">
      <w:pPr>
        <w:spacing w:before="120" w:after="120" w:line="360" w:lineRule="auto"/>
        <w:rPr>
          <w:rFonts w:cstheme="minorHAnsi"/>
          <w:b/>
          <w:sz w:val="24"/>
          <w:szCs w:val="24"/>
        </w:rPr>
      </w:pPr>
      <w:r w:rsidRPr="005D5FC8">
        <w:rPr>
          <w:rFonts w:cstheme="minorHAnsi"/>
          <w:b/>
          <w:sz w:val="24"/>
          <w:szCs w:val="24"/>
        </w:rPr>
        <w:t xml:space="preserve">A. </w:t>
      </w:r>
      <w:r>
        <w:rPr>
          <w:rFonts w:cstheme="minorHAnsi"/>
          <w:b/>
          <w:sz w:val="24"/>
          <w:szCs w:val="24"/>
        </w:rPr>
        <w:t>Data inputs, assumptions and p</w:t>
      </w:r>
      <w:r w:rsidRPr="005D5FC8">
        <w:rPr>
          <w:rFonts w:cstheme="minorHAnsi"/>
          <w:b/>
          <w:sz w:val="24"/>
          <w:szCs w:val="24"/>
        </w:rPr>
        <w:t>re-modelling a</w:t>
      </w:r>
      <w:r>
        <w:rPr>
          <w:rFonts w:cstheme="minorHAnsi"/>
          <w:b/>
          <w:sz w:val="24"/>
          <w:szCs w:val="24"/>
        </w:rPr>
        <w:t>nalyse</w:t>
      </w:r>
      <w:r w:rsidRPr="005D5FC8">
        <w:rPr>
          <w:rFonts w:cstheme="minorHAnsi"/>
          <w:b/>
          <w:sz w:val="24"/>
          <w:szCs w:val="24"/>
        </w:rPr>
        <w:t>s</w:t>
      </w:r>
    </w:p>
    <w:p w14:paraId="71BAFEDD" w14:textId="65AED23C" w:rsidR="00B06DD1" w:rsidRDefault="00033F13" w:rsidP="00755DC0">
      <w:pPr>
        <w:spacing w:before="120" w:after="120" w:line="360" w:lineRule="auto"/>
        <w:rPr>
          <w:rFonts w:cstheme="minorHAnsi"/>
          <w:b/>
          <w:szCs w:val="24"/>
          <w:u w:val="single"/>
        </w:rPr>
      </w:pPr>
      <w:r>
        <w:rPr>
          <w:rFonts w:cstheme="minorHAnsi"/>
          <w:b/>
          <w:szCs w:val="24"/>
          <w:u w:val="single"/>
        </w:rPr>
        <w:t xml:space="preserve">A.1. </w:t>
      </w:r>
      <w:r w:rsidR="00B06DD1">
        <w:rPr>
          <w:rFonts w:cstheme="minorHAnsi"/>
          <w:b/>
          <w:szCs w:val="24"/>
          <w:u w:val="single"/>
        </w:rPr>
        <w:t xml:space="preserve">Basic </w:t>
      </w:r>
      <w:r>
        <w:rPr>
          <w:rFonts w:cstheme="minorHAnsi"/>
          <w:b/>
          <w:szCs w:val="24"/>
          <w:u w:val="single"/>
        </w:rPr>
        <w:t xml:space="preserve">model </w:t>
      </w:r>
      <w:r w:rsidR="00B06DD1">
        <w:rPr>
          <w:rFonts w:cstheme="minorHAnsi"/>
          <w:b/>
          <w:szCs w:val="24"/>
          <w:u w:val="single"/>
        </w:rPr>
        <w:t>parameters:</w:t>
      </w:r>
    </w:p>
    <w:p w14:paraId="2DD04D7C" w14:textId="58B32749" w:rsidR="00B06DD1" w:rsidRDefault="00B06DD1" w:rsidP="00755DC0">
      <w:pPr>
        <w:spacing w:before="120" w:after="120" w:line="360" w:lineRule="auto"/>
        <w:rPr>
          <w:rFonts w:cstheme="minorHAnsi"/>
          <w:szCs w:val="24"/>
        </w:rPr>
      </w:pPr>
      <w:r>
        <w:rPr>
          <w:rFonts w:cstheme="minorHAnsi"/>
          <w:szCs w:val="24"/>
        </w:rPr>
        <w:t xml:space="preserve">The evaluation considers an 8-year duration, of which the first 3 years (year 0 to 2) consists of program implementation, and last 5 years (year 3 to 8) captures the lasting effect of productivity improvement to students and staff due to IPE exposure. </w:t>
      </w:r>
      <w:r w:rsidR="00DF5A5E">
        <w:rPr>
          <w:rFonts w:cstheme="minorHAnsi"/>
          <w:szCs w:val="24"/>
        </w:rPr>
        <w:t xml:space="preserve">All analyses were conducted with three discount rates 2%, 5% and 7%. </w:t>
      </w:r>
    </w:p>
    <w:p w14:paraId="63D28E4D" w14:textId="5FDB0EDE" w:rsidR="002F7944" w:rsidRDefault="00642815" w:rsidP="00755DC0">
      <w:pPr>
        <w:spacing w:before="120" w:after="120" w:line="360" w:lineRule="auto"/>
        <w:rPr>
          <w:rFonts w:cstheme="minorHAnsi"/>
          <w:szCs w:val="24"/>
        </w:rPr>
      </w:pPr>
      <w:r>
        <w:rPr>
          <w:rFonts w:cstheme="minorHAnsi"/>
          <w:szCs w:val="24"/>
        </w:rPr>
        <w:t xml:space="preserve">According to IPE program reports and RACF administrative </w:t>
      </w:r>
      <w:r w:rsidR="002F7944">
        <w:rPr>
          <w:rFonts w:cstheme="minorHAnsi"/>
          <w:szCs w:val="24"/>
        </w:rPr>
        <w:t xml:space="preserve">data: </w:t>
      </w:r>
    </w:p>
    <w:p w14:paraId="009F4BF6" w14:textId="0013CA4F" w:rsidR="002F7944" w:rsidRDefault="002F7944" w:rsidP="00755DC0">
      <w:pPr>
        <w:pStyle w:val="ListParagraph"/>
        <w:numPr>
          <w:ilvl w:val="0"/>
          <w:numId w:val="1"/>
        </w:numPr>
        <w:spacing w:before="120" w:after="120" w:line="360" w:lineRule="auto"/>
        <w:rPr>
          <w:rFonts w:cstheme="minorHAnsi"/>
          <w:szCs w:val="24"/>
        </w:rPr>
      </w:pPr>
      <w:r>
        <w:rPr>
          <w:rFonts w:cstheme="minorHAnsi"/>
          <w:szCs w:val="24"/>
        </w:rPr>
        <w:t>T</w:t>
      </w:r>
      <w:r w:rsidR="00B06DD1" w:rsidRPr="002F7944">
        <w:rPr>
          <w:rFonts w:cstheme="minorHAnsi"/>
          <w:szCs w:val="24"/>
        </w:rPr>
        <w:t xml:space="preserve">he program serviced 181 students over the 3 year period, averaging 60 students per year. </w:t>
      </w:r>
      <w:r w:rsidR="00642815" w:rsidRPr="002F7944">
        <w:rPr>
          <w:rFonts w:cstheme="minorHAnsi"/>
          <w:szCs w:val="24"/>
        </w:rPr>
        <w:t xml:space="preserve">The average university funding per student </w:t>
      </w:r>
      <w:r w:rsidRPr="00A207F9">
        <w:rPr>
          <w:rFonts w:cstheme="minorHAnsi"/>
          <w:szCs w:val="24"/>
        </w:rPr>
        <w:t>per annu</w:t>
      </w:r>
      <w:r w:rsidR="00A97535">
        <w:rPr>
          <w:rFonts w:cstheme="minorHAnsi"/>
          <w:szCs w:val="24"/>
        </w:rPr>
        <w:t>m</w:t>
      </w:r>
      <w:r w:rsidR="002852F7" w:rsidRPr="00A207F9">
        <w:rPr>
          <w:rFonts w:cstheme="minorHAnsi"/>
          <w:szCs w:val="24"/>
        </w:rPr>
        <w:t xml:space="preserve"> was </w:t>
      </w:r>
      <w:r w:rsidR="00B85634" w:rsidRPr="00A207F9">
        <w:rPr>
          <w:rFonts w:cstheme="minorHAnsi"/>
          <w:szCs w:val="24"/>
        </w:rPr>
        <w:t>A</w:t>
      </w:r>
      <w:r w:rsidR="00A207F9" w:rsidRPr="00A207F9">
        <w:rPr>
          <w:rFonts w:cstheme="minorHAnsi"/>
          <w:szCs w:val="24"/>
        </w:rPr>
        <w:t>U</w:t>
      </w:r>
      <w:r w:rsidR="002852F7" w:rsidRPr="00A207F9">
        <w:rPr>
          <w:rFonts w:cstheme="minorHAnsi"/>
          <w:szCs w:val="24"/>
        </w:rPr>
        <w:t xml:space="preserve">$231 (range: </w:t>
      </w:r>
      <w:r w:rsidR="00A207F9" w:rsidRPr="00A207F9">
        <w:rPr>
          <w:rFonts w:cstheme="minorHAnsi"/>
          <w:szCs w:val="24"/>
        </w:rPr>
        <w:t>AU$0-$600</w:t>
      </w:r>
      <w:r w:rsidR="002852F7" w:rsidRPr="00A207F9">
        <w:rPr>
          <w:rFonts w:cstheme="minorHAnsi"/>
          <w:szCs w:val="24"/>
        </w:rPr>
        <w:t>).</w:t>
      </w:r>
      <w:r w:rsidR="002852F7" w:rsidRPr="002F7944">
        <w:rPr>
          <w:rFonts w:cstheme="minorHAnsi"/>
          <w:szCs w:val="24"/>
        </w:rPr>
        <w:t xml:space="preserve"> </w:t>
      </w:r>
    </w:p>
    <w:p w14:paraId="0795865F" w14:textId="765E473F" w:rsidR="002F7944" w:rsidRPr="002F7944" w:rsidRDefault="002F7944" w:rsidP="00755DC0">
      <w:pPr>
        <w:pStyle w:val="ListParagraph"/>
        <w:numPr>
          <w:ilvl w:val="0"/>
          <w:numId w:val="1"/>
        </w:numPr>
        <w:spacing w:before="120" w:after="120" w:line="360" w:lineRule="auto"/>
        <w:rPr>
          <w:rFonts w:cstheme="minorHAnsi"/>
          <w:szCs w:val="24"/>
        </w:rPr>
      </w:pPr>
      <w:r>
        <w:rPr>
          <w:rFonts w:cstheme="minorHAnsi"/>
          <w:szCs w:val="24"/>
        </w:rPr>
        <w:t>T</w:t>
      </w:r>
      <w:r w:rsidR="002852F7" w:rsidRPr="002F7944">
        <w:rPr>
          <w:rFonts w:cstheme="minorHAnsi"/>
          <w:szCs w:val="24"/>
        </w:rPr>
        <w:t xml:space="preserve">here were, </w:t>
      </w:r>
      <w:r w:rsidR="00B06DD1" w:rsidRPr="002F7944">
        <w:rPr>
          <w:rFonts w:cstheme="minorHAnsi"/>
          <w:szCs w:val="24"/>
        </w:rPr>
        <w:t xml:space="preserve">on average, 182 training sessions </w:t>
      </w:r>
      <w:r w:rsidR="002852F7" w:rsidRPr="002F7944">
        <w:rPr>
          <w:rFonts w:cstheme="minorHAnsi"/>
          <w:szCs w:val="24"/>
        </w:rPr>
        <w:t xml:space="preserve">organised </w:t>
      </w:r>
      <w:r w:rsidR="00B06DD1" w:rsidRPr="002F7944">
        <w:rPr>
          <w:rFonts w:cstheme="minorHAnsi"/>
          <w:szCs w:val="24"/>
        </w:rPr>
        <w:t>for students</w:t>
      </w:r>
      <w:r w:rsidR="0055283D" w:rsidRPr="002F7944">
        <w:rPr>
          <w:rFonts w:cstheme="minorHAnsi"/>
          <w:szCs w:val="24"/>
        </w:rPr>
        <w:t xml:space="preserve"> within the IPE program</w:t>
      </w:r>
      <w:r w:rsidR="0051270E">
        <w:rPr>
          <w:rFonts w:cstheme="minorHAnsi"/>
          <w:szCs w:val="24"/>
        </w:rPr>
        <w:t xml:space="preserve"> every year. Some of these sessions were online training module</w:t>
      </w:r>
      <w:r w:rsidR="009B6633">
        <w:rPr>
          <w:rFonts w:cstheme="minorHAnsi"/>
          <w:szCs w:val="24"/>
        </w:rPr>
        <w:t>s</w:t>
      </w:r>
      <w:r w:rsidR="0051270E">
        <w:rPr>
          <w:rFonts w:cstheme="minorHAnsi"/>
          <w:szCs w:val="24"/>
        </w:rPr>
        <w:t xml:space="preserve">. </w:t>
      </w:r>
    </w:p>
    <w:p w14:paraId="43937E0F" w14:textId="66DE1F7C" w:rsidR="002F7944" w:rsidRDefault="0055283D" w:rsidP="00755DC0">
      <w:pPr>
        <w:pStyle w:val="ListParagraph"/>
        <w:numPr>
          <w:ilvl w:val="0"/>
          <w:numId w:val="1"/>
        </w:numPr>
        <w:spacing w:before="120" w:after="120" w:line="360" w:lineRule="auto"/>
        <w:rPr>
          <w:rFonts w:cstheme="minorHAnsi"/>
          <w:szCs w:val="24"/>
        </w:rPr>
      </w:pPr>
      <w:r w:rsidRPr="002F7944">
        <w:rPr>
          <w:rFonts w:cstheme="minorHAnsi"/>
          <w:szCs w:val="24"/>
        </w:rPr>
        <w:t xml:space="preserve">The program had </w:t>
      </w:r>
      <w:r w:rsidR="00B06DD1" w:rsidRPr="002F7944">
        <w:rPr>
          <w:rFonts w:cstheme="minorHAnsi"/>
          <w:szCs w:val="24"/>
        </w:rPr>
        <w:t>10 RACF staff involved in supe</w:t>
      </w:r>
      <w:r w:rsidR="00642815" w:rsidRPr="002F7944">
        <w:rPr>
          <w:rFonts w:cstheme="minorHAnsi"/>
          <w:szCs w:val="24"/>
        </w:rPr>
        <w:t>rvising and training students</w:t>
      </w:r>
      <w:r w:rsidRPr="002F7944">
        <w:rPr>
          <w:rFonts w:cstheme="minorHAnsi"/>
          <w:szCs w:val="24"/>
        </w:rPr>
        <w:t xml:space="preserve"> (per year)</w:t>
      </w:r>
      <w:r w:rsidR="002F7B74">
        <w:rPr>
          <w:rFonts w:cstheme="minorHAnsi"/>
          <w:szCs w:val="24"/>
        </w:rPr>
        <w:t>, and the whole facility had 30 aged care staff.</w:t>
      </w:r>
      <w:r w:rsidR="00642815" w:rsidRPr="002F7944">
        <w:rPr>
          <w:rFonts w:cstheme="minorHAnsi"/>
          <w:szCs w:val="24"/>
        </w:rPr>
        <w:t xml:space="preserve"> </w:t>
      </w:r>
      <w:r w:rsidR="002F7B74">
        <w:rPr>
          <w:rFonts w:cstheme="minorHAnsi"/>
          <w:szCs w:val="24"/>
        </w:rPr>
        <w:t xml:space="preserve">On average, </w:t>
      </w:r>
      <w:r w:rsidR="00FE0D4A">
        <w:rPr>
          <w:rFonts w:cstheme="minorHAnsi"/>
          <w:szCs w:val="24"/>
        </w:rPr>
        <w:t xml:space="preserve">one </w:t>
      </w:r>
      <w:r w:rsidR="002F7B74">
        <w:rPr>
          <w:rFonts w:cstheme="minorHAnsi"/>
          <w:szCs w:val="24"/>
        </w:rPr>
        <w:t>new staff</w:t>
      </w:r>
      <w:r w:rsidR="00FE0D4A">
        <w:rPr>
          <w:rFonts w:cstheme="minorHAnsi"/>
          <w:szCs w:val="24"/>
        </w:rPr>
        <w:t xml:space="preserve"> member</w:t>
      </w:r>
      <w:r w:rsidR="002F7B74">
        <w:rPr>
          <w:rFonts w:cstheme="minorHAnsi"/>
          <w:szCs w:val="24"/>
        </w:rPr>
        <w:t xml:space="preserve"> </w:t>
      </w:r>
      <w:r w:rsidR="00FE0D4A">
        <w:rPr>
          <w:rFonts w:cstheme="minorHAnsi"/>
          <w:szCs w:val="24"/>
        </w:rPr>
        <w:t>was recruited each</w:t>
      </w:r>
      <w:r w:rsidR="00850880">
        <w:rPr>
          <w:rFonts w:cstheme="minorHAnsi"/>
          <w:szCs w:val="24"/>
        </w:rPr>
        <w:t xml:space="preserve"> </w:t>
      </w:r>
      <w:r w:rsidR="002F7B74">
        <w:rPr>
          <w:rFonts w:cstheme="minorHAnsi"/>
          <w:szCs w:val="24"/>
        </w:rPr>
        <w:t>year to replace a</w:t>
      </w:r>
      <w:r w:rsidR="00FE0D4A">
        <w:rPr>
          <w:rFonts w:cstheme="minorHAnsi"/>
          <w:szCs w:val="24"/>
        </w:rPr>
        <w:t>n existing</w:t>
      </w:r>
      <w:r w:rsidR="002F7B74">
        <w:rPr>
          <w:rFonts w:cstheme="minorHAnsi"/>
          <w:szCs w:val="24"/>
        </w:rPr>
        <w:t xml:space="preserve"> staff </w:t>
      </w:r>
      <w:r w:rsidR="00FE0D4A">
        <w:rPr>
          <w:rFonts w:cstheme="minorHAnsi"/>
          <w:szCs w:val="24"/>
        </w:rPr>
        <w:t>member (</w:t>
      </w:r>
      <w:r w:rsidR="002F7B74">
        <w:rPr>
          <w:rFonts w:cstheme="minorHAnsi"/>
          <w:szCs w:val="24"/>
        </w:rPr>
        <w:t xml:space="preserve">moved into other duties or left the facility). </w:t>
      </w:r>
    </w:p>
    <w:p w14:paraId="2B3968C9" w14:textId="15A3045A" w:rsidR="00642815" w:rsidRPr="002F7944" w:rsidRDefault="00642815" w:rsidP="00755DC0">
      <w:pPr>
        <w:pStyle w:val="ListParagraph"/>
        <w:numPr>
          <w:ilvl w:val="0"/>
          <w:numId w:val="1"/>
        </w:numPr>
        <w:spacing w:before="120" w:after="120" w:line="360" w:lineRule="auto"/>
        <w:rPr>
          <w:rFonts w:cstheme="minorHAnsi"/>
          <w:szCs w:val="24"/>
        </w:rPr>
      </w:pPr>
      <w:r w:rsidRPr="002F7944">
        <w:rPr>
          <w:rFonts w:cstheme="minorHAnsi"/>
          <w:szCs w:val="24"/>
        </w:rPr>
        <w:t>During the evaluation period</w:t>
      </w:r>
      <w:r w:rsidR="002D2A73">
        <w:rPr>
          <w:rFonts w:cstheme="minorHAnsi"/>
          <w:szCs w:val="24"/>
        </w:rPr>
        <w:t xml:space="preserve"> (</w:t>
      </w:r>
      <w:r w:rsidR="00BF55F5">
        <w:rPr>
          <w:rFonts w:cstheme="minorHAnsi"/>
          <w:szCs w:val="24"/>
        </w:rPr>
        <w:t>8 years in total:</w:t>
      </w:r>
      <w:r w:rsidR="00850880">
        <w:rPr>
          <w:rFonts w:cstheme="minorHAnsi"/>
          <w:szCs w:val="24"/>
        </w:rPr>
        <w:t xml:space="preserve"> </w:t>
      </w:r>
      <w:r w:rsidR="002D2A73">
        <w:rPr>
          <w:rFonts w:cstheme="minorHAnsi"/>
          <w:szCs w:val="24"/>
        </w:rPr>
        <w:t>3 years</w:t>
      </w:r>
      <w:r w:rsidR="00850880">
        <w:rPr>
          <w:rFonts w:cstheme="minorHAnsi"/>
          <w:szCs w:val="24"/>
        </w:rPr>
        <w:t xml:space="preserve"> of IPE program and 5 years afterward </w:t>
      </w:r>
      <w:r w:rsidR="00BF55F5">
        <w:rPr>
          <w:rFonts w:cstheme="minorHAnsi"/>
          <w:szCs w:val="24"/>
        </w:rPr>
        <w:t>to capture the medium-</w:t>
      </w:r>
      <w:r w:rsidR="00850880">
        <w:rPr>
          <w:rFonts w:cstheme="minorHAnsi"/>
          <w:szCs w:val="24"/>
        </w:rPr>
        <w:t>term effect of the program</w:t>
      </w:r>
      <w:r w:rsidR="002D2A73">
        <w:rPr>
          <w:rFonts w:cstheme="minorHAnsi"/>
          <w:szCs w:val="24"/>
        </w:rPr>
        <w:t>)</w:t>
      </w:r>
      <w:r w:rsidRPr="002F7944">
        <w:rPr>
          <w:rFonts w:cstheme="minorHAnsi"/>
          <w:szCs w:val="24"/>
        </w:rPr>
        <w:t xml:space="preserve">, </w:t>
      </w:r>
      <w:r w:rsidR="00A97535">
        <w:rPr>
          <w:rFonts w:cstheme="minorHAnsi"/>
          <w:szCs w:val="24"/>
        </w:rPr>
        <w:t>a total of 330</w:t>
      </w:r>
      <w:r w:rsidRPr="002F7944">
        <w:rPr>
          <w:rFonts w:cstheme="minorHAnsi"/>
          <w:szCs w:val="24"/>
        </w:rPr>
        <w:t xml:space="preserve"> residents </w:t>
      </w:r>
      <w:r w:rsidR="00A97535">
        <w:rPr>
          <w:rFonts w:cstheme="minorHAnsi"/>
          <w:szCs w:val="24"/>
        </w:rPr>
        <w:t xml:space="preserve">were </w:t>
      </w:r>
      <w:r w:rsidRPr="002F7944">
        <w:rPr>
          <w:rFonts w:cstheme="minorHAnsi"/>
          <w:szCs w:val="24"/>
        </w:rPr>
        <w:t xml:space="preserve">in contact with IPE students. </w:t>
      </w:r>
    </w:p>
    <w:p w14:paraId="5475BF95" w14:textId="58906F07" w:rsidR="00D45A09" w:rsidRPr="00B06DD1" w:rsidRDefault="00033F13" w:rsidP="00755DC0">
      <w:pPr>
        <w:spacing w:before="120" w:after="120" w:line="360" w:lineRule="auto"/>
        <w:rPr>
          <w:rFonts w:cstheme="minorHAnsi"/>
          <w:b/>
          <w:szCs w:val="24"/>
          <w:u w:val="single"/>
        </w:rPr>
      </w:pPr>
      <w:r>
        <w:rPr>
          <w:rFonts w:cstheme="minorHAnsi"/>
          <w:b/>
          <w:szCs w:val="24"/>
          <w:u w:val="single"/>
        </w:rPr>
        <w:t xml:space="preserve">A.2. </w:t>
      </w:r>
      <w:r w:rsidR="00B06DD1" w:rsidRPr="00B06DD1">
        <w:rPr>
          <w:rFonts w:cstheme="minorHAnsi"/>
          <w:b/>
          <w:szCs w:val="24"/>
          <w:u w:val="single"/>
        </w:rPr>
        <w:t xml:space="preserve">Benefits </w:t>
      </w:r>
    </w:p>
    <w:p w14:paraId="0F32B5D6" w14:textId="5CA96107" w:rsidR="001C5D21" w:rsidRDefault="007B751F" w:rsidP="00207E02">
      <w:pPr>
        <w:spacing w:before="120" w:after="120" w:line="360" w:lineRule="auto"/>
        <w:rPr>
          <w:rFonts w:cstheme="minorHAnsi"/>
          <w:szCs w:val="24"/>
        </w:rPr>
      </w:pPr>
      <w:r>
        <w:rPr>
          <w:rFonts w:cstheme="minorHAnsi"/>
          <w:szCs w:val="24"/>
        </w:rPr>
        <w:lastRenderedPageBreak/>
        <w:t>Three</w:t>
      </w:r>
      <w:r w:rsidR="001C5D21">
        <w:rPr>
          <w:rFonts w:cstheme="minorHAnsi"/>
          <w:szCs w:val="24"/>
        </w:rPr>
        <w:t xml:space="preserve"> </w:t>
      </w:r>
      <w:r w:rsidR="006A3F81">
        <w:rPr>
          <w:rFonts w:cstheme="minorHAnsi"/>
          <w:szCs w:val="24"/>
        </w:rPr>
        <w:t xml:space="preserve">major </w:t>
      </w:r>
      <w:r w:rsidR="001C5D21">
        <w:rPr>
          <w:rFonts w:cstheme="minorHAnsi"/>
          <w:szCs w:val="24"/>
        </w:rPr>
        <w:t xml:space="preserve">benefit categories were identified. </w:t>
      </w:r>
    </w:p>
    <w:p w14:paraId="581B6AFA" w14:textId="4908EF6A" w:rsidR="001D21F0" w:rsidRPr="00936313" w:rsidRDefault="001C5D21" w:rsidP="001D21F0">
      <w:pPr>
        <w:pStyle w:val="ListParagraph"/>
        <w:numPr>
          <w:ilvl w:val="0"/>
          <w:numId w:val="2"/>
        </w:numPr>
        <w:spacing w:before="120" w:after="120" w:line="360" w:lineRule="auto"/>
        <w:rPr>
          <w:rFonts w:cstheme="minorHAnsi"/>
          <w:szCs w:val="24"/>
        </w:rPr>
      </w:pPr>
      <w:r w:rsidRPr="001C5D21">
        <w:rPr>
          <w:rFonts w:cstheme="minorHAnsi"/>
          <w:szCs w:val="24"/>
        </w:rPr>
        <w:t xml:space="preserve">Improved productivity </w:t>
      </w:r>
      <w:r w:rsidR="00FE0D4A">
        <w:rPr>
          <w:rFonts w:cstheme="minorHAnsi"/>
          <w:szCs w:val="24"/>
        </w:rPr>
        <w:t>for</w:t>
      </w:r>
      <w:r w:rsidR="00FE0D4A" w:rsidRPr="001C5D21">
        <w:rPr>
          <w:rFonts w:cstheme="minorHAnsi"/>
          <w:szCs w:val="24"/>
        </w:rPr>
        <w:t xml:space="preserve"> </w:t>
      </w:r>
      <w:r w:rsidRPr="001C5D21">
        <w:rPr>
          <w:rFonts w:cstheme="minorHAnsi"/>
          <w:szCs w:val="24"/>
        </w:rPr>
        <w:t>graduate</w:t>
      </w:r>
      <w:r w:rsidR="00FE0D4A">
        <w:rPr>
          <w:rFonts w:cstheme="minorHAnsi"/>
          <w:szCs w:val="24"/>
        </w:rPr>
        <w:t>s of the IPE program subsequently employed in an interprofessional setting</w:t>
      </w:r>
      <w:r w:rsidRPr="001C5D21">
        <w:rPr>
          <w:rFonts w:cstheme="minorHAnsi"/>
          <w:szCs w:val="24"/>
        </w:rPr>
        <w:t xml:space="preserve">, compared to students following the traditional placement stream. </w:t>
      </w:r>
      <w:r w:rsidR="00FE0D4A" w:rsidRPr="001C5D21">
        <w:rPr>
          <w:rFonts w:cstheme="minorHAnsi"/>
          <w:szCs w:val="24"/>
        </w:rPr>
        <w:t>Th</w:t>
      </w:r>
      <w:r w:rsidR="00FE0D4A">
        <w:rPr>
          <w:rFonts w:cstheme="minorHAnsi"/>
          <w:szCs w:val="24"/>
        </w:rPr>
        <w:t>is</w:t>
      </w:r>
      <w:r w:rsidR="00FE0D4A" w:rsidRPr="001C5D21">
        <w:rPr>
          <w:rFonts w:cstheme="minorHAnsi"/>
          <w:szCs w:val="24"/>
        </w:rPr>
        <w:t xml:space="preserve"> w</w:t>
      </w:r>
      <w:r w:rsidR="00FE0D4A">
        <w:rPr>
          <w:rFonts w:cstheme="minorHAnsi"/>
          <w:szCs w:val="24"/>
        </w:rPr>
        <w:t>as</w:t>
      </w:r>
      <w:r w:rsidR="00FE0D4A" w:rsidRPr="001C5D21">
        <w:rPr>
          <w:rFonts w:cstheme="minorHAnsi"/>
          <w:szCs w:val="24"/>
        </w:rPr>
        <w:t xml:space="preserve"> </w:t>
      </w:r>
      <w:r w:rsidRPr="001C5D21">
        <w:rPr>
          <w:rFonts w:cstheme="minorHAnsi"/>
          <w:szCs w:val="24"/>
        </w:rPr>
        <w:t xml:space="preserve">generated by </w:t>
      </w:r>
      <w:r>
        <w:rPr>
          <w:rFonts w:cstheme="minorHAnsi"/>
          <w:szCs w:val="24"/>
        </w:rPr>
        <w:t xml:space="preserve">increased </w:t>
      </w:r>
      <w:r w:rsidR="00207E02" w:rsidRPr="001C5D21">
        <w:rPr>
          <w:rFonts w:cstheme="minorHAnsi"/>
          <w:szCs w:val="24"/>
        </w:rPr>
        <w:t>understanding and practice of interpro</w:t>
      </w:r>
      <w:r w:rsidR="00AC3F84" w:rsidRPr="001C5D21">
        <w:rPr>
          <w:rFonts w:cstheme="minorHAnsi"/>
          <w:szCs w:val="24"/>
        </w:rPr>
        <w:t xml:space="preserve">fessional care for older adults, </w:t>
      </w:r>
      <w:r w:rsidRPr="001C5D21">
        <w:rPr>
          <w:rFonts w:cstheme="minorHAnsi"/>
          <w:szCs w:val="24"/>
        </w:rPr>
        <w:t xml:space="preserve">and </w:t>
      </w:r>
      <w:r>
        <w:rPr>
          <w:rFonts w:cstheme="minorHAnsi"/>
          <w:szCs w:val="24"/>
        </w:rPr>
        <w:t>a</w:t>
      </w:r>
      <w:r w:rsidR="00207E02" w:rsidRPr="001C5D21">
        <w:rPr>
          <w:rFonts w:cstheme="minorHAnsi"/>
          <w:szCs w:val="24"/>
        </w:rPr>
        <w:t>wareness of future employment options for students including increased likelihood of</w:t>
      </w:r>
      <w:r w:rsidR="007A2337">
        <w:rPr>
          <w:rFonts w:cstheme="minorHAnsi"/>
          <w:szCs w:val="24"/>
        </w:rPr>
        <w:t xml:space="preserve"> graduates working in aged care. </w:t>
      </w:r>
      <w:r w:rsidR="00223EE3">
        <w:rPr>
          <w:rFonts w:cstheme="minorHAnsi"/>
          <w:szCs w:val="24"/>
        </w:rPr>
        <w:t>This was the benefit</w:t>
      </w:r>
      <w:r w:rsidR="00B93981">
        <w:rPr>
          <w:rFonts w:cstheme="minorHAnsi"/>
          <w:szCs w:val="24"/>
        </w:rPr>
        <w:t xml:space="preserve"> accrued for individual students. </w:t>
      </w:r>
    </w:p>
    <w:p w14:paraId="2E451B88" w14:textId="28A0898E" w:rsidR="00E376F5" w:rsidRDefault="001D21F0" w:rsidP="001D21F0">
      <w:pPr>
        <w:spacing w:before="120" w:after="120" w:line="360" w:lineRule="auto"/>
        <w:rPr>
          <w:rFonts w:cstheme="minorHAnsi"/>
          <w:szCs w:val="24"/>
        </w:rPr>
      </w:pPr>
      <w:r>
        <w:rPr>
          <w:rFonts w:cstheme="minorHAnsi"/>
          <w:szCs w:val="24"/>
        </w:rPr>
        <w:t xml:space="preserve">The market price for graduates working in the age care sectors </w:t>
      </w:r>
      <w:r w:rsidR="00A97535">
        <w:rPr>
          <w:rFonts w:cstheme="minorHAnsi"/>
          <w:szCs w:val="24"/>
        </w:rPr>
        <w:t xml:space="preserve">was </w:t>
      </w:r>
      <w:r>
        <w:rPr>
          <w:rFonts w:cstheme="minorHAnsi"/>
          <w:szCs w:val="24"/>
        </w:rPr>
        <w:t xml:space="preserve">sourced from </w:t>
      </w:r>
      <w:hyperlink r:id="rId9" w:history="1">
        <w:r w:rsidRPr="00183A34">
          <w:rPr>
            <w:rStyle w:val="Hyperlink"/>
            <w:rFonts w:cstheme="minorHAnsi"/>
            <w:szCs w:val="24"/>
          </w:rPr>
          <w:t>http://www.payscale.com/research/AU/Job=Aged_Care_Worker/Hourly_Rate</w:t>
        </w:r>
      </w:hyperlink>
      <w:r>
        <w:rPr>
          <w:rFonts w:cstheme="minorHAnsi"/>
          <w:szCs w:val="24"/>
        </w:rPr>
        <w:t xml:space="preserve"> (accessed 2016). </w:t>
      </w:r>
      <w:r w:rsidR="00E376F5">
        <w:rPr>
          <w:rFonts w:cstheme="minorHAnsi"/>
          <w:szCs w:val="24"/>
        </w:rPr>
        <w:t>Since the data were only available for intervals of years of work experience, we extrapolated to individual years using regression analyses. Three different functional forms were tested: linear, logarithmic and polynomial order 2. The best fitted form was the polynomial order 2. The extrapolation result</w:t>
      </w:r>
      <w:r w:rsidR="00A97535">
        <w:rPr>
          <w:rFonts w:cstheme="minorHAnsi"/>
          <w:szCs w:val="24"/>
        </w:rPr>
        <w:t>s are</w:t>
      </w:r>
      <w:r w:rsidR="00E376F5">
        <w:rPr>
          <w:rFonts w:cstheme="minorHAnsi"/>
          <w:szCs w:val="24"/>
        </w:rPr>
        <w:t xml:space="preserve"> presented in </w:t>
      </w:r>
      <w:r w:rsidR="000D3506">
        <w:rPr>
          <w:rFonts w:cstheme="minorHAnsi"/>
          <w:szCs w:val="24"/>
        </w:rPr>
        <w:fldChar w:fldCharType="begin"/>
      </w:r>
      <w:r w:rsidR="000D3506">
        <w:rPr>
          <w:rFonts w:cstheme="minorHAnsi"/>
          <w:szCs w:val="24"/>
        </w:rPr>
        <w:instrText xml:space="preserve"> REF _Ref505001225 \h  \* MERGEFORMAT </w:instrText>
      </w:r>
      <w:r w:rsidR="000D3506">
        <w:rPr>
          <w:rFonts w:cstheme="minorHAnsi"/>
          <w:szCs w:val="24"/>
        </w:rPr>
      </w:r>
      <w:r w:rsidR="000D3506">
        <w:rPr>
          <w:rFonts w:cstheme="minorHAnsi"/>
          <w:szCs w:val="24"/>
        </w:rPr>
        <w:fldChar w:fldCharType="separate"/>
      </w:r>
      <w:r w:rsidR="000D3506" w:rsidRPr="000D3506">
        <w:rPr>
          <w:rFonts w:cstheme="minorHAnsi"/>
          <w:szCs w:val="24"/>
        </w:rPr>
        <w:t>Figure 1</w:t>
      </w:r>
      <w:r w:rsidR="000D3506">
        <w:rPr>
          <w:rFonts w:cstheme="minorHAnsi"/>
          <w:szCs w:val="24"/>
        </w:rPr>
        <w:fldChar w:fldCharType="end"/>
      </w:r>
      <w:r w:rsidR="00E376F5">
        <w:rPr>
          <w:rFonts w:cstheme="minorHAnsi"/>
          <w:szCs w:val="24"/>
        </w:rPr>
        <w:t xml:space="preserve"> and </w:t>
      </w:r>
      <w:r w:rsidR="000D3506">
        <w:rPr>
          <w:rFonts w:cstheme="minorHAnsi"/>
          <w:szCs w:val="24"/>
        </w:rPr>
        <w:fldChar w:fldCharType="begin"/>
      </w:r>
      <w:r w:rsidR="000D3506">
        <w:rPr>
          <w:rFonts w:cstheme="minorHAnsi"/>
          <w:szCs w:val="24"/>
        </w:rPr>
        <w:instrText xml:space="preserve"> REF _Ref505001241 \h  \* MERGEFORMAT </w:instrText>
      </w:r>
      <w:r w:rsidR="000D3506">
        <w:rPr>
          <w:rFonts w:cstheme="minorHAnsi"/>
          <w:szCs w:val="24"/>
        </w:rPr>
      </w:r>
      <w:r w:rsidR="000D3506">
        <w:rPr>
          <w:rFonts w:cstheme="minorHAnsi"/>
          <w:szCs w:val="24"/>
        </w:rPr>
        <w:fldChar w:fldCharType="separate"/>
      </w:r>
      <w:r w:rsidR="000D3506" w:rsidRPr="000D3506">
        <w:rPr>
          <w:rFonts w:cstheme="minorHAnsi"/>
          <w:szCs w:val="24"/>
        </w:rPr>
        <w:t>Table 1</w:t>
      </w:r>
      <w:r w:rsidR="000D3506">
        <w:rPr>
          <w:rFonts w:cstheme="minorHAnsi"/>
          <w:szCs w:val="24"/>
        </w:rPr>
        <w:fldChar w:fldCharType="end"/>
      </w:r>
      <w:r w:rsidR="00E376F5">
        <w:rPr>
          <w:rFonts w:cstheme="minorHAnsi"/>
          <w:szCs w:val="24"/>
        </w:rPr>
        <w:t xml:space="preserve">. </w:t>
      </w:r>
      <w:r w:rsidR="00D31CAF">
        <w:rPr>
          <w:rFonts w:cstheme="minorHAnsi"/>
          <w:szCs w:val="24"/>
        </w:rPr>
        <w:t xml:space="preserve">These values were used in the Project and Private Analyses. </w:t>
      </w:r>
    </w:p>
    <w:tbl>
      <w:tblPr>
        <w:tblStyle w:val="TableGrid"/>
        <w:tblW w:w="8926" w:type="dxa"/>
        <w:tblLook w:val="04A0" w:firstRow="1" w:lastRow="0" w:firstColumn="1" w:lastColumn="0" w:noHBand="0" w:noVBand="1"/>
      </w:tblPr>
      <w:tblGrid>
        <w:gridCol w:w="5524"/>
        <w:gridCol w:w="707"/>
        <w:gridCol w:w="1276"/>
        <w:gridCol w:w="1419"/>
      </w:tblGrid>
      <w:tr w:rsidR="00D37267" w:rsidRPr="00D37267" w14:paraId="7517690B" w14:textId="77777777" w:rsidTr="00843949">
        <w:tc>
          <w:tcPr>
            <w:tcW w:w="5524" w:type="dxa"/>
            <w:tcMar>
              <w:left w:w="28" w:type="dxa"/>
              <w:right w:w="28" w:type="dxa"/>
            </w:tcMar>
          </w:tcPr>
          <w:p w14:paraId="5DC2B1BB" w14:textId="3FA258DD" w:rsidR="00D37267" w:rsidRPr="00D37267" w:rsidRDefault="000D3506" w:rsidP="000D3506">
            <w:pPr>
              <w:pStyle w:val="Caption"/>
              <w:spacing w:before="60" w:after="60"/>
              <w:rPr>
                <w:rFonts w:cstheme="minorHAnsi"/>
                <w:b/>
              </w:rPr>
            </w:pPr>
            <w:bookmarkStart w:id="1" w:name="_Ref505001225"/>
            <w:r w:rsidRPr="000D3506">
              <w:rPr>
                <w:b/>
              </w:rPr>
              <w:t xml:space="preserve">Figure </w:t>
            </w:r>
            <w:r w:rsidRPr="000D3506">
              <w:rPr>
                <w:b/>
              </w:rPr>
              <w:fldChar w:fldCharType="begin"/>
            </w:r>
            <w:r w:rsidRPr="000D3506">
              <w:rPr>
                <w:b/>
              </w:rPr>
              <w:instrText xml:space="preserve"> SEQ Figure \* ARABIC </w:instrText>
            </w:r>
            <w:r w:rsidRPr="000D3506">
              <w:rPr>
                <w:b/>
              </w:rPr>
              <w:fldChar w:fldCharType="separate"/>
            </w:r>
            <w:r w:rsidRPr="000D3506">
              <w:rPr>
                <w:b/>
                <w:noProof/>
              </w:rPr>
              <w:t>1</w:t>
            </w:r>
            <w:r w:rsidRPr="000D3506">
              <w:rPr>
                <w:b/>
              </w:rPr>
              <w:fldChar w:fldCharType="end"/>
            </w:r>
            <w:bookmarkEnd w:id="1"/>
            <w:r w:rsidRPr="000D3506">
              <w:rPr>
                <w:b/>
              </w:rPr>
              <w:t>:</w:t>
            </w:r>
            <w:r w:rsidR="00D37267" w:rsidRPr="00D37267">
              <w:rPr>
                <w:rFonts w:cstheme="minorHAnsi"/>
                <w:b/>
              </w:rPr>
              <w:t xml:space="preserve"> </w:t>
            </w:r>
            <w:bookmarkStart w:id="2" w:name="_Ref505001220"/>
            <w:r w:rsidR="00D37267" w:rsidRPr="00D37267">
              <w:rPr>
                <w:rFonts w:cstheme="minorHAnsi"/>
                <w:b/>
              </w:rPr>
              <w:t xml:space="preserve">Fitting the predictive function for market </w:t>
            </w:r>
            <w:r w:rsidR="00D37267">
              <w:rPr>
                <w:rFonts w:cstheme="minorHAnsi"/>
                <w:b/>
              </w:rPr>
              <w:t xml:space="preserve">prices </w:t>
            </w:r>
            <w:r w:rsidR="00D37267" w:rsidRPr="00D37267">
              <w:rPr>
                <w:rFonts w:cstheme="minorHAnsi"/>
                <w:b/>
              </w:rPr>
              <w:t>of graduates working in aged care sector (salary – years of experience)</w:t>
            </w:r>
            <w:bookmarkEnd w:id="2"/>
          </w:p>
        </w:tc>
        <w:tc>
          <w:tcPr>
            <w:tcW w:w="3402" w:type="dxa"/>
            <w:gridSpan w:val="3"/>
            <w:tcMar>
              <w:left w:w="28" w:type="dxa"/>
              <w:right w:w="28" w:type="dxa"/>
            </w:tcMar>
          </w:tcPr>
          <w:p w14:paraId="1129365E" w14:textId="00F77444" w:rsidR="00D37267" w:rsidRPr="00441628" w:rsidRDefault="00D37267" w:rsidP="000D3506">
            <w:pPr>
              <w:pStyle w:val="Caption"/>
              <w:spacing w:before="60" w:after="60"/>
              <w:rPr>
                <w:rFonts w:cstheme="minorHAnsi"/>
                <w:b/>
              </w:rPr>
            </w:pPr>
            <w:bookmarkStart w:id="3" w:name="_Ref505001241"/>
            <w:r w:rsidRPr="00441628">
              <w:rPr>
                <w:rFonts w:cstheme="minorHAnsi"/>
                <w:b/>
              </w:rPr>
              <w:t xml:space="preserve">Table </w:t>
            </w:r>
            <w:r w:rsidR="000D3506" w:rsidRPr="000D3506">
              <w:rPr>
                <w:rFonts w:cstheme="minorHAnsi"/>
                <w:b/>
              </w:rPr>
              <w:fldChar w:fldCharType="begin"/>
            </w:r>
            <w:r w:rsidR="000D3506" w:rsidRPr="000D3506">
              <w:rPr>
                <w:rFonts w:cstheme="minorHAnsi"/>
                <w:b/>
              </w:rPr>
              <w:instrText xml:space="preserve"> SEQ Table \* ARABIC </w:instrText>
            </w:r>
            <w:r w:rsidR="000D3506" w:rsidRPr="000D3506">
              <w:rPr>
                <w:rFonts w:cstheme="minorHAnsi"/>
                <w:b/>
              </w:rPr>
              <w:fldChar w:fldCharType="separate"/>
            </w:r>
            <w:r w:rsidR="000D3506" w:rsidRPr="000D3506">
              <w:rPr>
                <w:rFonts w:cstheme="minorHAnsi"/>
                <w:b/>
              </w:rPr>
              <w:t>1</w:t>
            </w:r>
            <w:r w:rsidR="000D3506" w:rsidRPr="000D3506">
              <w:rPr>
                <w:rFonts w:cstheme="minorHAnsi"/>
                <w:b/>
              </w:rPr>
              <w:fldChar w:fldCharType="end"/>
            </w:r>
            <w:bookmarkEnd w:id="3"/>
            <w:r w:rsidR="000D3506">
              <w:rPr>
                <w:rFonts w:cstheme="minorHAnsi"/>
                <w:b/>
              </w:rPr>
              <w:t xml:space="preserve">: </w:t>
            </w:r>
            <w:r w:rsidRPr="00441628">
              <w:rPr>
                <w:rFonts w:cstheme="minorHAnsi"/>
                <w:b/>
              </w:rPr>
              <w:t>Predicted values for market prices of graduates working in the aged care sector</w:t>
            </w:r>
          </w:p>
        </w:tc>
      </w:tr>
      <w:tr w:rsidR="00441628" w14:paraId="10241574" w14:textId="77777777" w:rsidTr="00843949">
        <w:trPr>
          <w:trHeight w:val="80"/>
        </w:trPr>
        <w:tc>
          <w:tcPr>
            <w:tcW w:w="5524" w:type="dxa"/>
            <w:vMerge w:val="restart"/>
            <w:tcMar>
              <w:left w:w="28" w:type="dxa"/>
              <w:right w:w="28" w:type="dxa"/>
            </w:tcMar>
          </w:tcPr>
          <w:p w14:paraId="1E25D458" w14:textId="4AFC0504" w:rsidR="00441628" w:rsidRDefault="00441628" w:rsidP="00441628">
            <w:pPr>
              <w:spacing w:before="60" w:after="60"/>
              <w:rPr>
                <w:rFonts w:cstheme="minorHAnsi"/>
                <w:szCs w:val="24"/>
              </w:rPr>
            </w:pPr>
            <w:r>
              <w:rPr>
                <w:rFonts w:cstheme="minorHAnsi"/>
                <w:noProof/>
                <w:szCs w:val="24"/>
                <w:lang w:val="en-IN" w:eastAsia="en-IN"/>
              </w:rPr>
              <w:drawing>
                <wp:inline distT="0" distB="0" distL="0" distR="0" wp14:anchorId="41593B4D" wp14:editId="2CE141F4">
                  <wp:extent cx="3401854" cy="20066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4914" cy="2055593"/>
                          </a:xfrm>
                          <a:prstGeom prst="rect">
                            <a:avLst/>
                          </a:prstGeom>
                          <a:noFill/>
                        </pic:spPr>
                      </pic:pic>
                    </a:graphicData>
                  </a:graphic>
                </wp:inline>
              </w:drawing>
            </w:r>
          </w:p>
        </w:tc>
        <w:tc>
          <w:tcPr>
            <w:tcW w:w="707" w:type="dxa"/>
            <w:tcMar>
              <w:left w:w="28" w:type="dxa"/>
              <w:right w:w="28" w:type="dxa"/>
            </w:tcMar>
            <w:vAlign w:val="bottom"/>
          </w:tcPr>
          <w:p w14:paraId="5E2C3E61" w14:textId="06D98127" w:rsidR="00441628" w:rsidRPr="00441628" w:rsidRDefault="00441628" w:rsidP="008B22CF">
            <w:pPr>
              <w:spacing w:before="60" w:after="60"/>
              <w:jc w:val="center"/>
              <w:rPr>
                <w:rFonts w:cstheme="minorHAnsi"/>
                <w:b/>
                <w:sz w:val="18"/>
                <w:szCs w:val="18"/>
              </w:rPr>
            </w:pPr>
            <w:r w:rsidRPr="00441628">
              <w:rPr>
                <w:rFonts w:cstheme="minorHAnsi"/>
                <w:b/>
                <w:sz w:val="18"/>
                <w:szCs w:val="18"/>
              </w:rPr>
              <w:t>Years</w:t>
            </w:r>
          </w:p>
        </w:tc>
        <w:tc>
          <w:tcPr>
            <w:tcW w:w="1276" w:type="dxa"/>
            <w:vAlign w:val="bottom"/>
          </w:tcPr>
          <w:p w14:paraId="62620240" w14:textId="37B70E5D" w:rsidR="00441628" w:rsidRPr="00441628" w:rsidRDefault="00441628" w:rsidP="00441628">
            <w:pPr>
              <w:spacing w:before="60" w:after="60"/>
              <w:jc w:val="center"/>
              <w:rPr>
                <w:rFonts w:cstheme="minorHAnsi"/>
                <w:b/>
                <w:sz w:val="18"/>
                <w:szCs w:val="18"/>
              </w:rPr>
            </w:pPr>
            <w:r w:rsidRPr="00441628">
              <w:rPr>
                <w:rFonts w:cstheme="minorHAnsi"/>
                <w:b/>
                <w:bCs/>
                <w:color w:val="000000"/>
                <w:sz w:val="18"/>
                <w:szCs w:val="18"/>
              </w:rPr>
              <w:t>Observed</w:t>
            </w:r>
          </w:p>
        </w:tc>
        <w:tc>
          <w:tcPr>
            <w:tcW w:w="1419" w:type="dxa"/>
            <w:vAlign w:val="bottom"/>
          </w:tcPr>
          <w:p w14:paraId="2C4FE57F" w14:textId="04AED85C" w:rsidR="00441628" w:rsidRPr="00441628" w:rsidRDefault="00441628" w:rsidP="00441628">
            <w:pPr>
              <w:spacing w:before="60" w:after="60"/>
              <w:jc w:val="center"/>
              <w:rPr>
                <w:rFonts w:cstheme="minorHAnsi"/>
                <w:b/>
                <w:sz w:val="18"/>
                <w:szCs w:val="18"/>
              </w:rPr>
            </w:pPr>
            <w:r w:rsidRPr="00441628">
              <w:rPr>
                <w:rFonts w:cstheme="minorHAnsi"/>
                <w:b/>
                <w:bCs/>
                <w:color w:val="000000"/>
                <w:sz w:val="18"/>
                <w:szCs w:val="18"/>
              </w:rPr>
              <w:t>Predicted</w:t>
            </w:r>
          </w:p>
        </w:tc>
      </w:tr>
      <w:tr w:rsidR="00441628" w14:paraId="19F14FCE" w14:textId="77777777" w:rsidTr="00843949">
        <w:trPr>
          <w:trHeight w:val="67"/>
        </w:trPr>
        <w:tc>
          <w:tcPr>
            <w:tcW w:w="5524" w:type="dxa"/>
            <w:vMerge/>
            <w:tcMar>
              <w:left w:w="28" w:type="dxa"/>
              <w:right w:w="28" w:type="dxa"/>
            </w:tcMar>
          </w:tcPr>
          <w:p w14:paraId="2169848D" w14:textId="77777777" w:rsidR="00441628" w:rsidRDefault="00441628" w:rsidP="00441628">
            <w:pPr>
              <w:spacing w:before="60" w:after="60"/>
              <w:rPr>
                <w:rFonts w:cstheme="minorHAnsi"/>
                <w:noProof/>
                <w:szCs w:val="24"/>
                <w:lang w:eastAsia="en-AU"/>
              </w:rPr>
            </w:pPr>
          </w:p>
        </w:tc>
        <w:tc>
          <w:tcPr>
            <w:tcW w:w="707" w:type="dxa"/>
            <w:tcMar>
              <w:left w:w="28" w:type="dxa"/>
              <w:right w:w="28" w:type="dxa"/>
            </w:tcMar>
            <w:vAlign w:val="bottom"/>
          </w:tcPr>
          <w:p w14:paraId="2359C3E3" w14:textId="42AEFB57" w:rsidR="00441628" w:rsidRPr="00441628" w:rsidRDefault="00441628" w:rsidP="008B22CF">
            <w:pPr>
              <w:jc w:val="center"/>
              <w:rPr>
                <w:rFonts w:cstheme="minorHAnsi"/>
                <w:sz w:val="18"/>
                <w:szCs w:val="18"/>
              </w:rPr>
            </w:pPr>
            <w:r w:rsidRPr="00441628">
              <w:rPr>
                <w:rFonts w:cstheme="minorHAnsi"/>
                <w:color w:val="000000"/>
                <w:sz w:val="18"/>
                <w:szCs w:val="18"/>
              </w:rPr>
              <w:t>1</w:t>
            </w:r>
          </w:p>
        </w:tc>
        <w:tc>
          <w:tcPr>
            <w:tcW w:w="1276" w:type="dxa"/>
            <w:vAlign w:val="bottom"/>
          </w:tcPr>
          <w:p w14:paraId="45BC9649" w14:textId="63ECEDFF" w:rsidR="00441628" w:rsidRPr="00441628" w:rsidRDefault="00441628" w:rsidP="00441628">
            <w:pPr>
              <w:jc w:val="center"/>
              <w:rPr>
                <w:rFonts w:cstheme="minorHAnsi"/>
                <w:sz w:val="18"/>
                <w:szCs w:val="18"/>
              </w:rPr>
            </w:pPr>
            <w:r>
              <w:rPr>
                <w:rFonts w:cstheme="minorHAnsi"/>
                <w:color w:val="000000"/>
                <w:sz w:val="18"/>
                <w:szCs w:val="18"/>
              </w:rPr>
              <w:t xml:space="preserve">$ </w:t>
            </w:r>
            <w:r w:rsidRPr="00441628">
              <w:rPr>
                <w:rFonts w:cstheme="minorHAnsi"/>
                <w:color w:val="000000"/>
                <w:sz w:val="18"/>
                <w:szCs w:val="18"/>
              </w:rPr>
              <w:t>40</w:t>
            </w:r>
            <w:r>
              <w:rPr>
                <w:rFonts w:cstheme="minorHAnsi"/>
                <w:color w:val="000000"/>
                <w:sz w:val="18"/>
                <w:szCs w:val="18"/>
              </w:rPr>
              <w:t>,000</w:t>
            </w:r>
          </w:p>
        </w:tc>
        <w:tc>
          <w:tcPr>
            <w:tcW w:w="1419" w:type="dxa"/>
            <w:vAlign w:val="bottom"/>
          </w:tcPr>
          <w:p w14:paraId="680EC6E6" w14:textId="2752CEE9" w:rsidR="00441628" w:rsidRPr="00441628" w:rsidRDefault="00441628" w:rsidP="00441628">
            <w:pPr>
              <w:jc w:val="center"/>
              <w:rPr>
                <w:rFonts w:cstheme="minorHAnsi"/>
                <w:sz w:val="18"/>
                <w:szCs w:val="18"/>
              </w:rPr>
            </w:pPr>
            <w:r w:rsidRPr="00441628">
              <w:rPr>
                <w:rFonts w:cstheme="minorHAnsi"/>
                <w:color w:val="000000"/>
                <w:sz w:val="18"/>
                <w:szCs w:val="18"/>
              </w:rPr>
              <w:t>$      39,939</w:t>
            </w:r>
          </w:p>
        </w:tc>
      </w:tr>
      <w:tr w:rsidR="00441628" w14:paraId="1FF1FCFB" w14:textId="77777777" w:rsidTr="00843949">
        <w:trPr>
          <w:trHeight w:val="67"/>
        </w:trPr>
        <w:tc>
          <w:tcPr>
            <w:tcW w:w="5524" w:type="dxa"/>
            <w:vMerge/>
            <w:tcMar>
              <w:left w:w="28" w:type="dxa"/>
              <w:right w:w="28" w:type="dxa"/>
            </w:tcMar>
          </w:tcPr>
          <w:p w14:paraId="598F5B0A" w14:textId="77777777" w:rsidR="00441628" w:rsidRDefault="00441628" w:rsidP="00441628">
            <w:pPr>
              <w:spacing w:before="60" w:after="60"/>
              <w:rPr>
                <w:rFonts w:cstheme="minorHAnsi"/>
                <w:noProof/>
                <w:szCs w:val="24"/>
                <w:lang w:eastAsia="en-AU"/>
              </w:rPr>
            </w:pPr>
          </w:p>
        </w:tc>
        <w:tc>
          <w:tcPr>
            <w:tcW w:w="707" w:type="dxa"/>
            <w:tcMar>
              <w:left w:w="28" w:type="dxa"/>
              <w:right w:w="28" w:type="dxa"/>
            </w:tcMar>
            <w:vAlign w:val="bottom"/>
          </w:tcPr>
          <w:p w14:paraId="6C270DA7" w14:textId="1020A589" w:rsidR="00441628" w:rsidRPr="00441628" w:rsidRDefault="00441628" w:rsidP="008B22CF">
            <w:pPr>
              <w:jc w:val="center"/>
              <w:rPr>
                <w:rFonts w:cstheme="minorHAnsi"/>
                <w:sz w:val="18"/>
                <w:szCs w:val="18"/>
              </w:rPr>
            </w:pPr>
            <w:r w:rsidRPr="00441628">
              <w:rPr>
                <w:rFonts w:cstheme="minorHAnsi"/>
                <w:color w:val="000000"/>
                <w:sz w:val="18"/>
                <w:szCs w:val="18"/>
              </w:rPr>
              <w:t>2</w:t>
            </w:r>
          </w:p>
        </w:tc>
        <w:tc>
          <w:tcPr>
            <w:tcW w:w="1276" w:type="dxa"/>
            <w:vAlign w:val="bottom"/>
          </w:tcPr>
          <w:p w14:paraId="3143A5CC" w14:textId="77777777" w:rsidR="00441628" w:rsidRPr="00441628" w:rsidRDefault="00441628" w:rsidP="00441628">
            <w:pPr>
              <w:jc w:val="center"/>
              <w:rPr>
                <w:rFonts w:cstheme="minorHAnsi"/>
                <w:sz w:val="18"/>
                <w:szCs w:val="18"/>
              </w:rPr>
            </w:pPr>
          </w:p>
        </w:tc>
        <w:tc>
          <w:tcPr>
            <w:tcW w:w="1419" w:type="dxa"/>
            <w:vAlign w:val="bottom"/>
          </w:tcPr>
          <w:p w14:paraId="6BA47A3A" w14:textId="41645581" w:rsidR="00441628" w:rsidRPr="00441628" w:rsidRDefault="00441628" w:rsidP="00441628">
            <w:pPr>
              <w:jc w:val="center"/>
              <w:rPr>
                <w:rFonts w:cstheme="minorHAnsi"/>
                <w:sz w:val="18"/>
                <w:szCs w:val="18"/>
              </w:rPr>
            </w:pPr>
            <w:r w:rsidRPr="00441628">
              <w:rPr>
                <w:rFonts w:cstheme="minorHAnsi"/>
                <w:color w:val="000000"/>
                <w:sz w:val="18"/>
                <w:szCs w:val="18"/>
              </w:rPr>
              <w:t>$      40,585</w:t>
            </w:r>
          </w:p>
        </w:tc>
      </w:tr>
      <w:tr w:rsidR="00441628" w14:paraId="5C6414D3" w14:textId="77777777" w:rsidTr="00843949">
        <w:trPr>
          <w:trHeight w:val="67"/>
        </w:trPr>
        <w:tc>
          <w:tcPr>
            <w:tcW w:w="5524" w:type="dxa"/>
            <w:vMerge/>
            <w:tcMar>
              <w:left w:w="28" w:type="dxa"/>
              <w:right w:w="28" w:type="dxa"/>
            </w:tcMar>
          </w:tcPr>
          <w:p w14:paraId="2182F10B" w14:textId="77777777" w:rsidR="00441628" w:rsidRDefault="00441628" w:rsidP="00441628">
            <w:pPr>
              <w:spacing w:before="60" w:after="60"/>
              <w:rPr>
                <w:rFonts w:cstheme="minorHAnsi"/>
                <w:noProof/>
                <w:szCs w:val="24"/>
                <w:lang w:eastAsia="en-AU"/>
              </w:rPr>
            </w:pPr>
          </w:p>
        </w:tc>
        <w:tc>
          <w:tcPr>
            <w:tcW w:w="707" w:type="dxa"/>
            <w:tcMar>
              <w:left w:w="28" w:type="dxa"/>
              <w:right w:w="28" w:type="dxa"/>
            </w:tcMar>
            <w:vAlign w:val="bottom"/>
          </w:tcPr>
          <w:p w14:paraId="476B76A2" w14:textId="41DC0FE3" w:rsidR="00441628" w:rsidRPr="00441628" w:rsidRDefault="00441628" w:rsidP="008B22CF">
            <w:pPr>
              <w:jc w:val="center"/>
              <w:rPr>
                <w:rFonts w:cstheme="minorHAnsi"/>
                <w:sz w:val="18"/>
                <w:szCs w:val="18"/>
              </w:rPr>
            </w:pPr>
            <w:r w:rsidRPr="00441628">
              <w:rPr>
                <w:rFonts w:cstheme="minorHAnsi"/>
                <w:color w:val="000000"/>
                <w:sz w:val="18"/>
                <w:szCs w:val="18"/>
              </w:rPr>
              <w:t>3</w:t>
            </w:r>
          </w:p>
        </w:tc>
        <w:tc>
          <w:tcPr>
            <w:tcW w:w="1276" w:type="dxa"/>
            <w:vAlign w:val="bottom"/>
          </w:tcPr>
          <w:p w14:paraId="00B2F1CF" w14:textId="77777777" w:rsidR="00441628" w:rsidRPr="00441628" w:rsidRDefault="00441628" w:rsidP="00441628">
            <w:pPr>
              <w:jc w:val="center"/>
              <w:rPr>
                <w:rFonts w:cstheme="minorHAnsi"/>
                <w:sz w:val="18"/>
                <w:szCs w:val="18"/>
              </w:rPr>
            </w:pPr>
          </w:p>
        </w:tc>
        <w:tc>
          <w:tcPr>
            <w:tcW w:w="1419" w:type="dxa"/>
            <w:vAlign w:val="bottom"/>
          </w:tcPr>
          <w:p w14:paraId="3765EDE4" w14:textId="0F31E0BA" w:rsidR="00441628" w:rsidRPr="00441628" w:rsidRDefault="00441628" w:rsidP="00441628">
            <w:pPr>
              <w:jc w:val="center"/>
              <w:rPr>
                <w:rFonts w:cstheme="minorHAnsi"/>
                <w:sz w:val="18"/>
                <w:szCs w:val="18"/>
              </w:rPr>
            </w:pPr>
            <w:r w:rsidRPr="00441628">
              <w:rPr>
                <w:rFonts w:cstheme="minorHAnsi"/>
                <w:color w:val="000000"/>
                <w:sz w:val="18"/>
                <w:szCs w:val="18"/>
              </w:rPr>
              <w:t>$      41,186</w:t>
            </w:r>
          </w:p>
        </w:tc>
      </w:tr>
      <w:tr w:rsidR="00441628" w14:paraId="4E137003" w14:textId="77777777" w:rsidTr="00843949">
        <w:trPr>
          <w:trHeight w:val="67"/>
        </w:trPr>
        <w:tc>
          <w:tcPr>
            <w:tcW w:w="5524" w:type="dxa"/>
            <w:vMerge/>
            <w:tcMar>
              <w:left w:w="28" w:type="dxa"/>
              <w:right w:w="28" w:type="dxa"/>
            </w:tcMar>
          </w:tcPr>
          <w:p w14:paraId="067FCA0F" w14:textId="77777777" w:rsidR="00441628" w:rsidRDefault="00441628" w:rsidP="00441628">
            <w:pPr>
              <w:spacing w:before="60" w:after="60"/>
              <w:rPr>
                <w:rFonts w:cstheme="minorHAnsi"/>
                <w:noProof/>
                <w:szCs w:val="24"/>
                <w:lang w:eastAsia="en-AU"/>
              </w:rPr>
            </w:pPr>
          </w:p>
        </w:tc>
        <w:tc>
          <w:tcPr>
            <w:tcW w:w="707" w:type="dxa"/>
            <w:tcMar>
              <w:left w:w="28" w:type="dxa"/>
              <w:right w:w="28" w:type="dxa"/>
            </w:tcMar>
            <w:vAlign w:val="bottom"/>
          </w:tcPr>
          <w:p w14:paraId="0FF1738F" w14:textId="502155A9" w:rsidR="00441628" w:rsidRPr="00441628" w:rsidRDefault="00441628" w:rsidP="008B22CF">
            <w:pPr>
              <w:jc w:val="center"/>
              <w:rPr>
                <w:rFonts w:cstheme="minorHAnsi"/>
                <w:sz w:val="18"/>
                <w:szCs w:val="18"/>
              </w:rPr>
            </w:pPr>
            <w:r w:rsidRPr="00441628">
              <w:rPr>
                <w:rFonts w:cstheme="minorHAnsi"/>
                <w:color w:val="000000"/>
                <w:sz w:val="18"/>
                <w:szCs w:val="18"/>
              </w:rPr>
              <w:t>4</w:t>
            </w:r>
          </w:p>
        </w:tc>
        <w:tc>
          <w:tcPr>
            <w:tcW w:w="1276" w:type="dxa"/>
            <w:vAlign w:val="bottom"/>
          </w:tcPr>
          <w:p w14:paraId="3CEAEFD8" w14:textId="77777777" w:rsidR="00441628" w:rsidRPr="00441628" w:rsidRDefault="00441628" w:rsidP="00441628">
            <w:pPr>
              <w:jc w:val="center"/>
              <w:rPr>
                <w:rFonts w:cstheme="minorHAnsi"/>
                <w:sz w:val="18"/>
                <w:szCs w:val="18"/>
              </w:rPr>
            </w:pPr>
          </w:p>
        </w:tc>
        <w:tc>
          <w:tcPr>
            <w:tcW w:w="1419" w:type="dxa"/>
            <w:vAlign w:val="bottom"/>
          </w:tcPr>
          <w:p w14:paraId="6F774809" w14:textId="5DDF33C6" w:rsidR="00441628" w:rsidRPr="00441628" w:rsidRDefault="00441628" w:rsidP="00441628">
            <w:pPr>
              <w:jc w:val="center"/>
              <w:rPr>
                <w:rFonts w:cstheme="minorHAnsi"/>
                <w:sz w:val="18"/>
                <w:szCs w:val="18"/>
              </w:rPr>
            </w:pPr>
            <w:r w:rsidRPr="00441628">
              <w:rPr>
                <w:rFonts w:cstheme="minorHAnsi"/>
                <w:color w:val="000000"/>
                <w:sz w:val="18"/>
                <w:szCs w:val="18"/>
              </w:rPr>
              <w:t>$      41,742</w:t>
            </w:r>
          </w:p>
        </w:tc>
      </w:tr>
      <w:tr w:rsidR="00441628" w14:paraId="58881F80" w14:textId="77777777" w:rsidTr="00843949">
        <w:trPr>
          <w:trHeight w:val="67"/>
        </w:trPr>
        <w:tc>
          <w:tcPr>
            <w:tcW w:w="5524" w:type="dxa"/>
            <w:vMerge/>
            <w:tcMar>
              <w:left w:w="28" w:type="dxa"/>
              <w:right w:w="28" w:type="dxa"/>
            </w:tcMar>
          </w:tcPr>
          <w:p w14:paraId="5ABD0EE9" w14:textId="77777777" w:rsidR="00441628" w:rsidRDefault="00441628" w:rsidP="00441628">
            <w:pPr>
              <w:spacing w:before="60" w:after="60"/>
              <w:rPr>
                <w:rFonts w:cstheme="minorHAnsi"/>
                <w:noProof/>
                <w:szCs w:val="24"/>
                <w:lang w:eastAsia="en-AU"/>
              </w:rPr>
            </w:pPr>
          </w:p>
        </w:tc>
        <w:tc>
          <w:tcPr>
            <w:tcW w:w="707" w:type="dxa"/>
            <w:tcMar>
              <w:left w:w="28" w:type="dxa"/>
              <w:right w:w="28" w:type="dxa"/>
            </w:tcMar>
            <w:vAlign w:val="bottom"/>
          </w:tcPr>
          <w:p w14:paraId="0FE27C36" w14:textId="132D29DE" w:rsidR="00441628" w:rsidRPr="00441628" w:rsidRDefault="00441628" w:rsidP="008B22CF">
            <w:pPr>
              <w:jc w:val="center"/>
              <w:rPr>
                <w:rFonts w:cstheme="minorHAnsi"/>
                <w:sz w:val="18"/>
                <w:szCs w:val="18"/>
              </w:rPr>
            </w:pPr>
            <w:r w:rsidRPr="00441628">
              <w:rPr>
                <w:rFonts w:cstheme="minorHAnsi"/>
                <w:color w:val="000000"/>
                <w:sz w:val="18"/>
                <w:szCs w:val="18"/>
              </w:rPr>
              <w:t>5</w:t>
            </w:r>
          </w:p>
        </w:tc>
        <w:tc>
          <w:tcPr>
            <w:tcW w:w="1276" w:type="dxa"/>
            <w:vAlign w:val="bottom"/>
          </w:tcPr>
          <w:p w14:paraId="7EC3CB8D" w14:textId="77777777" w:rsidR="00441628" w:rsidRPr="00441628" w:rsidRDefault="00441628" w:rsidP="00441628">
            <w:pPr>
              <w:jc w:val="center"/>
              <w:rPr>
                <w:rFonts w:cstheme="minorHAnsi"/>
                <w:sz w:val="18"/>
                <w:szCs w:val="18"/>
              </w:rPr>
            </w:pPr>
          </w:p>
        </w:tc>
        <w:tc>
          <w:tcPr>
            <w:tcW w:w="1419" w:type="dxa"/>
            <w:vAlign w:val="bottom"/>
          </w:tcPr>
          <w:p w14:paraId="21F1E919" w14:textId="5499A3B8" w:rsidR="00441628" w:rsidRPr="00441628" w:rsidRDefault="00441628" w:rsidP="00441628">
            <w:pPr>
              <w:jc w:val="center"/>
              <w:rPr>
                <w:rFonts w:cstheme="minorHAnsi"/>
                <w:sz w:val="18"/>
                <w:szCs w:val="18"/>
              </w:rPr>
            </w:pPr>
            <w:r w:rsidRPr="00441628">
              <w:rPr>
                <w:rFonts w:cstheme="minorHAnsi"/>
                <w:color w:val="000000"/>
                <w:sz w:val="18"/>
                <w:szCs w:val="18"/>
              </w:rPr>
              <w:t>$      42,254</w:t>
            </w:r>
          </w:p>
        </w:tc>
      </w:tr>
      <w:tr w:rsidR="00441628" w14:paraId="5FB39EF6" w14:textId="77777777" w:rsidTr="00843949">
        <w:trPr>
          <w:trHeight w:val="67"/>
        </w:trPr>
        <w:tc>
          <w:tcPr>
            <w:tcW w:w="5524" w:type="dxa"/>
            <w:vMerge/>
            <w:tcMar>
              <w:left w:w="28" w:type="dxa"/>
              <w:right w:w="28" w:type="dxa"/>
            </w:tcMar>
          </w:tcPr>
          <w:p w14:paraId="792D4CE9" w14:textId="77777777" w:rsidR="00441628" w:rsidRDefault="00441628" w:rsidP="00441628">
            <w:pPr>
              <w:spacing w:before="60" w:after="60"/>
              <w:rPr>
                <w:rFonts w:cstheme="minorHAnsi"/>
                <w:noProof/>
                <w:szCs w:val="24"/>
                <w:lang w:eastAsia="en-AU"/>
              </w:rPr>
            </w:pPr>
          </w:p>
        </w:tc>
        <w:tc>
          <w:tcPr>
            <w:tcW w:w="707" w:type="dxa"/>
            <w:tcMar>
              <w:left w:w="28" w:type="dxa"/>
              <w:right w:w="28" w:type="dxa"/>
            </w:tcMar>
            <w:vAlign w:val="bottom"/>
          </w:tcPr>
          <w:p w14:paraId="5096C630" w14:textId="4DFDBBE1" w:rsidR="00441628" w:rsidRPr="00441628" w:rsidRDefault="00441628" w:rsidP="008B22CF">
            <w:pPr>
              <w:jc w:val="center"/>
              <w:rPr>
                <w:rFonts w:cstheme="minorHAnsi"/>
                <w:sz w:val="18"/>
                <w:szCs w:val="18"/>
              </w:rPr>
            </w:pPr>
            <w:r w:rsidRPr="00441628">
              <w:rPr>
                <w:rFonts w:cstheme="minorHAnsi"/>
                <w:color w:val="000000"/>
                <w:sz w:val="18"/>
                <w:szCs w:val="18"/>
              </w:rPr>
              <w:t>6</w:t>
            </w:r>
          </w:p>
        </w:tc>
        <w:tc>
          <w:tcPr>
            <w:tcW w:w="1276" w:type="dxa"/>
            <w:vAlign w:val="bottom"/>
          </w:tcPr>
          <w:p w14:paraId="433E08A3" w14:textId="77777777" w:rsidR="00441628" w:rsidRPr="00441628" w:rsidRDefault="00441628" w:rsidP="00441628">
            <w:pPr>
              <w:jc w:val="center"/>
              <w:rPr>
                <w:rFonts w:cstheme="minorHAnsi"/>
                <w:sz w:val="18"/>
                <w:szCs w:val="18"/>
              </w:rPr>
            </w:pPr>
          </w:p>
        </w:tc>
        <w:tc>
          <w:tcPr>
            <w:tcW w:w="1419" w:type="dxa"/>
            <w:vAlign w:val="bottom"/>
          </w:tcPr>
          <w:p w14:paraId="59EC778F" w14:textId="7065FBC7" w:rsidR="00441628" w:rsidRPr="00441628" w:rsidRDefault="00441628" w:rsidP="00441628">
            <w:pPr>
              <w:jc w:val="center"/>
              <w:rPr>
                <w:rFonts w:cstheme="minorHAnsi"/>
                <w:sz w:val="18"/>
                <w:szCs w:val="18"/>
              </w:rPr>
            </w:pPr>
            <w:r w:rsidRPr="00441628">
              <w:rPr>
                <w:rFonts w:cstheme="minorHAnsi"/>
                <w:color w:val="000000"/>
                <w:sz w:val="18"/>
                <w:szCs w:val="18"/>
              </w:rPr>
              <w:t>$      42,720</w:t>
            </w:r>
          </w:p>
        </w:tc>
      </w:tr>
      <w:tr w:rsidR="00441628" w14:paraId="0F7065CA" w14:textId="77777777" w:rsidTr="00843949">
        <w:trPr>
          <w:trHeight w:val="67"/>
        </w:trPr>
        <w:tc>
          <w:tcPr>
            <w:tcW w:w="5524" w:type="dxa"/>
            <w:vMerge/>
            <w:tcMar>
              <w:left w:w="28" w:type="dxa"/>
              <w:right w:w="28" w:type="dxa"/>
            </w:tcMar>
          </w:tcPr>
          <w:p w14:paraId="08E6206F" w14:textId="77777777" w:rsidR="00441628" w:rsidRDefault="00441628" w:rsidP="00441628">
            <w:pPr>
              <w:spacing w:before="60" w:after="60"/>
              <w:rPr>
                <w:rFonts w:cstheme="minorHAnsi"/>
                <w:noProof/>
                <w:szCs w:val="24"/>
                <w:lang w:eastAsia="en-AU"/>
              </w:rPr>
            </w:pPr>
          </w:p>
        </w:tc>
        <w:tc>
          <w:tcPr>
            <w:tcW w:w="707" w:type="dxa"/>
            <w:tcMar>
              <w:left w:w="28" w:type="dxa"/>
              <w:right w:w="28" w:type="dxa"/>
            </w:tcMar>
            <w:vAlign w:val="bottom"/>
          </w:tcPr>
          <w:p w14:paraId="3F454DAD" w14:textId="77704FBB" w:rsidR="00441628" w:rsidRPr="00441628" w:rsidRDefault="00441628" w:rsidP="008B22CF">
            <w:pPr>
              <w:jc w:val="center"/>
              <w:rPr>
                <w:rFonts w:cstheme="minorHAnsi"/>
                <w:sz w:val="18"/>
                <w:szCs w:val="18"/>
              </w:rPr>
            </w:pPr>
            <w:r w:rsidRPr="00441628">
              <w:rPr>
                <w:rFonts w:cstheme="minorHAnsi"/>
                <w:color w:val="000000"/>
                <w:sz w:val="18"/>
                <w:szCs w:val="18"/>
              </w:rPr>
              <w:t>7</w:t>
            </w:r>
          </w:p>
        </w:tc>
        <w:tc>
          <w:tcPr>
            <w:tcW w:w="1276" w:type="dxa"/>
            <w:vAlign w:val="bottom"/>
          </w:tcPr>
          <w:p w14:paraId="60C1C514" w14:textId="48D947A4" w:rsidR="00441628" w:rsidRPr="00441628" w:rsidRDefault="00441628" w:rsidP="00441628">
            <w:pPr>
              <w:jc w:val="center"/>
              <w:rPr>
                <w:rFonts w:cstheme="minorHAnsi"/>
                <w:sz w:val="18"/>
                <w:szCs w:val="18"/>
              </w:rPr>
            </w:pPr>
            <w:r>
              <w:rPr>
                <w:rFonts w:cstheme="minorHAnsi"/>
                <w:color w:val="000000"/>
                <w:sz w:val="18"/>
                <w:szCs w:val="18"/>
              </w:rPr>
              <w:t xml:space="preserve">$ </w:t>
            </w:r>
            <w:r w:rsidRPr="00441628">
              <w:rPr>
                <w:rFonts w:cstheme="minorHAnsi"/>
                <w:color w:val="000000"/>
                <w:sz w:val="18"/>
                <w:szCs w:val="18"/>
              </w:rPr>
              <w:t>43</w:t>
            </w:r>
            <w:r>
              <w:rPr>
                <w:rFonts w:cstheme="minorHAnsi"/>
                <w:color w:val="000000"/>
                <w:sz w:val="18"/>
                <w:szCs w:val="18"/>
              </w:rPr>
              <w:t>,000</w:t>
            </w:r>
          </w:p>
        </w:tc>
        <w:tc>
          <w:tcPr>
            <w:tcW w:w="1419" w:type="dxa"/>
            <w:vAlign w:val="bottom"/>
          </w:tcPr>
          <w:p w14:paraId="7F76E65C" w14:textId="2207D03C" w:rsidR="00441628" w:rsidRPr="00441628" w:rsidRDefault="00441628" w:rsidP="00441628">
            <w:pPr>
              <w:jc w:val="center"/>
              <w:rPr>
                <w:rFonts w:cstheme="minorHAnsi"/>
                <w:sz w:val="18"/>
                <w:szCs w:val="18"/>
              </w:rPr>
            </w:pPr>
            <w:r w:rsidRPr="00441628">
              <w:rPr>
                <w:rFonts w:cstheme="minorHAnsi"/>
                <w:color w:val="000000"/>
                <w:sz w:val="18"/>
                <w:szCs w:val="18"/>
              </w:rPr>
              <w:t>$      43,141</w:t>
            </w:r>
          </w:p>
        </w:tc>
      </w:tr>
      <w:tr w:rsidR="00441628" w14:paraId="100B280D" w14:textId="77777777" w:rsidTr="00843949">
        <w:trPr>
          <w:trHeight w:val="67"/>
        </w:trPr>
        <w:tc>
          <w:tcPr>
            <w:tcW w:w="5524" w:type="dxa"/>
            <w:vMerge/>
            <w:tcMar>
              <w:left w:w="28" w:type="dxa"/>
              <w:right w:w="28" w:type="dxa"/>
            </w:tcMar>
          </w:tcPr>
          <w:p w14:paraId="65FDAE5A" w14:textId="77777777" w:rsidR="00441628" w:rsidRDefault="00441628" w:rsidP="00441628">
            <w:pPr>
              <w:spacing w:before="60" w:after="60"/>
              <w:rPr>
                <w:rFonts w:cstheme="minorHAnsi"/>
                <w:noProof/>
                <w:szCs w:val="24"/>
                <w:lang w:eastAsia="en-AU"/>
              </w:rPr>
            </w:pPr>
          </w:p>
        </w:tc>
        <w:tc>
          <w:tcPr>
            <w:tcW w:w="707" w:type="dxa"/>
            <w:tcMar>
              <w:left w:w="28" w:type="dxa"/>
              <w:right w:w="28" w:type="dxa"/>
            </w:tcMar>
            <w:vAlign w:val="bottom"/>
          </w:tcPr>
          <w:p w14:paraId="66C96B26" w14:textId="4A7EB2E7" w:rsidR="00441628" w:rsidRPr="00441628" w:rsidRDefault="00441628" w:rsidP="008B22CF">
            <w:pPr>
              <w:jc w:val="center"/>
              <w:rPr>
                <w:rFonts w:cstheme="minorHAnsi"/>
                <w:sz w:val="18"/>
                <w:szCs w:val="18"/>
              </w:rPr>
            </w:pPr>
            <w:r w:rsidRPr="00441628">
              <w:rPr>
                <w:rFonts w:cstheme="minorHAnsi"/>
                <w:color w:val="000000"/>
                <w:sz w:val="18"/>
                <w:szCs w:val="18"/>
              </w:rPr>
              <w:t>8</w:t>
            </w:r>
          </w:p>
        </w:tc>
        <w:tc>
          <w:tcPr>
            <w:tcW w:w="1276" w:type="dxa"/>
            <w:vAlign w:val="bottom"/>
          </w:tcPr>
          <w:p w14:paraId="58208CBC" w14:textId="77777777" w:rsidR="00441628" w:rsidRPr="00441628" w:rsidRDefault="00441628" w:rsidP="00441628">
            <w:pPr>
              <w:jc w:val="center"/>
              <w:rPr>
                <w:rFonts w:cstheme="minorHAnsi"/>
                <w:sz w:val="18"/>
                <w:szCs w:val="18"/>
              </w:rPr>
            </w:pPr>
          </w:p>
        </w:tc>
        <w:tc>
          <w:tcPr>
            <w:tcW w:w="1419" w:type="dxa"/>
            <w:vAlign w:val="bottom"/>
          </w:tcPr>
          <w:p w14:paraId="5016A6D5" w14:textId="583B7D3A" w:rsidR="00441628" w:rsidRPr="00441628" w:rsidRDefault="00441628" w:rsidP="00441628">
            <w:pPr>
              <w:jc w:val="center"/>
              <w:rPr>
                <w:rFonts w:cstheme="minorHAnsi"/>
                <w:sz w:val="18"/>
                <w:szCs w:val="18"/>
              </w:rPr>
            </w:pPr>
            <w:r w:rsidRPr="00441628">
              <w:rPr>
                <w:rFonts w:cstheme="minorHAnsi"/>
                <w:color w:val="000000"/>
                <w:sz w:val="18"/>
                <w:szCs w:val="18"/>
              </w:rPr>
              <w:t>$      43,517</w:t>
            </w:r>
          </w:p>
        </w:tc>
      </w:tr>
      <w:tr w:rsidR="00441628" w14:paraId="596F7410" w14:textId="77777777" w:rsidTr="00843949">
        <w:trPr>
          <w:trHeight w:val="67"/>
        </w:trPr>
        <w:tc>
          <w:tcPr>
            <w:tcW w:w="5524" w:type="dxa"/>
            <w:vMerge/>
            <w:tcMar>
              <w:left w:w="28" w:type="dxa"/>
              <w:right w:w="28" w:type="dxa"/>
            </w:tcMar>
          </w:tcPr>
          <w:p w14:paraId="170C3911" w14:textId="77777777" w:rsidR="00441628" w:rsidRDefault="00441628" w:rsidP="00441628">
            <w:pPr>
              <w:spacing w:before="60" w:after="60"/>
              <w:rPr>
                <w:rFonts w:cstheme="minorHAnsi"/>
                <w:noProof/>
                <w:szCs w:val="24"/>
                <w:lang w:eastAsia="en-AU"/>
              </w:rPr>
            </w:pPr>
          </w:p>
        </w:tc>
        <w:tc>
          <w:tcPr>
            <w:tcW w:w="707" w:type="dxa"/>
            <w:tcMar>
              <w:left w:w="28" w:type="dxa"/>
              <w:right w:w="28" w:type="dxa"/>
            </w:tcMar>
            <w:vAlign w:val="bottom"/>
          </w:tcPr>
          <w:p w14:paraId="1121DBC4" w14:textId="5D269370" w:rsidR="00441628" w:rsidRPr="00441628" w:rsidRDefault="00441628" w:rsidP="008B22CF">
            <w:pPr>
              <w:jc w:val="center"/>
              <w:rPr>
                <w:rFonts w:cstheme="minorHAnsi"/>
                <w:sz w:val="18"/>
                <w:szCs w:val="18"/>
              </w:rPr>
            </w:pPr>
            <w:r w:rsidRPr="00441628">
              <w:rPr>
                <w:rFonts w:cstheme="minorHAnsi"/>
                <w:color w:val="000000"/>
                <w:sz w:val="18"/>
                <w:szCs w:val="18"/>
              </w:rPr>
              <w:t>9</w:t>
            </w:r>
          </w:p>
        </w:tc>
        <w:tc>
          <w:tcPr>
            <w:tcW w:w="1276" w:type="dxa"/>
            <w:vAlign w:val="bottom"/>
          </w:tcPr>
          <w:p w14:paraId="5AF8AAD2" w14:textId="77777777" w:rsidR="00441628" w:rsidRPr="00441628" w:rsidRDefault="00441628" w:rsidP="00441628">
            <w:pPr>
              <w:jc w:val="center"/>
              <w:rPr>
                <w:rFonts w:cstheme="minorHAnsi"/>
                <w:sz w:val="18"/>
                <w:szCs w:val="18"/>
              </w:rPr>
            </w:pPr>
          </w:p>
        </w:tc>
        <w:tc>
          <w:tcPr>
            <w:tcW w:w="1419" w:type="dxa"/>
            <w:vAlign w:val="bottom"/>
          </w:tcPr>
          <w:p w14:paraId="4AF5F972" w14:textId="1D23394A" w:rsidR="00441628" w:rsidRPr="00441628" w:rsidRDefault="00441628" w:rsidP="00441628">
            <w:pPr>
              <w:jc w:val="center"/>
              <w:rPr>
                <w:rFonts w:cstheme="minorHAnsi"/>
                <w:sz w:val="18"/>
                <w:szCs w:val="18"/>
              </w:rPr>
            </w:pPr>
            <w:r w:rsidRPr="00441628">
              <w:rPr>
                <w:rFonts w:cstheme="minorHAnsi"/>
                <w:color w:val="000000"/>
                <w:sz w:val="18"/>
                <w:szCs w:val="18"/>
              </w:rPr>
              <w:t>$      43,848</w:t>
            </w:r>
          </w:p>
        </w:tc>
      </w:tr>
      <w:tr w:rsidR="00441628" w14:paraId="012613A8" w14:textId="77777777" w:rsidTr="00843949">
        <w:trPr>
          <w:trHeight w:val="67"/>
        </w:trPr>
        <w:tc>
          <w:tcPr>
            <w:tcW w:w="5524" w:type="dxa"/>
            <w:vMerge/>
            <w:tcMar>
              <w:left w:w="28" w:type="dxa"/>
              <w:right w:w="28" w:type="dxa"/>
            </w:tcMar>
          </w:tcPr>
          <w:p w14:paraId="23C46800" w14:textId="77777777" w:rsidR="00441628" w:rsidRDefault="00441628" w:rsidP="00441628">
            <w:pPr>
              <w:spacing w:before="60" w:after="60"/>
              <w:rPr>
                <w:rFonts w:cstheme="minorHAnsi"/>
                <w:noProof/>
                <w:szCs w:val="24"/>
                <w:lang w:eastAsia="en-AU"/>
              </w:rPr>
            </w:pPr>
          </w:p>
        </w:tc>
        <w:tc>
          <w:tcPr>
            <w:tcW w:w="707" w:type="dxa"/>
            <w:tcMar>
              <w:left w:w="28" w:type="dxa"/>
              <w:right w:w="28" w:type="dxa"/>
            </w:tcMar>
            <w:vAlign w:val="bottom"/>
          </w:tcPr>
          <w:p w14:paraId="675A561A" w14:textId="2936A9E2" w:rsidR="00441628" w:rsidRPr="00441628" w:rsidRDefault="00441628" w:rsidP="008B22CF">
            <w:pPr>
              <w:jc w:val="center"/>
              <w:rPr>
                <w:rFonts w:cstheme="minorHAnsi"/>
                <w:sz w:val="18"/>
                <w:szCs w:val="18"/>
              </w:rPr>
            </w:pPr>
            <w:r w:rsidRPr="00441628">
              <w:rPr>
                <w:rFonts w:cstheme="minorHAnsi"/>
                <w:color w:val="000000"/>
                <w:sz w:val="18"/>
                <w:szCs w:val="18"/>
              </w:rPr>
              <w:t>10</w:t>
            </w:r>
          </w:p>
        </w:tc>
        <w:tc>
          <w:tcPr>
            <w:tcW w:w="1276" w:type="dxa"/>
            <w:vAlign w:val="bottom"/>
          </w:tcPr>
          <w:p w14:paraId="0FA610C5" w14:textId="77777777" w:rsidR="00441628" w:rsidRPr="00441628" w:rsidRDefault="00441628" w:rsidP="00441628">
            <w:pPr>
              <w:jc w:val="center"/>
              <w:rPr>
                <w:rFonts w:cstheme="minorHAnsi"/>
                <w:sz w:val="18"/>
                <w:szCs w:val="18"/>
              </w:rPr>
            </w:pPr>
          </w:p>
        </w:tc>
        <w:tc>
          <w:tcPr>
            <w:tcW w:w="1419" w:type="dxa"/>
            <w:vAlign w:val="bottom"/>
          </w:tcPr>
          <w:p w14:paraId="40D687D7" w14:textId="63EAB8EB" w:rsidR="00441628" w:rsidRPr="00441628" w:rsidRDefault="00441628" w:rsidP="00441628">
            <w:pPr>
              <w:jc w:val="center"/>
              <w:rPr>
                <w:rFonts w:cstheme="minorHAnsi"/>
                <w:sz w:val="18"/>
                <w:szCs w:val="18"/>
              </w:rPr>
            </w:pPr>
            <w:r w:rsidRPr="00441628">
              <w:rPr>
                <w:rFonts w:cstheme="minorHAnsi"/>
                <w:color w:val="000000"/>
                <w:sz w:val="18"/>
                <w:szCs w:val="18"/>
              </w:rPr>
              <w:t>$      44,134</w:t>
            </w:r>
          </w:p>
        </w:tc>
      </w:tr>
      <w:tr w:rsidR="00441628" w14:paraId="3D080EB0" w14:textId="77777777" w:rsidTr="00843949">
        <w:trPr>
          <w:trHeight w:val="67"/>
        </w:trPr>
        <w:tc>
          <w:tcPr>
            <w:tcW w:w="5524" w:type="dxa"/>
            <w:vMerge/>
            <w:tcMar>
              <w:left w:w="28" w:type="dxa"/>
              <w:right w:w="28" w:type="dxa"/>
            </w:tcMar>
          </w:tcPr>
          <w:p w14:paraId="2CCCD1A0" w14:textId="77777777" w:rsidR="00441628" w:rsidRDefault="00441628" w:rsidP="00441628">
            <w:pPr>
              <w:spacing w:before="60" w:after="60"/>
              <w:rPr>
                <w:rFonts w:cstheme="minorHAnsi"/>
                <w:noProof/>
                <w:szCs w:val="24"/>
                <w:lang w:eastAsia="en-AU"/>
              </w:rPr>
            </w:pPr>
          </w:p>
        </w:tc>
        <w:tc>
          <w:tcPr>
            <w:tcW w:w="707" w:type="dxa"/>
            <w:tcMar>
              <w:left w:w="28" w:type="dxa"/>
              <w:right w:w="28" w:type="dxa"/>
            </w:tcMar>
            <w:vAlign w:val="bottom"/>
          </w:tcPr>
          <w:p w14:paraId="64A1C4B3" w14:textId="377361B1" w:rsidR="00441628" w:rsidRPr="00441628" w:rsidRDefault="00441628" w:rsidP="008B22CF">
            <w:pPr>
              <w:jc w:val="center"/>
              <w:rPr>
                <w:rFonts w:cstheme="minorHAnsi"/>
                <w:sz w:val="18"/>
                <w:szCs w:val="18"/>
              </w:rPr>
            </w:pPr>
            <w:r w:rsidRPr="00441628">
              <w:rPr>
                <w:rFonts w:cstheme="minorHAnsi"/>
                <w:color w:val="000000"/>
                <w:sz w:val="18"/>
                <w:szCs w:val="18"/>
              </w:rPr>
              <w:t>11</w:t>
            </w:r>
          </w:p>
        </w:tc>
        <w:tc>
          <w:tcPr>
            <w:tcW w:w="1276" w:type="dxa"/>
            <w:vAlign w:val="bottom"/>
          </w:tcPr>
          <w:p w14:paraId="2D03E716" w14:textId="77777777" w:rsidR="00441628" w:rsidRPr="00441628" w:rsidRDefault="00441628" w:rsidP="00441628">
            <w:pPr>
              <w:jc w:val="center"/>
              <w:rPr>
                <w:rFonts w:cstheme="minorHAnsi"/>
                <w:sz w:val="18"/>
                <w:szCs w:val="18"/>
              </w:rPr>
            </w:pPr>
          </w:p>
        </w:tc>
        <w:tc>
          <w:tcPr>
            <w:tcW w:w="1419" w:type="dxa"/>
            <w:vAlign w:val="bottom"/>
          </w:tcPr>
          <w:p w14:paraId="4892A671" w14:textId="2732E040" w:rsidR="00441628" w:rsidRPr="00441628" w:rsidRDefault="00441628" w:rsidP="00441628">
            <w:pPr>
              <w:jc w:val="center"/>
              <w:rPr>
                <w:rFonts w:cstheme="minorHAnsi"/>
                <w:sz w:val="18"/>
                <w:szCs w:val="18"/>
              </w:rPr>
            </w:pPr>
            <w:r w:rsidRPr="00441628">
              <w:rPr>
                <w:rFonts w:cstheme="minorHAnsi"/>
                <w:color w:val="000000"/>
                <w:sz w:val="18"/>
                <w:szCs w:val="18"/>
              </w:rPr>
              <w:t>$      44,375</w:t>
            </w:r>
          </w:p>
        </w:tc>
      </w:tr>
      <w:tr w:rsidR="00441628" w14:paraId="06DC4AFC" w14:textId="77777777" w:rsidTr="00843949">
        <w:trPr>
          <w:trHeight w:val="67"/>
        </w:trPr>
        <w:tc>
          <w:tcPr>
            <w:tcW w:w="5524" w:type="dxa"/>
            <w:vMerge/>
            <w:tcMar>
              <w:left w:w="28" w:type="dxa"/>
              <w:right w:w="28" w:type="dxa"/>
            </w:tcMar>
          </w:tcPr>
          <w:p w14:paraId="7928389F" w14:textId="77777777" w:rsidR="00441628" w:rsidRDefault="00441628" w:rsidP="00441628">
            <w:pPr>
              <w:spacing w:before="60" w:after="60"/>
              <w:rPr>
                <w:rFonts w:cstheme="minorHAnsi"/>
                <w:noProof/>
                <w:szCs w:val="24"/>
                <w:lang w:eastAsia="en-AU"/>
              </w:rPr>
            </w:pPr>
          </w:p>
        </w:tc>
        <w:tc>
          <w:tcPr>
            <w:tcW w:w="707" w:type="dxa"/>
            <w:tcMar>
              <w:left w:w="28" w:type="dxa"/>
              <w:right w:w="28" w:type="dxa"/>
            </w:tcMar>
            <w:vAlign w:val="bottom"/>
          </w:tcPr>
          <w:p w14:paraId="66B6BCAF" w14:textId="64256A2B" w:rsidR="00441628" w:rsidRPr="00441628" w:rsidRDefault="00441628" w:rsidP="008B22CF">
            <w:pPr>
              <w:jc w:val="center"/>
              <w:rPr>
                <w:rFonts w:cstheme="minorHAnsi"/>
                <w:sz w:val="18"/>
                <w:szCs w:val="18"/>
              </w:rPr>
            </w:pPr>
            <w:r w:rsidRPr="00441628">
              <w:rPr>
                <w:rFonts w:cstheme="minorHAnsi"/>
                <w:color w:val="000000"/>
                <w:sz w:val="18"/>
                <w:szCs w:val="18"/>
              </w:rPr>
              <w:t>12</w:t>
            </w:r>
          </w:p>
        </w:tc>
        <w:tc>
          <w:tcPr>
            <w:tcW w:w="1276" w:type="dxa"/>
            <w:vAlign w:val="bottom"/>
          </w:tcPr>
          <w:p w14:paraId="0B716AA8" w14:textId="77777777" w:rsidR="00441628" w:rsidRPr="00441628" w:rsidRDefault="00441628" w:rsidP="00441628">
            <w:pPr>
              <w:jc w:val="center"/>
              <w:rPr>
                <w:rFonts w:cstheme="minorHAnsi"/>
                <w:sz w:val="18"/>
                <w:szCs w:val="18"/>
              </w:rPr>
            </w:pPr>
          </w:p>
        </w:tc>
        <w:tc>
          <w:tcPr>
            <w:tcW w:w="1419" w:type="dxa"/>
            <w:vAlign w:val="bottom"/>
          </w:tcPr>
          <w:p w14:paraId="17111EEE" w14:textId="3BD981D7" w:rsidR="00441628" w:rsidRPr="00441628" w:rsidRDefault="00441628" w:rsidP="00441628">
            <w:pPr>
              <w:jc w:val="center"/>
              <w:rPr>
                <w:rFonts w:cstheme="minorHAnsi"/>
                <w:sz w:val="18"/>
                <w:szCs w:val="18"/>
              </w:rPr>
            </w:pPr>
            <w:r w:rsidRPr="00441628">
              <w:rPr>
                <w:rFonts w:cstheme="minorHAnsi"/>
                <w:color w:val="000000"/>
                <w:sz w:val="18"/>
                <w:szCs w:val="18"/>
              </w:rPr>
              <w:t>$      44,571</w:t>
            </w:r>
          </w:p>
        </w:tc>
      </w:tr>
      <w:tr w:rsidR="00441628" w14:paraId="0263825A" w14:textId="77777777" w:rsidTr="00843949">
        <w:trPr>
          <w:trHeight w:val="67"/>
        </w:trPr>
        <w:tc>
          <w:tcPr>
            <w:tcW w:w="5524" w:type="dxa"/>
            <w:vMerge/>
            <w:tcMar>
              <w:left w:w="28" w:type="dxa"/>
              <w:right w:w="28" w:type="dxa"/>
            </w:tcMar>
          </w:tcPr>
          <w:p w14:paraId="4C3553B4" w14:textId="77777777" w:rsidR="00441628" w:rsidRDefault="00441628" w:rsidP="00441628">
            <w:pPr>
              <w:spacing w:before="60" w:after="60"/>
              <w:rPr>
                <w:rFonts w:cstheme="minorHAnsi"/>
                <w:noProof/>
                <w:szCs w:val="24"/>
                <w:lang w:eastAsia="en-AU"/>
              </w:rPr>
            </w:pPr>
          </w:p>
        </w:tc>
        <w:tc>
          <w:tcPr>
            <w:tcW w:w="707" w:type="dxa"/>
            <w:tcMar>
              <w:left w:w="28" w:type="dxa"/>
              <w:right w:w="28" w:type="dxa"/>
            </w:tcMar>
            <w:vAlign w:val="bottom"/>
          </w:tcPr>
          <w:p w14:paraId="1BACDCBD" w14:textId="262CAACC" w:rsidR="00441628" w:rsidRPr="00441628" w:rsidRDefault="00441628" w:rsidP="008B22CF">
            <w:pPr>
              <w:jc w:val="center"/>
              <w:rPr>
                <w:rFonts w:cstheme="minorHAnsi"/>
                <w:sz w:val="18"/>
                <w:szCs w:val="18"/>
              </w:rPr>
            </w:pPr>
            <w:r w:rsidRPr="00441628">
              <w:rPr>
                <w:rFonts w:cstheme="minorHAnsi"/>
                <w:color w:val="000000"/>
                <w:sz w:val="18"/>
                <w:szCs w:val="18"/>
              </w:rPr>
              <w:t>13</w:t>
            </w:r>
          </w:p>
        </w:tc>
        <w:tc>
          <w:tcPr>
            <w:tcW w:w="1276" w:type="dxa"/>
            <w:vAlign w:val="bottom"/>
          </w:tcPr>
          <w:p w14:paraId="519CF6B5" w14:textId="77777777" w:rsidR="00441628" w:rsidRPr="00441628" w:rsidRDefault="00441628" w:rsidP="00441628">
            <w:pPr>
              <w:jc w:val="center"/>
              <w:rPr>
                <w:rFonts w:cstheme="minorHAnsi"/>
                <w:sz w:val="18"/>
                <w:szCs w:val="18"/>
              </w:rPr>
            </w:pPr>
          </w:p>
        </w:tc>
        <w:tc>
          <w:tcPr>
            <w:tcW w:w="1419" w:type="dxa"/>
            <w:vAlign w:val="bottom"/>
          </w:tcPr>
          <w:p w14:paraId="34D8F609" w14:textId="7BD48EB0" w:rsidR="00441628" w:rsidRPr="00441628" w:rsidRDefault="00441628" w:rsidP="00441628">
            <w:pPr>
              <w:jc w:val="center"/>
              <w:rPr>
                <w:rFonts w:cstheme="minorHAnsi"/>
                <w:sz w:val="18"/>
                <w:szCs w:val="18"/>
              </w:rPr>
            </w:pPr>
            <w:r w:rsidRPr="00441628">
              <w:rPr>
                <w:rFonts w:cstheme="minorHAnsi"/>
                <w:color w:val="000000"/>
                <w:sz w:val="18"/>
                <w:szCs w:val="18"/>
              </w:rPr>
              <w:t>$      44,722</w:t>
            </w:r>
          </w:p>
        </w:tc>
      </w:tr>
      <w:tr w:rsidR="00441628" w14:paraId="0BD75035" w14:textId="77777777" w:rsidTr="00843949">
        <w:trPr>
          <w:trHeight w:val="67"/>
        </w:trPr>
        <w:tc>
          <w:tcPr>
            <w:tcW w:w="5524" w:type="dxa"/>
            <w:vMerge/>
            <w:tcMar>
              <w:left w:w="28" w:type="dxa"/>
              <w:right w:w="28" w:type="dxa"/>
            </w:tcMar>
          </w:tcPr>
          <w:p w14:paraId="3E8C6A52" w14:textId="77777777" w:rsidR="00441628" w:rsidRDefault="00441628" w:rsidP="00441628">
            <w:pPr>
              <w:spacing w:before="60" w:after="60"/>
              <w:rPr>
                <w:rFonts w:cstheme="minorHAnsi"/>
                <w:noProof/>
                <w:szCs w:val="24"/>
                <w:lang w:eastAsia="en-AU"/>
              </w:rPr>
            </w:pPr>
          </w:p>
        </w:tc>
        <w:tc>
          <w:tcPr>
            <w:tcW w:w="707" w:type="dxa"/>
            <w:tcMar>
              <w:left w:w="28" w:type="dxa"/>
              <w:right w:w="28" w:type="dxa"/>
            </w:tcMar>
            <w:vAlign w:val="bottom"/>
          </w:tcPr>
          <w:p w14:paraId="646E7EF9" w14:textId="32F12605" w:rsidR="00441628" w:rsidRPr="00441628" w:rsidRDefault="00441628" w:rsidP="008B22CF">
            <w:pPr>
              <w:jc w:val="center"/>
              <w:rPr>
                <w:rFonts w:cstheme="minorHAnsi"/>
                <w:sz w:val="18"/>
                <w:szCs w:val="18"/>
              </w:rPr>
            </w:pPr>
            <w:r w:rsidRPr="00441628">
              <w:rPr>
                <w:rFonts w:cstheme="minorHAnsi"/>
                <w:color w:val="000000"/>
                <w:sz w:val="18"/>
                <w:szCs w:val="18"/>
              </w:rPr>
              <w:t>14</w:t>
            </w:r>
          </w:p>
        </w:tc>
        <w:tc>
          <w:tcPr>
            <w:tcW w:w="1276" w:type="dxa"/>
            <w:vAlign w:val="bottom"/>
          </w:tcPr>
          <w:p w14:paraId="7E09F9CF" w14:textId="77777777" w:rsidR="00441628" w:rsidRPr="00441628" w:rsidRDefault="00441628" w:rsidP="00441628">
            <w:pPr>
              <w:jc w:val="center"/>
              <w:rPr>
                <w:rFonts w:cstheme="minorHAnsi"/>
                <w:sz w:val="18"/>
                <w:szCs w:val="18"/>
              </w:rPr>
            </w:pPr>
          </w:p>
        </w:tc>
        <w:tc>
          <w:tcPr>
            <w:tcW w:w="1419" w:type="dxa"/>
            <w:vAlign w:val="bottom"/>
          </w:tcPr>
          <w:p w14:paraId="2BD7AB67" w14:textId="66DB7188" w:rsidR="00441628" w:rsidRPr="00441628" w:rsidRDefault="00441628" w:rsidP="00441628">
            <w:pPr>
              <w:jc w:val="center"/>
              <w:rPr>
                <w:rFonts w:cstheme="minorHAnsi"/>
                <w:sz w:val="18"/>
                <w:szCs w:val="18"/>
              </w:rPr>
            </w:pPr>
            <w:r w:rsidRPr="00441628">
              <w:rPr>
                <w:rFonts w:cstheme="minorHAnsi"/>
                <w:color w:val="000000"/>
                <w:sz w:val="18"/>
                <w:szCs w:val="18"/>
              </w:rPr>
              <w:t>$      44,828</w:t>
            </w:r>
          </w:p>
        </w:tc>
      </w:tr>
      <w:tr w:rsidR="00441628" w14:paraId="3E8B43CD" w14:textId="77777777" w:rsidTr="00843949">
        <w:trPr>
          <w:trHeight w:val="67"/>
        </w:trPr>
        <w:tc>
          <w:tcPr>
            <w:tcW w:w="5524" w:type="dxa"/>
            <w:vMerge/>
            <w:tcMar>
              <w:left w:w="28" w:type="dxa"/>
              <w:right w:w="28" w:type="dxa"/>
            </w:tcMar>
          </w:tcPr>
          <w:p w14:paraId="5E2CC729" w14:textId="77777777" w:rsidR="00441628" w:rsidRDefault="00441628" w:rsidP="00441628">
            <w:pPr>
              <w:spacing w:before="60" w:after="60"/>
              <w:rPr>
                <w:rFonts w:cstheme="minorHAnsi"/>
                <w:noProof/>
                <w:szCs w:val="24"/>
                <w:lang w:eastAsia="en-AU"/>
              </w:rPr>
            </w:pPr>
          </w:p>
        </w:tc>
        <w:tc>
          <w:tcPr>
            <w:tcW w:w="707" w:type="dxa"/>
            <w:tcMar>
              <w:left w:w="28" w:type="dxa"/>
              <w:right w:w="28" w:type="dxa"/>
            </w:tcMar>
            <w:vAlign w:val="bottom"/>
          </w:tcPr>
          <w:p w14:paraId="64320ABA" w14:textId="57289E94" w:rsidR="00441628" w:rsidRPr="00441628" w:rsidRDefault="00441628" w:rsidP="008B22CF">
            <w:pPr>
              <w:jc w:val="center"/>
              <w:rPr>
                <w:rFonts w:cstheme="minorHAnsi"/>
                <w:sz w:val="18"/>
                <w:szCs w:val="18"/>
              </w:rPr>
            </w:pPr>
            <w:r w:rsidRPr="00441628">
              <w:rPr>
                <w:rFonts w:cstheme="minorHAnsi"/>
                <w:color w:val="000000"/>
                <w:sz w:val="18"/>
                <w:szCs w:val="18"/>
              </w:rPr>
              <w:t>15</w:t>
            </w:r>
          </w:p>
        </w:tc>
        <w:tc>
          <w:tcPr>
            <w:tcW w:w="1276" w:type="dxa"/>
            <w:vAlign w:val="bottom"/>
          </w:tcPr>
          <w:p w14:paraId="6ED26C31" w14:textId="1AF871C5" w:rsidR="00441628" w:rsidRPr="00441628" w:rsidRDefault="00441628" w:rsidP="00441628">
            <w:pPr>
              <w:jc w:val="center"/>
              <w:rPr>
                <w:rFonts w:cstheme="minorHAnsi"/>
                <w:sz w:val="18"/>
                <w:szCs w:val="18"/>
              </w:rPr>
            </w:pPr>
            <w:r>
              <w:rPr>
                <w:rFonts w:cstheme="minorHAnsi"/>
                <w:color w:val="000000"/>
                <w:sz w:val="18"/>
                <w:szCs w:val="18"/>
              </w:rPr>
              <w:t xml:space="preserve">$ </w:t>
            </w:r>
            <w:r w:rsidRPr="00441628">
              <w:rPr>
                <w:rFonts w:cstheme="minorHAnsi"/>
                <w:color w:val="000000"/>
                <w:sz w:val="18"/>
                <w:szCs w:val="18"/>
              </w:rPr>
              <w:t>45</w:t>
            </w:r>
            <w:r>
              <w:rPr>
                <w:rFonts w:cstheme="minorHAnsi"/>
                <w:color w:val="000000"/>
                <w:sz w:val="18"/>
                <w:szCs w:val="18"/>
              </w:rPr>
              <w:t>,000</w:t>
            </w:r>
          </w:p>
        </w:tc>
        <w:tc>
          <w:tcPr>
            <w:tcW w:w="1419" w:type="dxa"/>
            <w:vAlign w:val="bottom"/>
          </w:tcPr>
          <w:p w14:paraId="76E15BCA" w14:textId="7E7D072D" w:rsidR="00441628" w:rsidRPr="00441628" w:rsidRDefault="00441628" w:rsidP="00441628">
            <w:pPr>
              <w:jc w:val="center"/>
              <w:rPr>
                <w:rFonts w:cstheme="minorHAnsi"/>
                <w:sz w:val="18"/>
                <w:szCs w:val="18"/>
              </w:rPr>
            </w:pPr>
            <w:r w:rsidRPr="00441628">
              <w:rPr>
                <w:rFonts w:cstheme="minorHAnsi"/>
                <w:color w:val="000000"/>
                <w:sz w:val="18"/>
                <w:szCs w:val="18"/>
              </w:rPr>
              <w:t>$      44,890</w:t>
            </w:r>
          </w:p>
        </w:tc>
      </w:tr>
      <w:tr w:rsidR="00441628" w14:paraId="341D4F27" w14:textId="77777777" w:rsidTr="00843949">
        <w:trPr>
          <w:trHeight w:val="67"/>
        </w:trPr>
        <w:tc>
          <w:tcPr>
            <w:tcW w:w="5524" w:type="dxa"/>
            <w:vMerge/>
            <w:tcMar>
              <w:left w:w="28" w:type="dxa"/>
              <w:right w:w="28" w:type="dxa"/>
            </w:tcMar>
          </w:tcPr>
          <w:p w14:paraId="7FB4ED34" w14:textId="77777777" w:rsidR="00441628" w:rsidRDefault="00441628" w:rsidP="00441628">
            <w:pPr>
              <w:spacing w:before="60" w:after="60"/>
              <w:rPr>
                <w:rFonts w:cstheme="minorHAnsi"/>
                <w:noProof/>
                <w:szCs w:val="24"/>
                <w:lang w:eastAsia="en-AU"/>
              </w:rPr>
            </w:pPr>
          </w:p>
        </w:tc>
        <w:tc>
          <w:tcPr>
            <w:tcW w:w="707" w:type="dxa"/>
            <w:tcMar>
              <w:left w:w="28" w:type="dxa"/>
              <w:right w:w="28" w:type="dxa"/>
            </w:tcMar>
            <w:vAlign w:val="bottom"/>
          </w:tcPr>
          <w:p w14:paraId="2ACB48FD" w14:textId="4771E096" w:rsidR="00441628" w:rsidRPr="00441628" w:rsidRDefault="00441628" w:rsidP="008B22CF">
            <w:pPr>
              <w:jc w:val="center"/>
              <w:rPr>
                <w:rFonts w:cstheme="minorHAnsi"/>
                <w:sz w:val="18"/>
                <w:szCs w:val="18"/>
              </w:rPr>
            </w:pPr>
            <w:r w:rsidRPr="00441628">
              <w:rPr>
                <w:rFonts w:cstheme="minorHAnsi"/>
                <w:color w:val="000000"/>
                <w:sz w:val="18"/>
                <w:szCs w:val="18"/>
              </w:rPr>
              <w:t>16</w:t>
            </w:r>
          </w:p>
        </w:tc>
        <w:tc>
          <w:tcPr>
            <w:tcW w:w="1276" w:type="dxa"/>
            <w:vAlign w:val="bottom"/>
          </w:tcPr>
          <w:p w14:paraId="53BBE215" w14:textId="77777777" w:rsidR="00441628" w:rsidRPr="00441628" w:rsidRDefault="00441628" w:rsidP="00441628">
            <w:pPr>
              <w:jc w:val="center"/>
              <w:rPr>
                <w:rFonts w:cstheme="minorHAnsi"/>
                <w:sz w:val="18"/>
                <w:szCs w:val="18"/>
              </w:rPr>
            </w:pPr>
          </w:p>
        </w:tc>
        <w:tc>
          <w:tcPr>
            <w:tcW w:w="1419" w:type="dxa"/>
            <w:vAlign w:val="bottom"/>
          </w:tcPr>
          <w:p w14:paraId="5AFCED02" w14:textId="36F7169F" w:rsidR="00441628" w:rsidRPr="00441628" w:rsidRDefault="00441628" w:rsidP="00441628">
            <w:pPr>
              <w:jc w:val="center"/>
              <w:rPr>
                <w:rFonts w:cstheme="minorHAnsi"/>
                <w:sz w:val="18"/>
                <w:szCs w:val="18"/>
              </w:rPr>
            </w:pPr>
            <w:r w:rsidRPr="00441628">
              <w:rPr>
                <w:rFonts w:cstheme="minorHAnsi"/>
                <w:color w:val="000000"/>
                <w:sz w:val="18"/>
                <w:szCs w:val="18"/>
              </w:rPr>
              <w:t>$      44,906</w:t>
            </w:r>
          </w:p>
        </w:tc>
      </w:tr>
      <w:tr w:rsidR="00441628" w14:paraId="12ECEB9C" w14:textId="77777777" w:rsidTr="00843949">
        <w:trPr>
          <w:trHeight w:val="67"/>
        </w:trPr>
        <w:tc>
          <w:tcPr>
            <w:tcW w:w="5524" w:type="dxa"/>
            <w:vMerge/>
            <w:tcMar>
              <w:left w:w="28" w:type="dxa"/>
              <w:right w:w="28" w:type="dxa"/>
            </w:tcMar>
          </w:tcPr>
          <w:p w14:paraId="63725472" w14:textId="77777777" w:rsidR="00441628" w:rsidRDefault="00441628" w:rsidP="00441628">
            <w:pPr>
              <w:spacing w:before="60" w:after="60"/>
              <w:rPr>
                <w:rFonts w:cstheme="minorHAnsi"/>
                <w:noProof/>
                <w:szCs w:val="24"/>
                <w:lang w:eastAsia="en-AU"/>
              </w:rPr>
            </w:pPr>
          </w:p>
        </w:tc>
        <w:tc>
          <w:tcPr>
            <w:tcW w:w="707" w:type="dxa"/>
            <w:tcMar>
              <w:left w:w="28" w:type="dxa"/>
              <w:right w:w="28" w:type="dxa"/>
            </w:tcMar>
            <w:vAlign w:val="bottom"/>
          </w:tcPr>
          <w:p w14:paraId="140DFD89" w14:textId="02C514CF" w:rsidR="00441628" w:rsidRPr="00441628" w:rsidRDefault="00441628" w:rsidP="008B22CF">
            <w:pPr>
              <w:jc w:val="center"/>
              <w:rPr>
                <w:rFonts w:cstheme="minorHAnsi"/>
                <w:sz w:val="18"/>
                <w:szCs w:val="18"/>
              </w:rPr>
            </w:pPr>
            <w:r w:rsidRPr="00441628">
              <w:rPr>
                <w:rFonts w:cstheme="minorHAnsi"/>
                <w:color w:val="000000"/>
                <w:sz w:val="18"/>
                <w:szCs w:val="18"/>
              </w:rPr>
              <w:t>17</w:t>
            </w:r>
          </w:p>
        </w:tc>
        <w:tc>
          <w:tcPr>
            <w:tcW w:w="1276" w:type="dxa"/>
            <w:vAlign w:val="bottom"/>
          </w:tcPr>
          <w:p w14:paraId="77C421D8" w14:textId="77777777" w:rsidR="00441628" w:rsidRPr="00441628" w:rsidRDefault="00441628" w:rsidP="00441628">
            <w:pPr>
              <w:jc w:val="center"/>
              <w:rPr>
                <w:rFonts w:cstheme="minorHAnsi"/>
                <w:sz w:val="18"/>
                <w:szCs w:val="18"/>
              </w:rPr>
            </w:pPr>
          </w:p>
        </w:tc>
        <w:tc>
          <w:tcPr>
            <w:tcW w:w="1419" w:type="dxa"/>
            <w:vAlign w:val="bottom"/>
          </w:tcPr>
          <w:p w14:paraId="341E8BFB" w14:textId="675D195D" w:rsidR="00441628" w:rsidRPr="00441628" w:rsidRDefault="00441628" w:rsidP="00441628">
            <w:pPr>
              <w:jc w:val="center"/>
              <w:rPr>
                <w:rFonts w:cstheme="minorHAnsi"/>
                <w:sz w:val="18"/>
                <w:szCs w:val="18"/>
              </w:rPr>
            </w:pPr>
            <w:r w:rsidRPr="00441628">
              <w:rPr>
                <w:rFonts w:cstheme="minorHAnsi"/>
                <w:color w:val="000000"/>
                <w:sz w:val="18"/>
                <w:szCs w:val="18"/>
              </w:rPr>
              <w:t>$      44,877</w:t>
            </w:r>
          </w:p>
        </w:tc>
      </w:tr>
      <w:tr w:rsidR="00441628" w14:paraId="19852D89" w14:textId="77777777" w:rsidTr="00843949">
        <w:trPr>
          <w:trHeight w:val="67"/>
        </w:trPr>
        <w:tc>
          <w:tcPr>
            <w:tcW w:w="5524" w:type="dxa"/>
            <w:vMerge/>
            <w:tcMar>
              <w:left w:w="28" w:type="dxa"/>
              <w:right w:w="28" w:type="dxa"/>
            </w:tcMar>
          </w:tcPr>
          <w:p w14:paraId="261787D4" w14:textId="77777777" w:rsidR="00441628" w:rsidRDefault="00441628" w:rsidP="00441628">
            <w:pPr>
              <w:spacing w:before="60" w:after="60"/>
              <w:rPr>
                <w:rFonts w:cstheme="minorHAnsi"/>
                <w:noProof/>
                <w:szCs w:val="24"/>
                <w:lang w:eastAsia="en-AU"/>
              </w:rPr>
            </w:pPr>
          </w:p>
        </w:tc>
        <w:tc>
          <w:tcPr>
            <w:tcW w:w="707" w:type="dxa"/>
            <w:tcMar>
              <w:left w:w="28" w:type="dxa"/>
              <w:right w:w="28" w:type="dxa"/>
            </w:tcMar>
            <w:vAlign w:val="bottom"/>
          </w:tcPr>
          <w:p w14:paraId="23FF8D8D" w14:textId="117737E7" w:rsidR="00441628" w:rsidRPr="00441628" w:rsidRDefault="00441628" w:rsidP="008B22CF">
            <w:pPr>
              <w:jc w:val="center"/>
              <w:rPr>
                <w:rFonts w:cstheme="minorHAnsi"/>
                <w:sz w:val="18"/>
                <w:szCs w:val="18"/>
              </w:rPr>
            </w:pPr>
            <w:r w:rsidRPr="00441628">
              <w:rPr>
                <w:rFonts w:cstheme="minorHAnsi"/>
                <w:color w:val="000000"/>
                <w:sz w:val="18"/>
                <w:szCs w:val="18"/>
              </w:rPr>
              <w:t>18</w:t>
            </w:r>
          </w:p>
        </w:tc>
        <w:tc>
          <w:tcPr>
            <w:tcW w:w="1276" w:type="dxa"/>
            <w:vAlign w:val="bottom"/>
          </w:tcPr>
          <w:p w14:paraId="1DE61737" w14:textId="77777777" w:rsidR="00441628" w:rsidRPr="00441628" w:rsidRDefault="00441628" w:rsidP="00441628">
            <w:pPr>
              <w:jc w:val="center"/>
              <w:rPr>
                <w:rFonts w:cstheme="minorHAnsi"/>
                <w:sz w:val="18"/>
                <w:szCs w:val="18"/>
              </w:rPr>
            </w:pPr>
          </w:p>
        </w:tc>
        <w:tc>
          <w:tcPr>
            <w:tcW w:w="1419" w:type="dxa"/>
            <w:vAlign w:val="bottom"/>
          </w:tcPr>
          <w:p w14:paraId="6FC2A6C8" w14:textId="7BF5273F" w:rsidR="00441628" w:rsidRPr="00441628" w:rsidRDefault="00441628" w:rsidP="00441628">
            <w:pPr>
              <w:jc w:val="center"/>
              <w:rPr>
                <w:rFonts w:cstheme="minorHAnsi"/>
                <w:sz w:val="18"/>
                <w:szCs w:val="18"/>
              </w:rPr>
            </w:pPr>
            <w:r w:rsidRPr="00441628">
              <w:rPr>
                <w:rFonts w:cstheme="minorHAnsi"/>
                <w:color w:val="000000"/>
                <w:sz w:val="18"/>
                <w:szCs w:val="18"/>
              </w:rPr>
              <w:t>$      44,803</w:t>
            </w:r>
          </w:p>
        </w:tc>
      </w:tr>
      <w:tr w:rsidR="00441628" w14:paraId="3FFC0341" w14:textId="77777777" w:rsidTr="00843949">
        <w:trPr>
          <w:trHeight w:val="67"/>
        </w:trPr>
        <w:tc>
          <w:tcPr>
            <w:tcW w:w="5524" w:type="dxa"/>
            <w:vMerge/>
            <w:tcMar>
              <w:left w:w="28" w:type="dxa"/>
              <w:right w:w="28" w:type="dxa"/>
            </w:tcMar>
          </w:tcPr>
          <w:p w14:paraId="2530A362" w14:textId="77777777" w:rsidR="00441628" w:rsidRDefault="00441628" w:rsidP="00441628">
            <w:pPr>
              <w:spacing w:before="60" w:after="60"/>
              <w:rPr>
                <w:rFonts w:cstheme="minorHAnsi"/>
                <w:noProof/>
                <w:szCs w:val="24"/>
                <w:lang w:eastAsia="en-AU"/>
              </w:rPr>
            </w:pPr>
          </w:p>
        </w:tc>
        <w:tc>
          <w:tcPr>
            <w:tcW w:w="707" w:type="dxa"/>
            <w:tcMar>
              <w:left w:w="28" w:type="dxa"/>
              <w:right w:w="28" w:type="dxa"/>
            </w:tcMar>
            <w:vAlign w:val="bottom"/>
          </w:tcPr>
          <w:p w14:paraId="129D5D5F" w14:textId="4536E879" w:rsidR="00441628" w:rsidRPr="00441628" w:rsidRDefault="00441628" w:rsidP="008B22CF">
            <w:pPr>
              <w:jc w:val="center"/>
              <w:rPr>
                <w:rFonts w:cstheme="minorHAnsi"/>
                <w:sz w:val="18"/>
                <w:szCs w:val="18"/>
              </w:rPr>
            </w:pPr>
            <w:r w:rsidRPr="00441628">
              <w:rPr>
                <w:rFonts w:cstheme="minorHAnsi"/>
                <w:color w:val="000000"/>
                <w:sz w:val="18"/>
                <w:szCs w:val="18"/>
              </w:rPr>
              <w:t>19</w:t>
            </w:r>
          </w:p>
        </w:tc>
        <w:tc>
          <w:tcPr>
            <w:tcW w:w="1276" w:type="dxa"/>
            <w:vAlign w:val="bottom"/>
          </w:tcPr>
          <w:p w14:paraId="3A13B58B" w14:textId="77777777" w:rsidR="00441628" w:rsidRPr="00441628" w:rsidRDefault="00441628" w:rsidP="00441628">
            <w:pPr>
              <w:jc w:val="center"/>
              <w:rPr>
                <w:rFonts w:cstheme="minorHAnsi"/>
                <w:sz w:val="18"/>
                <w:szCs w:val="18"/>
              </w:rPr>
            </w:pPr>
          </w:p>
        </w:tc>
        <w:tc>
          <w:tcPr>
            <w:tcW w:w="1419" w:type="dxa"/>
            <w:vAlign w:val="bottom"/>
          </w:tcPr>
          <w:p w14:paraId="55F8AC6F" w14:textId="2F3E8762" w:rsidR="00441628" w:rsidRPr="00441628" w:rsidRDefault="00441628" w:rsidP="00441628">
            <w:pPr>
              <w:jc w:val="center"/>
              <w:rPr>
                <w:rFonts w:cstheme="minorHAnsi"/>
                <w:sz w:val="18"/>
                <w:szCs w:val="18"/>
              </w:rPr>
            </w:pPr>
            <w:r w:rsidRPr="00441628">
              <w:rPr>
                <w:rFonts w:cstheme="minorHAnsi"/>
                <w:color w:val="000000"/>
                <w:sz w:val="18"/>
                <w:szCs w:val="18"/>
              </w:rPr>
              <w:t>$      44,684</w:t>
            </w:r>
          </w:p>
        </w:tc>
      </w:tr>
      <w:tr w:rsidR="00441628" w14:paraId="5AB6426E" w14:textId="77777777" w:rsidTr="00843949">
        <w:trPr>
          <w:trHeight w:val="67"/>
        </w:trPr>
        <w:tc>
          <w:tcPr>
            <w:tcW w:w="5524" w:type="dxa"/>
            <w:vMerge/>
            <w:tcMar>
              <w:left w:w="28" w:type="dxa"/>
              <w:right w:w="28" w:type="dxa"/>
            </w:tcMar>
          </w:tcPr>
          <w:p w14:paraId="4215A1CA" w14:textId="77777777" w:rsidR="00441628" w:rsidRDefault="00441628" w:rsidP="00441628">
            <w:pPr>
              <w:spacing w:before="60" w:after="60"/>
              <w:rPr>
                <w:rFonts w:cstheme="minorHAnsi"/>
                <w:noProof/>
                <w:szCs w:val="24"/>
                <w:lang w:eastAsia="en-AU"/>
              </w:rPr>
            </w:pPr>
          </w:p>
        </w:tc>
        <w:tc>
          <w:tcPr>
            <w:tcW w:w="707" w:type="dxa"/>
            <w:tcMar>
              <w:left w:w="28" w:type="dxa"/>
              <w:right w:w="28" w:type="dxa"/>
            </w:tcMar>
            <w:vAlign w:val="bottom"/>
          </w:tcPr>
          <w:p w14:paraId="79556699" w14:textId="0A93BDF2" w:rsidR="00441628" w:rsidRPr="00441628" w:rsidRDefault="00441628" w:rsidP="008B22CF">
            <w:pPr>
              <w:jc w:val="center"/>
              <w:rPr>
                <w:rFonts w:cstheme="minorHAnsi"/>
                <w:sz w:val="18"/>
                <w:szCs w:val="18"/>
              </w:rPr>
            </w:pPr>
            <w:r w:rsidRPr="00441628">
              <w:rPr>
                <w:rFonts w:cstheme="minorHAnsi"/>
                <w:color w:val="000000"/>
                <w:sz w:val="18"/>
                <w:szCs w:val="18"/>
              </w:rPr>
              <w:t>20</w:t>
            </w:r>
          </w:p>
        </w:tc>
        <w:tc>
          <w:tcPr>
            <w:tcW w:w="1276" w:type="dxa"/>
            <w:vAlign w:val="bottom"/>
          </w:tcPr>
          <w:p w14:paraId="5C4DEEE5" w14:textId="77777777" w:rsidR="00441628" w:rsidRPr="00441628" w:rsidRDefault="00441628" w:rsidP="00441628">
            <w:pPr>
              <w:jc w:val="center"/>
              <w:rPr>
                <w:rFonts w:cstheme="minorHAnsi"/>
                <w:sz w:val="18"/>
                <w:szCs w:val="18"/>
              </w:rPr>
            </w:pPr>
          </w:p>
        </w:tc>
        <w:tc>
          <w:tcPr>
            <w:tcW w:w="1419" w:type="dxa"/>
            <w:vAlign w:val="bottom"/>
          </w:tcPr>
          <w:p w14:paraId="52EC9FAB" w14:textId="02604572" w:rsidR="00441628" w:rsidRPr="00441628" w:rsidRDefault="00441628" w:rsidP="00441628">
            <w:pPr>
              <w:jc w:val="center"/>
              <w:rPr>
                <w:rFonts w:cstheme="minorHAnsi"/>
                <w:sz w:val="18"/>
                <w:szCs w:val="18"/>
              </w:rPr>
            </w:pPr>
            <w:r w:rsidRPr="00441628">
              <w:rPr>
                <w:rFonts w:cstheme="minorHAnsi"/>
                <w:color w:val="000000"/>
                <w:sz w:val="18"/>
                <w:szCs w:val="18"/>
              </w:rPr>
              <w:t>$      44,520</w:t>
            </w:r>
          </w:p>
        </w:tc>
      </w:tr>
      <w:tr w:rsidR="00441628" w14:paraId="32E17B35" w14:textId="77777777" w:rsidTr="00843949">
        <w:trPr>
          <w:trHeight w:val="67"/>
        </w:trPr>
        <w:tc>
          <w:tcPr>
            <w:tcW w:w="5524" w:type="dxa"/>
            <w:vMerge/>
            <w:tcMar>
              <w:left w:w="28" w:type="dxa"/>
              <w:right w:w="28" w:type="dxa"/>
            </w:tcMar>
          </w:tcPr>
          <w:p w14:paraId="1D1F519A" w14:textId="77777777" w:rsidR="00441628" w:rsidRDefault="00441628" w:rsidP="00441628">
            <w:pPr>
              <w:spacing w:before="60" w:after="60"/>
              <w:rPr>
                <w:rFonts w:cstheme="minorHAnsi"/>
                <w:noProof/>
                <w:szCs w:val="24"/>
                <w:lang w:eastAsia="en-AU"/>
              </w:rPr>
            </w:pPr>
          </w:p>
        </w:tc>
        <w:tc>
          <w:tcPr>
            <w:tcW w:w="707" w:type="dxa"/>
            <w:tcMar>
              <w:left w:w="28" w:type="dxa"/>
              <w:right w:w="28" w:type="dxa"/>
            </w:tcMar>
            <w:vAlign w:val="bottom"/>
          </w:tcPr>
          <w:p w14:paraId="31F87D26" w14:textId="2448CBCE" w:rsidR="00441628" w:rsidRPr="00441628" w:rsidRDefault="00441628" w:rsidP="008B22CF">
            <w:pPr>
              <w:jc w:val="center"/>
              <w:rPr>
                <w:rFonts w:cstheme="minorHAnsi"/>
                <w:sz w:val="18"/>
                <w:szCs w:val="18"/>
              </w:rPr>
            </w:pPr>
            <w:r w:rsidRPr="00441628">
              <w:rPr>
                <w:rFonts w:cstheme="minorHAnsi"/>
                <w:color w:val="000000"/>
                <w:sz w:val="18"/>
                <w:szCs w:val="18"/>
              </w:rPr>
              <w:t>21</w:t>
            </w:r>
          </w:p>
        </w:tc>
        <w:tc>
          <w:tcPr>
            <w:tcW w:w="1276" w:type="dxa"/>
            <w:vAlign w:val="bottom"/>
          </w:tcPr>
          <w:p w14:paraId="24E5FC10" w14:textId="77777777" w:rsidR="00441628" w:rsidRPr="00441628" w:rsidRDefault="00441628" w:rsidP="00441628">
            <w:pPr>
              <w:jc w:val="center"/>
              <w:rPr>
                <w:rFonts w:cstheme="minorHAnsi"/>
                <w:sz w:val="18"/>
                <w:szCs w:val="18"/>
              </w:rPr>
            </w:pPr>
          </w:p>
        </w:tc>
        <w:tc>
          <w:tcPr>
            <w:tcW w:w="1419" w:type="dxa"/>
            <w:vAlign w:val="bottom"/>
          </w:tcPr>
          <w:p w14:paraId="558A3A0A" w14:textId="4D2C2682" w:rsidR="00441628" w:rsidRPr="00441628" w:rsidRDefault="00441628" w:rsidP="00441628">
            <w:pPr>
              <w:jc w:val="center"/>
              <w:rPr>
                <w:rFonts w:cstheme="minorHAnsi"/>
                <w:sz w:val="18"/>
                <w:szCs w:val="18"/>
              </w:rPr>
            </w:pPr>
            <w:r w:rsidRPr="00441628">
              <w:rPr>
                <w:rFonts w:cstheme="minorHAnsi"/>
                <w:color w:val="000000"/>
                <w:sz w:val="18"/>
                <w:szCs w:val="18"/>
              </w:rPr>
              <w:t>$      44,311</w:t>
            </w:r>
          </w:p>
        </w:tc>
      </w:tr>
      <w:tr w:rsidR="00441628" w14:paraId="65DFA78B" w14:textId="77777777" w:rsidTr="00843949">
        <w:trPr>
          <w:trHeight w:val="67"/>
        </w:trPr>
        <w:tc>
          <w:tcPr>
            <w:tcW w:w="5524" w:type="dxa"/>
            <w:vMerge/>
            <w:tcMar>
              <w:left w:w="28" w:type="dxa"/>
              <w:right w:w="28" w:type="dxa"/>
            </w:tcMar>
          </w:tcPr>
          <w:p w14:paraId="0F407779" w14:textId="77777777" w:rsidR="00441628" w:rsidRDefault="00441628" w:rsidP="00441628">
            <w:pPr>
              <w:spacing w:before="60" w:after="60"/>
              <w:rPr>
                <w:rFonts w:cstheme="minorHAnsi"/>
                <w:noProof/>
                <w:szCs w:val="24"/>
                <w:lang w:eastAsia="en-AU"/>
              </w:rPr>
            </w:pPr>
          </w:p>
        </w:tc>
        <w:tc>
          <w:tcPr>
            <w:tcW w:w="707" w:type="dxa"/>
            <w:tcMar>
              <w:left w:w="28" w:type="dxa"/>
              <w:right w:w="28" w:type="dxa"/>
            </w:tcMar>
            <w:vAlign w:val="bottom"/>
          </w:tcPr>
          <w:p w14:paraId="11AE7001" w14:textId="228DD101" w:rsidR="00441628" w:rsidRPr="00441628" w:rsidRDefault="00441628" w:rsidP="008B22CF">
            <w:pPr>
              <w:jc w:val="center"/>
              <w:rPr>
                <w:rFonts w:cstheme="minorHAnsi"/>
                <w:sz w:val="18"/>
                <w:szCs w:val="18"/>
              </w:rPr>
            </w:pPr>
            <w:r w:rsidRPr="00441628">
              <w:rPr>
                <w:rFonts w:cstheme="minorHAnsi"/>
                <w:color w:val="000000"/>
                <w:sz w:val="18"/>
                <w:szCs w:val="18"/>
              </w:rPr>
              <w:t>22</w:t>
            </w:r>
          </w:p>
        </w:tc>
        <w:tc>
          <w:tcPr>
            <w:tcW w:w="1276" w:type="dxa"/>
            <w:vAlign w:val="bottom"/>
          </w:tcPr>
          <w:p w14:paraId="6C0B9287" w14:textId="77777777" w:rsidR="00441628" w:rsidRPr="00441628" w:rsidRDefault="00441628" w:rsidP="00441628">
            <w:pPr>
              <w:jc w:val="center"/>
              <w:rPr>
                <w:rFonts w:cstheme="minorHAnsi"/>
                <w:sz w:val="18"/>
                <w:szCs w:val="18"/>
              </w:rPr>
            </w:pPr>
          </w:p>
        </w:tc>
        <w:tc>
          <w:tcPr>
            <w:tcW w:w="1419" w:type="dxa"/>
            <w:vAlign w:val="bottom"/>
          </w:tcPr>
          <w:p w14:paraId="373420EB" w14:textId="4EC4B696" w:rsidR="00441628" w:rsidRPr="00441628" w:rsidRDefault="00441628" w:rsidP="00441628">
            <w:pPr>
              <w:jc w:val="center"/>
              <w:rPr>
                <w:rFonts w:cstheme="minorHAnsi"/>
                <w:sz w:val="18"/>
                <w:szCs w:val="18"/>
              </w:rPr>
            </w:pPr>
            <w:r w:rsidRPr="00441628">
              <w:rPr>
                <w:rFonts w:cstheme="minorHAnsi"/>
                <w:color w:val="000000"/>
                <w:sz w:val="18"/>
                <w:szCs w:val="18"/>
              </w:rPr>
              <w:t>$      44,057</w:t>
            </w:r>
          </w:p>
        </w:tc>
      </w:tr>
      <w:tr w:rsidR="00441628" w14:paraId="040B7780" w14:textId="77777777" w:rsidTr="00843949">
        <w:trPr>
          <w:trHeight w:val="67"/>
        </w:trPr>
        <w:tc>
          <w:tcPr>
            <w:tcW w:w="5524" w:type="dxa"/>
            <w:vMerge/>
            <w:tcMar>
              <w:left w:w="28" w:type="dxa"/>
              <w:right w:w="28" w:type="dxa"/>
            </w:tcMar>
          </w:tcPr>
          <w:p w14:paraId="502B66F9" w14:textId="77777777" w:rsidR="00441628" w:rsidRDefault="00441628" w:rsidP="00441628">
            <w:pPr>
              <w:spacing w:before="60" w:after="60"/>
              <w:rPr>
                <w:rFonts w:cstheme="minorHAnsi"/>
                <w:noProof/>
                <w:szCs w:val="24"/>
                <w:lang w:eastAsia="en-AU"/>
              </w:rPr>
            </w:pPr>
          </w:p>
        </w:tc>
        <w:tc>
          <w:tcPr>
            <w:tcW w:w="707" w:type="dxa"/>
            <w:tcMar>
              <w:left w:w="28" w:type="dxa"/>
              <w:right w:w="28" w:type="dxa"/>
            </w:tcMar>
            <w:vAlign w:val="bottom"/>
          </w:tcPr>
          <w:p w14:paraId="70182998" w14:textId="1B1E52FF" w:rsidR="00441628" w:rsidRPr="00441628" w:rsidRDefault="00441628" w:rsidP="008B22CF">
            <w:pPr>
              <w:jc w:val="center"/>
              <w:rPr>
                <w:rFonts w:cstheme="minorHAnsi"/>
                <w:sz w:val="18"/>
                <w:szCs w:val="18"/>
              </w:rPr>
            </w:pPr>
            <w:r w:rsidRPr="00441628">
              <w:rPr>
                <w:rFonts w:cstheme="minorHAnsi"/>
                <w:color w:val="000000"/>
                <w:sz w:val="18"/>
                <w:szCs w:val="18"/>
              </w:rPr>
              <w:t>23</w:t>
            </w:r>
          </w:p>
        </w:tc>
        <w:tc>
          <w:tcPr>
            <w:tcW w:w="1276" w:type="dxa"/>
            <w:vAlign w:val="bottom"/>
          </w:tcPr>
          <w:p w14:paraId="6A009A49" w14:textId="77777777" w:rsidR="00441628" w:rsidRPr="00441628" w:rsidRDefault="00441628" w:rsidP="00441628">
            <w:pPr>
              <w:jc w:val="center"/>
              <w:rPr>
                <w:rFonts w:cstheme="minorHAnsi"/>
                <w:sz w:val="18"/>
                <w:szCs w:val="18"/>
              </w:rPr>
            </w:pPr>
          </w:p>
        </w:tc>
        <w:tc>
          <w:tcPr>
            <w:tcW w:w="1419" w:type="dxa"/>
            <w:vAlign w:val="bottom"/>
          </w:tcPr>
          <w:p w14:paraId="2C1A3261" w14:textId="115D8262" w:rsidR="00441628" w:rsidRPr="00441628" w:rsidRDefault="00441628" w:rsidP="00441628">
            <w:pPr>
              <w:jc w:val="center"/>
              <w:rPr>
                <w:rFonts w:cstheme="minorHAnsi"/>
                <w:sz w:val="18"/>
                <w:szCs w:val="18"/>
              </w:rPr>
            </w:pPr>
            <w:r w:rsidRPr="00441628">
              <w:rPr>
                <w:rFonts w:cstheme="minorHAnsi"/>
                <w:color w:val="000000"/>
                <w:sz w:val="18"/>
                <w:szCs w:val="18"/>
              </w:rPr>
              <w:t>$      43,758</w:t>
            </w:r>
          </w:p>
        </w:tc>
      </w:tr>
      <w:tr w:rsidR="00441628" w14:paraId="72406297" w14:textId="77777777" w:rsidTr="00843949">
        <w:trPr>
          <w:trHeight w:val="67"/>
        </w:trPr>
        <w:tc>
          <w:tcPr>
            <w:tcW w:w="5524" w:type="dxa"/>
            <w:vMerge/>
            <w:tcMar>
              <w:left w:w="28" w:type="dxa"/>
              <w:right w:w="28" w:type="dxa"/>
            </w:tcMar>
          </w:tcPr>
          <w:p w14:paraId="46F42F2F" w14:textId="77777777" w:rsidR="00441628" w:rsidRDefault="00441628" w:rsidP="00441628">
            <w:pPr>
              <w:spacing w:before="60" w:after="60"/>
              <w:rPr>
                <w:rFonts w:cstheme="minorHAnsi"/>
                <w:noProof/>
                <w:szCs w:val="24"/>
                <w:lang w:eastAsia="en-AU"/>
              </w:rPr>
            </w:pPr>
          </w:p>
        </w:tc>
        <w:tc>
          <w:tcPr>
            <w:tcW w:w="707" w:type="dxa"/>
            <w:tcMar>
              <w:left w:w="28" w:type="dxa"/>
              <w:right w:w="28" w:type="dxa"/>
            </w:tcMar>
            <w:vAlign w:val="bottom"/>
          </w:tcPr>
          <w:p w14:paraId="20DBE172" w14:textId="66B8AD4D" w:rsidR="00441628" w:rsidRPr="00441628" w:rsidRDefault="00441628" w:rsidP="008B22CF">
            <w:pPr>
              <w:jc w:val="center"/>
              <w:rPr>
                <w:rFonts w:cstheme="minorHAnsi"/>
                <w:sz w:val="18"/>
                <w:szCs w:val="18"/>
              </w:rPr>
            </w:pPr>
            <w:r w:rsidRPr="00441628">
              <w:rPr>
                <w:rFonts w:cstheme="minorHAnsi"/>
                <w:color w:val="000000"/>
                <w:sz w:val="18"/>
                <w:szCs w:val="18"/>
              </w:rPr>
              <w:t>24</w:t>
            </w:r>
          </w:p>
        </w:tc>
        <w:tc>
          <w:tcPr>
            <w:tcW w:w="1276" w:type="dxa"/>
            <w:vAlign w:val="bottom"/>
          </w:tcPr>
          <w:p w14:paraId="2E648C43" w14:textId="77777777" w:rsidR="00441628" w:rsidRPr="00441628" w:rsidRDefault="00441628" w:rsidP="00441628">
            <w:pPr>
              <w:jc w:val="center"/>
              <w:rPr>
                <w:rFonts w:cstheme="minorHAnsi"/>
                <w:sz w:val="18"/>
                <w:szCs w:val="18"/>
              </w:rPr>
            </w:pPr>
          </w:p>
        </w:tc>
        <w:tc>
          <w:tcPr>
            <w:tcW w:w="1419" w:type="dxa"/>
            <w:vAlign w:val="bottom"/>
          </w:tcPr>
          <w:p w14:paraId="20C2F511" w14:textId="2EFFCF98" w:rsidR="00441628" w:rsidRPr="00441628" w:rsidRDefault="00441628" w:rsidP="00441628">
            <w:pPr>
              <w:jc w:val="center"/>
              <w:rPr>
                <w:rFonts w:cstheme="minorHAnsi"/>
                <w:sz w:val="18"/>
                <w:szCs w:val="18"/>
              </w:rPr>
            </w:pPr>
            <w:r w:rsidRPr="00441628">
              <w:rPr>
                <w:rFonts w:cstheme="minorHAnsi"/>
                <w:color w:val="000000"/>
                <w:sz w:val="18"/>
                <w:szCs w:val="18"/>
              </w:rPr>
              <w:t>$      43,414</w:t>
            </w:r>
          </w:p>
        </w:tc>
      </w:tr>
      <w:tr w:rsidR="00441628" w14:paraId="37A2C296" w14:textId="77777777" w:rsidTr="00843949">
        <w:trPr>
          <w:trHeight w:val="67"/>
        </w:trPr>
        <w:tc>
          <w:tcPr>
            <w:tcW w:w="5524" w:type="dxa"/>
            <w:vMerge/>
            <w:tcMar>
              <w:left w:w="28" w:type="dxa"/>
              <w:right w:w="28" w:type="dxa"/>
            </w:tcMar>
          </w:tcPr>
          <w:p w14:paraId="2B133DC2" w14:textId="77777777" w:rsidR="00441628" w:rsidRDefault="00441628" w:rsidP="00441628">
            <w:pPr>
              <w:spacing w:before="60" w:after="60"/>
              <w:rPr>
                <w:rFonts w:cstheme="minorHAnsi"/>
                <w:noProof/>
                <w:szCs w:val="24"/>
                <w:lang w:eastAsia="en-AU"/>
              </w:rPr>
            </w:pPr>
          </w:p>
        </w:tc>
        <w:tc>
          <w:tcPr>
            <w:tcW w:w="707" w:type="dxa"/>
            <w:tcMar>
              <w:left w:w="28" w:type="dxa"/>
              <w:right w:w="28" w:type="dxa"/>
            </w:tcMar>
            <w:vAlign w:val="bottom"/>
          </w:tcPr>
          <w:p w14:paraId="2F5B7A9A" w14:textId="24D17975" w:rsidR="00441628" w:rsidRPr="00441628" w:rsidRDefault="00441628" w:rsidP="008B22CF">
            <w:pPr>
              <w:jc w:val="center"/>
              <w:rPr>
                <w:rFonts w:cstheme="minorHAnsi"/>
                <w:sz w:val="18"/>
                <w:szCs w:val="18"/>
              </w:rPr>
            </w:pPr>
            <w:r w:rsidRPr="00441628">
              <w:rPr>
                <w:rFonts w:cstheme="minorHAnsi"/>
                <w:color w:val="000000"/>
                <w:sz w:val="18"/>
                <w:szCs w:val="18"/>
              </w:rPr>
              <w:t>25</w:t>
            </w:r>
          </w:p>
        </w:tc>
        <w:tc>
          <w:tcPr>
            <w:tcW w:w="1276" w:type="dxa"/>
            <w:vAlign w:val="bottom"/>
          </w:tcPr>
          <w:p w14:paraId="637B4361" w14:textId="6B7667BE" w:rsidR="00441628" w:rsidRPr="00441628" w:rsidRDefault="00441628" w:rsidP="00441628">
            <w:pPr>
              <w:jc w:val="center"/>
              <w:rPr>
                <w:rFonts w:cstheme="minorHAnsi"/>
                <w:sz w:val="18"/>
                <w:szCs w:val="18"/>
              </w:rPr>
            </w:pPr>
            <w:r>
              <w:rPr>
                <w:rFonts w:cstheme="minorHAnsi"/>
                <w:color w:val="000000"/>
                <w:sz w:val="18"/>
                <w:szCs w:val="18"/>
              </w:rPr>
              <w:t xml:space="preserve">$ </w:t>
            </w:r>
            <w:r w:rsidRPr="00441628">
              <w:rPr>
                <w:rFonts w:cstheme="minorHAnsi"/>
                <w:color w:val="000000"/>
                <w:sz w:val="18"/>
                <w:szCs w:val="18"/>
              </w:rPr>
              <w:t>43</w:t>
            </w:r>
            <w:r>
              <w:rPr>
                <w:rFonts w:cstheme="minorHAnsi"/>
                <w:color w:val="000000"/>
                <w:sz w:val="18"/>
                <w:szCs w:val="18"/>
              </w:rPr>
              <w:t>,000</w:t>
            </w:r>
          </w:p>
        </w:tc>
        <w:tc>
          <w:tcPr>
            <w:tcW w:w="1419" w:type="dxa"/>
            <w:vAlign w:val="bottom"/>
          </w:tcPr>
          <w:p w14:paraId="1C34FB8B" w14:textId="7117FD36" w:rsidR="00441628" w:rsidRPr="00441628" w:rsidRDefault="00441628" w:rsidP="00441628">
            <w:pPr>
              <w:jc w:val="center"/>
              <w:rPr>
                <w:rFonts w:cstheme="minorHAnsi"/>
                <w:sz w:val="18"/>
                <w:szCs w:val="18"/>
              </w:rPr>
            </w:pPr>
            <w:r w:rsidRPr="00441628">
              <w:rPr>
                <w:rFonts w:cstheme="minorHAnsi"/>
                <w:color w:val="000000"/>
                <w:sz w:val="18"/>
                <w:szCs w:val="18"/>
              </w:rPr>
              <w:t>$      43,026</w:t>
            </w:r>
          </w:p>
        </w:tc>
      </w:tr>
      <w:tr w:rsidR="00441628" w14:paraId="05BCE5E5" w14:textId="77777777" w:rsidTr="00843949">
        <w:trPr>
          <w:trHeight w:val="67"/>
        </w:trPr>
        <w:tc>
          <w:tcPr>
            <w:tcW w:w="5524" w:type="dxa"/>
            <w:vMerge/>
            <w:tcMar>
              <w:left w:w="28" w:type="dxa"/>
              <w:right w:w="28" w:type="dxa"/>
            </w:tcMar>
          </w:tcPr>
          <w:p w14:paraId="7A0FCC15" w14:textId="77777777" w:rsidR="00441628" w:rsidRDefault="00441628" w:rsidP="00441628">
            <w:pPr>
              <w:spacing w:before="60" w:after="60"/>
              <w:rPr>
                <w:rFonts w:cstheme="minorHAnsi"/>
                <w:noProof/>
                <w:szCs w:val="24"/>
                <w:lang w:eastAsia="en-AU"/>
              </w:rPr>
            </w:pPr>
          </w:p>
        </w:tc>
        <w:tc>
          <w:tcPr>
            <w:tcW w:w="707" w:type="dxa"/>
            <w:tcMar>
              <w:left w:w="28" w:type="dxa"/>
              <w:right w:w="28" w:type="dxa"/>
            </w:tcMar>
            <w:vAlign w:val="bottom"/>
          </w:tcPr>
          <w:p w14:paraId="68CAC3B6" w14:textId="68114787" w:rsidR="00441628" w:rsidRPr="00441628" w:rsidRDefault="00441628" w:rsidP="008B22CF">
            <w:pPr>
              <w:jc w:val="center"/>
              <w:rPr>
                <w:rFonts w:cstheme="minorHAnsi"/>
                <w:sz w:val="18"/>
                <w:szCs w:val="18"/>
              </w:rPr>
            </w:pPr>
            <w:r w:rsidRPr="00441628">
              <w:rPr>
                <w:rFonts w:cstheme="minorHAnsi"/>
                <w:color w:val="000000"/>
                <w:sz w:val="18"/>
                <w:szCs w:val="18"/>
              </w:rPr>
              <w:t>26</w:t>
            </w:r>
          </w:p>
        </w:tc>
        <w:tc>
          <w:tcPr>
            <w:tcW w:w="1276" w:type="dxa"/>
            <w:vAlign w:val="bottom"/>
          </w:tcPr>
          <w:p w14:paraId="45C301AC" w14:textId="77777777" w:rsidR="00441628" w:rsidRPr="00441628" w:rsidRDefault="00441628" w:rsidP="00441628">
            <w:pPr>
              <w:jc w:val="center"/>
              <w:rPr>
                <w:rFonts w:cstheme="minorHAnsi"/>
                <w:sz w:val="18"/>
                <w:szCs w:val="18"/>
              </w:rPr>
            </w:pPr>
          </w:p>
        </w:tc>
        <w:tc>
          <w:tcPr>
            <w:tcW w:w="1419" w:type="dxa"/>
            <w:vAlign w:val="bottom"/>
          </w:tcPr>
          <w:p w14:paraId="4B15286E" w14:textId="53C7F91C" w:rsidR="00441628" w:rsidRPr="00441628" w:rsidRDefault="00441628" w:rsidP="00441628">
            <w:pPr>
              <w:jc w:val="center"/>
              <w:rPr>
                <w:rFonts w:cstheme="minorHAnsi"/>
                <w:sz w:val="18"/>
                <w:szCs w:val="18"/>
              </w:rPr>
            </w:pPr>
            <w:r w:rsidRPr="00441628">
              <w:rPr>
                <w:rFonts w:cstheme="minorHAnsi"/>
                <w:color w:val="000000"/>
                <w:sz w:val="18"/>
                <w:szCs w:val="18"/>
              </w:rPr>
              <w:t>$      42,592</w:t>
            </w:r>
          </w:p>
        </w:tc>
      </w:tr>
    </w:tbl>
    <w:p w14:paraId="1F7856CF" w14:textId="28DBFDCF" w:rsidR="001D21F0" w:rsidRDefault="00441628" w:rsidP="001D21F0">
      <w:pPr>
        <w:spacing w:before="120" w:after="120" w:line="360" w:lineRule="auto"/>
        <w:rPr>
          <w:rFonts w:cstheme="minorHAnsi"/>
          <w:szCs w:val="24"/>
        </w:rPr>
      </w:pPr>
      <w:r>
        <w:rPr>
          <w:rFonts w:cstheme="minorHAnsi"/>
          <w:szCs w:val="24"/>
        </w:rPr>
        <w:t>To calculate the shadow price for IPE graduates, compared to the non-IPE students, w</w:t>
      </w:r>
      <w:r w:rsidR="001D21F0">
        <w:rPr>
          <w:rFonts w:cstheme="minorHAnsi"/>
          <w:szCs w:val="24"/>
        </w:rPr>
        <w:t>e assume</w:t>
      </w:r>
      <w:r>
        <w:rPr>
          <w:rFonts w:cstheme="minorHAnsi"/>
          <w:szCs w:val="24"/>
        </w:rPr>
        <w:t>d</w:t>
      </w:r>
      <w:r w:rsidR="001D21F0">
        <w:rPr>
          <w:rFonts w:cstheme="minorHAnsi"/>
          <w:szCs w:val="24"/>
        </w:rPr>
        <w:t xml:space="preserve"> that </w:t>
      </w:r>
      <w:r w:rsidR="001D21F0" w:rsidRPr="001D21F0">
        <w:rPr>
          <w:rFonts w:cstheme="minorHAnsi"/>
          <w:szCs w:val="24"/>
        </w:rPr>
        <w:t>a graduate with IPE has the skill eq</w:t>
      </w:r>
      <w:r w:rsidR="001D21F0">
        <w:rPr>
          <w:rFonts w:cstheme="minorHAnsi"/>
          <w:szCs w:val="24"/>
        </w:rPr>
        <w:t xml:space="preserve">uivalent to a </w:t>
      </w:r>
      <w:r>
        <w:rPr>
          <w:rFonts w:cstheme="minorHAnsi"/>
          <w:szCs w:val="24"/>
        </w:rPr>
        <w:t>2-</w:t>
      </w:r>
      <w:r w:rsidR="001D21F0">
        <w:rPr>
          <w:rFonts w:cstheme="minorHAnsi"/>
          <w:szCs w:val="24"/>
        </w:rPr>
        <w:t>year experience</w:t>
      </w:r>
      <w:r>
        <w:rPr>
          <w:rFonts w:cstheme="minorHAnsi"/>
          <w:szCs w:val="24"/>
        </w:rPr>
        <w:t xml:space="preserve"> without IPE training</w:t>
      </w:r>
      <w:r w:rsidR="001D21F0">
        <w:rPr>
          <w:rFonts w:cstheme="minorHAnsi"/>
          <w:szCs w:val="24"/>
        </w:rPr>
        <w:t xml:space="preserve">. </w:t>
      </w:r>
      <w:r w:rsidR="001D21F0" w:rsidRPr="001D21F0">
        <w:rPr>
          <w:rFonts w:cstheme="minorHAnsi"/>
          <w:szCs w:val="24"/>
        </w:rPr>
        <w:t xml:space="preserve">After 5 years working in the field, </w:t>
      </w:r>
      <w:r w:rsidR="001D21F0">
        <w:rPr>
          <w:rFonts w:cstheme="minorHAnsi"/>
          <w:szCs w:val="24"/>
        </w:rPr>
        <w:t xml:space="preserve">both an </w:t>
      </w:r>
      <w:r w:rsidR="001D21F0" w:rsidRPr="001D21F0">
        <w:rPr>
          <w:rFonts w:cstheme="minorHAnsi"/>
          <w:szCs w:val="24"/>
        </w:rPr>
        <w:t xml:space="preserve">IPE and </w:t>
      </w:r>
      <w:r w:rsidR="001D21F0">
        <w:rPr>
          <w:rFonts w:cstheme="minorHAnsi"/>
          <w:szCs w:val="24"/>
        </w:rPr>
        <w:t xml:space="preserve">a </w:t>
      </w:r>
      <w:r w:rsidR="001D21F0" w:rsidRPr="001D21F0">
        <w:rPr>
          <w:rFonts w:cstheme="minorHAnsi"/>
          <w:szCs w:val="24"/>
        </w:rPr>
        <w:t xml:space="preserve">non-IPE </w:t>
      </w:r>
      <w:r w:rsidR="001D21F0">
        <w:rPr>
          <w:rFonts w:cstheme="minorHAnsi"/>
          <w:szCs w:val="24"/>
        </w:rPr>
        <w:t xml:space="preserve">graduate, on average, would </w:t>
      </w:r>
      <w:r w:rsidR="001D21F0" w:rsidRPr="001D21F0">
        <w:rPr>
          <w:rFonts w:cstheme="minorHAnsi"/>
          <w:szCs w:val="24"/>
        </w:rPr>
        <w:t xml:space="preserve">achieve the same </w:t>
      </w:r>
      <w:r w:rsidR="001D21F0" w:rsidRPr="001D21F0">
        <w:rPr>
          <w:rFonts w:cstheme="minorHAnsi"/>
          <w:szCs w:val="24"/>
        </w:rPr>
        <w:lastRenderedPageBreak/>
        <w:t>level of skills</w:t>
      </w:r>
      <w:r w:rsidR="001D21F0">
        <w:rPr>
          <w:rFonts w:cstheme="minorHAnsi"/>
          <w:szCs w:val="24"/>
        </w:rPr>
        <w:t xml:space="preserve">. This means that IPE gives graduates an advantage (e.g. benefit) in improved skill and knowledge to work in an interprofessional environment, compared to a non-IPE graduate. However, this advantage gap disappears over time as the non-IPE graduates accumulate the skill and knowledge in their workplace. This “convergence effect” </w:t>
      </w:r>
      <w:r>
        <w:rPr>
          <w:rFonts w:cstheme="minorHAnsi"/>
          <w:szCs w:val="24"/>
        </w:rPr>
        <w:t xml:space="preserve">was conservative in the sense that we only accounted for an immediate impact of IPE while there might be a long-term benefits of IPE approach to student training. </w:t>
      </w:r>
      <w:r w:rsidR="00277868">
        <w:rPr>
          <w:rFonts w:cstheme="minorHAnsi"/>
          <w:szCs w:val="24"/>
        </w:rPr>
        <w:t xml:space="preserve">The same regression methodology was applied to obtain the predictions.  </w:t>
      </w:r>
      <w:r w:rsidR="002A7F7A">
        <w:rPr>
          <w:rFonts w:cstheme="minorHAnsi"/>
          <w:szCs w:val="24"/>
        </w:rPr>
        <w:t xml:space="preserve">The best fitted form was the polynomial order 2. The extrapolation results </w:t>
      </w:r>
      <w:r w:rsidR="00A97535">
        <w:rPr>
          <w:rFonts w:cstheme="minorHAnsi"/>
          <w:szCs w:val="24"/>
        </w:rPr>
        <w:t xml:space="preserve">are </w:t>
      </w:r>
      <w:r w:rsidR="002A7F7A">
        <w:rPr>
          <w:rFonts w:cstheme="minorHAnsi"/>
          <w:szCs w:val="24"/>
        </w:rPr>
        <w:t xml:space="preserve">presented in </w:t>
      </w:r>
      <w:r w:rsidR="000D3506">
        <w:rPr>
          <w:rFonts w:cstheme="minorHAnsi"/>
          <w:szCs w:val="24"/>
        </w:rPr>
        <w:fldChar w:fldCharType="begin"/>
      </w:r>
      <w:r w:rsidR="000D3506">
        <w:rPr>
          <w:rFonts w:cstheme="minorHAnsi"/>
          <w:szCs w:val="24"/>
        </w:rPr>
        <w:instrText xml:space="preserve"> REF _Ref505001264 \h  \* MERGEFORMAT </w:instrText>
      </w:r>
      <w:r w:rsidR="000D3506">
        <w:rPr>
          <w:rFonts w:cstheme="minorHAnsi"/>
          <w:szCs w:val="24"/>
        </w:rPr>
      </w:r>
      <w:r w:rsidR="000D3506">
        <w:rPr>
          <w:rFonts w:cstheme="minorHAnsi"/>
          <w:szCs w:val="24"/>
        </w:rPr>
        <w:fldChar w:fldCharType="separate"/>
      </w:r>
      <w:r w:rsidR="000D3506" w:rsidRPr="000D3506">
        <w:rPr>
          <w:rFonts w:cstheme="minorHAnsi"/>
          <w:szCs w:val="24"/>
        </w:rPr>
        <w:t>Figure 2</w:t>
      </w:r>
      <w:r w:rsidR="000D3506">
        <w:rPr>
          <w:rFonts w:cstheme="minorHAnsi"/>
          <w:szCs w:val="24"/>
        </w:rPr>
        <w:fldChar w:fldCharType="end"/>
      </w:r>
      <w:r w:rsidR="002A7F7A">
        <w:rPr>
          <w:rFonts w:cstheme="minorHAnsi"/>
          <w:szCs w:val="24"/>
        </w:rPr>
        <w:t xml:space="preserve"> and</w:t>
      </w:r>
      <w:r w:rsidR="000D3506">
        <w:rPr>
          <w:rFonts w:cstheme="minorHAnsi"/>
          <w:szCs w:val="24"/>
        </w:rPr>
        <w:t xml:space="preserve"> </w:t>
      </w:r>
      <w:r w:rsidR="000D3506">
        <w:rPr>
          <w:rFonts w:cstheme="minorHAnsi"/>
          <w:szCs w:val="24"/>
        </w:rPr>
        <w:fldChar w:fldCharType="begin"/>
      </w:r>
      <w:r w:rsidR="000D3506">
        <w:rPr>
          <w:rFonts w:cstheme="minorHAnsi"/>
          <w:szCs w:val="24"/>
        </w:rPr>
        <w:instrText xml:space="preserve"> REF _Ref505001273 \h  \* MERGEFORMAT </w:instrText>
      </w:r>
      <w:r w:rsidR="000D3506">
        <w:rPr>
          <w:rFonts w:cstheme="minorHAnsi"/>
          <w:szCs w:val="24"/>
        </w:rPr>
      </w:r>
      <w:r w:rsidR="000D3506">
        <w:rPr>
          <w:rFonts w:cstheme="minorHAnsi"/>
          <w:szCs w:val="24"/>
        </w:rPr>
        <w:fldChar w:fldCharType="separate"/>
      </w:r>
      <w:r w:rsidR="000D3506" w:rsidRPr="000D3506">
        <w:rPr>
          <w:rFonts w:cstheme="minorHAnsi"/>
          <w:szCs w:val="24"/>
        </w:rPr>
        <w:t>Table 2</w:t>
      </w:r>
      <w:r w:rsidR="000D3506">
        <w:rPr>
          <w:rFonts w:cstheme="minorHAnsi"/>
          <w:szCs w:val="24"/>
        </w:rPr>
        <w:fldChar w:fldCharType="end"/>
      </w:r>
      <w:r w:rsidR="002A7F7A">
        <w:rPr>
          <w:rFonts w:cstheme="minorHAnsi"/>
          <w:szCs w:val="24"/>
        </w:rPr>
        <w:t>.</w:t>
      </w:r>
      <w:r w:rsidR="00291CA3">
        <w:rPr>
          <w:rFonts w:cstheme="minorHAnsi"/>
          <w:szCs w:val="24"/>
        </w:rPr>
        <w:t xml:space="preserve"> These values were used in the Efficiency and Referent-Group Analyses. </w:t>
      </w:r>
    </w:p>
    <w:tbl>
      <w:tblPr>
        <w:tblStyle w:val="TableGrid"/>
        <w:tblW w:w="8926" w:type="dxa"/>
        <w:tblLook w:val="04A0" w:firstRow="1" w:lastRow="0" w:firstColumn="1" w:lastColumn="0" w:noHBand="0" w:noVBand="1"/>
      </w:tblPr>
      <w:tblGrid>
        <w:gridCol w:w="5382"/>
        <w:gridCol w:w="707"/>
        <w:gridCol w:w="1276"/>
        <w:gridCol w:w="1561"/>
      </w:tblGrid>
      <w:tr w:rsidR="000D3506" w:rsidRPr="000D3506" w14:paraId="3CA97964" w14:textId="77777777" w:rsidTr="00843949">
        <w:tc>
          <w:tcPr>
            <w:tcW w:w="5382" w:type="dxa"/>
            <w:tcMar>
              <w:left w:w="28" w:type="dxa"/>
              <w:right w:w="28" w:type="dxa"/>
            </w:tcMar>
          </w:tcPr>
          <w:p w14:paraId="385C059B" w14:textId="2A283EF9" w:rsidR="000D3506" w:rsidRPr="000D3506" w:rsidRDefault="000D3506" w:rsidP="002A5195">
            <w:pPr>
              <w:pStyle w:val="Caption"/>
              <w:spacing w:before="60" w:after="60"/>
              <w:jc w:val="left"/>
              <w:rPr>
                <w:b/>
              </w:rPr>
            </w:pPr>
            <w:bookmarkStart w:id="4" w:name="_Ref505001264"/>
            <w:r w:rsidRPr="000D3506">
              <w:rPr>
                <w:b/>
              </w:rPr>
              <w:t xml:space="preserve">Figure </w:t>
            </w:r>
            <w:r w:rsidRPr="000D3506">
              <w:rPr>
                <w:b/>
              </w:rPr>
              <w:fldChar w:fldCharType="begin"/>
            </w:r>
            <w:r w:rsidRPr="000D3506">
              <w:rPr>
                <w:b/>
              </w:rPr>
              <w:instrText xml:space="preserve"> SEQ Figure \* ARABIC </w:instrText>
            </w:r>
            <w:r w:rsidRPr="000D3506">
              <w:rPr>
                <w:b/>
              </w:rPr>
              <w:fldChar w:fldCharType="separate"/>
            </w:r>
            <w:r>
              <w:rPr>
                <w:b/>
                <w:noProof/>
              </w:rPr>
              <w:t>2</w:t>
            </w:r>
            <w:r w:rsidRPr="000D3506">
              <w:rPr>
                <w:b/>
              </w:rPr>
              <w:fldChar w:fldCharType="end"/>
            </w:r>
            <w:bookmarkEnd w:id="4"/>
            <w:r w:rsidRPr="000D3506">
              <w:rPr>
                <w:b/>
              </w:rPr>
              <w:t>: Fitting the predictive function for market prices of graduates working in aged care sector (salary – years of experience)</w:t>
            </w:r>
          </w:p>
        </w:tc>
        <w:tc>
          <w:tcPr>
            <w:tcW w:w="3544" w:type="dxa"/>
            <w:gridSpan w:val="3"/>
            <w:tcMar>
              <w:left w:w="28" w:type="dxa"/>
              <w:right w:w="28" w:type="dxa"/>
            </w:tcMar>
          </w:tcPr>
          <w:p w14:paraId="3D4FE24D" w14:textId="5A7B5E1E" w:rsidR="000D3506" w:rsidRPr="000D3506" w:rsidRDefault="000D3506" w:rsidP="002A5195">
            <w:pPr>
              <w:pStyle w:val="Caption"/>
              <w:spacing w:before="60" w:after="60"/>
              <w:jc w:val="left"/>
              <w:rPr>
                <w:b/>
              </w:rPr>
            </w:pPr>
            <w:bookmarkStart w:id="5" w:name="_Ref505001273"/>
            <w:r w:rsidRPr="000D3506">
              <w:rPr>
                <w:b/>
              </w:rPr>
              <w:t xml:space="preserve">Table </w:t>
            </w:r>
            <w:r w:rsidRPr="000D3506">
              <w:rPr>
                <w:b/>
              </w:rPr>
              <w:fldChar w:fldCharType="begin"/>
            </w:r>
            <w:r w:rsidRPr="000D3506">
              <w:rPr>
                <w:b/>
              </w:rPr>
              <w:instrText xml:space="preserve"> SEQ Table \* ARABIC </w:instrText>
            </w:r>
            <w:r w:rsidRPr="000D3506">
              <w:rPr>
                <w:b/>
              </w:rPr>
              <w:fldChar w:fldCharType="separate"/>
            </w:r>
            <w:r>
              <w:rPr>
                <w:b/>
                <w:noProof/>
              </w:rPr>
              <w:t>2</w:t>
            </w:r>
            <w:r w:rsidRPr="000D3506">
              <w:rPr>
                <w:b/>
              </w:rPr>
              <w:fldChar w:fldCharType="end"/>
            </w:r>
            <w:bookmarkEnd w:id="5"/>
            <w:r w:rsidRPr="000D3506">
              <w:rPr>
                <w:b/>
              </w:rPr>
              <w:t>: Predicted values for market prices of graduates working in the aged care sector</w:t>
            </w:r>
          </w:p>
        </w:tc>
      </w:tr>
      <w:tr w:rsidR="008E2435" w14:paraId="2278C317" w14:textId="77777777" w:rsidTr="00843949">
        <w:trPr>
          <w:trHeight w:val="80"/>
        </w:trPr>
        <w:tc>
          <w:tcPr>
            <w:tcW w:w="5382" w:type="dxa"/>
            <w:vMerge w:val="restart"/>
            <w:tcMar>
              <w:left w:w="28" w:type="dxa"/>
              <w:right w:w="28" w:type="dxa"/>
            </w:tcMar>
          </w:tcPr>
          <w:p w14:paraId="4CA2CDDD" w14:textId="150F6F76" w:rsidR="008E2435" w:rsidRDefault="008E2435" w:rsidP="00277868">
            <w:pPr>
              <w:spacing w:before="60" w:after="60"/>
              <w:rPr>
                <w:rFonts w:cstheme="minorHAnsi"/>
                <w:szCs w:val="24"/>
              </w:rPr>
            </w:pPr>
            <w:r>
              <w:rPr>
                <w:rFonts w:cstheme="minorHAnsi"/>
                <w:noProof/>
                <w:szCs w:val="24"/>
                <w:lang w:val="en-IN" w:eastAsia="en-IN"/>
              </w:rPr>
              <w:drawing>
                <wp:inline distT="0" distB="0" distL="0" distR="0" wp14:anchorId="6CB95597" wp14:editId="58ED9B8C">
                  <wp:extent cx="3321050" cy="195628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9830" cy="1967347"/>
                          </a:xfrm>
                          <a:prstGeom prst="rect">
                            <a:avLst/>
                          </a:prstGeom>
                          <a:noFill/>
                        </pic:spPr>
                      </pic:pic>
                    </a:graphicData>
                  </a:graphic>
                </wp:inline>
              </w:drawing>
            </w:r>
          </w:p>
        </w:tc>
        <w:tc>
          <w:tcPr>
            <w:tcW w:w="707" w:type="dxa"/>
            <w:tcMar>
              <w:left w:w="28" w:type="dxa"/>
              <w:right w:w="28" w:type="dxa"/>
            </w:tcMar>
            <w:vAlign w:val="bottom"/>
          </w:tcPr>
          <w:p w14:paraId="1CC07DA4" w14:textId="77777777" w:rsidR="008E2435" w:rsidRPr="00441628" w:rsidRDefault="008E2435" w:rsidP="008B22CF">
            <w:pPr>
              <w:spacing w:before="60" w:after="60"/>
              <w:jc w:val="center"/>
              <w:rPr>
                <w:rFonts w:cstheme="minorHAnsi"/>
                <w:b/>
                <w:sz w:val="18"/>
                <w:szCs w:val="18"/>
              </w:rPr>
            </w:pPr>
            <w:r w:rsidRPr="00441628">
              <w:rPr>
                <w:rFonts w:cstheme="minorHAnsi"/>
                <w:b/>
                <w:sz w:val="18"/>
                <w:szCs w:val="18"/>
              </w:rPr>
              <w:t>Years</w:t>
            </w:r>
          </w:p>
        </w:tc>
        <w:tc>
          <w:tcPr>
            <w:tcW w:w="1276" w:type="dxa"/>
            <w:vAlign w:val="bottom"/>
          </w:tcPr>
          <w:p w14:paraId="1FA0B4B4" w14:textId="77777777" w:rsidR="008E2435" w:rsidRPr="00441628" w:rsidRDefault="008E2435" w:rsidP="00277868">
            <w:pPr>
              <w:spacing w:before="60" w:after="60"/>
              <w:jc w:val="center"/>
              <w:rPr>
                <w:rFonts w:cstheme="minorHAnsi"/>
                <w:b/>
                <w:sz w:val="18"/>
                <w:szCs w:val="18"/>
              </w:rPr>
            </w:pPr>
            <w:r w:rsidRPr="00441628">
              <w:rPr>
                <w:rFonts w:cstheme="minorHAnsi"/>
                <w:b/>
                <w:bCs/>
                <w:color w:val="000000"/>
                <w:sz w:val="18"/>
                <w:szCs w:val="18"/>
              </w:rPr>
              <w:t>Observed</w:t>
            </w:r>
          </w:p>
        </w:tc>
        <w:tc>
          <w:tcPr>
            <w:tcW w:w="1561" w:type="dxa"/>
            <w:vAlign w:val="bottom"/>
          </w:tcPr>
          <w:p w14:paraId="734112BD" w14:textId="77777777" w:rsidR="008E2435" w:rsidRPr="00441628" w:rsidRDefault="008E2435" w:rsidP="00277868">
            <w:pPr>
              <w:spacing w:before="60" w:after="60"/>
              <w:jc w:val="center"/>
              <w:rPr>
                <w:rFonts w:cstheme="minorHAnsi"/>
                <w:b/>
                <w:sz w:val="18"/>
                <w:szCs w:val="18"/>
              </w:rPr>
            </w:pPr>
            <w:r w:rsidRPr="00441628">
              <w:rPr>
                <w:rFonts w:cstheme="minorHAnsi"/>
                <w:b/>
                <w:bCs/>
                <w:color w:val="000000"/>
                <w:sz w:val="18"/>
                <w:szCs w:val="18"/>
              </w:rPr>
              <w:t>Predicted</w:t>
            </w:r>
          </w:p>
        </w:tc>
      </w:tr>
      <w:tr w:rsidR="00C32A83" w14:paraId="01DFA929" w14:textId="77777777" w:rsidTr="00843949">
        <w:trPr>
          <w:trHeight w:val="67"/>
        </w:trPr>
        <w:tc>
          <w:tcPr>
            <w:tcW w:w="5382" w:type="dxa"/>
            <w:vMerge/>
            <w:tcMar>
              <w:left w:w="28" w:type="dxa"/>
              <w:right w:w="28" w:type="dxa"/>
            </w:tcMar>
          </w:tcPr>
          <w:p w14:paraId="0DE10886" w14:textId="77777777" w:rsidR="00C32A83" w:rsidRDefault="00C32A83" w:rsidP="00C32A83">
            <w:pPr>
              <w:spacing w:before="60" w:after="60"/>
              <w:rPr>
                <w:rFonts w:cstheme="minorHAnsi"/>
                <w:noProof/>
                <w:szCs w:val="24"/>
                <w:lang w:eastAsia="en-AU"/>
              </w:rPr>
            </w:pPr>
          </w:p>
        </w:tc>
        <w:tc>
          <w:tcPr>
            <w:tcW w:w="707" w:type="dxa"/>
            <w:tcMar>
              <w:left w:w="28" w:type="dxa"/>
              <w:right w:w="28" w:type="dxa"/>
            </w:tcMar>
            <w:vAlign w:val="bottom"/>
          </w:tcPr>
          <w:p w14:paraId="0D10B4E1" w14:textId="77777777" w:rsidR="00C32A83" w:rsidRPr="00441628" w:rsidRDefault="00C32A83" w:rsidP="008B22CF">
            <w:pPr>
              <w:jc w:val="center"/>
              <w:rPr>
                <w:rFonts w:cstheme="minorHAnsi"/>
                <w:sz w:val="18"/>
                <w:szCs w:val="18"/>
              </w:rPr>
            </w:pPr>
            <w:r w:rsidRPr="00441628">
              <w:rPr>
                <w:rFonts w:cstheme="minorHAnsi"/>
                <w:color w:val="000000"/>
                <w:sz w:val="18"/>
                <w:szCs w:val="18"/>
              </w:rPr>
              <w:t>1</w:t>
            </w:r>
          </w:p>
        </w:tc>
        <w:tc>
          <w:tcPr>
            <w:tcW w:w="1276" w:type="dxa"/>
          </w:tcPr>
          <w:p w14:paraId="54F7D80E" w14:textId="0393577B"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w:t>
            </w:r>
            <w:r>
              <w:rPr>
                <w:rFonts w:cstheme="minorHAnsi"/>
                <w:color w:val="000000"/>
                <w:sz w:val="18"/>
                <w:szCs w:val="18"/>
              </w:rPr>
              <w:t xml:space="preserve"> </w:t>
            </w:r>
            <w:r w:rsidRPr="00C32A83">
              <w:rPr>
                <w:rFonts w:cstheme="minorHAnsi"/>
                <w:color w:val="000000"/>
                <w:sz w:val="18"/>
                <w:szCs w:val="18"/>
              </w:rPr>
              <w:t>41</w:t>
            </w:r>
            <w:r>
              <w:rPr>
                <w:rFonts w:cstheme="minorHAnsi"/>
                <w:color w:val="000000"/>
                <w:sz w:val="18"/>
                <w:szCs w:val="18"/>
              </w:rPr>
              <w:t>,186</w:t>
            </w:r>
            <w:r w:rsidRPr="00C32A83">
              <w:rPr>
                <w:rFonts w:cstheme="minorHAnsi"/>
                <w:color w:val="000000"/>
                <w:sz w:val="18"/>
                <w:szCs w:val="18"/>
              </w:rPr>
              <w:t xml:space="preserve"> </w:t>
            </w:r>
          </w:p>
        </w:tc>
        <w:tc>
          <w:tcPr>
            <w:tcW w:w="1561" w:type="dxa"/>
          </w:tcPr>
          <w:p w14:paraId="43287364" w14:textId="0AA15826"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w:t>
            </w:r>
            <w:r>
              <w:rPr>
                <w:rFonts w:cstheme="minorHAnsi"/>
                <w:color w:val="000000"/>
                <w:sz w:val="18"/>
                <w:szCs w:val="18"/>
              </w:rPr>
              <w:t xml:space="preserve"> </w:t>
            </w:r>
            <w:r w:rsidRPr="00C32A83">
              <w:rPr>
                <w:rFonts w:cstheme="minorHAnsi"/>
                <w:color w:val="000000"/>
                <w:sz w:val="18"/>
                <w:szCs w:val="18"/>
              </w:rPr>
              <w:t xml:space="preserve">40,927 </w:t>
            </w:r>
          </w:p>
        </w:tc>
      </w:tr>
      <w:tr w:rsidR="00C32A83" w14:paraId="0D63B727" w14:textId="77777777" w:rsidTr="00843949">
        <w:trPr>
          <w:trHeight w:val="67"/>
        </w:trPr>
        <w:tc>
          <w:tcPr>
            <w:tcW w:w="5382" w:type="dxa"/>
            <w:vMerge/>
            <w:tcMar>
              <w:left w:w="28" w:type="dxa"/>
              <w:right w:w="28" w:type="dxa"/>
            </w:tcMar>
          </w:tcPr>
          <w:p w14:paraId="7C693799" w14:textId="77777777" w:rsidR="00C32A83" w:rsidRDefault="00C32A83" w:rsidP="00C32A83">
            <w:pPr>
              <w:spacing w:before="60" w:after="60"/>
              <w:rPr>
                <w:rFonts w:cstheme="minorHAnsi"/>
                <w:noProof/>
                <w:szCs w:val="24"/>
                <w:lang w:eastAsia="en-AU"/>
              </w:rPr>
            </w:pPr>
          </w:p>
        </w:tc>
        <w:tc>
          <w:tcPr>
            <w:tcW w:w="707" w:type="dxa"/>
            <w:tcMar>
              <w:left w:w="28" w:type="dxa"/>
              <w:right w:w="28" w:type="dxa"/>
            </w:tcMar>
            <w:vAlign w:val="bottom"/>
          </w:tcPr>
          <w:p w14:paraId="6B86E124" w14:textId="77777777" w:rsidR="00C32A83" w:rsidRPr="00441628" w:rsidRDefault="00C32A83" w:rsidP="008B22CF">
            <w:pPr>
              <w:jc w:val="center"/>
              <w:rPr>
                <w:rFonts w:cstheme="minorHAnsi"/>
                <w:sz w:val="18"/>
                <w:szCs w:val="18"/>
              </w:rPr>
            </w:pPr>
            <w:r w:rsidRPr="00441628">
              <w:rPr>
                <w:rFonts w:cstheme="minorHAnsi"/>
                <w:color w:val="000000"/>
                <w:sz w:val="18"/>
                <w:szCs w:val="18"/>
              </w:rPr>
              <w:t>2</w:t>
            </w:r>
          </w:p>
        </w:tc>
        <w:tc>
          <w:tcPr>
            <w:tcW w:w="1276" w:type="dxa"/>
          </w:tcPr>
          <w:p w14:paraId="30781CE3" w14:textId="77777777" w:rsidR="00C32A83" w:rsidRPr="00C32A83" w:rsidRDefault="00C32A83" w:rsidP="00C32A83">
            <w:pPr>
              <w:jc w:val="center"/>
              <w:rPr>
                <w:rFonts w:cstheme="minorHAnsi"/>
                <w:color w:val="000000"/>
                <w:sz w:val="18"/>
                <w:szCs w:val="18"/>
              </w:rPr>
            </w:pPr>
          </w:p>
        </w:tc>
        <w:tc>
          <w:tcPr>
            <w:tcW w:w="1561" w:type="dxa"/>
          </w:tcPr>
          <w:p w14:paraId="0AF8FF38" w14:textId="6ABF60CD"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w:t>
            </w:r>
            <w:r>
              <w:rPr>
                <w:rFonts w:cstheme="minorHAnsi"/>
                <w:color w:val="000000"/>
                <w:sz w:val="18"/>
                <w:szCs w:val="18"/>
              </w:rPr>
              <w:t xml:space="preserve"> </w:t>
            </w:r>
            <w:r w:rsidRPr="00C32A83">
              <w:rPr>
                <w:rFonts w:cstheme="minorHAnsi"/>
                <w:color w:val="000000"/>
                <w:sz w:val="18"/>
                <w:szCs w:val="18"/>
              </w:rPr>
              <w:t xml:space="preserve">41,420 </w:t>
            </w:r>
          </w:p>
        </w:tc>
      </w:tr>
      <w:tr w:rsidR="00C32A83" w14:paraId="710B5300" w14:textId="77777777" w:rsidTr="00843949">
        <w:trPr>
          <w:trHeight w:val="67"/>
        </w:trPr>
        <w:tc>
          <w:tcPr>
            <w:tcW w:w="5382" w:type="dxa"/>
            <w:vMerge/>
            <w:tcMar>
              <w:left w:w="28" w:type="dxa"/>
              <w:right w:w="28" w:type="dxa"/>
            </w:tcMar>
          </w:tcPr>
          <w:p w14:paraId="4576024C" w14:textId="77777777" w:rsidR="00C32A83" w:rsidRDefault="00C32A83" w:rsidP="00C32A83">
            <w:pPr>
              <w:spacing w:before="60" w:after="60"/>
              <w:rPr>
                <w:rFonts w:cstheme="minorHAnsi"/>
                <w:noProof/>
                <w:szCs w:val="24"/>
                <w:lang w:eastAsia="en-AU"/>
              </w:rPr>
            </w:pPr>
          </w:p>
        </w:tc>
        <w:tc>
          <w:tcPr>
            <w:tcW w:w="707" w:type="dxa"/>
            <w:tcMar>
              <w:left w:w="28" w:type="dxa"/>
              <w:right w:w="28" w:type="dxa"/>
            </w:tcMar>
            <w:vAlign w:val="bottom"/>
          </w:tcPr>
          <w:p w14:paraId="5B43011D" w14:textId="77777777" w:rsidR="00C32A83" w:rsidRPr="00441628" w:rsidRDefault="00C32A83" w:rsidP="008B22CF">
            <w:pPr>
              <w:jc w:val="center"/>
              <w:rPr>
                <w:rFonts w:cstheme="minorHAnsi"/>
                <w:sz w:val="18"/>
                <w:szCs w:val="18"/>
              </w:rPr>
            </w:pPr>
            <w:r w:rsidRPr="00441628">
              <w:rPr>
                <w:rFonts w:cstheme="minorHAnsi"/>
                <w:color w:val="000000"/>
                <w:sz w:val="18"/>
                <w:szCs w:val="18"/>
              </w:rPr>
              <w:t>3</w:t>
            </w:r>
          </w:p>
        </w:tc>
        <w:tc>
          <w:tcPr>
            <w:tcW w:w="1276" w:type="dxa"/>
          </w:tcPr>
          <w:p w14:paraId="348E97C4" w14:textId="77777777" w:rsidR="00C32A83" w:rsidRPr="00C32A83" w:rsidRDefault="00C32A83" w:rsidP="00C32A83">
            <w:pPr>
              <w:jc w:val="center"/>
              <w:rPr>
                <w:rFonts w:cstheme="minorHAnsi"/>
                <w:color w:val="000000"/>
                <w:sz w:val="18"/>
                <w:szCs w:val="18"/>
              </w:rPr>
            </w:pPr>
          </w:p>
        </w:tc>
        <w:tc>
          <w:tcPr>
            <w:tcW w:w="1561" w:type="dxa"/>
          </w:tcPr>
          <w:p w14:paraId="5D611910" w14:textId="4AF17EC0"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w:t>
            </w:r>
            <w:r>
              <w:rPr>
                <w:rFonts w:cstheme="minorHAnsi"/>
                <w:color w:val="000000"/>
                <w:sz w:val="18"/>
                <w:szCs w:val="18"/>
              </w:rPr>
              <w:t xml:space="preserve"> </w:t>
            </w:r>
            <w:r w:rsidRPr="00C32A83">
              <w:rPr>
                <w:rFonts w:cstheme="minorHAnsi"/>
                <w:color w:val="000000"/>
                <w:sz w:val="18"/>
                <w:szCs w:val="18"/>
              </w:rPr>
              <w:t xml:space="preserve">41,878 </w:t>
            </w:r>
          </w:p>
        </w:tc>
      </w:tr>
      <w:tr w:rsidR="00C32A83" w14:paraId="0EBC37AC" w14:textId="77777777" w:rsidTr="00843949">
        <w:trPr>
          <w:trHeight w:val="67"/>
        </w:trPr>
        <w:tc>
          <w:tcPr>
            <w:tcW w:w="5382" w:type="dxa"/>
            <w:vMerge/>
            <w:tcMar>
              <w:left w:w="28" w:type="dxa"/>
              <w:right w:w="28" w:type="dxa"/>
            </w:tcMar>
          </w:tcPr>
          <w:p w14:paraId="5A7C1F2F" w14:textId="77777777" w:rsidR="00C32A83" w:rsidRDefault="00C32A83" w:rsidP="00C32A83">
            <w:pPr>
              <w:spacing w:before="60" w:after="60"/>
              <w:rPr>
                <w:rFonts w:cstheme="minorHAnsi"/>
                <w:noProof/>
                <w:szCs w:val="24"/>
                <w:lang w:eastAsia="en-AU"/>
              </w:rPr>
            </w:pPr>
          </w:p>
        </w:tc>
        <w:tc>
          <w:tcPr>
            <w:tcW w:w="707" w:type="dxa"/>
            <w:tcMar>
              <w:left w:w="28" w:type="dxa"/>
              <w:right w:w="28" w:type="dxa"/>
            </w:tcMar>
            <w:vAlign w:val="bottom"/>
          </w:tcPr>
          <w:p w14:paraId="66C53566" w14:textId="77777777" w:rsidR="00C32A83" w:rsidRPr="00441628" w:rsidRDefault="00C32A83" w:rsidP="008B22CF">
            <w:pPr>
              <w:jc w:val="center"/>
              <w:rPr>
                <w:rFonts w:cstheme="minorHAnsi"/>
                <w:sz w:val="18"/>
                <w:szCs w:val="18"/>
              </w:rPr>
            </w:pPr>
            <w:r w:rsidRPr="00441628">
              <w:rPr>
                <w:rFonts w:cstheme="minorHAnsi"/>
                <w:color w:val="000000"/>
                <w:sz w:val="18"/>
                <w:szCs w:val="18"/>
              </w:rPr>
              <w:t>4</w:t>
            </w:r>
          </w:p>
        </w:tc>
        <w:tc>
          <w:tcPr>
            <w:tcW w:w="1276" w:type="dxa"/>
          </w:tcPr>
          <w:p w14:paraId="369E7667" w14:textId="77777777" w:rsidR="00C32A83" w:rsidRPr="00C32A83" w:rsidRDefault="00C32A83" w:rsidP="00C32A83">
            <w:pPr>
              <w:jc w:val="center"/>
              <w:rPr>
                <w:rFonts w:cstheme="minorHAnsi"/>
                <w:color w:val="000000"/>
                <w:sz w:val="18"/>
                <w:szCs w:val="18"/>
              </w:rPr>
            </w:pPr>
          </w:p>
        </w:tc>
        <w:tc>
          <w:tcPr>
            <w:tcW w:w="1561" w:type="dxa"/>
          </w:tcPr>
          <w:p w14:paraId="783119EB" w14:textId="21D9A9EA"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$42,300 </w:t>
            </w:r>
          </w:p>
        </w:tc>
      </w:tr>
      <w:tr w:rsidR="00C32A83" w14:paraId="4161E233" w14:textId="77777777" w:rsidTr="00843949">
        <w:trPr>
          <w:trHeight w:val="67"/>
        </w:trPr>
        <w:tc>
          <w:tcPr>
            <w:tcW w:w="5382" w:type="dxa"/>
            <w:vMerge/>
            <w:tcMar>
              <w:left w:w="28" w:type="dxa"/>
              <w:right w:w="28" w:type="dxa"/>
            </w:tcMar>
          </w:tcPr>
          <w:p w14:paraId="65B07927" w14:textId="77777777" w:rsidR="00C32A83" w:rsidRDefault="00C32A83" w:rsidP="00C32A83">
            <w:pPr>
              <w:spacing w:before="60" w:after="60"/>
              <w:rPr>
                <w:rFonts w:cstheme="minorHAnsi"/>
                <w:noProof/>
                <w:szCs w:val="24"/>
                <w:lang w:eastAsia="en-AU"/>
              </w:rPr>
            </w:pPr>
          </w:p>
        </w:tc>
        <w:tc>
          <w:tcPr>
            <w:tcW w:w="707" w:type="dxa"/>
            <w:tcMar>
              <w:left w:w="28" w:type="dxa"/>
              <w:right w:w="28" w:type="dxa"/>
            </w:tcMar>
            <w:vAlign w:val="bottom"/>
          </w:tcPr>
          <w:p w14:paraId="3E24CBCC" w14:textId="77777777" w:rsidR="00C32A83" w:rsidRPr="00441628" w:rsidRDefault="00C32A83" w:rsidP="008B22CF">
            <w:pPr>
              <w:jc w:val="center"/>
              <w:rPr>
                <w:rFonts w:cstheme="minorHAnsi"/>
                <w:sz w:val="18"/>
                <w:szCs w:val="18"/>
              </w:rPr>
            </w:pPr>
            <w:r w:rsidRPr="00441628">
              <w:rPr>
                <w:rFonts w:cstheme="minorHAnsi"/>
                <w:color w:val="000000"/>
                <w:sz w:val="18"/>
                <w:szCs w:val="18"/>
              </w:rPr>
              <w:t>5</w:t>
            </w:r>
          </w:p>
        </w:tc>
        <w:tc>
          <w:tcPr>
            <w:tcW w:w="1276" w:type="dxa"/>
          </w:tcPr>
          <w:p w14:paraId="24AB29E7" w14:textId="2B433A4A"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$42</w:t>
            </w:r>
            <w:r>
              <w:rPr>
                <w:rFonts w:cstheme="minorHAnsi"/>
                <w:color w:val="000000"/>
                <w:sz w:val="18"/>
                <w:szCs w:val="18"/>
              </w:rPr>
              <w:t>,254</w:t>
            </w:r>
            <w:r w:rsidRPr="00C32A83">
              <w:rPr>
                <w:rFonts w:cstheme="minorHAnsi"/>
                <w:color w:val="000000"/>
                <w:sz w:val="18"/>
                <w:szCs w:val="18"/>
              </w:rPr>
              <w:t xml:space="preserve"> </w:t>
            </w:r>
          </w:p>
        </w:tc>
        <w:tc>
          <w:tcPr>
            <w:tcW w:w="1561" w:type="dxa"/>
          </w:tcPr>
          <w:p w14:paraId="55733FC2" w14:textId="5EAB62F8"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$42,688 </w:t>
            </w:r>
          </w:p>
        </w:tc>
      </w:tr>
      <w:tr w:rsidR="00C32A83" w14:paraId="77E03B7D" w14:textId="77777777" w:rsidTr="00843949">
        <w:trPr>
          <w:trHeight w:val="67"/>
        </w:trPr>
        <w:tc>
          <w:tcPr>
            <w:tcW w:w="5382" w:type="dxa"/>
            <w:vMerge/>
            <w:tcMar>
              <w:left w:w="28" w:type="dxa"/>
              <w:right w:w="28" w:type="dxa"/>
            </w:tcMar>
          </w:tcPr>
          <w:p w14:paraId="632F8781" w14:textId="77777777" w:rsidR="00C32A83" w:rsidRDefault="00C32A83" w:rsidP="00C32A83">
            <w:pPr>
              <w:spacing w:before="60" w:after="60"/>
              <w:rPr>
                <w:rFonts w:cstheme="minorHAnsi"/>
                <w:noProof/>
                <w:szCs w:val="24"/>
                <w:lang w:eastAsia="en-AU"/>
              </w:rPr>
            </w:pPr>
          </w:p>
        </w:tc>
        <w:tc>
          <w:tcPr>
            <w:tcW w:w="707" w:type="dxa"/>
            <w:tcMar>
              <w:left w:w="28" w:type="dxa"/>
              <w:right w:w="28" w:type="dxa"/>
            </w:tcMar>
            <w:vAlign w:val="bottom"/>
          </w:tcPr>
          <w:p w14:paraId="316E5CEB" w14:textId="77777777" w:rsidR="00C32A83" w:rsidRPr="00441628" w:rsidRDefault="00C32A83" w:rsidP="008B22CF">
            <w:pPr>
              <w:jc w:val="center"/>
              <w:rPr>
                <w:rFonts w:cstheme="minorHAnsi"/>
                <w:sz w:val="18"/>
                <w:szCs w:val="18"/>
              </w:rPr>
            </w:pPr>
            <w:r w:rsidRPr="00441628">
              <w:rPr>
                <w:rFonts w:cstheme="minorHAnsi"/>
                <w:color w:val="000000"/>
                <w:sz w:val="18"/>
                <w:szCs w:val="18"/>
              </w:rPr>
              <w:t>6</w:t>
            </w:r>
          </w:p>
        </w:tc>
        <w:tc>
          <w:tcPr>
            <w:tcW w:w="1276" w:type="dxa"/>
          </w:tcPr>
          <w:p w14:paraId="71EF8347" w14:textId="77777777" w:rsidR="00C32A83" w:rsidRPr="00C32A83" w:rsidRDefault="00C32A83" w:rsidP="00C32A83">
            <w:pPr>
              <w:jc w:val="center"/>
              <w:rPr>
                <w:rFonts w:cstheme="minorHAnsi"/>
                <w:color w:val="000000"/>
                <w:sz w:val="18"/>
                <w:szCs w:val="18"/>
              </w:rPr>
            </w:pPr>
          </w:p>
        </w:tc>
        <w:tc>
          <w:tcPr>
            <w:tcW w:w="1561" w:type="dxa"/>
          </w:tcPr>
          <w:p w14:paraId="0C8C27D1" w14:textId="64D4132E"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$43,040 </w:t>
            </w:r>
          </w:p>
        </w:tc>
      </w:tr>
      <w:tr w:rsidR="00C32A83" w14:paraId="587420F5" w14:textId="77777777" w:rsidTr="00843949">
        <w:trPr>
          <w:trHeight w:val="67"/>
        </w:trPr>
        <w:tc>
          <w:tcPr>
            <w:tcW w:w="5382" w:type="dxa"/>
            <w:vMerge/>
            <w:tcMar>
              <w:left w:w="28" w:type="dxa"/>
              <w:right w:w="28" w:type="dxa"/>
            </w:tcMar>
          </w:tcPr>
          <w:p w14:paraId="70571DF2" w14:textId="77777777" w:rsidR="00C32A83" w:rsidRDefault="00C32A83" w:rsidP="00C32A83">
            <w:pPr>
              <w:spacing w:before="60" w:after="60"/>
              <w:rPr>
                <w:rFonts w:cstheme="minorHAnsi"/>
                <w:noProof/>
                <w:szCs w:val="24"/>
                <w:lang w:eastAsia="en-AU"/>
              </w:rPr>
            </w:pPr>
          </w:p>
        </w:tc>
        <w:tc>
          <w:tcPr>
            <w:tcW w:w="707" w:type="dxa"/>
            <w:tcMar>
              <w:left w:w="28" w:type="dxa"/>
              <w:right w:w="28" w:type="dxa"/>
            </w:tcMar>
            <w:vAlign w:val="bottom"/>
          </w:tcPr>
          <w:p w14:paraId="5924D0B6" w14:textId="77777777" w:rsidR="00C32A83" w:rsidRPr="00441628" w:rsidRDefault="00C32A83" w:rsidP="008B22CF">
            <w:pPr>
              <w:jc w:val="center"/>
              <w:rPr>
                <w:rFonts w:cstheme="minorHAnsi"/>
                <w:sz w:val="18"/>
                <w:szCs w:val="18"/>
              </w:rPr>
            </w:pPr>
            <w:r w:rsidRPr="00441628">
              <w:rPr>
                <w:rFonts w:cstheme="minorHAnsi"/>
                <w:color w:val="000000"/>
                <w:sz w:val="18"/>
                <w:szCs w:val="18"/>
              </w:rPr>
              <w:t>7</w:t>
            </w:r>
          </w:p>
        </w:tc>
        <w:tc>
          <w:tcPr>
            <w:tcW w:w="1276" w:type="dxa"/>
          </w:tcPr>
          <w:p w14:paraId="7467C36F" w14:textId="36F0C41F" w:rsidR="00C32A83" w:rsidRPr="00C32A83" w:rsidRDefault="00C32A83" w:rsidP="00C32A83">
            <w:pPr>
              <w:jc w:val="center"/>
              <w:rPr>
                <w:rFonts w:cstheme="minorHAnsi"/>
                <w:color w:val="000000"/>
                <w:sz w:val="18"/>
                <w:szCs w:val="18"/>
              </w:rPr>
            </w:pPr>
          </w:p>
        </w:tc>
        <w:tc>
          <w:tcPr>
            <w:tcW w:w="1561" w:type="dxa"/>
          </w:tcPr>
          <w:p w14:paraId="4BC17A0D" w14:textId="286B64F9"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$43,358 </w:t>
            </w:r>
          </w:p>
        </w:tc>
      </w:tr>
      <w:tr w:rsidR="00C32A83" w14:paraId="583CC736" w14:textId="77777777" w:rsidTr="00843949">
        <w:trPr>
          <w:trHeight w:val="67"/>
        </w:trPr>
        <w:tc>
          <w:tcPr>
            <w:tcW w:w="5382" w:type="dxa"/>
            <w:vMerge/>
            <w:tcMar>
              <w:left w:w="28" w:type="dxa"/>
              <w:right w:w="28" w:type="dxa"/>
            </w:tcMar>
          </w:tcPr>
          <w:p w14:paraId="7A2147D8" w14:textId="77777777" w:rsidR="00C32A83" w:rsidRDefault="00C32A83" w:rsidP="00C32A83">
            <w:pPr>
              <w:spacing w:before="60" w:after="60"/>
              <w:rPr>
                <w:rFonts w:cstheme="minorHAnsi"/>
                <w:noProof/>
                <w:szCs w:val="24"/>
                <w:lang w:eastAsia="en-AU"/>
              </w:rPr>
            </w:pPr>
          </w:p>
        </w:tc>
        <w:tc>
          <w:tcPr>
            <w:tcW w:w="707" w:type="dxa"/>
            <w:tcMar>
              <w:left w:w="28" w:type="dxa"/>
              <w:right w:w="28" w:type="dxa"/>
            </w:tcMar>
            <w:vAlign w:val="bottom"/>
          </w:tcPr>
          <w:p w14:paraId="69CE186F" w14:textId="77777777" w:rsidR="00C32A83" w:rsidRPr="00441628" w:rsidRDefault="00C32A83" w:rsidP="008B22CF">
            <w:pPr>
              <w:jc w:val="center"/>
              <w:rPr>
                <w:rFonts w:cstheme="minorHAnsi"/>
                <w:sz w:val="18"/>
                <w:szCs w:val="18"/>
              </w:rPr>
            </w:pPr>
            <w:r w:rsidRPr="00441628">
              <w:rPr>
                <w:rFonts w:cstheme="minorHAnsi"/>
                <w:color w:val="000000"/>
                <w:sz w:val="18"/>
                <w:szCs w:val="18"/>
              </w:rPr>
              <w:t>8</w:t>
            </w:r>
          </w:p>
        </w:tc>
        <w:tc>
          <w:tcPr>
            <w:tcW w:w="1276" w:type="dxa"/>
          </w:tcPr>
          <w:p w14:paraId="228C5AFA" w14:textId="77777777" w:rsidR="00C32A83" w:rsidRPr="00C32A83" w:rsidRDefault="00C32A83" w:rsidP="00C32A83">
            <w:pPr>
              <w:jc w:val="center"/>
              <w:rPr>
                <w:rFonts w:cstheme="minorHAnsi"/>
                <w:color w:val="000000"/>
                <w:sz w:val="18"/>
                <w:szCs w:val="18"/>
              </w:rPr>
            </w:pPr>
          </w:p>
        </w:tc>
        <w:tc>
          <w:tcPr>
            <w:tcW w:w="1561" w:type="dxa"/>
          </w:tcPr>
          <w:p w14:paraId="7D8AFDEF" w14:textId="0DDE705D"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$43,641 </w:t>
            </w:r>
          </w:p>
        </w:tc>
      </w:tr>
      <w:tr w:rsidR="00C32A83" w14:paraId="2AE22864" w14:textId="77777777" w:rsidTr="00843949">
        <w:trPr>
          <w:trHeight w:val="67"/>
        </w:trPr>
        <w:tc>
          <w:tcPr>
            <w:tcW w:w="5382" w:type="dxa"/>
            <w:vMerge/>
            <w:tcMar>
              <w:left w:w="28" w:type="dxa"/>
              <w:right w:w="28" w:type="dxa"/>
            </w:tcMar>
          </w:tcPr>
          <w:p w14:paraId="2EB35988" w14:textId="77777777" w:rsidR="00C32A83" w:rsidRDefault="00C32A83" w:rsidP="00C32A83">
            <w:pPr>
              <w:spacing w:before="60" w:after="60"/>
              <w:rPr>
                <w:rFonts w:cstheme="minorHAnsi"/>
                <w:noProof/>
                <w:szCs w:val="24"/>
                <w:lang w:eastAsia="en-AU"/>
              </w:rPr>
            </w:pPr>
          </w:p>
        </w:tc>
        <w:tc>
          <w:tcPr>
            <w:tcW w:w="707" w:type="dxa"/>
            <w:tcMar>
              <w:left w:w="28" w:type="dxa"/>
              <w:right w:w="28" w:type="dxa"/>
            </w:tcMar>
            <w:vAlign w:val="bottom"/>
          </w:tcPr>
          <w:p w14:paraId="317E7400" w14:textId="77777777" w:rsidR="00C32A83" w:rsidRPr="00441628" w:rsidRDefault="00C32A83" w:rsidP="008B22CF">
            <w:pPr>
              <w:jc w:val="center"/>
              <w:rPr>
                <w:rFonts w:cstheme="minorHAnsi"/>
                <w:sz w:val="18"/>
                <w:szCs w:val="18"/>
              </w:rPr>
            </w:pPr>
            <w:r w:rsidRPr="00441628">
              <w:rPr>
                <w:rFonts w:cstheme="minorHAnsi"/>
                <w:color w:val="000000"/>
                <w:sz w:val="18"/>
                <w:szCs w:val="18"/>
              </w:rPr>
              <w:t>9</w:t>
            </w:r>
          </w:p>
        </w:tc>
        <w:tc>
          <w:tcPr>
            <w:tcW w:w="1276" w:type="dxa"/>
          </w:tcPr>
          <w:p w14:paraId="5B34E350" w14:textId="77777777" w:rsidR="00C32A83" w:rsidRPr="00C32A83" w:rsidRDefault="00C32A83" w:rsidP="00C32A83">
            <w:pPr>
              <w:jc w:val="center"/>
              <w:rPr>
                <w:rFonts w:cstheme="minorHAnsi"/>
                <w:color w:val="000000"/>
                <w:sz w:val="18"/>
                <w:szCs w:val="18"/>
              </w:rPr>
            </w:pPr>
          </w:p>
        </w:tc>
        <w:tc>
          <w:tcPr>
            <w:tcW w:w="1561" w:type="dxa"/>
          </w:tcPr>
          <w:p w14:paraId="17016090" w14:textId="17290209"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$43,889 </w:t>
            </w:r>
          </w:p>
        </w:tc>
      </w:tr>
      <w:tr w:rsidR="00C32A83" w14:paraId="3E713A44" w14:textId="77777777" w:rsidTr="00843949">
        <w:trPr>
          <w:trHeight w:val="67"/>
        </w:trPr>
        <w:tc>
          <w:tcPr>
            <w:tcW w:w="5382" w:type="dxa"/>
            <w:vMerge/>
            <w:tcMar>
              <w:left w:w="28" w:type="dxa"/>
              <w:right w:w="28" w:type="dxa"/>
            </w:tcMar>
          </w:tcPr>
          <w:p w14:paraId="41344105" w14:textId="77777777" w:rsidR="00C32A83" w:rsidRDefault="00C32A83" w:rsidP="00C32A83">
            <w:pPr>
              <w:spacing w:before="60" w:after="60"/>
              <w:rPr>
                <w:rFonts w:cstheme="minorHAnsi"/>
                <w:noProof/>
                <w:szCs w:val="24"/>
                <w:lang w:eastAsia="en-AU"/>
              </w:rPr>
            </w:pPr>
          </w:p>
        </w:tc>
        <w:tc>
          <w:tcPr>
            <w:tcW w:w="707" w:type="dxa"/>
            <w:tcMar>
              <w:left w:w="28" w:type="dxa"/>
              <w:right w:w="28" w:type="dxa"/>
            </w:tcMar>
            <w:vAlign w:val="bottom"/>
          </w:tcPr>
          <w:p w14:paraId="0CAF3B9B" w14:textId="77777777" w:rsidR="00C32A83" w:rsidRPr="00441628" w:rsidRDefault="00C32A83" w:rsidP="008B22CF">
            <w:pPr>
              <w:jc w:val="center"/>
              <w:rPr>
                <w:rFonts w:cstheme="minorHAnsi"/>
                <w:sz w:val="18"/>
                <w:szCs w:val="18"/>
              </w:rPr>
            </w:pPr>
            <w:r w:rsidRPr="00441628">
              <w:rPr>
                <w:rFonts w:cstheme="minorHAnsi"/>
                <w:color w:val="000000"/>
                <w:sz w:val="18"/>
                <w:szCs w:val="18"/>
              </w:rPr>
              <w:t>10</w:t>
            </w:r>
          </w:p>
        </w:tc>
        <w:tc>
          <w:tcPr>
            <w:tcW w:w="1276" w:type="dxa"/>
          </w:tcPr>
          <w:p w14:paraId="398E542B" w14:textId="77777777" w:rsidR="00C32A83" w:rsidRPr="00C32A83" w:rsidRDefault="00C32A83" w:rsidP="00C32A83">
            <w:pPr>
              <w:jc w:val="center"/>
              <w:rPr>
                <w:rFonts w:cstheme="minorHAnsi"/>
                <w:color w:val="000000"/>
                <w:sz w:val="18"/>
                <w:szCs w:val="18"/>
              </w:rPr>
            </w:pPr>
          </w:p>
        </w:tc>
        <w:tc>
          <w:tcPr>
            <w:tcW w:w="1561" w:type="dxa"/>
          </w:tcPr>
          <w:p w14:paraId="243FCB91" w14:textId="7C25179C"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$44,102 </w:t>
            </w:r>
          </w:p>
        </w:tc>
      </w:tr>
      <w:tr w:rsidR="00C32A83" w14:paraId="5EB522BC" w14:textId="77777777" w:rsidTr="00843949">
        <w:trPr>
          <w:trHeight w:val="67"/>
        </w:trPr>
        <w:tc>
          <w:tcPr>
            <w:tcW w:w="5382" w:type="dxa"/>
            <w:vMerge/>
            <w:tcMar>
              <w:left w:w="28" w:type="dxa"/>
              <w:right w:w="28" w:type="dxa"/>
            </w:tcMar>
          </w:tcPr>
          <w:p w14:paraId="18D50C36" w14:textId="77777777" w:rsidR="00C32A83" w:rsidRDefault="00C32A83" w:rsidP="00C32A83">
            <w:pPr>
              <w:spacing w:before="60" w:after="60"/>
              <w:rPr>
                <w:rFonts w:cstheme="minorHAnsi"/>
                <w:noProof/>
                <w:szCs w:val="24"/>
                <w:lang w:eastAsia="en-AU"/>
              </w:rPr>
            </w:pPr>
          </w:p>
        </w:tc>
        <w:tc>
          <w:tcPr>
            <w:tcW w:w="707" w:type="dxa"/>
            <w:tcMar>
              <w:left w:w="28" w:type="dxa"/>
              <w:right w:w="28" w:type="dxa"/>
            </w:tcMar>
            <w:vAlign w:val="bottom"/>
          </w:tcPr>
          <w:p w14:paraId="40422E5C" w14:textId="77777777" w:rsidR="00C32A83" w:rsidRPr="00441628" w:rsidRDefault="00C32A83" w:rsidP="008B22CF">
            <w:pPr>
              <w:jc w:val="center"/>
              <w:rPr>
                <w:rFonts w:cstheme="minorHAnsi"/>
                <w:sz w:val="18"/>
                <w:szCs w:val="18"/>
              </w:rPr>
            </w:pPr>
            <w:r w:rsidRPr="00441628">
              <w:rPr>
                <w:rFonts w:cstheme="minorHAnsi"/>
                <w:color w:val="000000"/>
                <w:sz w:val="18"/>
                <w:szCs w:val="18"/>
              </w:rPr>
              <w:t>11</w:t>
            </w:r>
          </w:p>
        </w:tc>
        <w:tc>
          <w:tcPr>
            <w:tcW w:w="1276" w:type="dxa"/>
          </w:tcPr>
          <w:p w14:paraId="45F968D9" w14:textId="77777777" w:rsidR="00C32A83" w:rsidRPr="00C32A83" w:rsidRDefault="00C32A83" w:rsidP="00C32A83">
            <w:pPr>
              <w:jc w:val="center"/>
              <w:rPr>
                <w:rFonts w:cstheme="minorHAnsi"/>
                <w:color w:val="000000"/>
                <w:sz w:val="18"/>
                <w:szCs w:val="18"/>
              </w:rPr>
            </w:pPr>
          </w:p>
        </w:tc>
        <w:tc>
          <w:tcPr>
            <w:tcW w:w="1561" w:type="dxa"/>
          </w:tcPr>
          <w:p w14:paraId="0C38161E" w14:textId="6309E353"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$44,279 </w:t>
            </w:r>
          </w:p>
        </w:tc>
      </w:tr>
      <w:tr w:rsidR="00C32A83" w14:paraId="632CACE8" w14:textId="77777777" w:rsidTr="00843949">
        <w:trPr>
          <w:trHeight w:val="67"/>
        </w:trPr>
        <w:tc>
          <w:tcPr>
            <w:tcW w:w="5382" w:type="dxa"/>
            <w:vMerge/>
            <w:tcMar>
              <w:left w:w="28" w:type="dxa"/>
              <w:right w:w="28" w:type="dxa"/>
            </w:tcMar>
          </w:tcPr>
          <w:p w14:paraId="66027C15" w14:textId="77777777" w:rsidR="00C32A83" w:rsidRDefault="00C32A83" w:rsidP="00C32A83">
            <w:pPr>
              <w:spacing w:before="60" w:after="60"/>
              <w:rPr>
                <w:rFonts w:cstheme="minorHAnsi"/>
                <w:noProof/>
                <w:szCs w:val="24"/>
                <w:lang w:eastAsia="en-AU"/>
              </w:rPr>
            </w:pPr>
          </w:p>
        </w:tc>
        <w:tc>
          <w:tcPr>
            <w:tcW w:w="707" w:type="dxa"/>
            <w:tcMar>
              <w:left w:w="28" w:type="dxa"/>
              <w:right w:w="28" w:type="dxa"/>
            </w:tcMar>
            <w:vAlign w:val="bottom"/>
          </w:tcPr>
          <w:p w14:paraId="085F2027" w14:textId="77777777" w:rsidR="00C32A83" w:rsidRPr="00441628" w:rsidRDefault="00C32A83" w:rsidP="008B22CF">
            <w:pPr>
              <w:jc w:val="center"/>
              <w:rPr>
                <w:rFonts w:cstheme="minorHAnsi"/>
                <w:sz w:val="18"/>
                <w:szCs w:val="18"/>
              </w:rPr>
            </w:pPr>
            <w:r w:rsidRPr="00441628">
              <w:rPr>
                <w:rFonts w:cstheme="minorHAnsi"/>
                <w:color w:val="000000"/>
                <w:sz w:val="18"/>
                <w:szCs w:val="18"/>
              </w:rPr>
              <w:t>12</w:t>
            </w:r>
          </w:p>
        </w:tc>
        <w:tc>
          <w:tcPr>
            <w:tcW w:w="1276" w:type="dxa"/>
          </w:tcPr>
          <w:p w14:paraId="44612892" w14:textId="77777777" w:rsidR="00C32A83" w:rsidRPr="00C32A83" w:rsidRDefault="00C32A83" w:rsidP="00C32A83">
            <w:pPr>
              <w:jc w:val="center"/>
              <w:rPr>
                <w:rFonts w:cstheme="minorHAnsi"/>
                <w:color w:val="000000"/>
                <w:sz w:val="18"/>
                <w:szCs w:val="18"/>
              </w:rPr>
            </w:pPr>
          </w:p>
        </w:tc>
        <w:tc>
          <w:tcPr>
            <w:tcW w:w="1561" w:type="dxa"/>
          </w:tcPr>
          <w:p w14:paraId="5E5E4FEA" w14:textId="208FC214"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$44,422 </w:t>
            </w:r>
          </w:p>
        </w:tc>
      </w:tr>
      <w:tr w:rsidR="00C32A83" w14:paraId="2C5DFB18" w14:textId="77777777" w:rsidTr="00843949">
        <w:trPr>
          <w:trHeight w:val="67"/>
        </w:trPr>
        <w:tc>
          <w:tcPr>
            <w:tcW w:w="5382" w:type="dxa"/>
            <w:vMerge/>
            <w:tcMar>
              <w:left w:w="28" w:type="dxa"/>
              <w:right w:w="28" w:type="dxa"/>
            </w:tcMar>
          </w:tcPr>
          <w:p w14:paraId="43F22582" w14:textId="77777777" w:rsidR="00C32A83" w:rsidRDefault="00C32A83" w:rsidP="00C32A83">
            <w:pPr>
              <w:spacing w:before="60" w:after="60"/>
              <w:rPr>
                <w:rFonts w:cstheme="minorHAnsi"/>
                <w:noProof/>
                <w:szCs w:val="24"/>
                <w:lang w:eastAsia="en-AU"/>
              </w:rPr>
            </w:pPr>
          </w:p>
        </w:tc>
        <w:tc>
          <w:tcPr>
            <w:tcW w:w="707" w:type="dxa"/>
            <w:tcMar>
              <w:left w:w="28" w:type="dxa"/>
              <w:right w:w="28" w:type="dxa"/>
            </w:tcMar>
            <w:vAlign w:val="bottom"/>
          </w:tcPr>
          <w:p w14:paraId="3B95D547" w14:textId="77777777" w:rsidR="00C32A83" w:rsidRPr="00441628" w:rsidRDefault="00C32A83" w:rsidP="008B22CF">
            <w:pPr>
              <w:jc w:val="center"/>
              <w:rPr>
                <w:rFonts w:cstheme="minorHAnsi"/>
                <w:sz w:val="18"/>
                <w:szCs w:val="18"/>
              </w:rPr>
            </w:pPr>
            <w:r w:rsidRPr="00441628">
              <w:rPr>
                <w:rFonts w:cstheme="minorHAnsi"/>
                <w:color w:val="000000"/>
                <w:sz w:val="18"/>
                <w:szCs w:val="18"/>
              </w:rPr>
              <w:t>13</w:t>
            </w:r>
          </w:p>
        </w:tc>
        <w:tc>
          <w:tcPr>
            <w:tcW w:w="1276" w:type="dxa"/>
          </w:tcPr>
          <w:p w14:paraId="7E23D197" w14:textId="77777777" w:rsidR="00C32A83" w:rsidRPr="00C32A83" w:rsidRDefault="00C32A83" w:rsidP="00C32A83">
            <w:pPr>
              <w:jc w:val="center"/>
              <w:rPr>
                <w:rFonts w:cstheme="minorHAnsi"/>
                <w:color w:val="000000"/>
                <w:sz w:val="18"/>
                <w:szCs w:val="18"/>
              </w:rPr>
            </w:pPr>
          </w:p>
        </w:tc>
        <w:tc>
          <w:tcPr>
            <w:tcW w:w="1561" w:type="dxa"/>
          </w:tcPr>
          <w:p w14:paraId="3F2C9507" w14:textId="35EF205C"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$44,530 </w:t>
            </w:r>
          </w:p>
        </w:tc>
      </w:tr>
      <w:tr w:rsidR="00C32A83" w14:paraId="02EDE614" w14:textId="77777777" w:rsidTr="00843949">
        <w:trPr>
          <w:trHeight w:val="67"/>
        </w:trPr>
        <w:tc>
          <w:tcPr>
            <w:tcW w:w="5382" w:type="dxa"/>
            <w:vMerge/>
            <w:tcMar>
              <w:left w:w="28" w:type="dxa"/>
              <w:right w:w="28" w:type="dxa"/>
            </w:tcMar>
          </w:tcPr>
          <w:p w14:paraId="2C76A17C" w14:textId="77777777" w:rsidR="00C32A83" w:rsidRDefault="00C32A83" w:rsidP="00C32A83">
            <w:pPr>
              <w:spacing w:before="60" w:after="60"/>
              <w:rPr>
                <w:rFonts w:cstheme="minorHAnsi"/>
                <w:noProof/>
                <w:szCs w:val="24"/>
                <w:lang w:eastAsia="en-AU"/>
              </w:rPr>
            </w:pPr>
          </w:p>
        </w:tc>
        <w:tc>
          <w:tcPr>
            <w:tcW w:w="707" w:type="dxa"/>
            <w:tcMar>
              <w:left w:w="28" w:type="dxa"/>
              <w:right w:w="28" w:type="dxa"/>
            </w:tcMar>
            <w:vAlign w:val="bottom"/>
          </w:tcPr>
          <w:p w14:paraId="5E1DDCC0" w14:textId="77777777" w:rsidR="00C32A83" w:rsidRPr="00441628" w:rsidRDefault="00C32A83" w:rsidP="008B22CF">
            <w:pPr>
              <w:jc w:val="center"/>
              <w:rPr>
                <w:rFonts w:cstheme="minorHAnsi"/>
                <w:sz w:val="18"/>
                <w:szCs w:val="18"/>
              </w:rPr>
            </w:pPr>
            <w:r w:rsidRPr="00441628">
              <w:rPr>
                <w:rFonts w:cstheme="minorHAnsi"/>
                <w:color w:val="000000"/>
                <w:sz w:val="18"/>
                <w:szCs w:val="18"/>
              </w:rPr>
              <w:t>14</w:t>
            </w:r>
          </w:p>
        </w:tc>
        <w:tc>
          <w:tcPr>
            <w:tcW w:w="1276" w:type="dxa"/>
          </w:tcPr>
          <w:p w14:paraId="3AAA8F43" w14:textId="77777777" w:rsidR="00C32A83" w:rsidRPr="00C32A83" w:rsidRDefault="00C32A83" w:rsidP="00C32A83">
            <w:pPr>
              <w:jc w:val="center"/>
              <w:rPr>
                <w:rFonts w:cstheme="minorHAnsi"/>
                <w:color w:val="000000"/>
                <w:sz w:val="18"/>
                <w:szCs w:val="18"/>
              </w:rPr>
            </w:pPr>
          </w:p>
        </w:tc>
        <w:tc>
          <w:tcPr>
            <w:tcW w:w="1561" w:type="dxa"/>
          </w:tcPr>
          <w:p w14:paraId="3C46CB31" w14:textId="29C0E540"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$44,603 </w:t>
            </w:r>
          </w:p>
        </w:tc>
      </w:tr>
      <w:tr w:rsidR="00C32A83" w14:paraId="5038B980" w14:textId="77777777" w:rsidTr="00843949">
        <w:trPr>
          <w:trHeight w:val="67"/>
        </w:trPr>
        <w:tc>
          <w:tcPr>
            <w:tcW w:w="5382" w:type="dxa"/>
            <w:vMerge/>
            <w:tcMar>
              <w:left w:w="28" w:type="dxa"/>
              <w:right w:w="28" w:type="dxa"/>
            </w:tcMar>
          </w:tcPr>
          <w:p w14:paraId="7BA0477B" w14:textId="77777777" w:rsidR="00C32A83" w:rsidRDefault="00C32A83" w:rsidP="00C32A83">
            <w:pPr>
              <w:spacing w:before="60" w:after="60"/>
              <w:rPr>
                <w:rFonts w:cstheme="minorHAnsi"/>
                <w:noProof/>
                <w:szCs w:val="24"/>
                <w:lang w:eastAsia="en-AU"/>
              </w:rPr>
            </w:pPr>
          </w:p>
        </w:tc>
        <w:tc>
          <w:tcPr>
            <w:tcW w:w="707" w:type="dxa"/>
            <w:tcMar>
              <w:left w:w="28" w:type="dxa"/>
              <w:right w:w="28" w:type="dxa"/>
            </w:tcMar>
            <w:vAlign w:val="bottom"/>
          </w:tcPr>
          <w:p w14:paraId="4EE33F0F" w14:textId="77777777" w:rsidR="00C32A83" w:rsidRPr="00441628" w:rsidRDefault="00C32A83" w:rsidP="008B22CF">
            <w:pPr>
              <w:jc w:val="center"/>
              <w:rPr>
                <w:rFonts w:cstheme="minorHAnsi"/>
                <w:sz w:val="18"/>
                <w:szCs w:val="18"/>
              </w:rPr>
            </w:pPr>
            <w:r w:rsidRPr="00441628">
              <w:rPr>
                <w:rFonts w:cstheme="minorHAnsi"/>
                <w:color w:val="000000"/>
                <w:sz w:val="18"/>
                <w:szCs w:val="18"/>
              </w:rPr>
              <w:t>15</w:t>
            </w:r>
          </w:p>
        </w:tc>
        <w:tc>
          <w:tcPr>
            <w:tcW w:w="1276" w:type="dxa"/>
          </w:tcPr>
          <w:p w14:paraId="7EF6F94A" w14:textId="5E2D1341"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$45</w:t>
            </w:r>
            <w:r>
              <w:rPr>
                <w:rFonts w:cstheme="minorHAnsi"/>
                <w:color w:val="000000"/>
                <w:sz w:val="18"/>
                <w:szCs w:val="18"/>
              </w:rPr>
              <w:t>,000</w:t>
            </w:r>
            <w:r w:rsidRPr="00C32A83">
              <w:rPr>
                <w:rFonts w:cstheme="minorHAnsi"/>
                <w:color w:val="000000"/>
                <w:sz w:val="18"/>
                <w:szCs w:val="18"/>
              </w:rPr>
              <w:t xml:space="preserve"> </w:t>
            </w:r>
          </w:p>
        </w:tc>
        <w:tc>
          <w:tcPr>
            <w:tcW w:w="1561" w:type="dxa"/>
          </w:tcPr>
          <w:p w14:paraId="63C679BA" w14:textId="4D7B9439"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$44,641 </w:t>
            </w:r>
          </w:p>
        </w:tc>
      </w:tr>
      <w:tr w:rsidR="00C32A83" w14:paraId="5167365D" w14:textId="77777777" w:rsidTr="00843949">
        <w:trPr>
          <w:trHeight w:val="67"/>
        </w:trPr>
        <w:tc>
          <w:tcPr>
            <w:tcW w:w="5382" w:type="dxa"/>
            <w:vMerge/>
            <w:tcMar>
              <w:left w:w="28" w:type="dxa"/>
              <w:right w:w="28" w:type="dxa"/>
            </w:tcMar>
          </w:tcPr>
          <w:p w14:paraId="2B3130AE" w14:textId="77777777" w:rsidR="00C32A83" w:rsidRDefault="00C32A83" w:rsidP="00C32A83">
            <w:pPr>
              <w:spacing w:before="60" w:after="60"/>
              <w:rPr>
                <w:rFonts w:cstheme="minorHAnsi"/>
                <w:noProof/>
                <w:szCs w:val="24"/>
                <w:lang w:eastAsia="en-AU"/>
              </w:rPr>
            </w:pPr>
          </w:p>
        </w:tc>
        <w:tc>
          <w:tcPr>
            <w:tcW w:w="707" w:type="dxa"/>
            <w:tcMar>
              <w:left w:w="28" w:type="dxa"/>
              <w:right w:w="28" w:type="dxa"/>
            </w:tcMar>
            <w:vAlign w:val="bottom"/>
          </w:tcPr>
          <w:p w14:paraId="19253A23" w14:textId="77777777" w:rsidR="00C32A83" w:rsidRPr="00441628" w:rsidRDefault="00C32A83" w:rsidP="008B22CF">
            <w:pPr>
              <w:jc w:val="center"/>
              <w:rPr>
                <w:rFonts w:cstheme="minorHAnsi"/>
                <w:sz w:val="18"/>
                <w:szCs w:val="18"/>
              </w:rPr>
            </w:pPr>
            <w:r w:rsidRPr="00441628">
              <w:rPr>
                <w:rFonts w:cstheme="minorHAnsi"/>
                <w:color w:val="000000"/>
                <w:sz w:val="18"/>
                <w:szCs w:val="18"/>
              </w:rPr>
              <w:t>16</w:t>
            </w:r>
          </w:p>
        </w:tc>
        <w:tc>
          <w:tcPr>
            <w:tcW w:w="1276" w:type="dxa"/>
          </w:tcPr>
          <w:p w14:paraId="443409A9" w14:textId="77777777" w:rsidR="00C32A83" w:rsidRPr="00C32A83" w:rsidRDefault="00C32A83" w:rsidP="00C32A83">
            <w:pPr>
              <w:jc w:val="center"/>
              <w:rPr>
                <w:rFonts w:cstheme="minorHAnsi"/>
                <w:color w:val="000000"/>
                <w:sz w:val="18"/>
                <w:szCs w:val="18"/>
              </w:rPr>
            </w:pPr>
          </w:p>
        </w:tc>
        <w:tc>
          <w:tcPr>
            <w:tcW w:w="1561" w:type="dxa"/>
          </w:tcPr>
          <w:p w14:paraId="1B637409" w14:textId="1EC5009E"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$44,644 </w:t>
            </w:r>
          </w:p>
        </w:tc>
      </w:tr>
      <w:tr w:rsidR="00C32A83" w14:paraId="5877F3D0" w14:textId="77777777" w:rsidTr="00843949">
        <w:trPr>
          <w:trHeight w:val="67"/>
        </w:trPr>
        <w:tc>
          <w:tcPr>
            <w:tcW w:w="5382" w:type="dxa"/>
            <w:vMerge/>
            <w:tcMar>
              <w:left w:w="28" w:type="dxa"/>
              <w:right w:w="28" w:type="dxa"/>
            </w:tcMar>
          </w:tcPr>
          <w:p w14:paraId="7F9D775B" w14:textId="77777777" w:rsidR="00C32A83" w:rsidRDefault="00C32A83" w:rsidP="00C32A83">
            <w:pPr>
              <w:spacing w:before="60" w:after="60"/>
              <w:rPr>
                <w:rFonts w:cstheme="minorHAnsi"/>
                <w:noProof/>
                <w:szCs w:val="24"/>
                <w:lang w:eastAsia="en-AU"/>
              </w:rPr>
            </w:pPr>
          </w:p>
        </w:tc>
        <w:tc>
          <w:tcPr>
            <w:tcW w:w="707" w:type="dxa"/>
            <w:tcMar>
              <w:left w:w="28" w:type="dxa"/>
              <w:right w:w="28" w:type="dxa"/>
            </w:tcMar>
            <w:vAlign w:val="bottom"/>
          </w:tcPr>
          <w:p w14:paraId="56F8DBA3" w14:textId="77777777" w:rsidR="00C32A83" w:rsidRPr="00441628" w:rsidRDefault="00C32A83" w:rsidP="008B22CF">
            <w:pPr>
              <w:jc w:val="center"/>
              <w:rPr>
                <w:rFonts w:cstheme="minorHAnsi"/>
                <w:sz w:val="18"/>
                <w:szCs w:val="18"/>
              </w:rPr>
            </w:pPr>
            <w:r w:rsidRPr="00441628">
              <w:rPr>
                <w:rFonts w:cstheme="minorHAnsi"/>
                <w:color w:val="000000"/>
                <w:sz w:val="18"/>
                <w:szCs w:val="18"/>
              </w:rPr>
              <w:t>17</w:t>
            </w:r>
          </w:p>
        </w:tc>
        <w:tc>
          <w:tcPr>
            <w:tcW w:w="1276" w:type="dxa"/>
          </w:tcPr>
          <w:p w14:paraId="240EE68A" w14:textId="77777777" w:rsidR="00C32A83" w:rsidRPr="00C32A83" w:rsidRDefault="00C32A83" w:rsidP="00C32A83">
            <w:pPr>
              <w:jc w:val="center"/>
              <w:rPr>
                <w:rFonts w:cstheme="minorHAnsi"/>
                <w:color w:val="000000"/>
                <w:sz w:val="18"/>
                <w:szCs w:val="18"/>
              </w:rPr>
            </w:pPr>
          </w:p>
        </w:tc>
        <w:tc>
          <w:tcPr>
            <w:tcW w:w="1561" w:type="dxa"/>
          </w:tcPr>
          <w:p w14:paraId="6AAF0C4E" w14:textId="79E1A58F"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$44,612 </w:t>
            </w:r>
          </w:p>
        </w:tc>
      </w:tr>
      <w:tr w:rsidR="00C32A83" w14:paraId="29AEA9A4" w14:textId="77777777" w:rsidTr="00843949">
        <w:trPr>
          <w:trHeight w:val="67"/>
        </w:trPr>
        <w:tc>
          <w:tcPr>
            <w:tcW w:w="5382" w:type="dxa"/>
            <w:vMerge/>
            <w:tcMar>
              <w:left w:w="28" w:type="dxa"/>
              <w:right w:w="28" w:type="dxa"/>
            </w:tcMar>
          </w:tcPr>
          <w:p w14:paraId="0CD1467C" w14:textId="77777777" w:rsidR="00C32A83" w:rsidRDefault="00C32A83" w:rsidP="00C32A83">
            <w:pPr>
              <w:spacing w:before="60" w:after="60"/>
              <w:rPr>
                <w:rFonts w:cstheme="minorHAnsi"/>
                <w:noProof/>
                <w:szCs w:val="24"/>
                <w:lang w:eastAsia="en-AU"/>
              </w:rPr>
            </w:pPr>
          </w:p>
        </w:tc>
        <w:tc>
          <w:tcPr>
            <w:tcW w:w="707" w:type="dxa"/>
            <w:tcMar>
              <w:left w:w="28" w:type="dxa"/>
              <w:right w:w="28" w:type="dxa"/>
            </w:tcMar>
            <w:vAlign w:val="bottom"/>
          </w:tcPr>
          <w:p w14:paraId="5389C74E" w14:textId="77777777" w:rsidR="00C32A83" w:rsidRPr="00441628" w:rsidRDefault="00C32A83" w:rsidP="008B22CF">
            <w:pPr>
              <w:jc w:val="center"/>
              <w:rPr>
                <w:rFonts w:cstheme="minorHAnsi"/>
                <w:sz w:val="18"/>
                <w:szCs w:val="18"/>
              </w:rPr>
            </w:pPr>
            <w:r w:rsidRPr="00441628">
              <w:rPr>
                <w:rFonts w:cstheme="minorHAnsi"/>
                <w:color w:val="000000"/>
                <w:sz w:val="18"/>
                <w:szCs w:val="18"/>
              </w:rPr>
              <w:t>18</w:t>
            </w:r>
          </w:p>
        </w:tc>
        <w:tc>
          <w:tcPr>
            <w:tcW w:w="1276" w:type="dxa"/>
          </w:tcPr>
          <w:p w14:paraId="67AFE761" w14:textId="77777777" w:rsidR="00C32A83" w:rsidRPr="00C32A83" w:rsidRDefault="00C32A83" w:rsidP="00C32A83">
            <w:pPr>
              <w:jc w:val="center"/>
              <w:rPr>
                <w:rFonts w:cstheme="minorHAnsi"/>
                <w:color w:val="000000"/>
                <w:sz w:val="18"/>
                <w:szCs w:val="18"/>
              </w:rPr>
            </w:pPr>
          </w:p>
        </w:tc>
        <w:tc>
          <w:tcPr>
            <w:tcW w:w="1561" w:type="dxa"/>
          </w:tcPr>
          <w:p w14:paraId="624C7197" w14:textId="73FE8E47"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$44,545 </w:t>
            </w:r>
          </w:p>
        </w:tc>
      </w:tr>
      <w:tr w:rsidR="00C32A83" w14:paraId="2986B16A" w14:textId="77777777" w:rsidTr="00843949">
        <w:trPr>
          <w:trHeight w:val="67"/>
        </w:trPr>
        <w:tc>
          <w:tcPr>
            <w:tcW w:w="5382" w:type="dxa"/>
            <w:vMerge/>
            <w:tcMar>
              <w:left w:w="28" w:type="dxa"/>
              <w:right w:w="28" w:type="dxa"/>
            </w:tcMar>
          </w:tcPr>
          <w:p w14:paraId="2CAEAEC1" w14:textId="77777777" w:rsidR="00C32A83" w:rsidRDefault="00C32A83" w:rsidP="00C32A83">
            <w:pPr>
              <w:spacing w:before="60" w:after="60"/>
              <w:rPr>
                <w:rFonts w:cstheme="minorHAnsi"/>
                <w:noProof/>
                <w:szCs w:val="24"/>
                <w:lang w:eastAsia="en-AU"/>
              </w:rPr>
            </w:pPr>
          </w:p>
        </w:tc>
        <w:tc>
          <w:tcPr>
            <w:tcW w:w="707" w:type="dxa"/>
            <w:tcMar>
              <w:left w:w="28" w:type="dxa"/>
              <w:right w:w="28" w:type="dxa"/>
            </w:tcMar>
            <w:vAlign w:val="bottom"/>
          </w:tcPr>
          <w:p w14:paraId="4472E21A" w14:textId="77777777" w:rsidR="00C32A83" w:rsidRPr="00441628" w:rsidRDefault="00C32A83" w:rsidP="008B22CF">
            <w:pPr>
              <w:jc w:val="center"/>
              <w:rPr>
                <w:rFonts w:cstheme="minorHAnsi"/>
                <w:sz w:val="18"/>
                <w:szCs w:val="18"/>
              </w:rPr>
            </w:pPr>
            <w:r w:rsidRPr="00441628">
              <w:rPr>
                <w:rFonts w:cstheme="minorHAnsi"/>
                <w:color w:val="000000"/>
                <w:sz w:val="18"/>
                <w:szCs w:val="18"/>
              </w:rPr>
              <w:t>19</w:t>
            </w:r>
          </w:p>
        </w:tc>
        <w:tc>
          <w:tcPr>
            <w:tcW w:w="1276" w:type="dxa"/>
          </w:tcPr>
          <w:p w14:paraId="0658DDEF" w14:textId="77777777" w:rsidR="00C32A83" w:rsidRPr="00C32A83" w:rsidRDefault="00C32A83" w:rsidP="00C32A83">
            <w:pPr>
              <w:jc w:val="center"/>
              <w:rPr>
                <w:rFonts w:cstheme="minorHAnsi"/>
                <w:color w:val="000000"/>
                <w:sz w:val="18"/>
                <w:szCs w:val="18"/>
              </w:rPr>
            </w:pPr>
          </w:p>
        </w:tc>
        <w:tc>
          <w:tcPr>
            <w:tcW w:w="1561" w:type="dxa"/>
          </w:tcPr>
          <w:p w14:paraId="1A46CF2D" w14:textId="680524F0"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$44,443 </w:t>
            </w:r>
          </w:p>
        </w:tc>
      </w:tr>
      <w:tr w:rsidR="00C32A83" w14:paraId="4D9368A0" w14:textId="77777777" w:rsidTr="00843949">
        <w:trPr>
          <w:trHeight w:val="67"/>
        </w:trPr>
        <w:tc>
          <w:tcPr>
            <w:tcW w:w="5382" w:type="dxa"/>
            <w:vMerge/>
            <w:tcMar>
              <w:left w:w="28" w:type="dxa"/>
              <w:right w:w="28" w:type="dxa"/>
            </w:tcMar>
          </w:tcPr>
          <w:p w14:paraId="2F50EE99" w14:textId="77777777" w:rsidR="00C32A83" w:rsidRDefault="00C32A83" w:rsidP="00C32A83">
            <w:pPr>
              <w:spacing w:before="60" w:after="60"/>
              <w:rPr>
                <w:rFonts w:cstheme="minorHAnsi"/>
                <w:noProof/>
                <w:szCs w:val="24"/>
                <w:lang w:eastAsia="en-AU"/>
              </w:rPr>
            </w:pPr>
          </w:p>
        </w:tc>
        <w:tc>
          <w:tcPr>
            <w:tcW w:w="707" w:type="dxa"/>
            <w:tcMar>
              <w:left w:w="28" w:type="dxa"/>
              <w:right w:w="28" w:type="dxa"/>
            </w:tcMar>
            <w:vAlign w:val="bottom"/>
          </w:tcPr>
          <w:p w14:paraId="4EDE3B2C" w14:textId="77777777" w:rsidR="00C32A83" w:rsidRPr="00441628" w:rsidRDefault="00C32A83" w:rsidP="008B22CF">
            <w:pPr>
              <w:jc w:val="center"/>
              <w:rPr>
                <w:rFonts w:cstheme="minorHAnsi"/>
                <w:sz w:val="18"/>
                <w:szCs w:val="18"/>
              </w:rPr>
            </w:pPr>
            <w:r w:rsidRPr="00441628">
              <w:rPr>
                <w:rFonts w:cstheme="minorHAnsi"/>
                <w:color w:val="000000"/>
                <w:sz w:val="18"/>
                <w:szCs w:val="18"/>
              </w:rPr>
              <w:t>20</w:t>
            </w:r>
          </w:p>
        </w:tc>
        <w:tc>
          <w:tcPr>
            <w:tcW w:w="1276" w:type="dxa"/>
          </w:tcPr>
          <w:p w14:paraId="3E90EDC9" w14:textId="77777777" w:rsidR="00C32A83" w:rsidRPr="00C32A83" w:rsidRDefault="00C32A83" w:rsidP="00C32A83">
            <w:pPr>
              <w:jc w:val="center"/>
              <w:rPr>
                <w:rFonts w:cstheme="minorHAnsi"/>
                <w:color w:val="000000"/>
                <w:sz w:val="18"/>
                <w:szCs w:val="18"/>
              </w:rPr>
            </w:pPr>
          </w:p>
        </w:tc>
        <w:tc>
          <w:tcPr>
            <w:tcW w:w="1561" w:type="dxa"/>
          </w:tcPr>
          <w:p w14:paraId="58FF19F3" w14:textId="104D199F"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$44,306 </w:t>
            </w:r>
          </w:p>
        </w:tc>
      </w:tr>
      <w:tr w:rsidR="00C32A83" w14:paraId="1F4B9790" w14:textId="77777777" w:rsidTr="00843949">
        <w:trPr>
          <w:trHeight w:val="67"/>
        </w:trPr>
        <w:tc>
          <w:tcPr>
            <w:tcW w:w="5382" w:type="dxa"/>
            <w:vMerge/>
            <w:tcMar>
              <w:left w:w="28" w:type="dxa"/>
              <w:right w:w="28" w:type="dxa"/>
            </w:tcMar>
          </w:tcPr>
          <w:p w14:paraId="2B21AACD" w14:textId="77777777" w:rsidR="00C32A83" w:rsidRDefault="00C32A83" w:rsidP="00C32A83">
            <w:pPr>
              <w:spacing w:before="60" w:after="60"/>
              <w:rPr>
                <w:rFonts w:cstheme="minorHAnsi"/>
                <w:noProof/>
                <w:szCs w:val="24"/>
                <w:lang w:eastAsia="en-AU"/>
              </w:rPr>
            </w:pPr>
          </w:p>
        </w:tc>
        <w:tc>
          <w:tcPr>
            <w:tcW w:w="707" w:type="dxa"/>
            <w:tcMar>
              <w:left w:w="28" w:type="dxa"/>
              <w:right w:w="28" w:type="dxa"/>
            </w:tcMar>
            <w:vAlign w:val="bottom"/>
          </w:tcPr>
          <w:p w14:paraId="45A24ACC" w14:textId="77777777" w:rsidR="00C32A83" w:rsidRPr="00441628" w:rsidRDefault="00C32A83" w:rsidP="008B22CF">
            <w:pPr>
              <w:jc w:val="center"/>
              <w:rPr>
                <w:rFonts w:cstheme="minorHAnsi"/>
                <w:sz w:val="18"/>
                <w:szCs w:val="18"/>
              </w:rPr>
            </w:pPr>
            <w:r w:rsidRPr="00441628">
              <w:rPr>
                <w:rFonts w:cstheme="minorHAnsi"/>
                <w:color w:val="000000"/>
                <w:sz w:val="18"/>
                <w:szCs w:val="18"/>
              </w:rPr>
              <w:t>21</w:t>
            </w:r>
          </w:p>
        </w:tc>
        <w:tc>
          <w:tcPr>
            <w:tcW w:w="1276" w:type="dxa"/>
          </w:tcPr>
          <w:p w14:paraId="7E1C4328" w14:textId="77777777" w:rsidR="00C32A83" w:rsidRPr="00C32A83" w:rsidRDefault="00C32A83" w:rsidP="00C32A83">
            <w:pPr>
              <w:jc w:val="center"/>
              <w:rPr>
                <w:rFonts w:cstheme="minorHAnsi"/>
                <w:color w:val="000000"/>
                <w:sz w:val="18"/>
                <w:szCs w:val="18"/>
              </w:rPr>
            </w:pPr>
          </w:p>
        </w:tc>
        <w:tc>
          <w:tcPr>
            <w:tcW w:w="1561" w:type="dxa"/>
          </w:tcPr>
          <w:p w14:paraId="1D494793" w14:textId="42AA7E99"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$44,135 </w:t>
            </w:r>
          </w:p>
        </w:tc>
      </w:tr>
      <w:tr w:rsidR="00C32A83" w14:paraId="2ACBD03A" w14:textId="77777777" w:rsidTr="00843949">
        <w:trPr>
          <w:trHeight w:val="67"/>
        </w:trPr>
        <w:tc>
          <w:tcPr>
            <w:tcW w:w="5382" w:type="dxa"/>
            <w:vMerge/>
            <w:tcMar>
              <w:left w:w="28" w:type="dxa"/>
              <w:right w:w="28" w:type="dxa"/>
            </w:tcMar>
          </w:tcPr>
          <w:p w14:paraId="32023BE4" w14:textId="77777777" w:rsidR="00C32A83" w:rsidRDefault="00C32A83" w:rsidP="00C32A83">
            <w:pPr>
              <w:spacing w:before="60" w:after="60"/>
              <w:rPr>
                <w:rFonts w:cstheme="minorHAnsi"/>
                <w:noProof/>
                <w:szCs w:val="24"/>
                <w:lang w:eastAsia="en-AU"/>
              </w:rPr>
            </w:pPr>
          </w:p>
        </w:tc>
        <w:tc>
          <w:tcPr>
            <w:tcW w:w="707" w:type="dxa"/>
            <w:tcMar>
              <w:left w:w="28" w:type="dxa"/>
              <w:right w:w="28" w:type="dxa"/>
            </w:tcMar>
            <w:vAlign w:val="bottom"/>
          </w:tcPr>
          <w:p w14:paraId="1AC065BC" w14:textId="77777777" w:rsidR="00C32A83" w:rsidRPr="00441628" w:rsidRDefault="00C32A83" w:rsidP="008B22CF">
            <w:pPr>
              <w:jc w:val="center"/>
              <w:rPr>
                <w:rFonts w:cstheme="minorHAnsi"/>
                <w:sz w:val="18"/>
                <w:szCs w:val="18"/>
              </w:rPr>
            </w:pPr>
            <w:r w:rsidRPr="00441628">
              <w:rPr>
                <w:rFonts w:cstheme="minorHAnsi"/>
                <w:color w:val="000000"/>
                <w:sz w:val="18"/>
                <w:szCs w:val="18"/>
              </w:rPr>
              <w:t>22</w:t>
            </w:r>
          </w:p>
        </w:tc>
        <w:tc>
          <w:tcPr>
            <w:tcW w:w="1276" w:type="dxa"/>
          </w:tcPr>
          <w:p w14:paraId="620B90D9" w14:textId="77777777" w:rsidR="00C32A83" w:rsidRPr="00C32A83" w:rsidRDefault="00C32A83" w:rsidP="00C32A83">
            <w:pPr>
              <w:jc w:val="center"/>
              <w:rPr>
                <w:rFonts w:cstheme="minorHAnsi"/>
                <w:color w:val="000000"/>
                <w:sz w:val="18"/>
                <w:szCs w:val="18"/>
              </w:rPr>
            </w:pPr>
          </w:p>
        </w:tc>
        <w:tc>
          <w:tcPr>
            <w:tcW w:w="1561" w:type="dxa"/>
          </w:tcPr>
          <w:p w14:paraId="70C0AD78" w14:textId="0149A5BC"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$43,928 </w:t>
            </w:r>
          </w:p>
        </w:tc>
      </w:tr>
      <w:tr w:rsidR="00C32A83" w14:paraId="67E1834F" w14:textId="77777777" w:rsidTr="00843949">
        <w:trPr>
          <w:trHeight w:val="67"/>
        </w:trPr>
        <w:tc>
          <w:tcPr>
            <w:tcW w:w="5382" w:type="dxa"/>
            <w:vMerge/>
            <w:tcMar>
              <w:left w:w="28" w:type="dxa"/>
              <w:right w:w="28" w:type="dxa"/>
            </w:tcMar>
          </w:tcPr>
          <w:p w14:paraId="68000FD1" w14:textId="77777777" w:rsidR="00C32A83" w:rsidRDefault="00C32A83" w:rsidP="00C32A83">
            <w:pPr>
              <w:spacing w:before="60" w:after="60"/>
              <w:rPr>
                <w:rFonts w:cstheme="minorHAnsi"/>
                <w:noProof/>
                <w:szCs w:val="24"/>
                <w:lang w:eastAsia="en-AU"/>
              </w:rPr>
            </w:pPr>
          </w:p>
        </w:tc>
        <w:tc>
          <w:tcPr>
            <w:tcW w:w="707" w:type="dxa"/>
            <w:tcMar>
              <w:left w:w="28" w:type="dxa"/>
              <w:right w:w="28" w:type="dxa"/>
            </w:tcMar>
            <w:vAlign w:val="bottom"/>
          </w:tcPr>
          <w:p w14:paraId="656BC174" w14:textId="77777777" w:rsidR="00C32A83" w:rsidRPr="00441628" w:rsidRDefault="00C32A83" w:rsidP="008B22CF">
            <w:pPr>
              <w:jc w:val="center"/>
              <w:rPr>
                <w:rFonts w:cstheme="minorHAnsi"/>
                <w:sz w:val="18"/>
                <w:szCs w:val="18"/>
              </w:rPr>
            </w:pPr>
            <w:r w:rsidRPr="00441628">
              <w:rPr>
                <w:rFonts w:cstheme="minorHAnsi"/>
                <w:color w:val="000000"/>
                <w:sz w:val="18"/>
                <w:szCs w:val="18"/>
              </w:rPr>
              <w:t>23</w:t>
            </w:r>
          </w:p>
        </w:tc>
        <w:tc>
          <w:tcPr>
            <w:tcW w:w="1276" w:type="dxa"/>
          </w:tcPr>
          <w:p w14:paraId="71E97AFF" w14:textId="77777777" w:rsidR="00C32A83" w:rsidRPr="00C32A83" w:rsidRDefault="00C32A83" w:rsidP="00C32A83">
            <w:pPr>
              <w:jc w:val="center"/>
              <w:rPr>
                <w:rFonts w:cstheme="minorHAnsi"/>
                <w:color w:val="000000"/>
                <w:sz w:val="18"/>
                <w:szCs w:val="18"/>
              </w:rPr>
            </w:pPr>
          </w:p>
        </w:tc>
        <w:tc>
          <w:tcPr>
            <w:tcW w:w="1561" w:type="dxa"/>
          </w:tcPr>
          <w:p w14:paraId="25206C25" w14:textId="08143E59"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$43,686 </w:t>
            </w:r>
          </w:p>
        </w:tc>
      </w:tr>
      <w:tr w:rsidR="00C32A83" w14:paraId="02D69A17" w14:textId="77777777" w:rsidTr="00843949">
        <w:trPr>
          <w:trHeight w:val="67"/>
        </w:trPr>
        <w:tc>
          <w:tcPr>
            <w:tcW w:w="5382" w:type="dxa"/>
            <w:vMerge/>
            <w:tcMar>
              <w:left w:w="28" w:type="dxa"/>
              <w:right w:w="28" w:type="dxa"/>
            </w:tcMar>
          </w:tcPr>
          <w:p w14:paraId="51774C8F" w14:textId="77777777" w:rsidR="00C32A83" w:rsidRDefault="00C32A83" w:rsidP="00C32A83">
            <w:pPr>
              <w:spacing w:before="60" w:after="60"/>
              <w:rPr>
                <w:rFonts w:cstheme="minorHAnsi"/>
                <w:noProof/>
                <w:szCs w:val="24"/>
                <w:lang w:eastAsia="en-AU"/>
              </w:rPr>
            </w:pPr>
          </w:p>
        </w:tc>
        <w:tc>
          <w:tcPr>
            <w:tcW w:w="707" w:type="dxa"/>
            <w:tcMar>
              <w:left w:w="28" w:type="dxa"/>
              <w:right w:w="28" w:type="dxa"/>
            </w:tcMar>
            <w:vAlign w:val="bottom"/>
          </w:tcPr>
          <w:p w14:paraId="68C0E223" w14:textId="77777777" w:rsidR="00C32A83" w:rsidRPr="00441628" w:rsidRDefault="00C32A83" w:rsidP="008B22CF">
            <w:pPr>
              <w:jc w:val="center"/>
              <w:rPr>
                <w:rFonts w:cstheme="minorHAnsi"/>
                <w:sz w:val="18"/>
                <w:szCs w:val="18"/>
              </w:rPr>
            </w:pPr>
            <w:r w:rsidRPr="00441628">
              <w:rPr>
                <w:rFonts w:cstheme="minorHAnsi"/>
                <w:color w:val="000000"/>
                <w:sz w:val="18"/>
                <w:szCs w:val="18"/>
              </w:rPr>
              <w:t>24</w:t>
            </w:r>
          </w:p>
        </w:tc>
        <w:tc>
          <w:tcPr>
            <w:tcW w:w="1276" w:type="dxa"/>
          </w:tcPr>
          <w:p w14:paraId="4AB050E6" w14:textId="77777777" w:rsidR="00C32A83" w:rsidRPr="00C32A83" w:rsidRDefault="00C32A83" w:rsidP="00C32A83">
            <w:pPr>
              <w:jc w:val="center"/>
              <w:rPr>
                <w:rFonts w:cstheme="minorHAnsi"/>
                <w:color w:val="000000"/>
                <w:sz w:val="18"/>
                <w:szCs w:val="18"/>
              </w:rPr>
            </w:pPr>
          </w:p>
        </w:tc>
        <w:tc>
          <w:tcPr>
            <w:tcW w:w="1561" w:type="dxa"/>
          </w:tcPr>
          <w:p w14:paraId="691C6EE1" w14:textId="5A671C8C"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$43,409 </w:t>
            </w:r>
          </w:p>
        </w:tc>
      </w:tr>
      <w:tr w:rsidR="00C32A83" w14:paraId="4B821D3C" w14:textId="77777777" w:rsidTr="00843949">
        <w:trPr>
          <w:trHeight w:val="67"/>
        </w:trPr>
        <w:tc>
          <w:tcPr>
            <w:tcW w:w="5382" w:type="dxa"/>
            <w:vMerge/>
            <w:tcMar>
              <w:left w:w="28" w:type="dxa"/>
              <w:right w:w="28" w:type="dxa"/>
            </w:tcMar>
          </w:tcPr>
          <w:p w14:paraId="7DE20A7E" w14:textId="77777777" w:rsidR="00C32A83" w:rsidRDefault="00C32A83" w:rsidP="00C32A83">
            <w:pPr>
              <w:spacing w:before="60" w:after="60"/>
              <w:rPr>
                <w:rFonts w:cstheme="minorHAnsi"/>
                <w:noProof/>
                <w:szCs w:val="24"/>
                <w:lang w:eastAsia="en-AU"/>
              </w:rPr>
            </w:pPr>
          </w:p>
        </w:tc>
        <w:tc>
          <w:tcPr>
            <w:tcW w:w="707" w:type="dxa"/>
            <w:tcMar>
              <w:left w:w="28" w:type="dxa"/>
              <w:right w:w="28" w:type="dxa"/>
            </w:tcMar>
            <w:vAlign w:val="bottom"/>
          </w:tcPr>
          <w:p w14:paraId="63B96F12" w14:textId="77777777" w:rsidR="00C32A83" w:rsidRPr="00441628" w:rsidRDefault="00C32A83" w:rsidP="008B22CF">
            <w:pPr>
              <w:jc w:val="center"/>
              <w:rPr>
                <w:rFonts w:cstheme="minorHAnsi"/>
                <w:sz w:val="18"/>
                <w:szCs w:val="18"/>
              </w:rPr>
            </w:pPr>
            <w:r w:rsidRPr="00441628">
              <w:rPr>
                <w:rFonts w:cstheme="minorHAnsi"/>
                <w:color w:val="000000"/>
                <w:sz w:val="18"/>
                <w:szCs w:val="18"/>
              </w:rPr>
              <w:t>25</w:t>
            </w:r>
          </w:p>
        </w:tc>
        <w:tc>
          <w:tcPr>
            <w:tcW w:w="1276" w:type="dxa"/>
          </w:tcPr>
          <w:p w14:paraId="5BE6FAA7" w14:textId="57E8EBD9"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$43</w:t>
            </w:r>
            <w:r>
              <w:rPr>
                <w:rFonts w:cstheme="minorHAnsi"/>
                <w:color w:val="000000"/>
                <w:sz w:val="18"/>
                <w:szCs w:val="18"/>
              </w:rPr>
              <w:t>,000</w:t>
            </w:r>
            <w:r w:rsidRPr="00C32A83">
              <w:rPr>
                <w:rFonts w:cstheme="minorHAnsi"/>
                <w:color w:val="000000"/>
                <w:sz w:val="18"/>
                <w:szCs w:val="18"/>
              </w:rPr>
              <w:t xml:space="preserve"> </w:t>
            </w:r>
          </w:p>
        </w:tc>
        <w:tc>
          <w:tcPr>
            <w:tcW w:w="1561" w:type="dxa"/>
          </w:tcPr>
          <w:p w14:paraId="472AAED6" w14:textId="33B87723"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$43,098 </w:t>
            </w:r>
          </w:p>
        </w:tc>
      </w:tr>
      <w:tr w:rsidR="00C32A83" w14:paraId="16994F60" w14:textId="77777777" w:rsidTr="00843949">
        <w:trPr>
          <w:trHeight w:val="67"/>
        </w:trPr>
        <w:tc>
          <w:tcPr>
            <w:tcW w:w="5382" w:type="dxa"/>
            <w:vMerge/>
            <w:tcMar>
              <w:left w:w="28" w:type="dxa"/>
              <w:right w:w="28" w:type="dxa"/>
            </w:tcMar>
          </w:tcPr>
          <w:p w14:paraId="59A86A4D" w14:textId="77777777" w:rsidR="00C32A83" w:rsidRDefault="00C32A83" w:rsidP="00C32A83">
            <w:pPr>
              <w:spacing w:before="60" w:after="60"/>
              <w:rPr>
                <w:rFonts w:cstheme="minorHAnsi"/>
                <w:noProof/>
                <w:szCs w:val="24"/>
                <w:lang w:eastAsia="en-AU"/>
              </w:rPr>
            </w:pPr>
          </w:p>
        </w:tc>
        <w:tc>
          <w:tcPr>
            <w:tcW w:w="707" w:type="dxa"/>
            <w:tcMar>
              <w:left w:w="28" w:type="dxa"/>
              <w:right w:w="28" w:type="dxa"/>
            </w:tcMar>
            <w:vAlign w:val="bottom"/>
          </w:tcPr>
          <w:p w14:paraId="2D02EE35" w14:textId="77777777" w:rsidR="00C32A83" w:rsidRPr="00441628" w:rsidRDefault="00C32A83" w:rsidP="008B22CF">
            <w:pPr>
              <w:jc w:val="center"/>
              <w:rPr>
                <w:rFonts w:cstheme="minorHAnsi"/>
                <w:sz w:val="18"/>
                <w:szCs w:val="18"/>
              </w:rPr>
            </w:pPr>
            <w:r w:rsidRPr="00441628">
              <w:rPr>
                <w:rFonts w:cstheme="minorHAnsi"/>
                <w:color w:val="000000"/>
                <w:sz w:val="18"/>
                <w:szCs w:val="18"/>
              </w:rPr>
              <w:t>26</w:t>
            </w:r>
          </w:p>
        </w:tc>
        <w:tc>
          <w:tcPr>
            <w:tcW w:w="1276" w:type="dxa"/>
          </w:tcPr>
          <w:p w14:paraId="64791FBF" w14:textId="77777777" w:rsidR="00C32A83" w:rsidRPr="00C32A83" w:rsidRDefault="00C32A83" w:rsidP="00C32A83">
            <w:pPr>
              <w:jc w:val="center"/>
              <w:rPr>
                <w:rFonts w:cstheme="minorHAnsi"/>
                <w:color w:val="000000"/>
                <w:sz w:val="18"/>
                <w:szCs w:val="18"/>
              </w:rPr>
            </w:pPr>
          </w:p>
        </w:tc>
        <w:tc>
          <w:tcPr>
            <w:tcW w:w="1561" w:type="dxa"/>
          </w:tcPr>
          <w:p w14:paraId="15C3E0F2" w14:textId="34430847" w:rsidR="00C32A83" w:rsidRPr="00C32A83" w:rsidRDefault="00C32A83" w:rsidP="00C32A83">
            <w:pPr>
              <w:jc w:val="center"/>
              <w:rPr>
                <w:rFonts w:cstheme="minorHAnsi"/>
                <w:color w:val="000000"/>
                <w:sz w:val="18"/>
                <w:szCs w:val="18"/>
              </w:rPr>
            </w:pPr>
            <w:r w:rsidRPr="00C32A83">
              <w:rPr>
                <w:rFonts w:cstheme="minorHAnsi"/>
                <w:color w:val="000000"/>
                <w:sz w:val="18"/>
                <w:szCs w:val="18"/>
              </w:rPr>
              <w:t xml:space="preserve"> $42,751 </w:t>
            </w:r>
          </w:p>
        </w:tc>
      </w:tr>
    </w:tbl>
    <w:p w14:paraId="2FAB0D00" w14:textId="77777777" w:rsidR="001D21F0" w:rsidRPr="001D21F0" w:rsidRDefault="001D21F0" w:rsidP="001D21F0">
      <w:pPr>
        <w:spacing w:before="120" w:after="120" w:line="360" w:lineRule="auto"/>
        <w:rPr>
          <w:rFonts w:cstheme="minorHAnsi"/>
          <w:szCs w:val="24"/>
        </w:rPr>
      </w:pPr>
    </w:p>
    <w:p w14:paraId="433C85A5" w14:textId="2ACE23DD" w:rsidR="007A2337" w:rsidRPr="00ED0F6F" w:rsidRDefault="00ED0F6F" w:rsidP="00647335">
      <w:pPr>
        <w:pStyle w:val="ListParagraph"/>
        <w:numPr>
          <w:ilvl w:val="0"/>
          <w:numId w:val="2"/>
        </w:numPr>
        <w:spacing w:before="120" w:after="120" w:line="360" w:lineRule="auto"/>
        <w:rPr>
          <w:rFonts w:cstheme="minorHAnsi"/>
          <w:szCs w:val="24"/>
        </w:rPr>
      </w:pPr>
      <w:r w:rsidRPr="00ED0F6F">
        <w:rPr>
          <w:rFonts w:cstheme="minorHAnsi"/>
          <w:szCs w:val="24"/>
        </w:rPr>
        <w:t xml:space="preserve">According to the program exit survey, 92% percent of staff surveyed in 2014 believed the program was beneficial to </w:t>
      </w:r>
      <w:r>
        <w:rPr>
          <w:rFonts w:cstheme="minorHAnsi"/>
          <w:szCs w:val="24"/>
        </w:rPr>
        <w:t xml:space="preserve">themselves and their colleagues. </w:t>
      </w:r>
      <w:r w:rsidR="00FE0D4A">
        <w:rPr>
          <w:rFonts w:cstheme="minorHAnsi"/>
          <w:szCs w:val="24"/>
        </w:rPr>
        <w:t xml:space="preserve">This translates </w:t>
      </w:r>
      <w:r>
        <w:rPr>
          <w:rFonts w:cstheme="minorHAnsi"/>
          <w:szCs w:val="24"/>
        </w:rPr>
        <w:t>into i</w:t>
      </w:r>
      <w:r w:rsidR="007A2337" w:rsidRPr="00ED0F6F">
        <w:rPr>
          <w:rFonts w:cstheme="minorHAnsi"/>
          <w:szCs w:val="24"/>
        </w:rPr>
        <w:t>mproved productivity and job satisfaction of RACF staff who</w:t>
      </w:r>
      <w:r w:rsidR="00FE0D4A">
        <w:rPr>
          <w:rFonts w:cstheme="minorHAnsi"/>
          <w:szCs w:val="24"/>
        </w:rPr>
        <w:t xml:space="preserve"> are</w:t>
      </w:r>
      <w:r w:rsidR="007A2337" w:rsidRPr="00ED0F6F">
        <w:rPr>
          <w:rFonts w:cstheme="minorHAnsi"/>
          <w:szCs w:val="24"/>
        </w:rPr>
        <w:t xml:space="preserve"> directly involv</w:t>
      </w:r>
      <w:r w:rsidR="00FE0D4A">
        <w:rPr>
          <w:rFonts w:cstheme="minorHAnsi"/>
          <w:szCs w:val="24"/>
        </w:rPr>
        <w:t>ed</w:t>
      </w:r>
      <w:r w:rsidR="007A2337" w:rsidRPr="00ED0F6F">
        <w:rPr>
          <w:rFonts w:cstheme="minorHAnsi"/>
          <w:szCs w:val="24"/>
        </w:rPr>
        <w:t xml:space="preserve"> in tra</w:t>
      </w:r>
      <w:r w:rsidR="00BF52D8" w:rsidRPr="00ED0F6F">
        <w:rPr>
          <w:rFonts w:cstheme="minorHAnsi"/>
          <w:szCs w:val="24"/>
        </w:rPr>
        <w:t>ining and supervising students</w:t>
      </w:r>
      <w:r w:rsidR="00FE0D4A">
        <w:rPr>
          <w:rFonts w:cstheme="minorHAnsi"/>
          <w:szCs w:val="24"/>
        </w:rPr>
        <w:t xml:space="preserve"> and</w:t>
      </w:r>
      <w:r w:rsidR="00BF52D8" w:rsidRPr="00ED0F6F">
        <w:rPr>
          <w:rFonts w:cstheme="minorHAnsi"/>
          <w:szCs w:val="24"/>
        </w:rPr>
        <w:t xml:space="preserve"> higher job satisfaction le</w:t>
      </w:r>
      <w:r w:rsidR="00FE0D4A">
        <w:rPr>
          <w:rFonts w:cstheme="minorHAnsi"/>
          <w:szCs w:val="24"/>
        </w:rPr>
        <w:t>ading</w:t>
      </w:r>
      <w:r w:rsidR="00BF52D8" w:rsidRPr="00ED0F6F">
        <w:rPr>
          <w:rFonts w:cstheme="minorHAnsi"/>
          <w:szCs w:val="24"/>
        </w:rPr>
        <w:t xml:space="preserve"> to lower absenteeism and turnover. </w:t>
      </w:r>
      <w:r w:rsidR="00C75C8B" w:rsidRPr="00ED0F6F">
        <w:rPr>
          <w:rFonts w:cstheme="minorHAnsi"/>
          <w:szCs w:val="24"/>
        </w:rPr>
        <w:t xml:space="preserve">The impacts therefore were quantified in three different benefit items: </w:t>
      </w:r>
      <w:r w:rsidR="00F8141E" w:rsidRPr="00ED0F6F">
        <w:rPr>
          <w:rFonts w:cstheme="minorHAnsi"/>
          <w:szCs w:val="24"/>
        </w:rPr>
        <w:t xml:space="preserve">(i) </w:t>
      </w:r>
      <w:r w:rsidR="00C75C8B" w:rsidRPr="00ED0F6F">
        <w:rPr>
          <w:rFonts w:cstheme="minorHAnsi"/>
          <w:szCs w:val="24"/>
        </w:rPr>
        <w:t xml:space="preserve">productivity, </w:t>
      </w:r>
      <w:r w:rsidR="00F8141E" w:rsidRPr="00ED0F6F">
        <w:rPr>
          <w:rFonts w:cstheme="minorHAnsi"/>
          <w:szCs w:val="24"/>
        </w:rPr>
        <w:t xml:space="preserve">(ii) </w:t>
      </w:r>
      <w:r w:rsidR="00C75C8B" w:rsidRPr="00ED0F6F">
        <w:rPr>
          <w:rFonts w:cstheme="minorHAnsi"/>
          <w:szCs w:val="24"/>
        </w:rPr>
        <w:t xml:space="preserve">savings from lower absenteeism and </w:t>
      </w:r>
      <w:r w:rsidR="00F8141E" w:rsidRPr="00ED0F6F">
        <w:rPr>
          <w:rFonts w:cstheme="minorHAnsi"/>
          <w:szCs w:val="24"/>
        </w:rPr>
        <w:t xml:space="preserve">(iii) </w:t>
      </w:r>
      <w:r w:rsidR="00C75C8B" w:rsidRPr="00ED0F6F">
        <w:rPr>
          <w:rFonts w:cstheme="minorHAnsi"/>
          <w:szCs w:val="24"/>
        </w:rPr>
        <w:t xml:space="preserve">savings from lower turnover. These </w:t>
      </w:r>
      <w:r w:rsidR="008C7200" w:rsidRPr="00ED0F6F">
        <w:rPr>
          <w:rFonts w:cstheme="minorHAnsi"/>
          <w:szCs w:val="24"/>
        </w:rPr>
        <w:t xml:space="preserve">benefits </w:t>
      </w:r>
      <w:r w:rsidR="00C75C8B" w:rsidRPr="00ED0F6F">
        <w:rPr>
          <w:rFonts w:cstheme="minorHAnsi"/>
          <w:szCs w:val="24"/>
        </w:rPr>
        <w:t xml:space="preserve">accrued </w:t>
      </w:r>
      <w:r w:rsidR="008C7200" w:rsidRPr="00ED0F6F">
        <w:rPr>
          <w:rFonts w:cstheme="minorHAnsi"/>
          <w:szCs w:val="24"/>
        </w:rPr>
        <w:t xml:space="preserve">for the aged care organisation. </w:t>
      </w:r>
    </w:p>
    <w:p w14:paraId="68D92BCE" w14:textId="0887C256" w:rsidR="00277868" w:rsidRDefault="00924BF1" w:rsidP="00261B1F">
      <w:pPr>
        <w:spacing w:before="120" w:after="120" w:line="360" w:lineRule="auto"/>
        <w:rPr>
          <w:rFonts w:cstheme="minorHAnsi"/>
          <w:szCs w:val="24"/>
        </w:rPr>
      </w:pPr>
      <w:r>
        <w:rPr>
          <w:rFonts w:cstheme="minorHAnsi"/>
          <w:szCs w:val="24"/>
        </w:rPr>
        <w:t>(i</w:t>
      </w:r>
      <w:r w:rsidR="00F8141E">
        <w:rPr>
          <w:rFonts w:cstheme="minorHAnsi"/>
          <w:szCs w:val="24"/>
        </w:rPr>
        <w:t xml:space="preserve">) </w:t>
      </w:r>
      <w:r w:rsidR="001D6BD1">
        <w:rPr>
          <w:rFonts w:cstheme="minorHAnsi"/>
          <w:szCs w:val="24"/>
        </w:rPr>
        <w:t xml:space="preserve">According to the IPE program and the RACF administrative data, staff involved in providing training and supervision </w:t>
      </w:r>
      <w:r w:rsidR="00A97535">
        <w:rPr>
          <w:rFonts w:cstheme="minorHAnsi"/>
          <w:szCs w:val="24"/>
        </w:rPr>
        <w:t xml:space="preserve">of </w:t>
      </w:r>
      <w:r w:rsidR="001D6BD1">
        <w:rPr>
          <w:rFonts w:cstheme="minorHAnsi"/>
          <w:szCs w:val="24"/>
        </w:rPr>
        <w:t xml:space="preserve">students in the IPE placement program have an average of 5 years working </w:t>
      </w:r>
      <w:r w:rsidR="002552BA">
        <w:rPr>
          <w:rFonts w:cstheme="minorHAnsi"/>
          <w:szCs w:val="24"/>
        </w:rPr>
        <w:t xml:space="preserve">experience. According to the </w:t>
      </w:r>
      <w:r w:rsidR="00A207F9">
        <w:rPr>
          <w:rFonts w:cstheme="minorHAnsi"/>
          <w:szCs w:val="24"/>
        </w:rPr>
        <w:t>post placement</w:t>
      </w:r>
      <w:r w:rsidR="002552BA">
        <w:rPr>
          <w:rFonts w:cstheme="minorHAnsi"/>
          <w:szCs w:val="24"/>
        </w:rPr>
        <w:t xml:space="preserve"> survey, supervision and training students improved the coordination and management skill and know</w:t>
      </w:r>
      <w:r w:rsidR="00A207F9">
        <w:rPr>
          <w:rFonts w:cstheme="minorHAnsi"/>
          <w:szCs w:val="24"/>
        </w:rPr>
        <w:t xml:space="preserve">ledge by the staff involved </w:t>
      </w:r>
      <w:r w:rsidR="00A207F9" w:rsidRPr="00F44B87">
        <w:rPr>
          <w:rFonts w:cstheme="minorHAnsi"/>
          <w:szCs w:val="24"/>
        </w:rPr>
        <w:t>(</w:t>
      </w:r>
      <w:r w:rsidR="00A207F9">
        <w:rPr>
          <w:rFonts w:cstheme="minorHAnsi"/>
          <w:szCs w:val="24"/>
        </w:rPr>
        <w:t xml:space="preserve">Seaman </w:t>
      </w:r>
      <w:r w:rsidR="00A207F9" w:rsidRPr="00F44B87">
        <w:rPr>
          <w:rFonts w:cstheme="minorHAnsi"/>
          <w:szCs w:val="24"/>
        </w:rPr>
        <w:t>&amp; Williams, 2016</w:t>
      </w:r>
      <w:r w:rsidR="00A207F9">
        <w:rPr>
          <w:rFonts w:cstheme="minorHAnsi"/>
          <w:sz w:val="20"/>
          <w:szCs w:val="24"/>
        </w:rPr>
        <w:t>).</w:t>
      </w:r>
      <w:r w:rsidR="00FF1955">
        <w:rPr>
          <w:rFonts w:cstheme="minorHAnsi"/>
          <w:szCs w:val="24"/>
        </w:rPr>
        <w:t xml:space="preserve"> We assume this improvement is equivalent to an extra 2-year</w:t>
      </w:r>
      <w:r w:rsidR="00A97535">
        <w:rPr>
          <w:rFonts w:cstheme="minorHAnsi"/>
          <w:szCs w:val="24"/>
        </w:rPr>
        <w:t>s</w:t>
      </w:r>
      <w:r w:rsidR="00FF1955">
        <w:rPr>
          <w:rFonts w:cstheme="minorHAnsi"/>
          <w:szCs w:val="24"/>
        </w:rPr>
        <w:t xml:space="preserve"> experience working in the same environment without coordinating students.</w:t>
      </w:r>
      <w:r w:rsidR="00437478">
        <w:rPr>
          <w:rFonts w:cstheme="minorHAnsi"/>
          <w:szCs w:val="24"/>
        </w:rPr>
        <w:t xml:space="preserve"> Similar to the IPE impacts on students, we allowed the impacts to diminish after 5 years. </w:t>
      </w:r>
      <w:r w:rsidR="00277868">
        <w:rPr>
          <w:rFonts w:cstheme="minorHAnsi"/>
          <w:szCs w:val="24"/>
        </w:rPr>
        <w:t xml:space="preserve">Again, we extrapolated the data </w:t>
      </w:r>
      <w:r w:rsidR="00A97535">
        <w:rPr>
          <w:rFonts w:cstheme="minorHAnsi"/>
          <w:szCs w:val="24"/>
        </w:rPr>
        <w:t xml:space="preserve">using </w:t>
      </w:r>
      <w:r w:rsidR="00277868">
        <w:rPr>
          <w:rFonts w:cstheme="minorHAnsi"/>
          <w:szCs w:val="24"/>
        </w:rPr>
        <w:t xml:space="preserve">regression analyses, using three different functional forms: linear, logarithmic and polynomial order 2. The best fitted form was the polynomial order 2. The extrapolation results </w:t>
      </w:r>
      <w:r w:rsidR="00A97535">
        <w:rPr>
          <w:rFonts w:cstheme="minorHAnsi"/>
          <w:szCs w:val="24"/>
        </w:rPr>
        <w:t xml:space="preserve">are </w:t>
      </w:r>
      <w:r w:rsidR="00277868">
        <w:rPr>
          <w:rFonts w:cstheme="minorHAnsi"/>
          <w:szCs w:val="24"/>
        </w:rPr>
        <w:t xml:space="preserve">presented in </w:t>
      </w:r>
      <w:r w:rsidR="00387CF3">
        <w:rPr>
          <w:rFonts w:cstheme="minorHAnsi"/>
          <w:szCs w:val="24"/>
        </w:rPr>
        <w:fldChar w:fldCharType="begin"/>
      </w:r>
      <w:r w:rsidR="00387CF3">
        <w:rPr>
          <w:rFonts w:cstheme="minorHAnsi"/>
          <w:szCs w:val="24"/>
        </w:rPr>
        <w:instrText xml:space="preserve"> REF _Ref505001340 \h  \* MERGEFORMAT </w:instrText>
      </w:r>
      <w:r w:rsidR="00387CF3">
        <w:rPr>
          <w:rFonts w:cstheme="minorHAnsi"/>
          <w:szCs w:val="24"/>
        </w:rPr>
      </w:r>
      <w:r w:rsidR="00387CF3">
        <w:rPr>
          <w:rFonts w:cstheme="minorHAnsi"/>
          <w:szCs w:val="24"/>
        </w:rPr>
        <w:fldChar w:fldCharType="separate"/>
      </w:r>
      <w:r w:rsidR="00387CF3" w:rsidRPr="00387CF3">
        <w:rPr>
          <w:rFonts w:cstheme="minorHAnsi"/>
          <w:szCs w:val="24"/>
        </w:rPr>
        <w:t>Figure 3</w:t>
      </w:r>
      <w:r w:rsidR="00387CF3">
        <w:rPr>
          <w:rFonts w:cstheme="minorHAnsi"/>
          <w:szCs w:val="24"/>
        </w:rPr>
        <w:fldChar w:fldCharType="end"/>
      </w:r>
      <w:r w:rsidR="00387CF3">
        <w:rPr>
          <w:rFonts w:cstheme="minorHAnsi"/>
          <w:szCs w:val="24"/>
        </w:rPr>
        <w:t xml:space="preserve"> and </w:t>
      </w:r>
      <w:r w:rsidR="00387CF3">
        <w:rPr>
          <w:rFonts w:cstheme="minorHAnsi"/>
          <w:szCs w:val="24"/>
        </w:rPr>
        <w:fldChar w:fldCharType="begin"/>
      </w:r>
      <w:r w:rsidR="00387CF3">
        <w:rPr>
          <w:rFonts w:cstheme="minorHAnsi"/>
          <w:szCs w:val="24"/>
        </w:rPr>
        <w:instrText xml:space="preserve"> REF _Ref505001333 \h  \* MERGEFORMAT </w:instrText>
      </w:r>
      <w:r w:rsidR="00387CF3">
        <w:rPr>
          <w:rFonts w:cstheme="minorHAnsi"/>
          <w:szCs w:val="24"/>
        </w:rPr>
      </w:r>
      <w:r w:rsidR="00387CF3">
        <w:rPr>
          <w:rFonts w:cstheme="minorHAnsi"/>
          <w:szCs w:val="24"/>
        </w:rPr>
        <w:fldChar w:fldCharType="separate"/>
      </w:r>
      <w:r w:rsidR="00387CF3" w:rsidRPr="00387CF3">
        <w:rPr>
          <w:rFonts w:cstheme="minorHAnsi"/>
          <w:szCs w:val="24"/>
        </w:rPr>
        <w:t>Table 3</w:t>
      </w:r>
      <w:r w:rsidR="00387CF3">
        <w:rPr>
          <w:rFonts w:cstheme="minorHAnsi"/>
          <w:szCs w:val="24"/>
        </w:rPr>
        <w:fldChar w:fldCharType="end"/>
      </w:r>
      <w:r w:rsidR="00277868">
        <w:rPr>
          <w:rFonts w:cstheme="minorHAnsi"/>
          <w:szCs w:val="24"/>
        </w:rPr>
        <w:t>.</w:t>
      </w:r>
      <w:r w:rsidR="00C249D1">
        <w:rPr>
          <w:rFonts w:cstheme="minorHAnsi"/>
          <w:szCs w:val="24"/>
        </w:rPr>
        <w:t xml:space="preserve"> These values were used in the Efficiency and Referent-Group analyses. </w:t>
      </w:r>
      <w:r w:rsidR="00B25F57">
        <w:rPr>
          <w:rFonts w:cstheme="minorHAnsi"/>
          <w:szCs w:val="24"/>
        </w:rPr>
        <w:t xml:space="preserve">Note that the market price (used in the Project and Private Analyses) continue to follow the values presented in </w:t>
      </w:r>
      <w:r w:rsidR="00387CF3">
        <w:rPr>
          <w:rFonts w:cstheme="minorHAnsi"/>
          <w:szCs w:val="24"/>
        </w:rPr>
        <w:fldChar w:fldCharType="begin"/>
      </w:r>
      <w:r w:rsidR="00387CF3">
        <w:rPr>
          <w:rFonts w:cstheme="minorHAnsi"/>
          <w:szCs w:val="24"/>
        </w:rPr>
        <w:instrText xml:space="preserve"> REF _Ref505001241 \h  \* MERGEFORMAT </w:instrText>
      </w:r>
      <w:r w:rsidR="00387CF3">
        <w:rPr>
          <w:rFonts w:cstheme="minorHAnsi"/>
          <w:szCs w:val="24"/>
        </w:rPr>
      </w:r>
      <w:r w:rsidR="00387CF3">
        <w:rPr>
          <w:rFonts w:cstheme="minorHAnsi"/>
          <w:szCs w:val="24"/>
        </w:rPr>
        <w:fldChar w:fldCharType="separate"/>
      </w:r>
      <w:r w:rsidR="00387CF3" w:rsidRPr="00387CF3">
        <w:rPr>
          <w:rFonts w:cstheme="minorHAnsi"/>
          <w:szCs w:val="24"/>
        </w:rPr>
        <w:t>Table 1</w:t>
      </w:r>
      <w:r w:rsidR="00387CF3">
        <w:rPr>
          <w:rFonts w:cstheme="minorHAnsi"/>
          <w:szCs w:val="24"/>
        </w:rPr>
        <w:fldChar w:fldCharType="end"/>
      </w:r>
      <w:r w:rsidR="00387CF3">
        <w:rPr>
          <w:rFonts w:cstheme="minorHAnsi"/>
          <w:szCs w:val="24"/>
        </w:rPr>
        <w:t xml:space="preserve"> </w:t>
      </w:r>
      <w:r w:rsidR="006F077E">
        <w:rPr>
          <w:rFonts w:cstheme="minorHAnsi"/>
          <w:szCs w:val="24"/>
        </w:rPr>
        <w:t xml:space="preserve">(above) </w:t>
      </w:r>
      <w:r w:rsidR="00B25F57">
        <w:rPr>
          <w:rFonts w:cstheme="minorHAnsi"/>
          <w:szCs w:val="24"/>
        </w:rPr>
        <w:t xml:space="preserve">for the corresponding years of </w:t>
      </w:r>
      <w:r w:rsidR="0025543F">
        <w:rPr>
          <w:rFonts w:cstheme="minorHAnsi"/>
          <w:szCs w:val="24"/>
        </w:rPr>
        <w:t xml:space="preserve">work </w:t>
      </w:r>
      <w:r w:rsidR="00B25F57">
        <w:rPr>
          <w:rFonts w:cstheme="minorHAnsi"/>
          <w:szCs w:val="24"/>
        </w:rPr>
        <w:t>experience</w:t>
      </w:r>
      <w:r w:rsidR="00367CB6">
        <w:rPr>
          <w:rFonts w:cstheme="minorHAnsi"/>
          <w:szCs w:val="24"/>
        </w:rPr>
        <w:t xml:space="preserve"> </w:t>
      </w:r>
      <w:r w:rsidR="00CA775A">
        <w:rPr>
          <w:rFonts w:cstheme="minorHAnsi"/>
          <w:szCs w:val="24"/>
        </w:rPr>
        <w:t xml:space="preserve">in </w:t>
      </w:r>
      <w:r w:rsidR="00A97535">
        <w:rPr>
          <w:rFonts w:cstheme="minorHAnsi"/>
          <w:szCs w:val="24"/>
        </w:rPr>
        <w:t xml:space="preserve">the </w:t>
      </w:r>
      <w:r w:rsidR="00CA775A">
        <w:rPr>
          <w:rFonts w:cstheme="minorHAnsi"/>
          <w:szCs w:val="24"/>
        </w:rPr>
        <w:t xml:space="preserve">aged care sector. </w:t>
      </w:r>
      <w:r w:rsidR="00367CB6">
        <w:rPr>
          <w:rFonts w:cstheme="minorHAnsi"/>
          <w:szCs w:val="24"/>
        </w:rPr>
        <w:t xml:space="preserve"> </w:t>
      </w:r>
    </w:p>
    <w:tbl>
      <w:tblPr>
        <w:tblStyle w:val="TableGrid"/>
        <w:tblW w:w="8926" w:type="dxa"/>
        <w:tblLook w:val="04A0" w:firstRow="1" w:lastRow="0" w:firstColumn="1" w:lastColumn="0" w:noHBand="0" w:noVBand="1"/>
      </w:tblPr>
      <w:tblGrid>
        <w:gridCol w:w="5667"/>
        <w:gridCol w:w="707"/>
        <w:gridCol w:w="1276"/>
        <w:gridCol w:w="1276"/>
      </w:tblGrid>
      <w:tr w:rsidR="00277868" w:rsidRPr="00387CF3" w14:paraId="205A13C1" w14:textId="77777777" w:rsidTr="00843949">
        <w:tc>
          <w:tcPr>
            <w:tcW w:w="5667" w:type="dxa"/>
            <w:tcMar>
              <w:left w:w="28" w:type="dxa"/>
              <w:right w:w="28" w:type="dxa"/>
            </w:tcMar>
          </w:tcPr>
          <w:p w14:paraId="4B878C9A" w14:textId="79B62265" w:rsidR="00277868" w:rsidRPr="00387CF3" w:rsidRDefault="00387CF3" w:rsidP="002A5195">
            <w:pPr>
              <w:pStyle w:val="Caption"/>
              <w:spacing w:before="60" w:after="60"/>
              <w:jc w:val="left"/>
              <w:rPr>
                <w:b/>
              </w:rPr>
            </w:pPr>
            <w:bookmarkStart w:id="6" w:name="_Ref505001340"/>
            <w:r w:rsidRPr="000D3506">
              <w:rPr>
                <w:b/>
              </w:rPr>
              <w:t xml:space="preserve">Figure </w:t>
            </w:r>
            <w:r w:rsidRPr="000D3506">
              <w:rPr>
                <w:b/>
              </w:rPr>
              <w:fldChar w:fldCharType="begin"/>
            </w:r>
            <w:r w:rsidRPr="000D3506">
              <w:rPr>
                <w:b/>
              </w:rPr>
              <w:instrText xml:space="preserve"> SEQ Figure \* ARABIC </w:instrText>
            </w:r>
            <w:r w:rsidRPr="000D3506">
              <w:rPr>
                <w:b/>
              </w:rPr>
              <w:fldChar w:fldCharType="separate"/>
            </w:r>
            <w:r>
              <w:rPr>
                <w:b/>
                <w:noProof/>
              </w:rPr>
              <w:t>3</w:t>
            </w:r>
            <w:r w:rsidRPr="000D3506">
              <w:rPr>
                <w:b/>
              </w:rPr>
              <w:fldChar w:fldCharType="end"/>
            </w:r>
            <w:bookmarkEnd w:id="6"/>
            <w:r w:rsidR="00277868" w:rsidRPr="00387CF3">
              <w:rPr>
                <w:b/>
              </w:rPr>
              <w:t>: Fitting the predictive function for shadow prices of RACF staff involved in student placement (salary – years of experience)</w:t>
            </w:r>
          </w:p>
        </w:tc>
        <w:tc>
          <w:tcPr>
            <w:tcW w:w="3259" w:type="dxa"/>
            <w:gridSpan w:val="3"/>
            <w:tcMar>
              <w:left w:w="28" w:type="dxa"/>
              <w:right w:w="28" w:type="dxa"/>
            </w:tcMar>
          </w:tcPr>
          <w:p w14:paraId="2A29CAE9" w14:textId="402F3850" w:rsidR="00277868" w:rsidRPr="00387CF3" w:rsidRDefault="00277868" w:rsidP="002A5195">
            <w:pPr>
              <w:pStyle w:val="Caption"/>
              <w:spacing w:before="60" w:after="60"/>
              <w:jc w:val="left"/>
              <w:rPr>
                <w:b/>
              </w:rPr>
            </w:pPr>
            <w:bookmarkStart w:id="7" w:name="_Ref505001333"/>
            <w:r w:rsidRPr="00387CF3">
              <w:rPr>
                <w:b/>
              </w:rPr>
              <w:t xml:space="preserve">Table </w:t>
            </w:r>
            <w:r w:rsidR="00387CF3" w:rsidRPr="000D3506">
              <w:rPr>
                <w:b/>
              </w:rPr>
              <w:fldChar w:fldCharType="begin"/>
            </w:r>
            <w:r w:rsidR="00387CF3" w:rsidRPr="000D3506">
              <w:rPr>
                <w:b/>
              </w:rPr>
              <w:instrText xml:space="preserve"> SEQ Table \* ARABIC </w:instrText>
            </w:r>
            <w:r w:rsidR="00387CF3" w:rsidRPr="000D3506">
              <w:rPr>
                <w:b/>
              </w:rPr>
              <w:fldChar w:fldCharType="separate"/>
            </w:r>
            <w:r w:rsidR="00387CF3">
              <w:rPr>
                <w:b/>
                <w:noProof/>
              </w:rPr>
              <w:t>3</w:t>
            </w:r>
            <w:r w:rsidR="00387CF3" w:rsidRPr="000D3506">
              <w:rPr>
                <w:b/>
              </w:rPr>
              <w:fldChar w:fldCharType="end"/>
            </w:r>
            <w:bookmarkEnd w:id="7"/>
            <w:r w:rsidR="00387CF3" w:rsidRPr="000D3506">
              <w:rPr>
                <w:b/>
              </w:rPr>
              <w:t xml:space="preserve">: </w:t>
            </w:r>
            <w:r w:rsidRPr="00387CF3">
              <w:rPr>
                <w:b/>
              </w:rPr>
              <w:t xml:space="preserve">Predicted values for shadow prices of RACF staff </w:t>
            </w:r>
          </w:p>
        </w:tc>
      </w:tr>
      <w:tr w:rsidR="00D330DB" w14:paraId="757F4F30" w14:textId="77777777" w:rsidTr="00843949">
        <w:trPr>
          <w:trHeight w:val="80"/>
        </w:trPr>
        <w:tc>
          <w:tcPr>
            <w:tcW w:w="5667" w:type="dxa"/>
            <w:vMerge w:val="restart"/>
            <w:tcMar>
              <w:left w:w="28" w:type="dxa"/>
              <w:right w:w="28" w:type="dxa"/>
            </w:tcMar>
          </w:tcPr>
          <w:p w14:paraId="3AB4950D" w14:textId="06CACDD1" w:rsidR="00277868" w:rsidRDefault="00BD068B" w:rsidP="00277868">
            <w:pPr>
              <w:spacing w:before="60" w:after="60"/>
              <w:rPr>
                <w:rFonts w:cstheme="minorHAnsi"/>
                <w:szCs w:val="24"/>
              </w:rPr>
            </w:pPr>
            <w:r>
              <w:rPr>
                <w:rFonts w:cstheme="minorHAnsi"/>
                <w:noProof/>
                <w:szCs w:val="24"/>
                <w:lang w:val="en-IN" w:eastAsia="en-IN"/>
              </w:rPr>
              <w:drawing>
                <wp:inline distT="0" distB="0" distL="0" distR="0" wp14:anchorId="3F79FFB1" wp14:editId="50DCA985">
                  <wp:extent cx="3562350" cy="1919823"/>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5931" cy="1932531"/>
                          </a:xfrm>
                          <a:prstGeom prst="rect">
                            <a:avLst/>
                          </a:prstGeom>
                          <a:noFill/>
                        </pic:spPr>
                      </pic:pic>
                    </a:graphicData>
                  </a:graphic>
                </wp:inline>
              </w:drawing>
            </w:r>
          </w:p>
        </w:tc>
        <w:tc>
          <w:tcPr>
            <w:tcW w:w="707" w:type="dxa"/>
            <w:tcMar>
              <w:left w:w="28" w:type="dxa"/>
              <w:right w:w="28" w:type="dxa"/>
            </w:tcMar>
            <w:vAlign w:val="bottom"/>
          </w:tcPr>
          <w:p w14:paraId="3CC6E791" w14:textId="77777777" w:rsidR="00277868" w:rsidRPr="00441628" w:rsidRDefault="00277868" w:rsidP="008B22CF">
            <w:pPr>
              <w:spacing w:before="60" w:after="60"/>
              <w:jc w:val="center"/>
              <w:rPr>
                <w:rFonts w:cstheme="minorHAnsi"/>
                <w:b/>
                <w:sz w:val="18"/>
                <w:szCs w:val="18"/>
              </w:rPr>
            </w:pPr>
            <w:r w:rsidRPr="00441628">
              <w:rPr>
                <w:rFonts w:cstheme="minorHAnsi"/>
                <w:b/>
                <w:sz w:val="18"/>
                <w:szCs w:val="18"/>
              </w:rPr>
              <w:t>Years</w:t>
            </w:r>
          </w:p>
        </w:tc>
        <w:tc>
          <w:tcPr>
            <w:tcW w:w="1276" w:type="dxa"/>
            <w:vAlign w:val="bottom"/>
          </w:tcPr>
          <w:p w14:paraId="35AE8955" w14:textId="77777777" w:rsidR="00277868" w:rsidRPr="00441628" w:rsidRDefault="00277868" w:rsidP="00277868">
            <w:pPr>
              <w:spacing w:before="60" w:after="60"/>
              <w:jc w:val="center"/>
              <w:rPr>
                <w:rFonts w:cstheme="minorHAnsi"/>
                <w:b/>
                <w:sz w:val="18"/>
                <w:szCs w:val="18"/>
              </w:rPr>
            </w:pPr>
            <w:r w:rsidRPr="00441628">
              <w:rPr>
                <w:rFonts w:cstheme="minorHAnsi"/>
                <w:b/>
                <w:bCs/>
                <w:color w:val="000000"/>
                <w:sz w:val="18"/>
                <w:szCs w:val="18"/>
              </w:rPr>
              <w:t>Observed</w:t>
            </w:r>
          </w:p>
        </w:tc>
        <w:tc>
          <w:tcPr>
            <w:tcW w:w="1276" w:type="dxa"/>
            <w:vAlign w:val="bottom"/>
          </w:tcPr>
          <w:p w14:paraId="03D74BB0" w14:textId="77777777" w:rsidR="00277868" w:rsidRPr="00441628" w:rsidRDefault="00277868" w:rsidP="00277868">
            <w:pPr>
              <w:spacing w:before="60" w:after="60"/>
              <w:jc w:val="center"/>
              <w:rPr>
                <w:rFonts w:cstheme="minorHAnsi"/>
                <w:b/>
                <w:sz w:val="18"/>
                <w:szCs w:val="18"/>
              </w:rPr>
            </w:pPr>
            <w:r w:rsidRPr="00441628">
              <w:rPr>
                <w:rFonts w:cstheme="minorHAnsi"/>
                <w:b/>
                <w:bCs/>
                <w:color w:val="000000"/>
                <w:sz w:val="18"/>
                <w:szCs w:val="18"/>
              </w:rPr>
              <w:t>Predicted</w:t>
            </w:r>
          </w:p>
        </w:tc>
      </w:tr>
      <w:tr w:rsidR="00D330DB" w14:paraId="6CEC2C70" w14:textId="77777777" w:rsidTr="00843949">
        <w:trPr>
          <w:trHeight w:val="67"/>
        </w:trPr>
        <w:tc>
          <w:tcPr>
            <w:tcW w:w="5667" w:type="dxa"/>
            <w:vMerge/>
            <w:tcMar>
              <w:left w:w="28" w:type="dxa"/>
              <w:right w:w="28" w:type="dxa"/>
            </w:tcMar>
          </w:tcPr>
          <w:p w14:paraId="300DE3BE" w14:textId="77777777" w:rsidR="00277868" w:rsidRDefault="00277868" w:rsidP="00277868">
            <w:pPr>
              <w:spacing w:before="60" w:after="60"/>
              <w:rPr>
                <w:rFonts w:cstheme="minorHAnsi"/>
                <w:noProof/>
                <w:szCs w:val="24"/>
                <w:lang w:eastAsia="en-AU"/>
              </w:rPr>
            </w:pPr>
          </w:p>
        </w:tc>
        <w:tc>
          <w:tcPr>
            <w:tcW w:w="707" w:type="dxa"/>
            <w:tcMar>
              <w:left w:w="28" w:type="dxa"/>
              <w:right w:w="28" w:type="dxa"/>
            </w:tcMar>
          </w:tcPr>
          <w:p w14:paraId="1FE6BAE1" w14:textId="39CBD515" w:rsidR="00277868" w:rsidRPr="00441628" w:rsidRDefault="00277868" w:rsidP="008B22CF">
            <w:pPr>
              <w:jc w:val="center"/>
              <w:rPr>
                <w:rFonts w:cstheme="minorHAnsi"/>
                <w:sz w:val="18"/>
                <w:szCs w:val="18"/>
              </w:rPr>
            </w:pPr>
            <w:r w:rsidRPr="00277868">
              <w:rPr>
                <w:rFonts w:cstheme="minorHAnsi"/>
                <w:sz w:val="18"/>
                <w:szCs w:val="18"/>
              </w:rPr>
              <w:t>5</w:t>
            </w:r>
          </w:p>
        </w:tc>
        <w:tc>
          <w:tcPr>
            <w:tcW w:w="1276" w:type="dxa"/>
          </w:tcPr>
          <w:p w14:paraId="719C0ED2" w14:textId="0F06870C" w:rsidR="00277868" w:rsidRPr="00277868" w:rsidRDefault="00277868" w:rsidP="00277868">
            <w:pPr>
              <w:jc w:val="center"/>
              <w:rPr>
                <w:rFonts w:cstheme="minorHAnsi"/>
                <w:sz w:val="18"/>
                <w:szCs w:val="18"/>
              </w:rPr>
            </w:pPr>
            <w:r w:rsidRPr="00277868">
              <w:rPr>
                <w:rFonts w:cstheme="minorHAnsi"/>
                <w:sz w:val="18"/>
                <w:szCs w:val="18"/>
              </w:rPr>
              <w:t xml:space="preserve"> $</w:t>
            </w:r>
            <w:r>
              <w:rPr>
                <w:rFonts w:cstheme="minorHAnsi"/>
                <w:sz w:val="18"/>
                <w:szCs w:val="18"/>
              </w:rPr>
              <w:t xml:space="preserve"> </w:t>
            </w:r>
            <w:r w:rsidRPr="00277868">
              <w:rPr>
                <w:rFonts w:cstheme="minorHAnsi"/>
                <w:sz w:val="18"/>
                <w:szCs w:val="18"/>
              </w:rPr>
              <w:t xml:space="preserve">43,141 </w:t>
            </w:r>
          </w:p>
        </w:tc>
        <w:tc>
          <w:tcPr>
            <w:tcW w:w="1276" w:type="dxa"/>
          </w:tcPr>
          <w:p w14:paraId="0AF17A44" w14:textId="6807D1BF" w:rsidR="00277868" w:rsidRPr="00277868" w:rsidRDefault="00277868" w:rsidP="00277868">
            <w:pPr>
              <w:jc w:val="center"/>
              <w:rPr>
                <w:rFonts w:cstheme="minorHAnsi"/>
                <w:sz w:val="18"/>
                <w:szCs w:val="18"/>
              </w:rPr>
            </w:pPr>
            <w:r w:rsidRPr="00277868">
              <w:rPr>
                <w:rFonts w:cstheme="minorHAnsi"/>
                <w:sz w:val="18"/>
                <w:szCs w:val="18"/>
              </w:rPr>
              <w:t xml:space="preserve"> $</w:t>
            </w:r>
            <w:r>
              <w:rPr>
                <w:rFonts w:cstheme="minorHAnsi"/>
                <w:sz w:val="18"/>
                <w:szCs w:val="18"/>
              </w:rPr>
              <w:t xml:space="preserve"> </w:t>
            </w:r>
            <w:r w:rsidRPr="00277868">
              <w:rPr>
                <w:rFonts w:cstheme="minorHAnsi"/>
                <w:sz w:val="18"/>
                <w:szCs w:val="18"/>
              </w:rPr>
              <w:t xml:space="preserve">42,254 </w:t>
            </w:r>
          </w:p>
        </w:tc>
      </w:tr>
      <w:tr w:rsidR="00D330DB" w14:paraId="6929EBC0" w14:textId="77777777" w:rsidTr="00843949">
        <w:trPr>
          <w:trHeight w:val="67"/>
        </w:trPr>
        <w:tc>
          <w:tcPr>
            <w:tcW w:w="5667" w:type="dxa"/>
            <w:vMerge/>
            <w:tcMar>
              <w:left w:w="28" w:type="dxa"/>
              <w:right w:w="28" w:type="dxa"/>
            </w:tcMar>
          </w:tcPr>
          <w:p w14:paraId="3B71A532" w14:textId="77777777" w:rsidR="00277868" w:rsidRDefault="00277868" w:rsidP="00277868">
            <w:pPr>
              <w:spacing w:before="60" w:after="60"/>
              <w:rPr>
                <w:rFonts w:cstheme="minorHAnsi"/>
                <w:noProof/>
                <w:szCs w:val="24"/>
                <w:lang w:eastAsia="en-AU"/>
              </w:rPr>
            </w:pPr>
          </w:p>
        </w:tc>
        <w:tc>
          <w:tcPr>
            <w:tcW w:w="707" w:type="dxa"/>
            <w:tcMar>
              <w:left w:w="28" w:type="dxa"/>
              <w:right w:w="28" w:type="dxa"/>
            </w:tcMar>
          </w:tcPr>
          <w:p w14:paraId="11DB4735" w14:textId="1BC2D2E5" w:rsidR="00277868" w:rsidRPr="00441628" w:rsidRDefault="00277868" w:rsidP="008B22CF">
            <w:pPr>
              <w:jc w:val="center"/>
              <w:rPr>
                <w:rFonts w:cstheme="minorHAnsi"/>
                <w:sz w:val="18"/>
                <w:szCs w:val="18"/>
              </w:rPr>
            </w:pPr>
            <w:r w:rsidRPr="00277868">
              <w:rPr>
                <w:rFonts w:cstheme="minorHAnsi"/>
                <w:sz w:val="18"/>
                <w:szCs w:val="18"/>
              </w:rPr>
              <w:t>6</w:t>
            </w:r>
          </w:p>
        </w:tc>
        <w:tc>
          <w:tcPr>
            <w:tcW w:w="1276" w:type="dxa"/>
          </w:tcPr>
          <w:p w14:paraId="24478024" w14:textId="77777777" w:rsidR="00277868" w:rsidRPr="00277868" w:rsidRDefault="00277868" w:rsidP="00277868">
            <w:pPr>
              <w:jc w:val="center"/>
              <w:rPr>
                <w:rFonts w:cstheme="minorHAnsi"/>
                <w:sz w:val="18"/>
                <w:szCs w:val="18"/>
              </w:rPr>
            </w:pPr>
          </w:p>
        </w:tc>
        <w:tc>
          <w:tcPr>
            <w:tcW w:w="1276" w:type="dxa"/>
          </w:tcPr>
          <w:p w14:paraId="660BAE48" w14:textId="0FF16810" w:rsidR="00277868" w:rsidRPr="00277868" w:rsidRDefault="00277868" w:rsidP="00277868">
            <w:pPr>
              <w:jc w:val="center"/>
              <w:rPr>
                <w:rFonts w:cstheme="minorHAnsi"/>
                <w:sz w:val="18"/>
                <w:szCs w:val="18"/>
              </w:rPr>
            </w:pPr>
            <w:r w:rsidRPr="00277868">
              <w:rPr>
                <w:rFonts w:cstheme="minorHAnsi"/>
                <w:sz w:val="18"/>
                <w:szCs w:val="18"/>
              </w:rPr>
              <w:t xml:space="preserve"> $</w:t>
            </w:r>
            <w:r>
              <w:rPr>
                <w:rFonts w:cstheme="minorHAnsi"/>
                <w:sz w:val="18"/>
                <w:szCs w:val="18"/>
              </w:rPr>
              <w:t xml:space="preserve"> </w:t>
            </w:r>
            <w:r w:rsidRPr="00277868">
              <w:rPr>
                <w:rFonts w:cstheme="minorHAnsi"/>
                <w:sz w:val="18"/>
                <w:szCs w:val="18"/>
              </w:rPr>
              <w:t xml:space="preserve">42,720 </w:t>
            </w:r>
          </w:p>
        </w:tc>
      </w:tr>
      <w:tr w:rsidR="00D330DB" w14:paraId="662FFAE7" w14:textId="77777777" w:rsidTr="00843949">
        <w:trPr>
          <w:trHeight w:val="67"/>
        </w:trPr>
        <w:tc>
          <w:tcPr>
            <w:tcW w:w="5667" w:type="dxa"/>
            <w:vMerge/>
            <w:tcMar>
              <w:left w:w="28" w:type="dxa"/>
              <w:right w:w="28" w:type="dxa"/>
            </w:tcMar>
          </w:tcPr>
          <w:p w14:paraId="08461EA9" w14:textId="77777777" w:rsidR="00277868" w:rsidRDefault="00277868" w:rsidP="00277868">
            <w:pPr>
              <w:spacing w:before="60" w:after="60"/>
              <w:rPr>
                <w:rFonts w:cstheme="minorHAnsi"/>
                <w:noProof/>
                <w:szCs w:val="24"/>
                <w:lang w:eastAsia="en-AU"/>
              </w:rPr>
            </w:pPr>
          </w:p>
        </w:tc>
        <w:tc>
          <w:tcPr>
            <w:tcW w:w="707" w:type="dxa"/>
            <w:tcMar>
              <w:left w:w="28" w:type="dxa"/>
              <w:right w:w="28" w:type="dxa"/>
            </w:tcMar>
          </w:tcPr>
          <w:p w14:paraId="0513012E" w14:textId="2DD99A95" w:rsidR="00277868" w:rsidRPr="00441628" w:rsidRDefault="00277868" w:rsidP="008B22CF">
            <w:pPr>
              <w:jc w:val="center"/>
              <w:rPr>
                <w:rFonts w:cstheme="minorHAnsi"/>
                <w:sz w:val="18"/>
                <w:szCs w:val="18"/>
              </w:rPr>
            </w:pPr>
            <w:r w:rsidRPr="00277868">
              <w:rPr>
                <w:rFonts w:cstheme="minorHAnsi"/>
                <w:sz w:val="18"/>
                <w:szCs w:val="18"/>
              </w:rPr>
              <w:t>7</w:t>
            </w:r>
          </w:p>
        </w:tc>
        <w:tc>
          <w:tcPr>
            <w:tcW w:w="1276" w:type="dxa"/>
          </w:tcPr>
          <w:p w14:paraId="4520F5A3" w14:textId="77777777" w:rsidR="00277868" w:rsidRPr="00277868" w:rsidRDefault="00277868" w:rsidP="00277868">
            <w:pPr>
              <w:jc w:val="center"/>
              <w:rPr>
                <w:rFonts w:cstheme="minorHAnsi"/>
                <w:sz w:val="18"/>
                <w:szCs w:val="18"/>
              </w:rPr>
            </w:pPr>
          </w:p>
        </w:tc>
        <w:tc>
          <w:tcPr>
            <w:tcW w:w="1276" w:type="dxa"/>
          </w:tcPr>
          <w:p w14:paraId="1C7C4356" w14:textId="504C0890" w:rsidR="00277868" w:rsidRPr="00277868" w:rsidRDefault="00277868" w:rsidP="00277868">
            <w:pPr>
              <w:jc w:val="center"/>
              <w:rPr>
                <w:rFonts w:cstheme="minorHAnsi"/>
                <w:sz w:val="18"/>
                <w:szCs w:val="18"/>
              </w:rPr>
            </w:pPr>
            <w:r w:rsidRPr="00277868">
              <w:rPr>
                <w:rFonts w:cstheme="minorHAnsi"/>
                <w:sz w:val="18"/>
                <w:szCs w:val="18"/>
              </w:rPr>
              <w:t xml:space="preserve"> $</w:t>
            </w:r>
            <w:r>
              <w:rPr>
                <w:rFonts w:cstheme="minorHAnsi"/>
                <w:sz w:val="18"/>
                <w:szCs w:val="18"/>
              </w:rPr>
              <w:t xml:space="preserve"> </w:t>
            </w:r>
            <w:r w:rsidRPr="00277868">
              <w:rPr>
                <w:rFonts w:cstheme="minorHAnsi"/>
                <w:sz w:val="18"/>
                <w:szCs w:val="18"/>
              </w:rPr>
              <w:t xml:space="preserve">43,141 </w:t>
            </w:r>
          </w:p>
        </w:tc>
      </w:tr>
      <w:tr w:rsidR="00D330DB" w14:paraId="3BAC27E2" w14:textId="77777777" w:rsidTr="00843949">
        <w:trPr>
          <w:trHeight w:val="67"/>
        </w:trPr>
        <w:tc>
          <w:tcPr>
            <w:tcW w:w="5667" w:type="dxa"/>
            <w:vMerge/>
            <w:tcMar>
              <w:left w:w="28" w:type="dxa"/>
              <w:right w:w="28" w:type="dxa"/>
            </w:tcMar>
          </w:tcPr>
          <w:p w14:paraId="59B966C1" w14:textId="77777777" w:rsidR="00277868" w:rsidRDefault="00277868" w:rsidP="00277868">
            <w:pPr>
              <w:spacing w:before="60" w:after="60"/>
              <w:rPr>
                <w:rFonts w:cstheme="minorHAnsi"/>
                <w:noProof/>
                <w:szCs w:val="24"/>
                <w:lang w:eastAsia="en-AU"/>
              </w:rPr>
            </w:pPr>
          </w:p>
        </w:tc>
        <w:tc>
          <w:tcPr>
            <w:tcW w:w="707" w:type="dxa"/>
            <w:tcMar>
              <w:left w:w="28" w:type="dxa"/>
              <w:right w:w="28" w:type="dxa"/>
            </w:tcMar>
          </w:tcPr>
          <w:p w14:paraId="38A7D71A" w14:textId="4B0FBF0E" w:rsidR="00277868" w:rsidRPr="00441628" w:rsidRDefault="00277868" w:rsidP="008B22CF">
            <w:pPr>
              <w:jc w:val="center"/>
              <w:rPr>
                <w:rFonts w:cstheme="minorHAnsi"/>
                <w:sz w:val="18"/>
                <w:szCs w:val="18"/>
              </w:rPr>
            </w:pPr>
            <w:r w:rsidRPr="00277868">
              <w:rPr>
                <w:rFonts w:cstheme="minorHAnsi"/>
                <w:sz w:val="18"/>
                <w:szCs w:val="18"/>
              </w:rPr>
              <w:t>8</w:t>
            </w:r>
          </w:p>
        </w:tc>
        <w:tc>
          <w:tcPr>
            <w:tcW w:w="1276" w:type="dxa"/>
          </w:tcPr>
          <w:p w14:paraId="19F3C3E2" w14:textId="77777777" w:rsidR="00277868" w:rsidRPr="00277868" w:rsidRDefault="00277868" w:rsidP="00277868">
            <w:pPr>
              <w:jc w:val="center"/>
              <w:rPr>
                <w:rFonts w:cstheme="minorHAnsi"/>
                <w:sz w:val="18"/>
                <w:szCs w:val="18"/>
              </w:rPr>
            </w:pPr>
          </w:p>
        </w:tc>
        <w:tc>
          <w:tcPr>
            <w:tcW w:w="1276" w:type="dxa"/>
          </w:tcPr>
          <w:p w14:paraId="37AE7ADC" w14:textId="5969F0E9" w:rsidR="00277868" w:rsidRPr="00277868" w:rsidRDefault="00277868" w:rsidP="00277868">
            <w:pPr>
              <w:jc w:val="center"/>
              <w:rPr>
                <w:rFonts w:cstheme="minorHAnsi"/>
                <w:sz w:val="18"/>
                <w:szCs w:val="18"/>
              </w:rPr>
            </w:pPr>
            <w:r w:rsidRPr="00277868">
              <w:rPr>
                <w:rFonts w:cstheme="minorHAnsi"/>
                <w:sz w:val="18"/>
                <w:szCs w:val="18"/>
              </w:rPr>
              <w:t xml:space="preserve"> $</w:t>
            </w:r>
            <w:r>
              <w:rPr>
                <w:rFonts w:cstheme="minorHAnsi"/>
                <w:sz w:val="18"/>
                <w:szCs w:val="18"/>
              </w:rPr>
              <w:t xml:space="preserve"> </w:t>
            </w:r>
            <w:r w:rsidRPr="00277868">
              <w:rPr>
                <w:rFonts w:cstheme="minorHAnsi"/>
                <w:sz w:val="18"/>
                <w:szCs w:val="18"/>
              </w:rPr>
              <w:t xml:space="preserve">43,517 </w:t>
            </w:r>
          </w:p>
        </w:tc>
      </w:tr>
      <w:tr w:rsidR="00D330DB" w14:paraId="65818441" w14:textId="77777777" w:rsidTr="00843949">
        <w:trPr>
          <w:trHeight w:val="67"/>
        </w:trPr>
        <w:tc>
          <w:tcPr>
            <w:tcW w:w="5667" w:type="dxa"/>
            <w:vMerge/>
            <w:tcMar>
              <w:left w:w="28" w:type="dxa"/>
              <w:right w:w="28" w:type="dxa"/>
            </w:tcMar>
          </w:tcPr>
          <w:p w14:paraId="5682DA66" w14:textId="77777777" w:rsidR="00277868" w:rsidRDefault="00277868" w:rsidP="00277868">
            <w:pPr>
              <w:spacing w:before="60" w:after="60"/>
              <w:rPr>
                <w:rFonts w:cstheme="minorHAnsi"/>
                <w:noProof/>
                <w:szCs w:val="24"/>
                <w:lang w:eastAsia="en-AU"/>
              </w:rPr>
            </w:pPr>
          </w:p>
        </w:tc>
        <w:tc>
          <w:tcPr>
            <w:tcW w:w="707" w:type="dxa"/>
            <w:tcMar>
              <w:left w:w="28" w:type="dxa"/>
              <w:right w:w="28" w:type="dxa"/>
            </w:tcMar>
          </w:tcPr>
          <w:p w14:paraId="750157F6" w14:textId="1039C385" w:rsidR="00277868" w:rsidRPr="00441628" w:rsidRDefault="00277868" w:rsidP="008B22CF">
            <w:pPr>
              <w:jc w:val="center"/>
              <w:rPr>
                <w:rFonts w:cstheme="minorHAnsi"/>
                <w:sz w:val="18"/>
                <w:szCs w:val="18"/>
              </w:rPr>
            </w:pPr>
            <w:r w:rsidRPr="00277868">
              <w:rPr>
                <w:rFonts w:cstheme="minorHAnsi"/>
                <w:sz w:val="18"/>
                <w:szCs w:val="18"/>
              </w:rPr>
              <w:t>9</w:t>
            </w:r>
          </w:p>
        </w:tc>
        <w:tc>
          <w:tcPr>
            <w:tcW w:w="1276" w:type="dxa"/>
          </w:tcPr>
          <w:p w14:paraId="4F98818F" w14:textId="0877981A" w:rsidR="00277868" w:rsidRPr="00277868" w:rsidRDefault="00277868" w:rsidP="00277868">
            <w:pPr>
              <w:jc w:val="center"/>
              <w:rPr>
                <w:rFonts w:cstheme="minorHAnsi"/>
                <w:sz w:val="18"/>
                <w:szCs w:val="18"/>
              </w:rPr>
            </w:pPr>
            <w:r w:rsidRPr="00277868">
              <w:rPr>
                <w:rFonts w:cstheme="minorHAnsi"/>
                <w:sz w:val="18"/>
                <w:szCs w:val="18"/>
              </w:rPr>
              <w:t xml:space="preserve"> $</w:t>
            </w:r>
            <w:r>
              <w:rPr>
                <w:rFonts w:cstheme="minorHAnsi"/>
                <w:sz w:val="18"/>
                <w:szCs w:val="18"/>
              </w:rPr>
              <w:t xml:space="preserve"> </w:t>
            </w:r>
            <w:r w:rsidRPr="00277868">
              <w:rPr>
                <w:rFonts w:cstheme="minorHAnsi"/>
                <w:sz w:val="18"/>
                <w:szCs w:val="18"/>
              </w:rPr>
              <w:t xml:space="preserve">43,848 </w:t>
            </w:r>
          </w:p>
        </w:tc>
        <w:tc>
          <w:tcPr>
            <w:tcW w:w="1276" w:type="dxa"/>
          </w:tcPr>
          <w:p w14:paraId="28AF3B45" w14:textId="71976E28" w:rsidR="00277868" w:rsidRPr="00277868" w:rsidRDefault="00277868" w:rsidP="00277868">
            <w:pPr>
              <w:jc w:val="center"/>
              <w:rPr>
                <w:rFonts w:cstheme="minorHAnsi"/>
                <w:sz w:val="18"/>
                <w:szCs w:val="18"/>
              </w:rPr>
            </w:pPr>
            <w:r w:rsidRPr="00277868">
              <w:rPr>
                <w:rFonts w:cstheme="minorHAnsi"/>
                <w:sz w:val="18"/>
                <w:szCs w:val="18"/>
              </w:rPr>
              <w:t xml:space="preserve"> $</w:t>
            </w:r>
            <w:r>
              <w:rPr>
                <w:rFonts w:cstheme="minorHAnsi"/>
                <w:sz w:val="18"/>
                <w:szCs w:val="18"/>
              </w:rPr>
              <w:t xml:space="preserve"> </w:t>
            </w:r>
            <w:r w:rsidRPr="00277868">
              <w:rPr>
                <w:rFonts w:cstheme="minorHAnsi"/>
                <w:sz w:val="18"/>
                <w:szCs w:val="18"/>
              </w:rPr>
              <w:t xml:space="preserve">43,848 </w:t>
            </w:r>
          </w:p>
        </w:tc>
      </w:tr>
      <w:tr w:rsidR="00D330DB" w14:paraId="4414EE50" w14:textId="77777777" w:rsidTr="00843949">
        <w:trPr>
          <w:trHeight w:val="67"/>
        </w:trPr>
        <w:tc>
          <w:tcPr>
            <w:tcW w:w="5667" w:type="dxa"/>
            <w:vMerge/>
            <w:tcMar>
              <w:left w:w="28" w:type="dxa"/>
              <w:right w:w="28" w:type="dxa"/>
            </w:tcMar>
          </w:tcPr>
          <w:p w14:paraId="34BBA8AD" w14:textId="77777777" w:rsidR="00277868" w:rsidRDefault="00277868" w:rsidP="00277868">
            <w:pPr>
              <w:spacing w:before="60" w:after="60"/>
              <w:rPr>
                <w:rFonts w:cstheme="minorHAnsi"/>
                <w:noProof/>
                <w:szCs w:val="24"/>
                <w:lang w:eastAsia="en-AU"/>
              </w:rPr>
            </w:pPr>
          </w:p>
        </w:tc>
        <w:tc>
          <w:tcPr>
            <w:tcW w:w="707" w:type="dxa"/>
            <w:tcMar>
              <w:left w:w="28" w:type="dxa"/>
              <w:right w:w="28" w:type="dxa"/>
            </w:tcMar>
          </w:tcPr>
          <w:p w14:paraId="1E42C061" w14:textId="0C47174E" w:rsidR="00277868" w:rsidRPr="00441628" w:rsidRDefault="00277868" w:rsidP="008B22CF">
            <w:pPr>
              <w:jc w:val="center"/>
              <w:rPr>
                <w:rFonts w:cstheme="minorHAnsi"/>
                <w:sz w:val="18"/>
                <w:szCs w:val="18"/>
              </w:rPr>
            </w:pPr>
            <w:r w:rsidRPr="00277868">
              <w:rPr>
                <w:rFonts w:cstheme="minorHAnsi"/>
                <w:sz w:val="18"/>
                <w:szCs w:val="18"/>
              </w:rPr>
              <w:t>10</w:t>
            </w:r>
          </w:p>
        </w:tc>
        <w:tc>
          <w:tcPr>
            <w:tcW w:w="1276" w:type="dxa"/>
          </w:tcPr>
          <w:p w14:paraId="01DB0051" w14:textId="77777777" w:rsidR="00277868" w:rsidRPr="00277868" w:rsidRDefault="00277868" w:rsidP="00277868">
            <w:pPr>
              <w:jc w:val="center"/>
              <w:rPr>
                <w:rFonts w:cstheme="minorHAnsi"/>
                <w:sz w:val="18"/>
                <w:szCs w:val="18"/>
              </w:rPr>
            </w:pPr>
          </w:p>
        </w:tc>
        <w:tc>
          <w:tcPr>
            <w:tcW w:w="1276" w:type="dxa"/>
          </w:tcPr>
          <w:p w14:paraId="49A7C3F2" w14:textId="5E3D529E" w:rsidR="00277868" w:rsidRPr="00277868" w:rsidRDefault="00277868" w:rsidP="00277868">
            <w:pPr>
              <w:jc w:val="center"/>
              <w:rPr>
                <w:rFonts w:cstheme="minorHAnsi"/>
                <w:sz w:val="18"/>
                <w:szCs w:val="18"/>
              </w:rPr>
            </w:pPr>
            <w:r w:rsidRPr="00277868">
              <w:rPr>
                <w:rFonts w:cstheme="minorHAnsi"/>
                <w:sz w:val="18"/>
                <w:szCs w:val="18"/>
              </w:rPr>
              <w:t xml:space="preserve"> $</w:t>
            </w:r>
            <w:r>
              <w:rPr>
                <w:rFonts w:cstheme="minorHAnsi"/>
                <w:sz w:val="18"/>
                <w:szCs w:val="18"/>
              </w:rPr>
              <w:t xml:space="preserve"> </w:t>
            </w:r>
            <w:r w:rsidRPr="00277868">
              <w:rPr>
                <w:rFonts w:cstheme="minorHAnsi"/>
                <w:sz w:val="18"/>
                <w:szCs w:val="18"/>
              </w:rPr>
              <w:t xml:space="preserve">44,134 </w:t>
            </w:r>
          </w:p>
        </w:tc>
      </w:tr>
      <w:tr w:rsidR="00D330DB" w14:paraId="21C2E7F1" w14:textId="77777777" w:rsidTr="00843949">
        <w:trPr>
          <w:trHeight w:val="67"/>
        </w:trPr>
        <w:tc>
          <w:tcPr>
            <w:tcW w:w="5667" w:type="dxa"/>
            <w:vMerge/>
            <w:tcMar>
              <w:left w:w="28" w:type="dxa"/>
              <w:right w:w="28" w:type="dxa"/>
            </w:tcMar>
          </w:tcPr>
          <w:p w14:paraId="720743E8" w14:textId="77777777" w:rsidR="00277868" w:rsidRDefault="00277868" w:rsidP="00277868">
            <w:pPr>
              <w:spacing w:before="60" w:after="60"/>
              <w:rPr>
                <w:rFonts w:cstheme="minorHAnsi"/>
                <w:noProof/>
                <w:szCs w:val="24"/>
                <w:lang w:eastAsia="en-AU"/>
              </w:rPr>
            </w:pPr>
          </w:p>
        </w:tc>
        <w:tc>
          <w:tcPr>
            <w:tcW w:w="707" w:type="dxa"/>
            <w:tcMar>
              <w:left w:w="28" w:type="dxa"/>
              <w:right w:w="28" w:type="dxa"/>
            </w:tcMar>
          </w:tcPr>
          <w:p w14:paraId="1BC51B1D" w14:textId="097E8779" w:rsidR="00277868" w:rsidRPr="00441628" w:rsidRDefault="00277868" w:rsidP="008B22CF">
            <w:pPr>
              <w:jc w:val="center"/>
              <w:rPr>
                <w:rFonts w:cstheme="minorHAnsi"/>
                <w:sz w:val="18"/>
                <w:szCs w:val="18"/>
              </w:rPr>
            </w:pPr>
            <w:r w:rsidRPr="00277868">
              <w:rPr>
                <w:rFonts w:cstheme="minorHAnsi"/>
                <w:sz w:val="18"/>
                <w:szCs w:val="18"/>
              </w:rPr>
              <w:t>11</w:t>
            </w:r>
          </w:p>
        </w:tc>
        <w:tc>
          <w:tcPr>
            <w:tcW w:w="1276" w:type="dxa"/>
          </w:tcPr>
          <w:p w14:paraId="73ADD683" w14:textId="77777777" w:rsidR="00277868" w:rsidRPr="00277868" w:rsidRDefault="00277868" w:rsidP="00277868">
            <w:pPr>
              <w:jc w:val="center"/>
              <w:rPr>
                <w:rFonts w:cstheme="minorHAnsi"/>
                <w:sz w:val="18"/>
                <w:szCs w:val="18"/>
              </w:rPr>
            </w:pPr>
          </w:p>
        </w:tc>
        <w:tc>
          <w:tcPr>
            <w:tcW w:w="1276" w:type="dxa"/>
          </w:tcPr>
          <w:p w14:paraId="6F0B5B85" w14:textId="4FA73F89" w:rsidR="00277868" w:rsidRPr="00277868" w:rsidRDefault="00277868" w:rsidP="00277868">
            <w:pPr>
              <w:jc w:val="center"/>
              <w:rPr>
                <w:rFonts w:cstheme="minorHAnsi"/>
                <w:sz w:val="18"/>
                <w:szCs w:val="18"/>
              </w:rPr>
            </w:pPr>
            <w:r w:rsidRPr="00277868">
              <w:rPr>
                <w:rFonts w:cstheme="minorHAnsi"/>
                <w:sz w:val="18"/>
                <w:szCs w:val="18"/>
              </w:rPr>
              <w:t xml:space="preserve"> $</w:t>
            </w:r>
            <w:r>
              <w:rPr>
                <w:rFonts w:cstheme="minorHAnsi"/>
                <w:sz w:val="18"/>
                <w:szCs w:val="18"/>
              </w:rPr>
              <w:t xml:space="preserve"> </w:t>
            </w:r>
            <w:r w:rsidRPr="00277868">
              <w:rPr>
                <w:rFonts w:cstheme="minorHAnsi"/>
                <w:sz w:val="18"/>
                <w:szCs w:val="18"/>
              </w:rPr>
              <w:t xml:space="preserve">44,375 </w:t>
            </w:r>
          </w:p>
        </w:tc>
      </w:tr>
      <w:tr w:rsidR="00D330DB" w14:paraId="7A0CC751" w14:textId="77777777" w:rsidTr="00843949">
        <w:trPr>
          <w:trHeight w:val="67"/>
        </w:trPr>
        <w:tc>
          <w:tcPr>
            <w:tcW w:w="5667" w:type="dxa"/>
            <w:vMerge/>
            <w:tcMar>
              <w:left w:w="28" w:type="dxa"/>
              <w:right w:w="28" w:type="dxa"/>
            </w:tcMar>
          </w:tcPr>
          <w:p w14:paraId="4D48CE4F" w14:textId="77777777" w:rsidR="00277868" w:rsidRDefault="00277868" w:rsidP="00277868">
            <w:pPr>
              <w:spacing w:before="60" w:after="60"/>
              <w:rPr>
                <w:rFonts w:cstheme="minorHAnsi"/>
                <w:noProof/>
                <w:szCs w:val="24"/>
                <w:lang w:eastAsia="en-AU"/>
              </w:rPr>
            </w:pPr>
          </w:p>
        </w:tc>
        <w:tc>
          <w:tcPr>
            <w:tcW w:w="707" w:type="dxa"/>
            <w:tcMar>
              <w:left w:w="28" w:type="dxa"/>
              <w:right w:w="28" w:type="dxa"/>
            </w:tcMar>
          </w:tcPr>
          <w:p w14:paraId="7D1F8AA8" w14:textId="7E91BBD9" w:rsidR="00277868" w:rsidRPr="00441628" w:rsidRDefault="00277868" w:rsidP="008B22CF">
            <w:pPr>
              <w:jc w:val="center"/>
              <w:rPr>
                <w:rFonts w:cstheme="minorHAnsi"/>
                <w:sz w:val="18"/>
                <w:szCs w:val="18"/>
              </w:rPr>
            </w:pPr>
            <w:r w:rsidRPr="00277868">
              <w:rPr>
                <w:rFonts w:cstheme="minorHAnsi"/>
                <w:sz w:val="18"/>
                <w:szCs w:val="18"/>
              </w:rPr>
              <w:t>12</w:t>
            </w:r>
          </w:p>
        </w:tc>
        <w:tc>
          <w:tcPr>
            <w:tcW w:w="1276" w:type="dxa"/>
          </w:tcPr>
          <w:p w14:paraId="3E1746B1" w14:textId="77777777" w:rsidR="00277868" w:rsidRPr="00277868" w:rsidRDefault="00277868" w:rsidP="00277868">
            <w:pPr>
              <w:jc w:val="center"/>
              <w:rPr>
                <w:rFonts w:cstheme="minorHAnsi"/>
                <w:sz w:val="18"/>
                <w:szCs w:val="18"/>
              </w:rPr>
            </w:pPr>
          </w:p>
        </w:tc>
        <w:tc>
          <w:tcPr>
            <w:tcW w:w="1276" w:type="dxa"/>
          </w:tcPr>
          <w:p w14:paraId="1DFFD14A" w14:textId="617E91AB" w:rsidR="00277868" w:rsidRPr="00277868" w:rsidRDefault="00277868" w:rsidP="00277868">
            <w:pPr>
              <w:jc w:val="center"/>
              <w:rPr>
                <w:rFonts w:cstheme="minorHAnsi"/>
                <w:sz w:val="18"/>
                <w:szCs w:val="18"/>
              </w:rPr>
            </w:pPr>
            <w:r w:rsidRPr="00277868">
              <w:rPr>
                <w:rFonts w:cstheme="minorHAnsi"/>
                <w:sz w:val="18"/>
                <w:szCs w:val="18"/>
              </w:rPr>
              <w:t xml:space="preserve"> $</w:t>
            </w:r>
            <w:r>
              <w:rPr>
                <w:rFonts w:cstheme="minorHAnsi"/>
                <w:sz w:val="18"/>
                <w:szCs w:val="18"/>
              </w:rPr>
              <w:t xml:space="preserve"> </w:t>
            </w:r>
            <w:r w:rsidRPr="00277868">
              <w:rPr>
                <w:rFonts w:cstheme="minorHAnsi"/>
                <w:sz w:val="18"/>
                <w:szCs w:val="18"/>
              </w:rPr>
              <w:t xml:space="preserve">44,571 </w:t>
            </w:r>
          </w:p>
        </w:tc>
      </w:tr>
      <w:tr w:rsidR="00D330DB" w14:paraId="6EB34073" w14:textId="77777777" w:rsidTr="00843949">
        <w:trPr>
          <w:trHeight w:val="67"/>
        </w:trPr>
        <w:tc>
          <w:tcPr>
            <w:tcW w:w="5667" w:type="dxa"/>
            <w:vMerge/>
            <w:tcMar>
              <w:left w:w="28" w:type="dxa"/>
              <w:right w:w="28" w:type="dxa"/>
            </w:tcMar>
          </w:tcPr>
          <w:p w14:paraId="57475A8C" w14:textId="77777777" w:rsidR="00277868" w:rsidRDefault="00277868" w:rsidP="00277868">
            <w:pPr>
              <w:spacing w:before="60" w:after="60"/>
              <w:rPr>
                <w:rFonts w:cstheme="minorHAnsi"/>
                <w:noProof/>
                <w:szCs w:val="24"/>
                <w:lang w:eastAsia="en-AU"/>
              </w:rPr>
            </w:pPr>
          </w:p>
        </w:tc>
        <w:tc>
          <w:tcPr>
            <w:tcW w:w="707" w:type="dxa"/>
            <w:tcMar>
              <w:left w:w="28" w:type="dxa"/>
              <w:right w:w="28" w:type="dxa"/>
            </w:tcMar>
          </w:tcPr>
          <w:p w14:paraId="67698AE4" w14:textId="796C8518" w:rsidR="00277868" w:rsidRPr="00441628" w:rsidRDefault="00277868" w:rsidP="008B22CF">
            <w:pPr>
              <w:jc w:val="center"/>
              <w:rPr>
                <w:rFonts w:cstheme="minorHAnsi"/>
                <w:sz w:val="18"/>
                <w:szCs w:val="18"/>
              </w:rPr>
            </w:pPr>
            <w:r w:rsidRPr="00277868">
              <w:rPr>
                <w:rFonts w:cstheme="minorHAnsi"/>
                <w:sz w:val="18"/>
                <w:szCs w:val="18"/>
              </w:rPr>
              <w:t>13</w:t>
            </w:r>
          </w:p>
        </w:tc>
        <w:tc>
          <w:tcPr>
            <w:tcW w:w="1276" w:type="dxa"/>
          </w:tcPr>
          <w:p w14:paraId="57024B75" w14:textId="77777777" w:rsidR="00277868" w:rsidRPr="00277868" w:rsidRDefault="00277868" w:rsidP="00277868">
            <w:pPr>
              <w:jc w:val="center"/>
              <w:rPr>
                <w:rFonts w:cstheme="minorHAnsi"/>
                <w:sz w:val="18"/>
                <w:szCs w:val="18"/>
              </w:rPr>
            </w:pPr>
          </w:p>
        </w:tc>
        <w:tc>
          <w:tcPr>
            <w:tcW w:w="1276" w:type="dxa"/>
          </w:tcPr>
          <w:p w14:paraId="0E15A04C" w14:textId="6A7339D5" w:rsidR="00277868" w:rsidRPr="00277868" w:rsidRDefault="00277868" w:rsidP="00277868">
            <w:pPr>
              <w:jc w:val="center"/>
              <w:rPr>
                <w:rFonts w:cstheme="minorHAnsi"/>
                <w:sz w:val="18"/>
                <w:szCs w:val="18"/>
              </w:rPr>
            </w:pPr>
            <w:r w:rsidRPr="00277868">
              <w:rPr>
                <w:rFonts w:cstheme="minorHAnsi"/>
                <w:sz w:val="18"/>
                <w:szCs w:val="18"/>
              </w:rPr>
              <w:t xml:space="preserve"> $</w:t>
            </w:r>
            <w:r>
              <w:rPr>
                <w:rFonts w:cstheme="minorHAnsi"/>
                <w:sz w:val="18"/>
                <w:szCs w:val="18"/>
              </w:rPr>
              <w:t xml:space="preserve"> </w:t>
            </w:r>
            <w:r w:rsidRPr="00277868">
              <w:rPr>
                <w:rFonts w:cstheme="minorHAnsi"/>
                <w:sz w:val="18"/>
                <w:szCs w:val="18"/>
              </w:rPr>
              <w:t xml:space="preserve">44,722 </w:t>
            </w:r>
          </w:p>
        </w:tc>
      </w:tr>
      <w:tr w:rsidR="00D330DB" w14:paraId="483261A4" w14:textId="77777777" w:rsidTr="00843949">
        <w:trPr>
          <w:trHeight w:val="67"/>
        </w:trPr>
        <w:tc>
          <w:tcPr>
            <w:tcW w:w="5667" w:type="dxa"/>
            <w:vMerge/>
            <w:tcMar>
              <w:left w:w="28" w:type="dxa"/>
              <w:right w:w="28" w:type="dxa"/>
            </w:tcMar>
          </w:tcPr>
          <w:p w14:paraId="6DBC687F" w14:textId="77777777" w:rsidR="00277868" w:rsidRDefault="00277868" w:rsidP="00277868">
            <w:pPr>
              <w:spacing w:before="60" w:after="60"/>
              <w:rPr>
                <w:rFonts w:cstheme="minorHAnsi"/>
                <w:noProof/>
                <w:szCs w:val="24"/>
                <w:lang w:eastAsia="en-AU"/>
              </w:rPr>
            </w:pPr>
          </w:p>
        </w:tc>
        <w:tc>
          <w:tcPr>
            <w:tcW w:w="707" w:type="dxa"/>
            <w:tcMar>
              <w:left w:w="28" w:type="dxa"/>
              <w:right w:w="28" w:type="dxa"/>
            </w:tcMar>
          </w:tcPr>
          <w:p w14:paraId="7001BF8D" w14:textId="67841228" w:rsidR="00277868" w:rsidRPr="00441628" w:rsidRDefault="00277868" w:rsidP="008B22CF">
            <w:pPr>
              <w:jc w:val="center"/>
              <w:rPr>
                <w:rFonts w:cstheme="minorHAnsi"/>
                <w:sz w:val="18"/>
                <w:szCs w:val="18"/>
              </w:rPr>
            </w:pPr>
            <w:r w:rsidRPr="00277868">
              <w:rPr>
                <w:rFonts w:cstheme="minorHAnsi"/>
                <w:sz w:val="18"/>
                <w:szCs w:val="18"/>
              </w:rPr>
              <w:t>14</w:t>
            </w:r>
          </w:p>
        </w:tc>
        <w:tc>
          <w:tcPr>
            <w:tcW w:w="1276" w:type="dxa"/>
          </w:tcPr>
          <w:p w14:paraId="0E1E8853" w14:textId="77777777" w:rsidR="00277868" w:rsidRPr="00277868" w:rsidRDefault="00277868" w:rsidP="00277868">
            <w:pPr>
              <w:jc w:val="center"/>
              <w:rPr>
                <w:rFonts w:cstheme="minorHAnsi"/>
                <w:sz w:val="18"/>
                <w:szCs w:val="18"/>
              </w:rPr>
            </w:pPr>
          </w:p>
        </w:tc>
        <w:tc>
          <w:tcPr>
            <w:tcW w:w="1276" w:type="dxa"/>
          </w:tcPr>
          <w:p w14:paraId="4460949F" w14:textId="0D394E08" w:rsidR="00277868" w:rsidRPr="00277868" w:rsidRDefault="00277868" w:rsidP="00277868">
            <w:pPr>
              <w:jc w:val="center"/>
              <w:rPr>
                <w:rFonts w:cstheme="minorHAnsi"/>
                <w:sz w:val="18"/>
                <w:szCs w:val="18"/>
              </w:rPr>
            </w:pPr>
            <w:r w:rsidRPr="00277868">
              <w:rPr>
                <w:rFonts w:cstheme="minorHAnsi"/>
                <w:sz w:val="18"/>
                <w:szCs w:val="18"/>
              </w:rPr>
              <w:t xml:space="preserve"> $</w:t>
            </w:r>
            <w:r>
              <w:rPr>
                <w:rFonts w:cstheme="minorHAnsi"/>
                <w:sz w:val="18"/>
                <w:szCs w:val="18"/>
              </w:rPr>
              <w:t xml:space="preserve"> </w:t>
            </w:r>
            <w:r w:rsidRPr="00277868">
              <w:rPr>
                <w:rFonts w:cstheme="minorHAnsi"/>
                <w:sz w:val="18"/>
                <w:szCs w:val="18"/>
              </w:rPr>
              <w:t xml:space="preserve">44,828 </w:t>
            </w:r>
          </w:p>
        </w:tc>
      </w:tr>
      <w:tr w:rsidR="00D330DB" w14:paraId="53128D81" w14:textId="77777777" w:rsidTr="00843949">
        <w:trPr>
          <w:trHeight w:val="67"/>
        </w:trPr>
        <w:tc>
          <w:tcPr>
            <w:tcW w:w="5667" w:type="dxa"/>
            <w:vMerge/>
            <w:tcMar>
              <w:left w:w="28" w:type="dxa"/>
              <w:right w:w="28" w:type="dxa"/>
            </w:tcMar>
          </w:tcPr>
          <w:p w14:paraId="4FD8AE2A" w14:textId="77777777" w:rsidR="00277868" w:rsidRDefault="00277868" w:rsidP="00277868">
            <w:pPr>
              <w:spacing w:before="60" w:after="60"/>
              <w:rPr>
                <w:rFonts w:cstheme="minorHAnsi"/>
                <w:noProof/>
                <w:szCs w:val="24"/>
                <w:lang w:eastAsia="en-AU"/>
              </w:rPr>
            </w:pPr>
          </w:p>
        </w:tc>
        <w:tc>
          <w:tcPr>
            <w:tcW w:w="707" w:type="dxa"/>
            <w:tcMar>
              <w:left w:w="28" w:type="dxa"/>
              <w:right w:w="28" w:type="dxa"/>
            </w:tcMar>
          </w:tcPr>
          <w:p w14:paraId="469E5614" w14:textId="68384836" w:rsidR="00277868" w:rsidRPr="00441628" w:rsidRDefault="00277868" w:rsidP="008B22CF">
            <w:pPr>
              <w:jc w:val="center"/>
              <w:rPr>
                <w:rFonts w:cstheme="minorHAnsi"/>
                <w:sz w:val="18"/>
                <w:szCs w:val="18"/>
              </w:rPr>
            </w:pPr>
            <w:r w:rsidRPr="00277868">
              <w:rPr>
                <w:rFonts w:cstheme="minorHAnsi"/>
                <w:sz w:val="18"/>
                <w:szCs w:val="18"/>
              </w:rPr>
              <w:t>15</w:t>
            </w:r>
          </w:p>
        </w:tc>
        <w:tc>
          <w:tcPr>
            <w:tcW w:w="1276" w:type="dxa"/>
          </w:tcPr>
          <w:p w14:paraId="4359086B" w14:textId="6F12CE85" w:rsidR="00277868" w:rsidRPr="00277868" w:rsidRDefault="00277868" w:rsidP="00277868">
            <w:pPr>
              <w:jc w:val="center"/>
              <w:rPr>
                <w:rFonts w:cstheme="minorHAnsi"/>
                <w:sz w:val="18"/>
                <w:szCs w:val="18"/>
              </w:rPr>
            </w:pPr>
            <w:r w:rsidRPr="00277868">
              <w:rPr>
                <w:rFonts w:cstheme="minorHAnsi"/>
                <w:sz w:val="18"/>
                <w:szCs w:val="18"/>
              </w:rPr>
              <w:t xml:space="preserve"> $</w:t>
            </w:r>
            <w:r>
              <w:rPr>
                <w:rFonts w:cstheme="minorHAnsi"/>
                <w:sz w:val="18"/>
                <w:szCs w:val="18"/>
              </w:rPr>
              <w:t xml:space="preserve"> </w:t>
            </w:r>
            <w:r w:rsidRPr="00277868">
              <w:rPr>
                <w:rFonts w:cstheme="minorHAnsi"/>
                <w:sz w:val="18"/>
                <w:szCs w:val="18"/>
              </w:rPr>
              <w:t xml:space="preserve">44,890 </w:t>
            </w:r>
          </w:p>
        </w:tc>
        <w:tc>
          <w:tcPr>
            <w:tcW w:w="1276" w:type="dxa"/>
          </w:tcPr>
          <w:p w14:paraId="49A4D1D4" w14:textId="205237F4" w:rsidR="00277868" w:rsidRPr="00277868" w:rsidRDefault="00277868" w:rsidP="00277868">
            <w:pPr>
              <w:jc w:val="center"/>
              <w:rPr>
                <w:rFonts w:cstheme="minorHAnsi"/>
                <w:sz w:val="18"/>
                <w:szCs w:val="18"/>
              </w:rPr>
            </w:pPr>
            <w:r w:rsidRPr="00277868">
              <w:rPr>
                <w:rFonts w:cstheme="minorHAnsi"/>
                <w:sz w:val="18"/>
                <w:szCs w:val="18"/>
              </w:rPr>
              <w:t xml:space="preserve"> $</w:t>
            </w:r>
            <w:r>
              <w:rPr>
                <w:rFonts w:cstheme="minorHAnsi"/>
                <w:sz w:val="18"/>
                <w:szCs w:val="18"/>
              </w:rPr>
              <w:t xml:space="preserve"> </w:t>
            </w:r>
            <w:r w:rsidRPr="00277868">
              <w:rPr>
                <w:rFonts w:cstheme="minorHAnsi"/>
                <w:sz w:val="18"/>
                <w:szCs w:val="18"/>
              </w:rPr>
              <w:t xml:space="preserve">44,890 </w:t>
            </w:r>
          </w:p>
        </w:tc>
      </w:tr>
      <w:tr w:rsidR="00D330DB" w14:paraId="46E002B1" w14:textId="77777777" w:rsidTr="00843949">
        <w:trPr>
          <w:trHeight w:val="67"/>
        </w:trPr>
        <w:tc>
          <w:tcPr>
            <w:tcW w:w="5667" w:type="dxa"/>
            <w:vMerge/>
            <w:tcMar>
              <w:left w:w="28" w:type="dxa"/>
              <w:right w:w="28" w:type="dxa"/>
            </w:tcMar>
          </w:tcPr>
          <w:p w14:paraId="09CB5F64" w14:textId="77777777" w:rsidR="00277868" w:rsidRDefault="00277868" w:rsidP="00277868">
            <w:pPr>
              <w:spacing w:before="60" w:after="60"/>
              <w:rPr>
                <w:rFonts w:cstheme="minorHAnsi"/>
                <w:noProof/>
                <w:szCs w:val="24"/>
                <w:lang w:eastAsia="en-AU"/>
              </w:rPr>
            </w:pPr>
          </w:p>
        </w:tc>
        <w:tc>
          <w:tcPr>
            <w:tcW w:w="707" w:type="dxa"/>
            <w:tcMar>
              <w:left w:w="28" w:type="dxa"/>
              <w:right w:w="28" w:type="dxa"/>
            </w:tcMar>
          </w:tcPr>
          <w:p w14:paraId="5A17246B" w14:textId="790995A2" w:rsidR="00277868" w:rsidRPr="00441628" w:rsidRDefault="00277868" w:rsidP="008B22CF">
            <w:pPr>
              <w:jc w:val="center"/>
              <w:rPr>
                <w:rFonts w:cstheme="minorHAnsi"/>
                <w:sz w:val="18"/>
                <w:szCs w:val="18"/>
              </w:rPr>
            </w:pPr>
            <w:r w:rsidRPr="00277868">
              <w:rPr>
                <w:rFonts w:cstheme="minorHAnsi"/>
                <w:sz w:val="18"/>
                <w:szCs w:val="18"/>
              </w:rPr>
              <w:t>16</w:t>
            </w:r>
          </w:p>
        </w:tc>
        <w:tc>
          <w:tcPr>
            <w:tcW w:w="1276" w:type="dxa"/>
          </w:tcPr>
          <w:p w14:paraId="44DCF357" w14:textId="77777777" w:rsidR="00277868" w:rsidRPr="00277868" w:rsidRDefault="00277868" w:rsidP="00277868">
            <w:pPr>
              <w:jc w:val="center"/>
              <w:rPr>
                <w:rFonts w:cstheme="minorHAnsi"/>
                <w:sz w:val="18"/>
                <w:szCs w:val="18"/>
              </w:rPr>
            </w:pPr>
          </w:p>
        </w:tc>
        <w:tc>
          <w:tcPr>
            <w:tcW w:w="1276" w:type="dxa"/>
          </w:tcPr>
          <w:p w14:paraId="6B701B9B" w14:textId="06B31C52" w:rsidR="00277868" w:rsidRPr="00277868" w:rsidRDefault="00277868" w:rsidP="00277868">
            <w:pPr>
              <w:jc w:val="center"/>
              <w:rPr>
                <w:rFonts w:cstheme="minorHAnsi"/>
                <w:sz w:val="18"/>
                <w:szCs w:val="18"/>
              </w:rPr>
            </w:pPr>
            <w:r w:rsidRPr="00277868">
              <w:rPr>
                <w:rFonts w:cstheme="minorHAnsi"/>
                <w:sz w:val="18"/>
                <w:szCs w:val="18"/>
              </w:rPr>
              <w:t xml:space="preserve"> $</w:t>
            </w:r>
            <w:r>
              <w:rPr>
                <w:rFonts w:cstheme="minorHAnsi"/>
                <w:sz w:val="18"/>
                <w:szCs w:val="18"/>
              </w:rPr>
              <w:t xml:space="preserve"> </w:t>
            </w:r>
            <w:r w:rsidRPr="00277868">
              <w:rPr>
                <w:rFonts w:cstheme="minorHAnsi"/>
                <w:sz w:val="18"/>
                <w:szCs w:val="18"/>
              </w:rPr>
              <w:t xml:space="preserve">44,906 </w:t>
            </w:r>
          </w:p>
        </w:tc>
      </w:tr>
      <w:tr w:rsidR="00D330DB" w14:paraId="7F712ECB" w14:textId="77777777" w:rsidTr="00843949">
        <w:trPr>
          <w:trHeight w:val="67"/>
        </w:trPr>
        <w:tc>
          <w:tcPr>
            <w:tcW w:w="5667" w:type="dxa"/>
            <w:vMerge/>
            <w:tcMar>
              <w:left w:w="28" w:type="dxa"/>
              <w:right w:w="28" w:type="dxa"/>
            </w:tcMar>
          </w:tcPr>
          <w:p w14:paraId="1AD42408" w14:textId="77777777" w:rsidR="00277868" w:rsidRDefault="00277868" w:rsidP="00277868">
            <w:pPr>
              <w:spacing w:before="60" w:after="60"/>
              <w:rPr>
                <w:rFonts w:cstheme="minorHAnsi"/>
                <w:noProof/>
                <w:szCs w:val="24"/>
                <w:lang w:eastAsia="en-AU"/>
              </w:rPr>
            </w:pPr>
          </w:p>
        </w:tc>
        <w:tc>
          <w:tcPr>
            <w:tcW w:w="707" w:type="dxa"/>
            <w:tcMar>
              <w:left w:w="28" w:type="dxa"/>
              <w:right w:w="28" w:type="dxa"/>
            </w:tcMar>
          </w:tcPr>
          <w:p w14:paraId="577717AE" w14:textId="7ECB9F96" w:rsidR="00277868" w:rsidRPr="00441628" w:rsidRDefault="00277868" w:rsidP="008B22CF">
            <w:pPr>
              <w:jc w:val="center"/>
              <w:rPr>
                <w:rFonts w:cstheme="minorHAnsi"/>
                <w:sz w:val="18"/>
                <w:szCs w:val="18"/>
              </w:rPr>
            </w:pPr>
            <w:r w:rsidRPr="00277868">
              <w:rPr>
                <w:rFonts w:cstheme="minorHAnsi"/>
                <w:sz w:val="18"/>
                <w:szCs w:val="18"/>
              </w:rPr>
              <w:t>17</w:t>
            </w:r>
          </w:p>
        </w:tc>
        <w:tc>
          <w:tcPr>
            <w:tcW w:w="1276" w:type="dxa"/>
          </w:tcPr>
          <w:p w14:paraId="0ED440B6" w14:textId="77777777" w:rsidR="00277868" w:rsidRPr="00277868" w:rsidRDefault="00277868" w:rsidP="00277868">
            <w:pPr>
              <w:jc w:val="center"/>
              <w:rPr>
                <w:rFonts w:cstheme="minorHAnsi"/>
                <w:sz w:val="18"/>
                <w:szCs w:val="18"/>
              </w:rPr>
            </w:pPr>
          </w:p>
        </w:tc>
        <w:tc>
          <w:tcPr>
            <w:tcW w:w="1276" w:type="dxa"/>
          </w:tcPr>
          <w:p w14:paraId="7FC33911" w14:textId="6DB2FD7A" w:rsidR="00277868" w:rsidRPr="00277868" w:rsidRDefault="00277868" w:rsidP="00277868">
            <w:pPr>
              <w:jc w:val="center"/>
              <w:rPr>
                <w:rFonts w:cstheme="minorHAnsi"/>
                <w:sz w:val="18"/>
                <w:szCs w:val="18"/>
              </w:rPr>
            </w:pPr>
            <w:r w:rsidRPr="00277868">
              <w:rPr>
                <w:rFonts w:cstheme="minorHAnsi"/>
                <w:sz w:val="18"/>
                <w:szCs w:val="18"/>
              </w:rPr>
              <w:t xml:space="preserve"> $</w:t>
            </w:r>
            <w:r>
              <w:rPr>
                <w:rFonts w:cstheme="minorHAnsi"/>
                <w:sz w:val="18"/>
                <w:szCs w:val="18"/>
              </w:rPr>
              <w:t xml:space="preserve"> </w:t>
            </w:r>
            <w:r w:rsidRPr="00277868">
              <w:rPr>
                <w:rFonts w:cstheme="minorHAnsi"/>
                <w:sz w:val="18"/>
                <w:szCs w:val="18"/>
              </w:rPr>
              <w:t xml:space="preserve">44,877 </w:t>
            </w:r>
          </w:p>
        </w:tc>
      </w:tr>
      <w:tr w:rsidR="00D330DB" w14:paraId="7D030EA7" w14:textId="77777777" w:rsidTr="00843949">
        <w:trPr>
          <w:trHeight w:val="67"/>
        </w:trPr>
        <w:tc>
          <w:tcPr>
            <w:tcW w:w="5667" w:type="dxa"/>
            <w:vMerge/>
            <w:tcMar>
              <w:left w:w="28" w:type="dxa"/>
              <w:right w:w="28" w:type="dxa"/>
            </w:tcMar>
          </w:tcPr>
          <w:p w14:paraId="341D180F" w14:textId="77777777" w:rsidR="00277868" w:rsidRDefault="00277868" w:rsidP="00277868">
            <w:pPr>
              <w:spacing w:before="60" w:after="60"/>
              <w:rPr>
                <w:rFonts w:cstheme="minorHAnsi"/>
                <w:noProof/>
                <w:szCs w:val="24"/>
                <w:lang w:eastAsia="en-AU"/>
              </w:rPr>
            </w:pPr>
          </w:p>
        </w:tc>
        <w:tc>
          <w:tcPr>
            <w:tcW w:w="707" w:type="dxa"/>
            <w:tcMar>
              <w:left w:w="28" w:type="dxa"/>
              <w:right w:w="28" w:type="dxa"/>
            </w:tcMar>
          </w:tcPr>
          <w:p w14:paraId="5B30CA18" w14:textId="54AFC309" w:rsidR="00277868" w:rsidRPr="00441628" w:rsidRDefault="00277868" w:rsidP="008B22CF">
            <w:pPr>
              <w:jc w:val="center"/>
              <w:rPr>
                <w:rFonts w:cstheme="minorHAnsi"/>
                <w:sz w:val="18"/>
                <w:szCs w:val="18"/>
              </w:rPr>
            </w:pPr>
            <w:r w:rsidRPr="00277868">
              <w:rPr>
                <w:rFonts w:cstheme="minorHAnsi"/>
                <w:sz w:val="18"/>
                <w:szCs w:val="18"/>
              </w:rPr>
              <w:t>18</w:t>
            </w:r>
          </w:p>
        </w:tc>
        <w:tc>
          <w:tcPr>
            <w:tcW w:w="1276" w:type="dxa"/>
          </w:tcPr>
          <w:p w14:paraId="79C5E1F7" w14:textId="77777777" w:rsidR="00277868" w:rsidRPr="00277868" w:rsidRDefault="00277868" w:rsidP="00277868">
            <w:pPr>
              <w:jc w:val="center"/>
              <w:rPr>
                <w:rFonts w:cstheme="minorHAnsi"/>
                <w:sz w:val="18"/>
                <w:szCs w:val="18"/>
              </w:rPr>
            </w:pPr>
          </w:p>
        </w:tc>
        <w:tc>
          <w:tcPr>
            <w:tcW w:w="1276" w:type="dxa"/>
          </w:tcPr>
          <w:p w14:paraId="377ACC79" w14:textId="1E66ED86" w:rsidR="00277868" w:rsidRPr="00277868" w:rsidRDefault="00277868" w:rsidP="00277868">
            <w:pPr>
              <w:jc w:val="center"/>
              <w:rPr>
                <w:rFonts w:cstheme="minorHAnsi"/>
                <w:sz w:val="18"/>
                <w:szCs w:val="18"/>
              </w:rPr>
            </w:pPr>
            <w:r w:rsidRPr="00277868">
              <w:rPr>
                <w:rFonts w:cstheme="minorHAnsi"/>
                <w:sz w:val="18"/>
                <w:szCs w:val="18"/>
              </w:rPr>
              <w:t xml:space="preserve"> $</w:t>
            </w:r>
            <w:r>
              <w:rPr>
                <w:rFonts w:cstheme="minorHAnsi"/>
                <w:sz w:val="18"/>
                <w:szCs w:val="18"/>
              </w:rPr>
              <w:t xml:space="preserve"> </w:t>
            </w:r>
            <w:r w:rsidRPr="00277868">
              <w:rPr>
                <w:rFonts w:cstheme="minorHAnsi"/>
                <w:sz w:val="18"/>
                <w:szCs w:val="18"/>
              </w:rPr>
              <w:t xml:space="preserve">44,803 </w:t>
            </w:r>
          </w:p>
        </w:tc>
      </w:tr>
      <w:tr w:rsidR="00D330DB" w14:paraId="44E8340A" w14:textId="77777777" w:rsidTr="00843949">
        <w:trPr>
          <w:trHeight w:val="67"/>
        </w:trPr>
        <w:tc>
          <w:tcPr>
            <w:tcW w:w="5667" w:type="dxa"/>
            <w:vMerge/>
            <w:tcMar>
              <w:left w:w="28" w:type="dxa"/>
              <w:right w:w="28" w:type="dxa"/>
            </w:tcMar>
          </w:tcPr>
          <w:p w14:paraId="79560E8E" w14:textId="77777777" w:rsidR="00277868" w:rsidRDefault="00277868" w:rsidP="00277868">
            <w:pPr>
              <w:spacing w:before="60" w:after="60"/>
              <w:rPr>
                <w:rFonts w:cstheme="minorHAnsi"/>
                <w:noProof/>
                <w:szCs w:val="24"/>
                <w:lang w:eastAsia="en-AU"/>
              </w:rPr>
            </w:pPr>
          </w:p>
        </w:tc>
        <w:tc>
          <w:tcPr>
            <w:tcW w:w="707" w:type="dxa"/>
            <w:tcMar>
              <w:left w:w="28" w:type="dxa"/>
              <w:right w:w="28" w:type="dxa"/>
            </w:tcMar>
          </w:tcPr>
          <w:p w14:paraId="75796162" w14:textId="644319CB" w:rsidR="00277868" w:rsidRPr="00441628" w:rsidRDefault="00277868" w:rsidP="008B22CF">
            <w:pPr>
              <w:jc w:val="center"/>
              <w:rPr>
                <w:rFonts w:cstheme="minorHAnsi"/>
                <w:sz w:val="18"/>
                <w:szCs w:val="18"/>
              </w:rPr>
            </w:pPr>
            <w:r w:rsidRPr="00277868">
              <w:rPr>
                <w:rFonts w:cstheme="minorHAnsi"/>
                <w:sz w:val="18"/>
                <w:szCs w:val="18"/>
              </w:rPr>
              <w:t>19</w:t>
            </w:r>
          </w:p>
        </w:tc>
        <w:tc>
          <w:tcPr>
            <w:tcW w:w="1276" w:type="dxa"/>
          </w:tcPr>
          <w:p w14:paraId="4C99D9EC" w14:textId="7D417F26" w:rsidR="00277868" w:rsidRPr="00277868" w:rsidRDefault="00277868" w:rsidP="00277868">
            <w:pPr>
              <w:jc w:val="center"/>
              <w:rPr>
                <w:rFonts w:cstheme="minorHAnsi"/>
                <w:sz w:val="18"/>
                <w:szCs w:val="18"/>
              </w:rPr>
            </w:pPr>
          </w:p>
        </w:tc>
        <w:tc>
          <w:tcPr>
            <w:tcW w:w="1276" w:type="dxa"/>
          </w:tcPr>
          <w:p w14:paraId="454A0D2C" w14:textId="12E96225" w:rsidR="00277868" w:rsidRPr="00277868" w:rsidRDefault="00277868" w:rsidP="00277868">
            <w:pPr>
              <w:jc w:val="center"/>
              <w:rPr>
                <w:rFonts w:cstheme="minorHAnsi"/>
                <w:sz w:val="18"/>
                <w:szCs w:val="18"/>
              </w:rPr>
            </w:pPr>
            <w:r w:rsidRPr="00277868">
              <w:rPr>
                <w:rFonts w:cstheme="minorHAnsi"/>
                <w:sz w:val="18"/>
                <w:szCs w:val="18"/>
              </w:rPr>
              <w:t xml:space="preserve"> $</w:t>
            </w:r>
            <w:r>
              <w:rPr>
                <w:rFonts w:cstheme="minorHAnsi"/>
                <w:sz w:val="18"/>
                <w:szCs w:val="18"/>
              </w:rPr>
              <w:t xml:space="preserve"> </w:t>
            </w:r>
            <w:r w:rsidRPr="00277868">
              <w:rPr>
                <w:rFonts w:cstheme="minorHAnsi"/>
                <w:sz w:val="18"/>
                <w:szCs w:val="18"/>
              </w:rPr>
              <w:t xml:space="preserve">44,684 </w:t>
            </w:r>
          </w:p>
        </w:tc>
      </w:tr>
      <w:tr w:rsidR="00D330DB" w14:paraId="1F4AB3D7" w14:textId="77777777" w:rsidTr="00843949">
        <w:trPr>
          <w:trHeight w:val="67"/>
        </w:trPr>
        <w:tc>
          <w:tcPr>
            <w:tcW w:w="5667" w:type="dxa"/>
            <w:vMerge/>
            <w:tcMar>
              <w:left w:w="28" w:type="dxa"/>
              <w:right w:w="28" w:type="dxa"/>
            </w:tcMar>
          </w:tcPr>
          <w:p w14:paraId="1B21426B" w14:textId="77777777" w:rsidR="00277868" w:rsidRDefault="00277868" w:rsidP="00277868">
            <w:pPr>
              <w:spacing w:before="60" w:after="60"/>
              <w:rPr>
                <w:rFonts w:cstheme="minorHAnsi"/>
                <w:noProof/>
                <w:szCs w:val="24"/>
                <w:lang w:eastAsia="en-AU"/>
              </w:rPr>
            </w:pPr>
          </w:p>
        </w:tc>
        <w:tc>
          <w:tcPr>
            <w:tcW w:w="707" w:type="dxa"/>
            <w:tcMar>
              <w:left w:w="28" w:type="dxa"/>
              <w:right w:w="28" w:type="dxa"/>
            </w:tcMar>
            <w:vAlign w:val="bottom"/>
          </w:tcPr>
          <w:p w14:paraId="65FDD417" w14:textId="59294E9E" w:rsidR="00277868" w:rsidRPr="00441628" w:rsidRDefault="00277868" w:rsidP="008B22CF">
            <w:pPr>
              <w:jc w:val="center"/>
              <w:rPr>
                <w:rFonts w:cstheme="minorHAnsi"/>
                <w:sz w:val="18"/>
                <w:szCs w:val="18"/>
              </w:rPr>
            </w:pPr>
            <w:r w:rsidRPr="00277868">
              <w:rPr>
                <w:rFonts w:cstheme="minorHAnsi"/>
                <w:sz w:val="18"/>
                <w:szCs w:val="18"/>
              </w:rPr>
              <w:t>20</w:t>
            </w:r>
          </w:p>
        </w:tc>
        <w:tc>
          <w:tcPr>
            <w:tcW w:w="1276" w:type="dxa"/>
            <w:vAlign w:val="bottom"/>
          </w:tcPr>
          <w:p w14:paraId="55BE72A9" w14:textId="20B9F956" w:rsidR="00277868" w:rsidRPr="00277868" w:rsidRDefault="00277868" w:rsidP="00277868">
            <w:pPr>
              <w:jc w:val="center"/>
              <w:rPr>
                <w:rFonts w:cstheme="minorHAnsi"/>
                <w:sz w:val="18"/>
                <w:szCs w:val="18"/>
              </w:rPr>
            </w:pPr>
            <w:r w:rsidRPr="00277868">
              <w:rPr>
                <w:rFonts w:cstheme="minorHAnsi"/>
                <w:sz w:val="18"/>
                <w:szCs w:val="18"/>
              </w:rPr>
              <w:t xml:space="preserve"> $ 44,520 </w:t>
            </w:r>
          </w:p>
        </w:tc>
        <w:tc>
          <w:tcPr>
            <w:tcW w:w="1276" w:type="dxa"/>
            <w:vAlign w:val="bottom"/>
          </w:tcPr>
          <w:p w14:paraId="0641A45A" w14:textId="194F5129" w:rsidR="00277868" w:rsidRPr="00277868" w:rsidRDefault="00277868" w:rsidP="00277868">
            <w:pPr>
              <w:jc w:val="center"/>
              <w:rPr>
                <w:rFonts w:cstheme="minorHAnsi"/>
                <w:sz w:val="18"/>
                <w:szCs w:val="18"/>
              </w:rPr>
            </w:pPr>
            <w:r>
              <w:rPr>
                <w:rFonts w:cstheme="minorHAnsi"/>
                <w:sz w:val="18"/>
                <w:szCs w:val="18"/>
              </w:rPr>
              <w:t xml:space="preserve"> $ </w:t>
            </w:r>
            <w:r w:rsidRPr="00277868">
              <w:rPr>
                <w:rFonts w:cstheme="minorHAnsi"/>
                <w:sz w:val="18"/>
                <w:szCs w:val="18"/>
              </w:rPr>
              <w:t xml:space="preserve">44,520 </w:t>
            </w:r>
          </w:p>
        </w:tc>
      </w:tr>
    </w:tbl>
    <w:p w14:paraId="1DEA79FB" w14:textId="77777777" w:rsidR="00BD7B0C" w:rsidRDefault="00BD7B0C" w:rsidP="00261B1F">
      <w:pPr>
        <w:spacing w:before="120" w:after="120" w:line="360" w:lineRule="auto"/>
        <w:rPr>
          <w:rFonts w:cstheme="minorHAnsi"/>
          <w:szCs w:val="24"/>
        </w:rPr>
      </w:pPr>
    </w:p>
    <w:p w14:paraId="19595E8F" w14:textId="0F11226D" w:rsidR="00C02B56" w:rsidRDefault="000A5C84" w:rsidP="008E544B">
      <w:pPr>
        <w:spacing w:before="120" w:after="120" w:line="360" w:lineRule="auto"/>
        <w:rPr>
          <w:rFonts w:cstheme="minorHAnsi"/>
          <w:szCs w:val="24"/>
        </w:rPr>
      </w:pPr>
      <w:r>
        <w:rPr>
          <w:rFonts w:cstheme="minorHAnsi"/>
          <w:szCs w:val="24"/>
        </w:rPr>
        <w:t xml:space="preserve">(ii) </w:t>
      </w:r>
      <w:r w:rsidR="00BD7B0C">
        <w:rPr>
          <w:rFonts w:cstheme="minorHAnsi"/>
          <w:szCs w:val="24"/>
        </w:rPr>
        <w:t xml:space="preserve">The exit survey and focus group to evaluate the impacts of the IPE program showed that the RACF staff who </w:t>
      </w:r>
      <w:r w:rsidR="008C2329">
        <w:rPr>
          <w:rFonts w:cstheme="minorHAnsi"/>
          <w:szCs w:val="24"/>
        </w:rPr>
        <w:t xml:space="preserve">were </w:t>
      </w:r>
      <w:r w:rsidR="00BD7B0C">
        <w:rPr>
          <w:rFonts w:cstheme="minorHAnsi"/>
          <w:szCs w:val="24"/>
        </w:rPr>
        <w:t>involved in the coordinat</w:t>
      </w:r>
      <w:r w:rsidR="008C2329">
        <w:rPr>
          <w:rFonts w:cstheme="minorHAnsi"/>
          <w:szCs w:val="24"/>
        </w:rPr>
        <w:t>ion</w:t>
      </w:r>
      <w:r w:rsidR="00BD7B0C">
        <w:rPr>
          <w:rFonts w:cstheme="minorHAnsi"/>
          <w:szCs w:val="24"/>
        </w:rPr>
        <w:t xml:space="preserve"> and training </w:t>
      </w:r>
      <w:r w:rsidR="008C2329">
        <w:rPr>
          <w:rFonts w:cstheme="minorHAnsi"/>
          <w:szCs w:val="24"/>
        </w:rPr>
        <w:t xml:space="preserve">of </w:t>
      </w:r>
      <w:r w:rsidR="00BD7B0C">
        <w:rPr>
          <w:rFonts w:cstheme="minorHAnsi"/>
          <w:szCs w:val="24"/>
        </w:rPr>
        <w:t xml:space="preserve">students had improved job satisfaction. The RACF administrative data during this period showed a lower rate of absenteeism: a reduction from 6% to 4%. We sourced information for the economic cost of absenteeism from the literature because neither the RACF administrative data nor the IPE program evaluation surveys were designed to collect this information. According to the DHS 2015 survey, for an organisation with 30 staff (full time equivalent), a 4% absenteeism </w:t>
      </w:r>
      <w:r w:rsidR="008C2329">
        <w:rPr>
          <w:rFonts w:cstheme="minorHAnsi"/>
          <w:szCs w:val="24"/>
        </w:rPr>
        <w:t xml:space="preserve">rate </w:t>
      </w:r>
      <w:r w:rsidR="00BD7B0C">
        <w:rPr>
          <w:rFonts w:cstheme="minorHAnsi"/>
          <w:szCs w:val="24"/>
        </w:rPr>
        <w:t>(per annum) was associated with a productivity los</w:t>
      </w:r>
      <w:r w:rsidR="00FE0D4A">
        <w:rPr>
          <w:rFonts w:cstheme="minorHAnsi"/>
          <w:szCs w:val="24"/>
        </w:rPr>
        <w:t>s</w:t>
      </w:r>
      <w:r w:rsidR="00BD7B0C">
        <w:rPr>
          <w:rFonts w:cstheme="minorHAnsi"/>
          <w:szCs w:val="24"/>
        </w:rPr>
        <w:t xml:space="preserve"> of </w:t>
      </w:r>
      <w:r w:rsidR="002E0595">
        <w:rPr>
          <w:rFonts w:cstheme="minorHAnsi"/>
          <w:szCs w:val="24"/>
        </w:rPr>
        <w:t>A$</w:t>
      </w:r>
      <w:r w:rsidR="00BD7B0C">
        <w:rPr>
          <w:rFonts w:cstheme="minorHAnsi"/>
          <w:szCs w:val="24"/>
        </w:rPr>
        <w:t xml:space="preserve">42,000 while 6% </w:t>
      </w:r>
      <w:r w:rsidR="00FE0D4A">
        <w:rPr>
          <w:rFonts w:cstheme="minorHAnsi"/>
          <w:szCs w:val="24"/>
        </w:rPr>
        <w:t xml:space="preserve">was </w:t>
      </w:r>
      <w:r w:rsidR="00BD7B0C">
        <w:rPr>
          <w:rFonts w:cstheme="minorHAnsi"/>
          <w:szCs w:val="24"/>
        </w:rPr>
        <w:t xml:space="preserve">associated with </w:t>
      </w:r>
      <w:r w:rsidR="002E0595">
        <w:rPr>
          <w:rFonts w:cstheme="minorHAnsi"/>
          <w:szCs w:val="24"/>
        </w:rPr>
        <w:t>A$</w:t>
      </w:r>
      <w:r w:rsidR="00BD7B0C">
        <w:rPr>
          <w:rFonts w:cstheme="minorHAnsi"/>
          <w:szCs w:val="24"/>
        </w:rPr>
        <w:t>63,000</w:t>
      </w:r>
      <w:r w:rsidR="007E7F42">
        <w:rPr>
          <w:rFonts w:cstheme="minorHAnsi"/>
          <w:szCs w:val="24"/>
        </w:rPr>
        <w:t xml:space="preserve"> (</w:t>
      </w:r>
      <w:r w:rsidR="007E7F42">
        <w:rPr>
          <w:rFonts w:ascii="Calibri" w:hAnsi="Calibri" w:cs="Calibri"/>
          <w:noProof/>
          <w:lang w:val="en-US"/>
        </w:rPr>
        <w:t xml:space="preserve">Direct Health Soutions, 2015). </w:t>
      </w:r>
      <w:r w:rsidR="00BD7B0C">
        <w:rPr>
          <w:rFonts w:cstheme="minorHAnsi"/>
          <w:szCs w:val="24"/>
        </w:rPr>
        <w:t xml:space="preserve">The </w:t>
      </w:r>
      <w:r w:rsidR="002E0595">
        <w:rPr>
          <w:rFonts w:cstheme="minorHAnsi"/>
          <w:szCs w:val="24"/>
        </w:rPr>
        <w:t>difference was calculated as A$21,000 and used in the Efficiency and R</w:t>
      </w:r>
      <w:r w:rsidR="00A069B1">
        <w:rPr>
          <w:rFonts w:cstheme="minorHAnsi"/>
          <w:szCs w:val="24"/>
        </w:rPr>
        <w:t xml:space="preserve">eferent-Group Analyses (because the cost of absenteeism was not accounted for in staff salary). </w:t>
      </w:r>
    </w:p>
    <w:p w14:paraId="6C3A5D8D" w14:textId="77777777" w:rsidR="00B57A86" w:rsidRDefault="00B57A86" w:rsidP="008E544B">
      <w:pPr>
        <w:spacing w:before="120" w:after="120" w:line="360" w:lineRule="auto"/>
        <w:rPr>
          <w:rFonts w:cstheme="minorHAnsi"/>
          <w:szCs w:val="24"/>
        </w:rPr>
      </w:pPr>
    </w:p>
    <w:p w14:paraId="0C3EF88D" w14:textId="7A7DCD6D" w:rsidR="00D330DB" w:rsidRDefault="008E544B" w:rsidP="00261B1F">
      <w:pPr>
        <w:spacing w:before="120" w:after="120" w:line="360" w:lineRule="auto"/>
      </w:pPr>
      <w:r>
        <w:rPr>
          <w:rFonts w:cstheme="minorHAnsi"/>
          <w:szCs w:val="24"/>
        </w:rPr>
        <w:t xml:space="preserve">(iii) </w:t>
      </w:r>
      <w:r w:rsidR="00343451" w:rsidRPr="00BB2071">
        <w:rPr>
          <w:rFonts w:cstheme="minorHAnsi"/>
          <w:szCs w:val="24"/>
        </w:rPr>
        <w:t>During the IPE period, the RACF recorded an annual reduction of 0.4% in staff turnover</w:t>
      </w:r>
      <w:r w:rsidR="00BB2071">
        <w:rPr>
          <w:rFonts w:cstheme="minorHAnsi"/>
          <w:szCs w:val="24"/>
        </w:rPr>
        <w:t xml:space="preserve"> (according to administrative records)</w:t>
      </w:r>
      <w:r w:rsidR="00343451" w:rsidRPr="00BB2071">
        <w:rPr>
          <w:rFonts w:cstheme="minorHAnsi"/>
          <w:szCs w:val="24"/>
        </w:rPr>
        <w:t xml:space="preserve">. </w:t>
      </w:r>
      <w:r w:rsidR="00A33C61" w:rsidRPr="00BB2071">
        <w:t xml:space="preserve">This (0.4% reduction) was </w:t>
      </w:r>
      <w:r w:rsidR="008C2329">
        <w:t>determined by</w:t>
      </w:r>
      <w:r w:rsidR="00A33C61" w:rsidRPr="00BB2071">
        <w:t xml:space="preserve"> </w:t>
      </w:r>
      <w:r w:rsidR="008C2329">
        <w:t>two</w:t>
      </w:r>
      <w:r w:rsidR="00A33C61" w:rsidRPr="00BB2071">
        <w:t xml:space="preserve"> fewer staff resign</w:t>
      </w:r>
      <w:r w:rsidR="008C2329">
        <w:t>ations</w:t>
      </w:r>
      <w:r w:rsidR="00A33C61" w:rsidRPr="00BB2071">
        <w:t xml:space="preserve"> compared to the period before</w:t>
      </w:r>
      <w:r w:rsidR="008C2329">
        <w:t xml:space="preserve"> the</w:t>
      </w:r>
      <w:r w:rsidR="00A33C61" w:rsidRPr="00BB2071">
        <w:t xml:space="preserve"> IPE program. The</w:t>
      </w:r>
      <w:r w:rsidR="00A33C61">
        <w:t xml:space="preserve"> </w:t>
      </w:r>
      <w:r w:rsidR="009D5956">
        <w:t xml:space="preserve">marginal cost of </w:t>
      </w:r>
      <w:r w:rsidR="00A33C61">
        <w:t xml:space="preserve">turnover </w:t>
      </w:r>
      <w:r w:rsidR="009D5956">
        <w:t>(</w:t>
      </w:r>
      <w:r w:rsidR="00A33C61">
        <w:t>per staff</w:t>
      </w:r>
      <w:r w:rsidR="008C2329">
        <w:t xml:space="preserve"> member</w:t>
      </w:r>
      <w:r w:rsidR="009D5956">
        <w:t>)</w:t>
      </w:r>
      <w:r w:rsidR="00A33C61">
        <w:t xml:space="preserve"> was estimated in the literature as A$28,000</w:t>
      </w:r>
      <w:r w:rsidR="00A207F9">
        <w:t xml:space="preserve"> (Mukamel et al., 2016)</w:t>
      </w:r>
      <w:r w:rsidR="00A33C61">
        <w:t xml:space="preserve">. This translated into savings of A$3,389 per annum for </w:t>
      </w:r>
      <w:r w:rsidR="00387AFB">
        <w:t>the R</w:t>
      </w:r>
      <w:r w:rsidR="00BB2071">
        <w:t>ACF (3,389 = 28,000 * 0.4% * 30, with</w:t>
      </w:r>
      <w:r w:rsidR="00387AFB">
        <w:t xml:space="preserve"> 30 being the average number of RACF staff per annum)</w:t>
      </w:r>
      <w:r w:rsidR="00C84CDA">
        <w:t xml:space="preserve">. </w:t>
      </w:r>
      <w:r w:rsidR="00F037F8">
        <w:t>Since this is the cost actually incurred by the aged care organisation (e.g. costs associated with advertisement of the position, interviewing, organisation orientation and job training</w:t>
      </w:r>
      <w:r w:rsidR="00444FD0">
        <w:t xml:space="preserve">), this cost was included in all analyses. </w:t>
      </w:r>
      <w:r w:rsidR="00F037F8">
        <w:t xml:space="preserve"> </w:t>
      </w:r>
    </w:p>
    <w:p w14:paraId="03FEE793" w14:textId="77777777" w:rsidR="00D60F51" w:rsidRDefault="00D60F51" w:rsidP="00261B1F">
      <w:pPr>
        <w:spacing w:before="120" w:after="120" w:line="360" w:lineRule="auto"/>
        <w:rPr>
          <w:rFonts w:cstheme="minorHAnsi"/>
          <w:szCs w:val="24"/>
        </w:rPr>
      </w:pPr>
    </w:p>
    <w:p w14:paraId="076A583F" w14:textId="0EC4DEF2" w:rsidR="00207E02" w:rsidRPr="005807F7" w:rsidRDefault="009F4569" w:rsidP="00647335">
      <w:pPr>
        <w:pStyle w:val="ListParagraph"/>
        <w:numPr>
          <w:ilvl w:val="0"/>
          <w:numId w:val="2"/>
        </w:numPr>
        <w:spacing w:before="120" w:after="120" w:line="360" w:lineRule="auto"/>
        <w:rPr>
          <w:rFonts w:cstheme="minorHAnsi"/>
          <w:szCs w:val="24"/>
        </w:rPr>
      </w:pPr>
      <w:r w:rsidRPr="005807F7">
        <w:rPr>
          <w:rFonts w:cstheme="minorHAnsi"/>
          <w:szCs w:val="24"/>
        </w:rPr>
        <w:t>The IPE program was found to bring “positive effects on the physical health, emotional wellbeing and social interaction of residents at the facility</w:t>
      </w:r>
      <w:r w:rsidR="008C2329">
        <w:rPr>
          <w:rFonts w:cstheme="minorHAnsi"/>
          <w:szCs w:val="24"/>
        </w:rPr>
        <w:t>.</w:t>
      </w:r>
      <w:r w:rsidRPr="005807F7">
        <w:rPr>
          <w:rFonts w:cstheme="minorHAnsi"/>
          <w:szCs w:val="24"/>
        </w:rPr>
        <w:t xml:space="preserve">” </w:t>
      </w:r>
      <w:r w:rsidR="005807F7">
        <w:rPr>
          <w:rFonts w:cstheme="minorHAnsi"/>
          <w:szCs w:val="24"/>
        </w:rPr>
        <w:t>The exit survey and focus group showed that r</w:t>
      </w:r>
      <w:r w:rsidR="005807F7" w:rsidRPr="005807F7">
        <w:rPr>
          <w:rFonts w:cstheme="minorHAnsi"/>
          <w:szCs w:val="24"/>
        </w:rPr>
        <w:t xml:space="preserve">esidents appreciated the interactions they had with students and with each other as a result of the </w:t>
      </w:r>
      <w:r w:rsidR="005807F7">
        <w:rPr>
          <w:rFonts w:cstheme="minorHAnsi"/>
          <w:szCs w:val="24"/>
        </w:rPr>
        <w:t xml:space="preserve">IPE </w:t>
      </w:r>
      <w:r w:rsidR="005807F7" w:rsidRPr="005807F7">
        <w:rPr>
          <w:rFonts w:cstheme="minorHAnsi"/>
          <w:szCs w:val="24"/>
        </w:rPr>
        <w:t>program</w:t>
      </w:r>
      <w:r w:rsidR="00EC1326">
        <w:rPr>
          <w:rFonts w:cstheme="minorHAnsi"/>
          <w:szCs w:val="24"/>
        </w:rPr>
        <w:t xml:space="preserve"> </w:t>
      </w:r>
      <w:r w:rsidR="00EC1326" w:rsidRPr="00F44B87">
        <w:rPr>
          <w:rFonts w:cstheme="minorHAnsi"/>
          <w:szCs w:val="24"/>
        </w:rPr>
        <w:t>(</w:t>
      </w:r>
      <w:r w:rsidR="00EC1326">
        <w:rPr>
          <w:rFonts w:cstheme="minorHAnsi"/>
          <w:szCs w:val="24"/>
        </w:rPr>
        <w:t xml:space="preserve">Seaman </w:t>
      </w:r>
      <w:r w:rsidR="00EC1326" w:rsidRPr="00F44B87">
        <w:rPr>
          <w:rFonts w:cstheme="minorHAnsi"/>
          <w:szCs w:val="24"/>
        </w:rPr>
        <w:t>&amp; Williams, 2016</w:t>
      </w:r>
      <w:r w:rsidR="00EC1326">
        <w:rPr>
          <w:rFonts w:cstheme="minorHAnsi"/>
          <w:sz w:val="20"/>
          <w:szCs w:val="24"/>
        </w:rPr>
        <w:t>).</w:t>
      </w:r>
      <w:r w:rsidR="00EC1326">
        <w:rPr>
          <w:rFonts w:cstheme="minorHAnsi"/>
          <w:szCs w:val="24"/>
        </w:rPr>
        <w:t xml:space="preserve"> </w:t>
      </w:r>
      <w:r w:rsidR="005807F7">
        <w:rPr>
          <w:rFonts w:cstheme="minorHAnsi"/>
          <w:szCs w:val="24"/>
        </w:rPr>
        <w:t xml:space="preserve"> </w:t>
      </w:r>
      <w:r w:rsidRPr="005807F7">
        <w:rPr>
          <w:rFonts w:cstheme="minorHAnsi"/>
          <w:szCs w:val="24"/>
        </w:rPr>
        <w:t xml:space="preserve">We translated these impacts into improved </w:t>
      </w:r>
      <w:r w:rsidR="00207E02" w:rsidRPr="005807F7">
        <w:rPr>
          <w:rFonts w:cstheme="minorHAnsi"/>
          <w:szCs w:val="24"/>
        </w:rPr>
        <w:t>quality of life and health outcomes for RACF residents</w:t>
      </w:r>
      <w:r w:rsidR="007A2337" w:rsidRPr="005807F7">
        <w:rPr>
          <w:rFonts w:cstheme="minorHAnsi"/>
          <w:szCs w:val="24"/>
        </w:rPr>
        <w:t xml:space="preserve"> through additional service delivery (e.g. student-led education sessions) during the program period</w:t>
      </w:r>
      <w:r w:rsidR="00207E02" w:rsidRPr="005807F7">
        <w:rPr>
          <w:rFonts w:cstheme="minorHAnsi"/>
          <w:szCs w:val="24"/>
        </w:rPr>
        <w:t xml:space="preserve">, which translated to reduced unnecessary health service utilisation. </w:t>
      </w:r>
      <w:r w:rsidR="00223EE3" w:rsidRPr="005807F7">
        <w:rPr>
          <w:rFonts w:cstheme="minorHAnsi"/>
          <w:szCs w:val="24"/>
        </w:rPr>
        <w:t>Impacts of the IPE program on residents, therefore, were calculated as two benefit items: (i) increased quality of life, and (ii)</w:t>
      </w:r>
      <w:r w:rsidR="00D330DB" w:rsidRPr="005807F7">
        <w:rPr>
          <w:rFonts w:cstheme="minorHAnsi"/>
          <w:szCs w:val="24"/>
        </w:rPr>
        <w:t xml:space="preserve"> reduced health care utilisations in terms of GP visits and ED transfer (per annu</w:t>
      </w:r>
      <w:r w:rsidR="008C2329">
        <w:rPr>
          <w:rFonts w:cstheme="minorHAnsi"/>
          <w:szCs w:val="24"/>
        </w:rPr>
        <w:t>m</w:t>
      </w:r>
      <w:r w:rsidR="00D330DB" w:rsidRPr="005807F7">
        <w:rPr>
          <w:rFonts w:cstheme="minorHAnsi"/>
          <w:szCs w:val="24"/>
        </w:rPr>
        <w:t>)</w:t>
      </w:r>
      <w:r w:rsidR="0013397E" w:rsidRPr="005807F7">
        <w:rPr>
          <w:rFonts w:cstheme="minorHAnsi"/>
          <w:szCs w:val="24"/>
        </w:rPr>
        <w:t xml:space="preserve">. </w:t>
      </w:r>
      <w:r w:rsidR="00D330DB" w:rsidRPr="005807F7">
        <w:rPr>
          <w:rFonts w:cstheme="minorHAnsi"/>
          <w:szCs w:val="24"/>
        </w:rPr>
        <w:t xml:space="preserve"> </w:t>
      </w:r>
    </w:p>
    <w:p w14:paraId="07984433" w14:textId="38AA11C9" w:rsidR="00033B68" w:rsidRDefault="00843949" w:rsidP="00755DC0">
      <w:pPr>
        <w:spacing w:before="120" w:after="120" w:line="360" w:lineRule="auto"/>
        <w:rPr>
          <w:rFonts w:cstheme="minorHAnsi"/>
          <w:szCs w:val="24"/>
        </w:rPr>
      </w:pPr>
      <w:r>
        <w:rPr>
          <w:rFonts w:cstheme="minorHAnsi"/>
          <w:szCs w:val="24"/>
        </w:rPr>
        <w:t xml:space="preserve">(i) </w:t>
      </w:r>
      <w:r w:rsidR="00B46CF9">
        <w:rPr>
          <w:rFonts w:cstheme="minorHAnsi"/>
          <w:szCs w:val="24"/>
        </w:rPr>
        <w:t xml:space="preserve">The improved quality of life </w:t>
      </w:r>
      <w:r w:rsidR="008C2329">
        <w:rPr>
          <w:rFonts w:cstheme="minorHAnsi"/>
          <w:szCs w:val="24"/>
        </w:rPr>
        <w:t xml:space="preserve">came </w:t>
      </w:r>
      <w:r w:rsidR="00B46CF9">
        <w:rPr>
          <w:rFonts w:cstheme="minorHAnsi"/>
          <w:szCs w:val="24"/>
        </w:rPr>
        <w:t xml:space="preserve">from services provided and led by IPE students </w:t>
      </w:r>
      <w:r w:rsidR="00850880">
        <w:rPr>
          <w:rFonts w:cstheme="minorHAnsi"/>
          <w:szCs w:val="24"/>
        </w:rPr>
        <w:t>(</w:t>
      </w:r>
      <w:r w:rsidR="00B46CF9">
        <w:rPr>
          <w:rFonts w:cstheme="minorHAnsi"/>
          <w:szCs w:val="24"/>
        </w:rPr>
        <w:t xml:space="preserve">which increased </w:t>
      </w:r>
      <w:r w:rsidR="008C2329">
        <w:rPr>
          <w:rFonts w:cstheme="minorHAnsi"/>
          <w:szCs w:val="24"/>
        </w:rPr>
        <w:t xml:space="preserve">the </w:t>
      </w:r>
      <w:r w:rsidR="00B46CF9">
        <w:rPr>
          <w:rFonts w:cstheme="minorHAnsi"/>
          <w:szCs w:val="24"/>
        </w:rPr>
        <w:t>mobility and physical performance</w:t>
      </w:r>
      <w:r w:rsidR="00850880">
        <w:rPr>
          <w:rFonts w:cstheme="minorHAnsi"/>
          <w:szCs w:val="24"/>
        </w:rPr>
        <w:t xml:space="preserve"> of residents)</w:t>
      </w:r>
      <w:r w:rsidR="00B46CF9">
        <w:rPr>
          <w:rFonts w:cstheme="minorHAnsi"/>
          <w:szCs w:val="24"/>
        </w:rPr>
        <w:t xml:space="preserve"> </w:t>
      </w:r>
      <w:r w:rsidR="00850880">
        <w:rPr>
          <w:rFonts w:cstheme="minorHAnsi"/>
          <w:szCs w:val="24"/>
        </w:rPr>
        <w:t xml:space="preserve">and </w:t>
      </w:r>
      <w:r w:rsidR="00B46CF9">
        <w:rPr>
          <w:rFonts w:cstheme="minorHAnsi"/>
          <w:szCs w:val="24"/>
        </w:rPr>
        <w:t xml:space="preserve">increased contact hours </w:t>
      </w:r>
      <w:r w:rsidR="00850880">
        <w:rPr>
          <w:rFonts w:cstheme="minorHAnsi"/>
          <w:szCs w:val="24"/>
        </w:rPr>
        <w:t>between students and residents during the placement period</w:t>
      </w:r>
      <w:r w:rsidR="00B46CF9">
        <w:rPr>
          <w:rFonts w:cstheme="minorHAnsi"/>
          <w:szCs w:val="24"/>
        </w:rPr>
        <w:t xml:space="preserve">. </w:t>
      </w:r>
      <w:r w:rsidR="008C2329">
        <w:rPr>
          <w:rFonts w:cstheme="minorHAnsi"/>
          <w:szCs w:val="24"/>
        </w:rPr>
        <w:t xml:space="preserve">During </w:t>
      </w:r>
      <w:r w:rsidR="004622FC">
        <w:rPr>
          <w:rFonts w:cstheme="minorHAnsi"/>
          <w:szCs w:val="24"/>
        </w:rPr>
        <w:t xml:space="preserve">the exit survey, residents were </w:t>
      </w:r>
      <w:r w:rsidR="008C2329">
        <w:rPr>
          <w:rFonts w:cstheme="minorHAnsi"/>
          <w:szCs w:val="24"/>
        </w:rPr>
        <w:t xml:space="preserve">asked </w:t>
      </w:r>
      <w:r w:rsidR="004622FC">
        <w:rPr>
          <w:rFonts w:cstheme="minorHAnsi"/>
          <w:szCs w:val="24"/>
        </w:rPr>
        <w:t xml:space="preserve">their perception </w:t>
      </w:r>
      <w:r w:rsidR="008C2329">
        <w:rPr>
          <w:rFonts w:cstheme="minorHAnsi"/>
          <w:szCs w:val="24"/>
        </w:rPr>
        <w:t xml:space="preserve">of </w:t>
      </w:r>
      <w:r w:rsidR="004622FC">
        <w:rPr>
          <w:rFonts w:cstheme="minorHAnsi"/>
          <w:szCs w:val="24"/>
        </w:rPr>
        <w:t xml:space="preserve">students and </w:t>
      </w:r>
      <w:r w:rsidR="008C2329">
        <w:rPr>
          <w:rFonts w:cstheme="minorHAnsi"/>
          <w:szCs w:val="24"/>
        </w:rPr>
        <w:t xml:space="preserve">the </w:t>
      </w:r>
      <w:r w:rsidR="004622FC">
        <w:rPr>
          <w:rFonts w:cstheme="minorHAnsi"/>
          <w:szCs w:val="24"/>
        </w:rPr>
        <w:t>benefits the IPE students brought to the RACF and themselves, individually</w:t>
      </w:r>
      <w:r w:rsidR="00EC1326">
        <w:rPr>
          <w:rFonts w:cstheme="minorHAnsi"/>
          <w:szCs w:val="24"/>
        </w:rPr>
        <w:t xml:space="preserve"> </w:t>
      </w:r>
      <w:r w:rsidR="00EC1326" w:rsidRPr="00F44B87">
        <w:rPr>
          <w:rFonts w:cstheme="minorHAnsi"/>
          <w:szCs w:val="24"/>
        </w:rPr>
        <w:t>(</w:t>
      </w:r>
      <w:r w:rsidR="00EC1326">
        <w:rPr>
          <w:rFonts w:cstheme="minorHAnsi"/>
          <w:szCs w:val="24"/>
        </w:rPr>
        <w:t xml:space="preserve">Seaman </w:t>
      </w:r>
      <w:r w:rsidR="00EC1326" w:rsidRPr="00F44B87">
        <w:rPr>
          <w:rFonts w:cstheme="minorHAnsi"/>
          <w:szCs w:val="24"/>
        </w:rPr>
        <w:t>&amp; Williams, 2016</w:t>
      </w:r>
      <w:r w:rsidR="00EC1326">
        <w:rPr>
          <w:rFonts w:cstheme="minorHAnsi"/>
          <w:sz w:val="20"/>
          <w:szCs w:val="24"/>
        </w:rPr>
        <w:t>).</w:t>
      </w:r>
      <w:r w:rsidR="004622FC">
        <w:rPr>
          <w:rFonts w:cstheme="minorHAnsi"/>
          <w:szCs w:val="24"/>
        </w:rPr>
        <w:t xml:space="preserve"> </w:t>
      </w:r>
      <w:r w:rsidR="00524297">
        <w:rPr>
          <w:rFonts w:cstheme="minorHAnsi"/>
          <w:szCs w:val="24"/>
        </w:rPr>
        <w:t xml:space="preserve">Subsequently, we made </w:t>
      </w:r>
      <w:r w:rsidR="00294CEA">
        <w:rPr>
          <w:rFonts w:cstheme="minorHAnsi"/>
          <w:szCs w:val="24"/>
        </w:rPr>
        <w:t xml:space="preserve">a </w:t>
      </w:r>
      <w:r w:rsidR="00524297">
        <w:rPr>
          <w:rFonts w:cstheme="minorHAnsi"/>
          <w:szCs w:val="24"/>
        </w:rPr>
        <w:t xml:space="preserve">conservative assumption of </w:t>
      </w:r>
      <w:r w:rsidR="00445C44">
        <w:rPr>
          <w:rFonts w:cstheme="minorHAnsi"/>
          <w:szCs w:val="24"/>
        </w:rPr>
        <w:t>5</w:t>
      </w:r>
      <w:r w:rsidR="00524297">
        <w:rPr>
          <w:rFonts w:cstheme="minorHAnsi"/>
          <w:szCs w:val="24"/>
        </w:rPr>
        <w:t>% improve</w:t>
      </w:r>
      <w:r w:rsidR="00294CEA">
        <w:rPr>
          <w:rFonts w:cstheme="minorHAnsi"/>
          <w:szCs w:val="24"/>
        </w:rPr>
        <w:t>ment</w:t>
      </w:r>
      <w:r w:rsidR="00524297">
        <w:rPr>
          <w:rFonts w:cstheme="minorHAnsi"/>
          <w:szCs w:val="24"/>
        </w:rPr>
        <w:t xml:space="preserve"> in quality of life attributable for increased contact hours and an additional </w:t>
      </w:r>
      <w:r w:rsidR="00445C44">
        <w:rPr>
          <w:rFonts w:cstheme="minorHAnsi"/>
          <w:szCs w:val="24"/>
        </w:rPr>
        <w:t>5</w:t>
      </w:r>
      <w:r w:rsidR="00524297">
        <w:rPr>
          <w:rFonts w:cstheme="minorHAnsi"/>
          <w:szCs w:val="24"/>
        </w:rPr>
        <w:t xml:space="preserve">% improvement due to increased mobility and physical performance. These summed to a </w:t>
      </w:r>
      <w:r w:rsidR="00445C44">
        <w:rPr>
          <w:rFonts w:cstheme="minorHAnsi"/>
          <w:szCs w:val="24"/>
        </w:rPr>
        <w:t>10</w:t>
      </w:r>
      <w:r w:rsidR="00524297">
        <w:rPr>
          <w:rFonts w:cstheme="minorHAnsi"/>
          <w:szCs w:val="24"/>
        </w:rPr>
        <w:t>% increase in quality of life per annum. Taking the Australia</w:t>
      </w:r>
      <w:r w:rsidR="002A5195">
        <w:rPr>
          <w:rFonts w:cstheme="minorHAnsi"/>
          <w:szCs w:val="24"/>
        </w:rPr>
        <w:t>n government’s</w:t>
      </w:r>
      <w:r w:rsidR="00524297">
        <w:rPr>
          <w:rFonts w:cstheme="minorHAnsi"/>
          <w:szCs w:val="24"/>
        </w:rPr>
        <w:t xml:space="preserve"> implicit willingness to pay standard of A$50</w:t>
      </w:r>
      <w:r w:rsidR="00033B68">
        <w:rPr>
          <w:rFonts w:cstheme="minorHAnsi"/>
          <w:szCs w:val="24"/>
        </w:rPr>
        <w:t>,000 (applied for health technology assessment of medical agents, services and device</w:t>
      </w:r>
      <w:r w:rsidR="008C2329">
        <w:rPr>
          <w:rFonts w:cstheme="minorHAnsi"/>
          <w:szCs w:val="24"/>
        </w:rPr>
        <w:t>s</w:t>
      </w:r>
      <w:r w:rsidR="00033B68">
        <w:rPr>
          <w:rFonts w:cstheme="minorHAnsi"/>
          <w:szCs w:val="24"/>
        </w:rPr>
        <w:t xml:space="preserve"> by the Pharmaceutical Benefit Schedule and the Medical Benefit Scheme)</w:t>
      </w:r>
      <w:r w:rsidR="00E96EC2">
        <w:rPr>
          <w:rFonts w:cstheme="minorHAnsi"/>
          <w:szCs w:val="24"/>
        </w:rPr>
        <w:t>, we calculated the value of improved quality of life per resident per year at A$</w:t>
      </w:r>
      <w:r w:rsidR="00445C44">
        <w:rPr>
          <w:rFonts w:cstheme="minorHAnsi"/>
          <w:szCs w:val="24"/>
        </w:rPr>
        <w:t>5</w:t>
      </w:r>
      <w:r w:rsidR="00E96EC2">
        <w:rPr>
          <w:rFonts w:cstheme="minorHAnsi"/>
          <w:szCs w:val="24"/>
        </w:rPr>
        <w:t>,</w:t>
      </w:r>
      <w:r w:rsidR="00445C44">
        <w:rPr>
          <w:rFonts w:cstheme="minorHAnsi"/>
          <w:szCs w:val="24"/>
        </w:rPr>
        <w:t xml:space="preserve">000 </w:t>
      </w:r>
      <w:r w:rsidR="00F148D6">
        <w:rPr>
          <w:rFonts w:cstheme="minorHAnsi"/>
          <w:szCs w:val="24"/>
        </w:rPr>
        <w:t xml:space="preserve">(see </w:t>
      </w:r>
      <w:r w:rsidR="00A7457A">
        <w:rPr>
          <w:rFonts w:cstheme="minorHAnsi"/>
          <w:szCs w:val="24"/>
        </w:rPr>
        <w:fldChar w:fldCharType="begin"/>
      </w:r>
      <w:r w:rsidR="00A7457A">
        <w:rPr>
          <w:rFonts w:cstheme="minorHAnsi"/>
          <w:szCs w:val="24"/>
        </w:rPr>
        <w:instrText xml:space="preserve"> REF _Ref505001405 \h  \* MERGEFORMAT </w:instrText>
      </w:r>
      <w:r w:rsidR="00A7457A">
        <w:rPr>
          <w:rFonts w:cstheme="minorHAnsi"/>
          <w:szCs w:val="24"/>
        </w:rPr>
      </w:r>
      <w:r w:rsidR="00A7457A">
        <w:rPr>
          <w:rFonts w:cstheme="minorHAnsi"/>
          <w:szCs w:val="24"/>
        </w:rPr>
        <w:fldChar w:fldCharType="separate"/>
      </w:r>
      <w:r w:rsidR="00A7457A" w:rsidRPr="00A7457A">
        <w:rPr>
          <w:rFonts w:cstheme="minorHAnsi"/>
          <w:szCs w:val="24"/>
        </w:rPr>
        <w:t>Table 4</w:t>
      </w:r>
      <w:r w:rsidR="00A7457A">
        <w:rPr>
          <w:rFonts w:cstheme="minorHAnsi"/>
          <w:szCs w:val="24"/>
        </w:rPr>
        <w:fldChar w:fldCharType="end"/>
      </w:r>
      <w:r w:rsidR="00F148D6">
        <w:rPr>
          <w:rFonts w:cstheme="minorHAnsi"/>
          <w:szCs w:val="24"/>
        </w:rPr>
        <w:t>)</w:t>
      </w:r>
      <w:r w:rsidR="00A7457A">
        <w:rPr>
          <w:rFonts w:cstheme="minorHAnsi"/>
          <w:szCs w:val="24"/>
        </w:rPr>
        <w:t>.</w:t>
      </w:r>
      <w:r w:rsidR="00F148D6">
        <w:rPr>
          <w:rFonts w:cstheme="minorHAnsi"/>
          <w:szCs w:val="24"/>
        </w:rPr>
        <w:t xml:space="preserve"> </w:t>
      </w:r>
      <w:r w:rsidR="002A61D5">
        <w:rPr>
          <w:rFonts w:cstheme="minorHAnsi"/>
          <w:szCs w:val="24"/>
        </w:rPr>
        <w:t>Th</w:t>
      </w:r>
      <w:r w:rsidR="00294CEA">
        <w:rPr>
          <w:rFonts w:cstheme="minorHAnsi"/>
          <w:szCs w:val="24"/>
        </w:rPr>
        <w:t>is</w:t>
      </w:r>
      <w:r w:rsidR="002A61D5">
        <w:rPr>
          <w:rFonts w:cstheme="minorHAnsi"/>
          <w:szCs w:val="24"/>
        </w:rPr>
        <w:t xml:space="preserve"> value </w:t>
      </w:r>
      <w:r w:rsidR="008C2329">
        <w:rPr>
          <w:rFonts w:cstheme="minorHAnsi"/>
          <w:szCs w:val="24"/>
        </w:rPr>
        <w:t xml:space="preserve">was </w:t>
      </w:r>
      <w:r w:rsidR="002A61D5">
        <w:rPr>
          <w:rFonts w:cstheme="minorHAnsi"/>
          <w:szCs w:val="24"/>
        </w:rPr>
        <w:t>not captured in any market (i.e. residents were not charged for attending the extra services that IPE students provided during the placement period) and</w:t>
      </w:r>
      <w:r w:rsidR="008C2329">
        <w:rPr>
          <w:rFonts w:cstheme="minorHAnsi"/>
          <w:szCs w:val="24"/>
        </w:rPr>
        <w:t xml:space="preserve"> was</w:t>
      </w:r>
      <w:r w:rsidR="002A61D5">
        <w:rPr>
          <w:rFonts w:cstheme="minorHAnsi"/>
          <w:szCs w:val="24"/>
        </w:rPr>
        <w:t xml:space="preserve"> therefore used in the Efficiency and Referent-Group Analyses. </w:t>
      </w:r>
    </w:p>
    <w:p w14:paraId="05271E55" w14:textId="13C93293" w:rsidR="00A7457A" w:rsidRPr="00A7457A" w:rsidRDefault="00A7457A" w:rsidP="00A7457A">
      <w:pPr>
        <w:pStyle w:val="Caption"/>
        <w:spacing w:before="60" w:after="60"/>
        <w:rPr>
          <w:b/>
        </w:rPr>
      </w:pPr>
      <w:bookmarkStart w:id="8" w:name="_Ref505001405"/>
      <w:r w:rsidRPr="00387CF3">
        <w:rPr>
          <w:b/>
        </w:rPr>
        <w:t xml:space="preserve">Table </w:t>
      </w:r>
      <w:r w:rsidRPr="000D3506">
        <w:rPr>
          <w:b/>
        </w:rPr>
        <w:fldChar w:fldCharType="begin"/>
      </w:r>
      <w:r w:rsidRPr="000D3506">
        <w:rPr>
          <w:b/>
        </w:rPr>
        <w:instrText xml:space="preserve"> SEQ Table \* ARABIC </w:instrText>
      </w:r>
      <w:r w:rsidRPr="000D3506">
        <w:rPr>
          <w:b/>
        </w:rPr>
        <w:fldChar w:fldCharType="separate"/>
      </w:r>
      <w:r>
        <w:rPr>
          <w:b/>
          <w:noProof/>
        </w:rPr>
        <w:t>4</w:t>
      </w:r>
      <w:r w:rsidRPr="000D3506">
        <w:rPr>
          <w:b/>
        </w:rPr>
        <w:fldChar w:fldCharType="end"/>
      </w:r>
      <w:bookmarkEnd w:id="8"/>
      <w:r w:rsidRPr="000D3506">
        <w:rPr>
          <w:b/>
        </w:rPr>
        <w:t xml:space="preserve">: </w:t>
      </w:r>
      <w:r w:rsidR="00D96598">
        <w:rPr>
          <w:b/>
        </w:rPr>
        <w:t xml:space="preserve">Estimated values of improved quality of life for RACF residents during the </w:t>
      </w:r>
      <w:r w:rsidR="00115063">
        <w:rPr>
          <w:b/>
        </w:rPr>
        <w:t>IPE operation period (2013-2015)</w:t>
      </w:r>
      <w:r w:rsidR="00D96598">
        <w:rPr>
          <w:b/>
        </w:rPr>
        <w:t xml:space="preserve"> </w:t>
      </w:r>
    </w:p>
    <w:tbl>
      <w:tblPr>
        <w:tblStyle w:val="TableGrid"/>
        <w:tblW w:w="9067" w:type="dxa"/>
        <w:tblLook w:val="04A0" w:firstRow="1" w:lastRow="0" w:firstColumn="1" w:lastColumn="0" w:noHBand="0" w:noVBand="1"/>
      </w:tblPr>
      <w:tblGrid>
        <w:gridCol w:w="1122"/>
        <w:gridCol w:w="4827"/>
        <w:gridCol w:w="3118"/>
      </w:tblGrid>
      <w:tr w:rsidR="00F148D6" w:rsidRPr="00F148D6" w14:paraId="6EC46AC8" w14:textId="77777777" w:rsidTr="00115063">
        <w:trPr>
          <w:trHeight w:val="315"/>
        </w:trPr>
        <w:tc>
          <w:tcPr>
            <w:tcW w:w="1122" w:type="dxa"/>
          </w:tcPr>
          <w:p w14:paraId="7161CB94" w14:textId="61EBA9C9" w:rsidR="00F148D6" w:rsidRPr="00F148D6" w:rsidRDefault="00007528" w:rsidP="00F148D6">
            <w:pPr>
              <w:spacing w:before="60" w:after="60"/>
              <w:jc w:val="center"/>
              <w:rPr>
                <w:rFonts w:cstheme="minorHAnsi"/>
                <w:b/>
                <w:sz w:val="18"/>
                <w:szCs w:val="18"/>
              </w:rPr>
            </w:pPr>
            <w:r>
              <w:rPr>
                <w:rFonts w:cstheme="minorHAnsi"/>
                <w:b/>
                <w:sz w:val="18"/>
                <w:szCs w:val="18"/>
              </w:rPr>
              <w:t>Calculations</w:t>
            </w:r>
          </w:p>
        </w:tc>
        <w:tc>
          <w:tcPr>
            <w:tcW w:w="4827" w:type="dxa"/>
            <w:noWrap/>
          </w:tcPr>
          <w:p w14:paraId="558E801F" w14:textId="7DA9AD14" w:rsidR="00F148D6" w:rsidRPr="00F148D6" w:rsidRDefault="00F148D6" w:rsidP="00F148D6">
            <w:pPr>
              <w:spacing w:before="60" w:after="60"/>
              <w:jc w:val="center"/>
              <w:rPr>
                <w:rFonts w:cstheme="minorHAnsi"/>
                <w:b/>
                <w:sz w:val="18"/>
                <w:szCs w:val="18"/>
              </w:rPr>
            </w:pPr>
            <w:r w:rsidRPr="00F148D6">
              <w:rPr>
                <w:rFonts w:cstheme="minorHAnsi"/>
                <w:b/>
                <w:sz w:val="18"/>
                <w:szCs w:val="18"/>
              </w:rPr>
              <w:t xml:space="preserve">Descriptions </w:t>
            </w:r>
          </w:p>
        </w:tc>
        <w:tc>
          <w:tcPr>
            <w:tcW w:w="3118" w:type="dxa"/>
            <w:noWrap/>
          </w:tcPr>
          <w:p w14:paraId="56D61A86" w14:textId="76451502" w:rsidR="00F148D6" w:rsidRPr="00F148D6" w:rsidRDefault="00F148D6" w:rsidP="00F148D6">
            <w:pPr>
              <w:spacing w:before="60" w:after="60"/>
              <w:jc w:val="center"/>
              <w:rPr>
                <w:rFonts w:cstheme="minorHAnsi"/>
                <w:b/>
                <w:sz w:val="18"/>
                <w:szCs w:val="18"/>
              </w:rPr>
            </w:pPr>
            <w:r w:rsidRPr="00F148D6">
              <w:rPr>
                <w:rFonts w:cstheme="minorHAnsi"/>
                <w:b/>
                <w:sz w:val="18"/>
                <w:szCs w:val="18"/>
              </w:rPr>
              <w:t>Values (per annum)</w:t>
            </w:r>
          </w:p>
        </w:tc>
      </w:tr>
      <w:tr w:rsidR="00F148D6" w:rsidRPr="00F148D6" w14:paraId="240F301F" w14:textId="77777777" w:rsidTr="00115063">
        <w:trPr>
          <w:trHeight w:val="315"/>
        </w:trPr>
        <w:tc>
          <w:tcPr>
            <w:tcW w:w="1122" w:type="dxa"/>
          </w:tcPr>
          <w:p w14:paraId="5AB3D5D8" w14:textId="17073172" w:rsidR="00F148D6" w:rsidRPr="00F148D6" w:rsidRDefault="00F148D6" w:rsidP="00F148D6">
            <w:pPr>
              <w:spacing w:before="60" w:after="60"/>
              <w:jc w:val="left"/>
              <w:rPr>
                <w:rFonts w:cstheme="minorHAnsi"/>
                <w:sz w:val="18"/>
                <w:szCs w:val="18"/>
              </w:rPr>
            </w:pPr>
            <w:r>
              <w:rPr>
                <w:rFonts w:cstheme="minorHAnsi"/>
                <w:sz w:val="18"/>
                <w:szCs w:val="18"/>
              </w:rPr>
              <w:t>A</w:t>
            </w:r>
          </w:p>
        </w:tc>
        <w:tc>
          <w:tcPr>
            <w:tcW w:w="4827" w:type="dxa"/>
            <w:noWrap/>
            <w:hideMark/>
          </w:tcPr>
          <w:p w14:paraId="6A37F3BF" w14:textId="4FCBDB95" w:rsidR="00F148D6" w:rsidRPr="00F148D6" w:rsidRDefault="00F148D6" w:rsidP="00F148D6">
            <w:pPr>
              <w:spacing w:before="60" w:after="60"/>
              <w:jc w:val="left"/>
              <w:rPr>
                <w:rFonts w:cstheme="minorHAnsi"/>
                <w:sz w:val="18"/>
                <w:szCs w:val="18"/>
              </w:rPr>
            </w:pPr>
            <w:r w:rsidRPr="00F148D6">
              <w:rPr>
                <w:rFonts w:cstheme="minorHAnsi"/>
                <w:sz w:val="18"/>
                <w:szCs w:val="18"/>
              </w:rPr>
              <w:t xml:space="preserve">Increase service from student attendance </w:t>
            </w:r>
          </w:p>
        </w:tc>
        <w:tc>
          <w:tcPr>
            <w:tcW w:w="3118" w:type="dxa"/>
            <w:noWrap/>
            <w:hideMark/>
          </w:tcPr>
          <w:p w14:paraId="7F8ECB03" w14:textId="5E91C952" w:rsidR="00F148D6" w:rsidRPr="00F148D6" w:rsidRDefault="00F148D6" w:rsidP="00445C44">
            <w:pPr>
              <w:spacing w:before="60" w:after="60"/>
              <w:jc w:val="center"/>
              <w:rPr>
                <w:rFonts w:cstheme="minorHAnsi"/>
                <w:sz w:val="18"/>
                <w:szCs w:val="18"/>
              </w:rPr>
            </w:pPr>
            <w:r w:rsidRPr="00F148D6">
              <w:rPr>
                <w:rFonts w:cstheme="minorHAnsi"/>
                <w:sz w:val="18"/>
                <w:szCs w:val="18"/>
              </w:rPr>
              <w:t>0.</w:t>
            </w:r>
            <w:r w:rsidR="00445C44" w:rsidRPr="00F148D6">
              <w:rPr>
                <w:rFonts w:cstheme="minorHAnsi"/>
                <w:sz w:val="18"/>
                <w:szCs w:val="18"/>
              </w:rPr>
              <w:t>0</w:t>
            </w:r>
            <w:r w:rsidR="00445C44">
              <w:rPr>
                <w:rFonts w:cstheme="minorHAnsi"/>
                <w:sz w:val="18"/>
                <w:szCs w:val="18"/>
              </w:rPr>
              <w:t>5</w:t>
            </w:r>
          </w:p>
        </w:tc>
      </w:tr>
      <w:tr w:rsidR="00F148D6" w:rsidRPr="00F148D6" w14:paraId="5E7C8D1D" w14:textId="77777777" w:rsidTr="00115063">
        <w:trPr>
          <w:trHeight w:val="315"/>
        </w:trPr>
        <w:tc>
          <w:tcPr>
            <w:tcW w:w="1122" w:type="dxa"/>
          </w:tcPr>
          <w:p w14:paraId="17D0574C" w14:textId="57FEA4A1" w:rsidR="00F148D6" w:rsidRPr="00F148D6" w:rsidRDefault="00F148D6" w:rsidP="00F148D6">
            <w:pPr>
              <w:spacing w:before="60" w:after="60"/>
              <w:jc w:val="left"/>
              <w:rPr>
                <w:rFonts w:cstheme="minorHAnsi"/>
                <w:sz w:val="18"/>
                <w:szCs w:val="18"/>
              </w:rPr>
            </w:pPr>
            <w:r>
              <w:rPr>
                <w:rFonts w:cstheme="minorHAnsi"/>
                <w:sz w:val="18"/>
                <w:szCs w:val="18"/>
              </w:rPr>
              <w:t>B</w:t>
            </w:r>
          </w:p>
        </w:tc>
        <w:tc>
          <w:tcPr>
            <w:tcW w:w="4827" w:type="dxa"/>
            <w:noWrap/>
            <w:hideMark/>
          </w:tcPr>
          <w:p w14:paraId="75B5DCD1" w14:textId="401F9CD4" w:rsidR="00F148D6" w:rsidRPr="00F148D6" w:rsidRDefault="00F148D6" w:rsidP="00F148D6">
            <w:pPr>
              <w:spacing w:before="60" w:after="60"/>
              <w:jc w:val="left"/>
              <w:rPr>
                <w:rFonts w:cstheme="minorHAnsi"/>
                <w:sz w:val="18"/>
                <w:szCs w:val="18"/>
              </w:rPr>
            </w:pPr>
            <w:r w:rsidRPr="00F148D6">
              <w:rPr>
                <w:rFonts w:cstheme="minorHAnsi"/>
                <w:sz w:val="18"/>
                <w:szCs w:val="18"/>
              </w:rPr>
              <w:t xml:space="preserve">Increase mobility and physical performance </w:t>
            </w:r>
          </w:p>
        </w:tc>
        <w:tc>
          <w:tcPr>
            <w:tcW w:w="3118" w:type="dxa"/>
            <w:noWrap/>
            <w:hideMark/>
          </w:tcPr>
          <w:p w14:paraId="5CE529AC" w14:textId="19E52842" w:rsidR="00F148D6" w:rsidRPr="00F148D6" w:rsidRDefault="00F148D6" w:rsidP="00445C44">
            <w:pPr>
              <w:spacing w:before="60" w:after="60"/>
              <w:jc w:val="center"/>
              <w:rPr>
                <w:rFonts w:cstheme="minorHAnsi"/>
                <w:sz w:val="18"/>
                <w:szCs w:val="18"/>
              </w:rPr>
            </w:pPr>
            <w:r w:rsidRPr="00F148D6">
              <w:rPr>
                <w:rFonts w:cstheme="minorHAnsi"/>
                <w:sz w:val="18"/>
                <w:szCs w:val="18"/>
              </w:rPr>
              <w:t>0.</w:t>
            </w:r>
            <w:r w:rsidR="00445C44" w:rsidRPr="00F148D6">
              <w:rPr>
                <w:rFonts w:cstheme="minorHAnsi"/>
                <w:sz w:val="18"/>
                <w:szCs w:val="18"/>
              </w:rPr>
              <w:t>0</w:t>
            </w:r>
            <w:r w:rsidR="00445C44">
              <w:rPr>
                <w:rFonts w:cstheme="minorHAnsi"/>
                <w:sz w:val="18"/>
                <w:szCs w:val="18"/>
              </w:rPr>
              <w:t>5</w:t>
            </w:r>
          </w:p>
        </w:tc>
      </w:tr>
      <w:tr w:rsidR="00F148D6" w:rsidRPr="00F148D6" w14:paraId="152E4363" w14:textId="77777777" w:rsidTr="00115063">
        <w:trPr>
          <w:trHeight w:val="315"/>
        </w:trPr>
        <w:tc>
          <w:tcPr>
            <w:tcW w:w="1122" w:type="dxa"/>
          </w:tcPr>
          <w:p w14:paraId="71B0ABAC" w14:textId="54699ACD" w:rsidR="00F148D6" w:rsidRPr="00F148D6" w:rsidRDefault="00F148D6" w:rsidP="00F148D6">
            <w:pPr>
              <w:spacing w:before="60" w:after="60"/>
              <w:jc w:val="left"/>
              <w:rPr>
                <w:rFonts w:cstheme="minorHAnsi"/>
                <w:sz w:val="18"/>
                <w:szCs w:val="18"/>
              </w:rPr>
            </w:pPr>
            <w:r>
              <w:rPr>
                <w:rFonts w:cstheme="minorHAnsi"/>
                <w:sz w:val="18"/>
                <w:szCs w:val="18"/>
              </w:rPr>
              <w:t xml:space="preserve">C = A + B </w:t>
            </w:r>
          </w:p>
        </w:tc>
        <w:tc>
          <w:tcPr>
            <w:tcW w:w="4827" w:type="dxa"/>
            <w:noWrap/>
            <w:hideMark/>
          </w:tcPr>
          <w:p w14:paraId="6B3E855F" w14:textId="2EB1AFC4" w:rsidR="00F148D6" w:rsidRPr="00F148D6" w:rsidRDefault="00F148D6" w:rsidP="00F148D6">
            <w:pPr>
              <w:spacing w:before="60" w:after="60"/>
              <w:jc w:val="left"/>
              <w:rPr>
                <w:rFonts w:cstheme="minorHAnsi"/>
                <w:sz w:val="18"/>
                <w:szCs w:val="18"/>
              </w:rPr>
            </w:pPr>
            <w:r w:rsidRPr="00F148D6">
              <w:rPr>
                <w:rFonts w:cstheme="minorHAnsi"/>
                <w:sz w:val="18"/>
                <w:szCs w:val="18"/>
              </w:rPr>
              <w:t xml:space="preserve">Total improved QALY </w:t>
            </w:r>
          </w:p>
        </w:tc>
        <w:tc>
          <w:tcPr>
            <w:tcW w:w="3118" w:type="dxa"/>
            <w:noWrap/>
            <w:hideMark/>
          </w:tcPr>
          <w:p w14:paraId="588F86AB" w14:textId="07461ACF" w:rsidR="00F148D6" w:rsidRPr="00F148D6" w:rsidRDefault="00F148D6" w:rsidP="00445C44">
            <w:pPr>
              <w:spacing w:before="60" w:after="60"/>
              <w:jc w:val="center"/>
              <w:rPr>
                <w:rFonts w:cstheme="minorHAnsi"/>
                <w:sz w:val="18"/>
                <w:szCs w:val="18"/>
              </w:rPr>
            </w:pPr>
            <w:r w:rsidRPr="00F148D6">
              <w:rPr>
                <w:rFonts w:cstheme="minorHAnsi"/>
                <w:sz w:val="18"/>
                <w:szCs w:val="18"/>
              </w:rPr>
              <w:t>0.</w:t>
            </w:r>
            <w:r w:rsidR="00445C44">
              <w:rPr>
                <w:rFonts w:cstheme="minorHAnsi"/>
                <w:sz w:val="18"/>
                <w:szCs w:val="18"/>
              </w:rPr>
              <w:t>1</w:t>
            </w:r>
          </w:p>
        </w:tc>
      </w:tr>
      <w:tr w:rsidR="00F148D6" w:rsidRPr="00F148D6" w14:paraId="7E28DD9D" w14:textId="77777777" w:rsidTr="00115063">
        <w:trPr>
          <w:trHeight w:val="315"/>
        </w:trPr>
        <w:tc>
          <w:tcPr>
            <w:tcW w:w="1122" w:type="dxa"/>
          </w:tcPr>
          <w:p w14:paraId="7CAB2FE4" w14:textId="3AAE0228" w:rsidR="00F148D6" w:rsidRPr="00F148D6" w:rsidRDefault="00F148D6" w:rsidP="00F148D6">
            <w:pPr>
              <w:spacing w:before="60" w:after="60"/>
              <w:jc w:val="left"/>
              <w:rPr>
                <w:rFonts w:cstheme="minorHAnsi"/>
                <w:sz w:val="18"/>
                <w:szCs w:val="18"/>
              </w:rPr>
            </w:pPr>
            <w:r>
              <w:rPr>
                <w:rFonts w:cstheme="minorHAnsi"/>
                <w:sz w:val="18"/>
                <w:szCs w:val="18"/>
              </w:rPr>
              <w:t xml:space="preserve">D </w:t>
            </w:r>
          </w:p>
        </w:tc>
        <w:tc>
          <w:tcPr>
            <w:tcW w:w="4827" w:type="dxa"/>
            <w:noWrap/>
            <w:hideMark/>
          </w:tcPr>
          <w:p w14:paraId="2ADBEAB5" w14:textId="21B6CB8A" w:rsidR="00F148D6" w:rsidRPr="00F148D6" w:rsidRDefault="00F148D6" w:rsidP="00F148D6">
            <w:pPr>
              <w:spacing w:before="60" w:after="60"/>
              <w:jc w:val="left"/>
              <w:rPr>
                <w:rFonts w:cstheme="minorHAnsi"/>
                <w:sz w:val="18"/>
                <w:szCs w:val="18"/>
              </w:rPr>
            </w:pPr>
            <w:r w:rsidRPr="00F148D6">
              <w:rPr>
                <w:rFonts w:cstheme="minorHAnsi"/>
                <w:sz w:val="18"/>
                <w:szCs w:val="18"/>
              </w:rPr>
              <w:t xml:space="preserve">WTP per QALY in Australia </w:t>
            </w:r>
          </w:p>
        </w:tc>
        <w:tc>
          <w:tcPr>
            <w:tcW w:w="3118" w:type="dxa"/>
            <w:noWrap/>
            <w:hideMark/>
          </w:tcPr>
          <w:p w14:paraId="51C7EF01" w14:textId="5343DDBE" w:rsidR="00F148D6" w:rsidRPr="00F148D6" w:rsidRDefault="00F148D6" w:rsidP="00F148D6">
            <w:pPr>
              <w:spacing w:before="60" w:after="60"/>
              <w:jc w:val="center"/>
              <w:rPr>
                <w:rFonts w:cstheme="minorHAnsi"/>
                <w:sz w:val="18"/>
                <w:szCs w:val="18"/>
              </w:rPr>
            </w:pPr>
            <w:r w:rsidRPr="00F148D6">
              <w:rPr>
                <w:rFonts w:cstheme="minorHAnsi"/>
                <w:sz w:val="18"/>
                <w:szCs w:val="18"/>
              </w:rPr>
              <w:t xml:space="preserve"> $  50,000 </w:t>
            </w:r>
          </w:p>
        </w:tc>
      </w:tr>
      <w:tr w:rsidR="00F148D6" w:rsidRPr="00F148D6" w14:paraId="004867AD" w14:textId="77777777" w:rsidTr="00115063">
        <w:trPr>
          <w:trHeight w:val="330"/>
        </w:trPr>
        <w:tc>
          <w:tcPr>
            <w:tcW w:w="1122" w:type="dxa"/>
          </w:tcPr>
          <w:p w14:paraId="4FC4B534" w14:textId="2161B0CD" w:rsidR="00F148D6" w:rsidRPr="00F148D6" w:rsidRDefault="00F148D6" w:rsidP="00F148D6">
            <w:pPr>
              <w:spacing w:before="60" w:after="60"/>
              <w:jc w:val="left"/>
              <w:rPr>
                <w:rFonts w:cstheme="minorHAnsi"/>
                <w:sz w:val="18"/>
                <w:szCs w:val="18"/>
              </w:rPr>
            </w:pPr>
            <w:r>
              <w:rPr>
                <w:rFonts w:cstheme="minorHAnsi"/>
                <w:sz w:val="18"/>
                <w:szCs w:val="18"/>
              </w:rPr>
              <w:t xml:space="preserve">E = C * D </w:t>
            </w:r>
          </w:p>
        </w:tc>
        <w:tc>
          <w:tcPr>
            <w:tcW w:w="4827" w:type="dxa"/>
            <w:noWrap/>
            <w:hideMark/>
          </w:tcPr>
          <w:p w14:paraId="00CAD197" w14:textId="4E5937F6" w:rsidR="00F148D6" w:rsidRPr="00F148D6" w:rsidRDefault="00F148D6" w:rsidP="00F148D6">
            <w:pPr>
              <w:spacing w:before="60" w:after="60"/>
              <w:jc w:val="left"/>
              <w:rPr>
                <w:rFonts w:cstheme="minorHAnsi"/>
                <w:sz w:val="18"/>
                <w:szCs w:val="18"/>
              </w:rPr>
            </w:pPr>
            <w:r w:rsidRPr="00F148D6">
              <w:rPr>
                <w:rFonts w:cstheme="minorHAnsi"/>
                <w:sz w:val="18"/>
                <w:szCs w:val="18"/>
              </w:rPr>
              <w:t xml:space="preserve">Improved per resident </w:t>
            </w:r>
          </w:p>
        </w:tc>
        <w:tc>
          <w:tcPr>
            <w:tcW w:w="3118" w:type="dxa"/>
            <w:noWrap/>
            <w:hideMark/>
          </w:tcPr>
          <w:p w14:paraId="7FD74393" w14:textId="579A3DBB" w:rsidR="00F148D6" w:rsidRPr="00F148D6" w:rsidRDefault="00F148D6" w:rsidP="00445C44">
            <w:pPr>
              <w:spacing w:before="60" w:after="60"/>
              <w:jc w:val="center"/>
              <w:rPr>
                <w:rFonts w:cstheme="minorHAnsi"/>
                <w:b/>
                <w:sz w:val="18"/>
                <w:szCs w:val="18"/>
              </w:rPr>
            </w:pPr>
            <w:r w:rsidRPr="00F148D6">
              <w:rPr>
                <w:rFonts w:cstheme="minorHAnsi"/>
                <w:b/>
                <w:sz w:val="18"/>
                <w:szCs w:val="18"/>
              </w:rPr>
              <w:t xml:space="preserve"> $  </w:t>
            </w:r>
            <w:r w:rsidR="00445C44">
              <w:rPr>
                <w:rFonts w:cstheme="minorHAnsi"/>
                <w:b/>
                <w:sz w:val="18"/>
                <w:szCs w:val="18"/>
              </w:rPr>
              <w:t>5</w:t>
            </w:r>
            <w:r w:rsidRPr="00F148D6">
              <w:rPr>
                <w:rFonts w:cstheme="minorHAnsi"/>
                <w:b/>
                <w:sz w:val="18"/>
                <w:szCs w:val="18"/>
              </w:rPr>
              <w:t>,</w:t>
            </w:r>
            <w:r w:rsidR="00445C44">
              <w:rPr>
                <w:rFonts w:cstheme="minorHAnsi"/>
                <w:b/>
                <w:sz w:val="18"/>
                <w:szCs w:val="18"/>
              </w:rPr>
              <w:t>0</w:t>
            </w:r>
            <w:r w:rsidR="00445C44" w:rsidRPr="00F148D6">
              <w:rPr>
                <w:rFonts w:cstheme="minorHAnsi"/>
                <w:b/>
                <w:sz w:val="18"/>
                <w:szCs w:val="18"/>
              </w:rPr>
              <w:t xml:space="preserve">00 </w:t>
            </w:r>
          </w:p>
        </w:tc>
      </w:tr>
    </w:tbl>
    <w:p w14:paraId="26AD8788" w14:textId="77777777" w:rsidR="003836D7" w:rsidRDefault="003836D7" w:rsidP="00654CD0">
      <w:pPr>
        <w:spacing w:before="120" w:after="120" w:line="360" w:lineRule="auto"/>
        <w:rPr>
          <w:rFonts w:cstheme="minorHAnsi"/>
          <w:szCs w:val="24"/>
        </w:rPr>
      </w:pPr>
    </w:p>
    <w:p w14:paraId="5B17E005" w14:textId="797C2617" w:rsidR="00500048" w:rsidRPr="00654CD0" w:rsidRDefault="00500048" w:rsidP="00654CD0">
      <w:pPr>
        <w:spacing w:before="120" w:after="120" w:line="360" w:lineRule="auto"/>
        <w:rPr>
          <w:rFonts w:cstheme="minorHAnsi"/>
          <w:szCs w:val="24"/>
        </w:rPr>
      </w:pPr>
      <w:r>
        <w:rPr>
          <w:rFonts w:cstheme="minorHAnsi"/>
          <w:szCs w:val="24"/>
        </w:rPr>
        <w:t>(ii)</w:t>
      </w:r>
      <w:r w:rsidR="00C86850">
        <w:rPr>
          <w:rFonts w:cstheme="minorHAnsi"/>
          <w:szCs w:val="24"/>
        </w:rPr>
        <w:t xml:space="preserve"> An indirect benefit of the IPE program on RACF residents was improved health outcome</w:t>
      </w:r>
      <w:r w:rsidR="00294CEA">
        <w:rPr>
          <w:rFonts w:cstheme="minorHAnsi"/>
          <w:szCs w:val="24"/>
        </w:rPr>
        <w:t>s</w:t>
      </w:r>
      <w:r w:rsidR="00C86850">
        <w:rPr>
          <w:rFonts w:cstheme="minorHAnsi"/>
          <w:szCs w:val="24"/>
        </w:rPr>
        <w:t xml:space="preserve">. According to the exit survey, during the period of IPE program residents who participated in sessions led or delivered by IPE </w:t>
      </w:r>
      <w:r w:rsidR="00C86850" w:rsidRPr="00EC1326">
        <w:rPr>
          <w:rFonts w:cstheme="minorHAnsi"/>
          <w:szCs w:val="24"/>
        </w:rPr>
        <w:t xml:space="preserve">students (e.g. </w:t>
      </w:r>
      <w:r w:rsidR="009F4569" w:rsidRPr="00EC1326">
        <w:rPr>
          <w:rFonts w:cstheme="minorHAnsi"/>
          <w:szCs w:val="24"/>
        </w:rPr>
        <w:t>balance, paro, wii, voice, pulmonary rehabilitation</w:t>
      </w:r>
      <w:r w:rsidR="00C86850" w:rsidRPr="00EC1326">
        <w:rPr>
          <w:rFonts w:cstheme="minorHAnsi"/>
          <w:szCs w:val="24"/>
        </w:rPr>
        <w:t xml:space="preserve">, </w:t>
      </w:r>
      <w:r w:rsidR="00F41EFC" w:rsidRPr="00EC1326">
        <w:rPr>
          <w:rFonts w:cstheme="minorHAnsi"/>
          <w:szCs w:val="24"/>
        </w:rPr>
        <w:t>men</w:t>
      </w:r>
      <w:r w:rsidR="00A62E1F">
        <w:rPr>
          <w:rFonts w:cstheme="minorHAnsi"/>
          <w:szCs w:val="24"/>
        </w:rPr>
        <w:t>’</w:t>
      </w:r>
      <w:r w:rsidR="00F41EFC" w:rsidRPr="00EC1326">
        <w:rPr>
          <w:rFonts w:cstheme="minorHAnsi"/>
          <w:szCs w:val="24"/>
        </w:rPr>
        <w:t>s group</w:t>
      </w:r>
      <w:r w:rsidR="00A62E1F">
        <w:rPr>
          <w:rFonts w:cstheme="minorHAnsi"/>
          <w:szCs w:val="24"/>
        </w:rPr>
        <w:t>s</w:t>
      </w:r>
      <w:r w:rsidR="00F41EFC" w:rsidRPr="00EC1326">
        <w:rPr>
          <w:rFonts w:cstheme="minorHAnsi"/>
          <w:szCs w:val="24"/>
        </w:rPr>
        <w:t>, ladies</w:t>
      </w:r>
      <w:r w:rsidR="00A62E1F">
        <w:rPr>
          <w:rFonts w:cstheme="minorHAnsi"/>
          <w:szCs w:val="24"/>
        </w:rPr>
        <w:t>’</w:t>
      </w:r>
      <w:r w:rsidR="00F41EFC" w:rsidRPr="00EC1326">
        <w:rPr>
          <w:rFonts w:cstheme="minorHAnsi"/>
          <w:szCs w:val="24"/>
        </w:rPr>
        <w:t xml:space="preserve"> group</w:t>
      </w:r>
      <w:r w:rsidR="00A62E1F">
        <w:rPr>
          <w:rFonts w:cstheme="minorHAnsi"/>
          <w:szCs w:val="24"/>
        </w:rPr>
        <w:t>s</w:t>
      </w:r>
      <w:r w:rsidR="00F41EFC" w:rsidRPr="00EC1326">
        <w:rPr>
          <w:rFonts w:cstheme="minorHAnsi"/>
          <w:szCs w:val="24"/>
        </w:rPr>
        <w:t>, communication group</w:t>
      </w:r>
      <w:r w:rsidR="00A62E1F">
        <w:rPr>
          <w:rFonts w:cstheme="minorHAnsi"/>
          <w:szCs w:val="24"/>
        </w:rPr>
        <w:t>s</w:t>
      </w:r>
      <w:r w:rsidR="00B50FC8" w:rsidRPr="00EC1326">
        <w:rPr>
          <w:rFonts w:cstheme="minorHAnsi"/>
          <w:szCs w:val="24"/>
        </w:rPr>
        <w:t>) showed</w:t>
      </w:r>
      <w:r w:rsidR="00B50FC8">
        <w:rPr>
          <w:rFonts w:cstheme="minorHAnsi"/>
          <w:szCs w:val="24"/>
        </w:rPr>
        <w:t xml:space="preserve"> improved physical well-being and </w:t>
      </w:r>
      <w:r w:rsidR="00B50FC8" w:rsidRPr="00B50FC8">
        <w:rPr>
          <w:rFonts w:cstheme="minorHAnsi"/>
          <w:szCs w:val="24"/>
        </w:rPr>
        <w:t>increased confidence to participate in physical activities</w:t>
      </w:r>
      <w:r w:rsidR="00B50FC8">
        <w:rPr>
          <w:rFonts w:cstheme="minorHAnsi"/>
          <w:szCs w:val="24"/>
        </w:rPr>
        <w:t>. D</w:t>
      </w:r>
      <w:r w:rsidR="00654CD0">
        <w:rPr>
          <w:rFonts w:cstheme="minorHAnsi"/>
          <w:szCs w:val="24"/>
        </w:rPr>
        <w:t>uring the program period, m</w:t>
      </w:r>
      <w:r w:rsidR="00654CD0" w:rsidRPr="00654CD0">
        <w:rPr>
          <w:rFonts w:cstheme="minorHAnsi"/>
          <w:szCs w:val="24"/>
        </w:rPr>
        <w:t>edical students provided</w:t>
      </w:r>
      <w:r w:rsidR="00654CD0">
        <w:rPr>
          <w:rFonts w:cstheme="minorHAnsi"/>
          <w:szCs w:val="24"/>
        </w:rPr>
        <w:t xml:space="preserve"> </w:t>
      </w:r>
      <w:r w:rsidR="00654CD0" w:rsidRPr="00654CD0">
        <w:rPr>
          <w:rFonts w:cstheme="minorHAnsi"/>
          <w:szCs w:val="24"/>
        </w:rPr>
        <w:t>an increased amount of primary care to</w:t>
      </w:r>
      <w:r w:rsidR="00654CD0">
        <w:rPr>
          <w:rFonts w:cstheme="minorHAnsi"/>
          <w:szCs w:val="24"/>
        </w:rPr>
        <w:t xml:space="preserve"> </w:t>
      </w:r>
      <w:r w:rsidR="00654CD0" w:rsidRPr="00654CD0">
        <w:rPr>
          <w:rFonts w:cstheme="minorHAnsi"/>
          <w:szCs w:val="24"/>
        </w:rPr>
        <w:t>residents and recorded the reason the</w:t>
      </w:r>
      <w:r w:rsidR="00654CD0">
        <w:rPr>
          <w:rFonts w:cstheme="minorHAnsi"/>
          <w:szCs w:val="24"/>
        </w:rPr>
        <w:t xml:space="preserve"> </w:t>
      </w:r>
      <w:r w:rsidR="00654CD0" w:rsidRPr="00654CD0">
        <w:rPr>
          <w:rFonts w:cstheme="minorHAnsi"/>
          <w:szCs w:val="24"/>
        </w:rPr>
        <w:t>resident was attended and the outcomes of</w:t>
      </w:r>
      <w:r w:rsidR="00654CD0">
        <w:rPr>
          <w:rFonts w:cstheme="minorHAnsi"/>
          <w:szCs w:val="24"/>
        </w:rPr>
        <w:t xml:space="preserve"> </w:t>
      </w:r>
      <w:r w:rsidR="00654CD0" w:rsidRPr="00654CD0">
        <w:rPr>
          <w:rFonts w:cstheme="minorHAnsi"/>
          <w:szCs w:val="24"/>
        </w:rPr>
        <w:t>the visit. Ninety percent of student visits were</w:t>
      </w:r>
      <w:r w:rsidR="00654CD0">
        <w:rPr>
          <w:rFonts w:cstheme="minorHAnsi"/>
          <w:szCs w:val="24"/>
        </w:rPr>
        <w:t xml:space="preserve"> </w:t>
      </w:r>
      <w:r w:rsidR="00654CD0" w:rsidRPr="00654CD0">
        <w:rPr>
          <w:rFonts w:cstheme="minorHAnsi"/>
          <w:szCs w:val="24"/>
        </w:rPr>
        <w:t>believed to have prevented further escalation</w:t>
      </w:r>
      <w:r w:rsidR="00654CD0">
        <w:rPr>
          <w:rFonts w:cstheme="minorHAnsi"/>
          <w:szCs w:val="24"/>
        </w:rPr>
        <w:t xml:space="preserve"> of a medical issue that </w:t>
      </w:r>
      <w:r w:rsidR="00294CEA">
        <w:rPr>
          <w:rFonts w:cstheme="minorHAnsi"/>
          <w:szCs w:val="24"/>
        </w:rPr>
        <w:t>would require an</w:t>
      </w:r>
      <w:r w:rsidR="00654CD0">
        <w:rPr>
          <w:rFonts w:cstheme="minorHAnsi"/>
          <w:szCs w:val="24"/>
        </w:rPr>
        <w:t xml:space="preserve"> external GP visit or emergency transfer</w:t>
      </w:r>
      <w:r w:rsidR="00F33EB6">
        <w:rPr>
          <w:rFonts w:cstheme="minorHAnsi"/>
          <w:szCs w:val="24"/>
        </w:rPr>
        <w:t xml:space="preserve">. </w:t>
      </w:r>
      <w:r w:rsidR="00CA2F1B">
        <w:rPr>
          <w:rFonts w:cstheme="minorHAnsi"/>
          <w:szCs w:val="24"/>
        </w:rPr>
        <w:t xml:space="preserve"> </w:t>
      </w:r>
    </w:p>
    <w:p w14:paraId="04300A8B" w14:textId="46FCC4B6" w:rsidR="00007528" w:rsidRDefault="008B63A1" w:rsidP="008947E7">
      <w:pPr>
        <w:spacing w:before="120" w:after="120" w:line="360" w:lineRule="auto"/>
        <w:rPr>
          <w:rFonts w:cstheme="minorHAnsi"/>
          <w:szCs w:val="24"/>
        </w:rPr>
      </w:pPr>
      <w:r>
        <w:rPr>
          <w:rFonts w:cstheme="minorHAnsi"/>
          <w:szCs w:val="24"/>
        </w:rPr>
        <w:t xml:space="preserve">We translated the improved health outcomes into </w:t>
      </w:r>
      <w:r w:rsidR="00F045C0">
        <w:rPr>
          <w:rFonts w:cstheme="minorHAnsi"/>
          <w:szCs w:val="24"/>
        </w:rPr>
        <w:t xml:space="preserve">a </w:t>
      </w:r>
      <w:r>
        <w:rPr>
          <w:rFonts w:cstheme="minorHAnsi"/>
          <w:szCs w:val="24"/>
        </w:rPr>
        <w:t xml:space="preserve">reduction </w:t>
      </w:r>
      <w:r w:rsidR="00F045C0">
        <w:rPr>
          <w:rFonts w:cstheme="minorHAnsi"/>
          <w:szCs w:val="24"/>
        </w:rPr>
        <w:t xml:space="preserve">of 2 </w:t>
      </w:r>
      <w:r>
        <w:rPr>
          <w:rFonts w:cstheme="minorHAnsi"/>
          <w:szCs w:val="24"/>
        </w:rPr>
        <w:t xml:space="preserve">GP visits and </w:t>
      </w:r>
      <w:r w:rsidR="00F045C0">
        <w:rPr>
          <w:rFonts w:cstheme="minorHAnsi"/>
          <w:szCs w:val="24"/>
        </w:rPr>
        <w:t xml:space="preserve">1 </w:t>
      </w:r>
      <w:r>
        <w:rPr>
          <w:rFonts w:cstheme="minorHAnsi"/>
          <w:szCs w:val="24"/>
        </w:rPr>
        <w:t xml:space="preserve">emergency </w:t>
      </w:r>
      <w:r w:rsidR="00F045C0">
        <w:rPr>
          <w:rFonts w:cstheme="minorHAnsi"/>
          <w:szCs w:val="24"/>
        </w:rPr>
        <w:t xml:space="preserve">transfer per year per resident. </w:t>
      </w:r>
      <w:r w:rsidR="008947E7">
        <w:rPr>
          <w:rFonts w:cstheme="minorHAnsi"/>
          <w:szCs w:val="24"/>
        </w:rPr>
        <w:t xml:space="preserve">During this period, the administrative data showed that around 25% </w:t>
      </w:r>
      <w:r w:rsidR="00A62E1F">
        <w:rPr>
          <w:rFonts w:cstheme="minorHAnsi"/>
          <w:szCs w:val="24"/>
        </w:rPr>
        <w:t xml:space="preserve">of </w:t>
      </w:r>
      <w:r w:rsidR="008947E7">
        <w:rPr>
          <w:rFonts w:cstheme="minorHAnsi"/>
          <w:szCs w:val="24"/>
        </w:rPr>
        <w:t>residents had preventable GP visits and 10% had preventable ED transfer</w:t>
      </w:r>
      <w:r w:rsidR="00A62E1F">
        <w:rPr>
          <w:rFonts w:cstheme="minorHAnsi"/>
          <w:szCs w:val="24"/>
        </w:rPr>
        <w:t>s</w:t>
      </w:r>
      <w:r w:rsidR="008947E7">
        <w:rPr>
          <w:rFonts w:cstheme="minorHAnsi"/>
          <w:szCs w:val="24"/>
        </w:rPr>
        <w:t>. This is a conservative assumption because n</w:t>
      </w:r>
      <w:r w:rsidR="008947E7" w:rsidRPr="00654CD0">
        <w:rPr>
          <w:rFonts w:cstheme="minorHAnsi"/>
          <w:szCs w:val="24"/>
        </w:rPr>
        <w:t>inety percent of student visits were</w:t>
      </w:r>
      <w:r w:rsidR="008947E7">
        <w:rPr>
          <w:rFonts w:cstheme="minorHAnsi"/>
          <w:szCs w:val="24"/>
        </w:rPr>
        <w:t xml:space="preserve"> </w:t>
      </w:r>
      <w:r w:rsidR="008947E7" w:rsidRPr="00654CD0">
        <w:rPr>
          <w:rFonts w:cstheme="minorHAnsi"/>
          <w:szCs w:val="24"/>
        </w:rPr>
        <w:t>believed to have prevented further escalation</w:t>
      </w:r>
      <w:r w:rsidR="007E7F42">
        <w:rPr>
          <w:rFonts w:cstheme="minorHAnsi"/>
          <w:szCs w:val="24"/>
        </w:rPr>
        <w:t xml:space="preserve"> of a medical issue </w:t>
      </w:r>
      <w:r w:rsidR="007E7F42" w:rsidRPr="00F44B87">
        <w:rPr>
          <w:rFonts w:cstheme="minorHAnsi"/>
          <w:szCs w:val="24"/>
        </w:rPr>
        <w:t>(</w:t>
      </w:r>
      <w:r w:rsidR="007E7F42">
        <w:rPr>
          <w:rFonts w:cstheme="minorHAnsi"/>
          <w:szCs w:val="24"/>
        </w:rPr>
        <w:t xml:space="preserve">Seaman </w:t>
      </w:r>
      <w:r w:rsidR="007E7F42" w:rsidRPr="00F44B87">
        <w:rPr>
          <w:rFonts w:cstheme="minorHAnsi"/>
          <w:szCs w:val="24"/>
        </w:rPr>
        <w:t>&amp; Williams, 2016</w:t>
      </w:r>
      <w:r w:rsidR="007E7F42">
        <w:rPr>
          <w:rFonts w:cstheme="minorHAnsi"/>
          <w:sz w:val="20"/>
          <w:szCs w:val="24"/>
        </w:rPr>
        <w:t xml:space="preserve">), </w:t>
      </w:r>
      <w:r w:rsidR="008947E7">
        <w:rPr>
          <w:rFonts w:cstheme="minorHAnsi"/>
          <w:szCs w:val="24"/>
        </w:rPr>
        <w:t>which</w:t>
      </w:r>
      <w:r w:rsidR="00A62E1F">
        <w:rPr>
          <w:rFonts w:cstheme="minorHAnsi"/>
          <w:szCs w:val="24"/>
        </w:rPr>
        <w:t xml:space="preserve"> would have</w:t>
      </w:r>
      <w:r w:rsidR="008947E7">
        <w:rPr>
          <w:rFonts w:cstheme="minorHAnsi"/>
          <w:szCs w:val="24"/>
        </w:rPr>
        <w:t xml:space="preserve"> potentially led to not only ED transfer but also hospital admission. We did not include any hospitalisation</w:t>
      </w:r>
      <w:r w:rsidR="00A62E1F">
        <w:rPr>
          <w:rFonts w:cstheme="minorHAnsi"/>
          <w:szCs w:val="24"/>
        </w:rPr>
        <w:t xml:space="preserve"> </w:t>
      </w:r>
      <w:r w:rsidR="008947E7">
        <w:rPr>
          <w:rFonts w:cstheme="minorHAnsi"/>
          <w:szCs w:val="24"/>
        </w:rPr>
        <w:t xml:space="preserve">(inpatient admission) </w:t>
      </w:r>
      <w:r w:rsidR="00A62E1F">
        <w:rPr>
          <w:rFonts w:cstheme="minorHAnsi"/>
          <w:szCs w:val="24"/>
        </w:rPr>
        <w:t xml:space="preserve">values </w:t>
      </w:r>
      <w:r w:rsidR="008947E7">
        <w:rPr>
          <w:rFonts w:cstheme="minorHAnsi"/>
          <w:szCs w:val="24"/>
        </w:rPr>
        <w:t>because it is difficult to reliably quantify the number of episode</w:t>
      </w:r>
      <w:r w:rsidR="00A62E1F">
        <w:rPr>
          <w:rFonts w:cstheme="minorHAnsi"/>
          <w:szCs w:val="24"/>
        </w:rPr>
        <w:t>s</w:t>
      </w:r>
      <w:r w:rsidR="008947E7">
        <w:rPr>
          <w:rFonts w:cstheme="minorHAnsi"/>
          <w:szCs w:val="24"/>
        </w:rPr>
        <w:t xml:space="preserve"> of preventable hospitalisation.</w:t>
      </w:r>
      <w:r w:rsidR="00DF310E">
        <w:rPr>
          <w:rFonts w:cstheme="minorHAnsi"/>
          <w:szCs w:val="24"/>
        </w:rPr>
        <w:t xml:space="preserve"> These are th</w:t>
      </w:r>
      <w:r w:rsidR="00CD1774">
        <w:rPr>
          <w:rFonts w:cstheme="minorHAnsi"/>
          <w:szCs w:val="24"/>
        </w:rPr>
        <w:t>e direct savings for the health</w:t>
      </w:r>
      <w:r w:rsidR="00DF310E">
        <w:rPr>
          <w:rFonts w:cstheme="minorHAnsi"/>
          <w:szCs w:val="24"/>
        </w:rPr>
        <w:t>care system that</w:t>
      </w:r>
      <w:r w:rsidR="00A62E1F">
        <w:rPr>
          <w:rFonts w:cstheme="minorHAnsi"/>
          <w:szCs w:val="24"/>
        </w:rPr>
        <w:t xml:space="preserve"> were</w:t>
      </w:r>
      <w:r w:rsidR="00DF310E">
        <w:rPr>
          <w:rFonts w:cstheme="minorHAnsi"/>
          <w:szCs w:val="24"/>
        </w:rPr>
        <w:t xml:space="preserve"> generated through improved social care and education </w:t>
      </w:r>
      <w:r w:rsidR="00BA70C2">
        <w:rPr>
          <w:rFonts w:cstheme="minorHAnsi"/>
          <w:szCs w:val="24"/>
        </w:rPr>
        <w:t>sectors</w:t>
      </w:r>
      <w:r w:rsidR="00DF310E">
        <w:rPr>
          <w:rFonts w:cstheme="minorHAnsi"/>
          <w:szCs w:val="24"/>
        </w:rPr>
        <w:t xml:space="preserve">. </w:t>
      </w:r>
      <w:r w:rsidR="006A25A2">
        <w:rPr>
          <w:rFonts w:cstheme="minorHAnsi"/>
          <w:szCs w:val="24"/>
        </w:rPr>
        <w:t xml:space="preserve">The direct beneficiary of this benefit </w:t>
      </w:r>
      <w:r w:rsidR="00BA70C2">
        <w:rPr>
          <w:rFonts w:cstheme="minorHAnsi"/>
          <w:szCs w:val="24"/>
        </w:rPr>
        <w:t>is the health</w:t>
      </w:r>
      <w:r w:rsidR="006A25A2">
        <w:rPr>
          <w:rFonts w:cstheme="minorHAnsi"/>
          <w:szCs w:val="24"/>
        </w:rPr>
        <w:t xml:space="preserve">care </w:t>
      </w:r>
      <w:r w:rsidR="00BA70C2">
        <w:rPr>
          <w:rFonts w:cstheme="minorHAnsi"/>
          <w:szCs w:val="24"/>
        </w:rPr>
        <w:t>system</w:t>
      </w:r>
      <w:r w:rsidR="006A25A2">
        <w:rPr>
          <w:rFonts w:cstheme="minorHAnsi"/>
          <w:szCs w:val="24"/>
        </w:rPr>
        <w:t xml:space="preserve">, which </w:t>
      </w:r>
      <w:r w:rsidR="00FA5E19">
        <w:rPr>
          <w:rFonts w:cstheme="minorHAnsi"/>
          <w:szCs w:val="24"/>
        </w:rPr>
        <w:t xml:space="preserve">is </w:t>
      </w:r>
      <w:r w:rsidR="006A25A2">
        <w:rPr>
          <w:rFonts w:cstheme="minorHAnsi"/>
          <w:szCs w:val="24"/>
        </w:rPr>
        <w:t>represented by the Commonwealth</w:t>
      </w:r>
      <w:r w:rsidR="0071727B">
        <w:rPr>
          <w:rFonts w:cstheme="minorHAnsi"/>
          <w:szCs w:val="24"/>
        </w:rPr>
        <w:t xml:space="preserve"> and </w:t>
      </w:r>
      <w:r w:rsidR="00FA5E19">
        <w:rPr>
          <w:rFonts w:cstheme="minorHAnsi"/>
          <w:szCs w:val="24"/>
        </w:rPr>
        <w:t>s</w:t>
      </w:r>
      <w:r w:rsidR="0071727B">
        <w:rPr>
          <w:rFonts w:cstheme="minorHAnsi"/>
          <w:szCs w:val="24"/>
        </w:rPr>
        <w:t>tate</w:t>
      </w:r>
      <w:r w:rsidR="006A25A2">
        <w:rPr>
          <w:rFonts w:cstheme="minorHAnsi"/>
          <w:szCs w:val="24"/>
        </w:rPr>
        <w:t xml:space="preserve"> </w:t>
      </w:r>
      <w:r w:rsidR="00FA5E19">
        <w:rPr>
          <w:rFonts w:cstheme="minorHAnsi"/>
          <w:szCs w:val="24"/>
        </w:rPr>
        <w:t>g</w:t>
      </w:r>
      <w:r w:rsidR="006A25A2">
        <w:rPr>
          <w:rFonts w:cstheme="minorHAnsi"/>
          <w:szCs w:val="24"/>
        </w:rPr>
        <w:t>overnment</w:t>
      </w:r>
      <w:r w:rsidR="0071727B">
        <w:rPr>
          <w:rFonts w:cstheme="minorHAnsi"/>
          <w:szCs w:val="24"/>
        </w:rPr>
        <w:t>s</w:t>
      </w:r>
      <w:r w:rsidR="006A25A2">
        <w:rPr>
          <w:rFonts w:cstheme="minorHAnsi"/>
          <w:szCs w:val="24"/>
        </w:rPr>
        <w:t xml:space="preserve">. </w:t>
      </w:r>
      <w:r w:rsidR="001B3579">
        <w:rPr>
          <w:rFonts w:cstheme="minorHAnsi"/>
          <w:szCs w:val="24"/>
        </w:rPr>
        <w:t xml:space="preserve">These benefits </w:t>
      </w:r>
      <w:r w:rsidR="005A7497">
        <w:rPr>
          <w:rFonts w:cstheme="minorHAnsi"/>
          <w:szCs w:val="24"/>
        </w:rPr>
        <w:t xml:space="preserve">(shown in </w:t>
      </w:r>
      <w:r w:rsidR="005A7497">
        <w:rPr>
          <w:rFonts w:cstheme="minorHAnsi"/>
          <w:szCs w:val="24"/>
        </w:rPr>
        <w:fldChar w:fldCharType="begin"/>
      </w:r>
      <w:r w:rsidR="005A7497">
        <w:rPr>
          <w:rFonts w:cstheme="minorHAnsi"/>
          <w:szCs w:val="24"/>
        </w:rPr>
        <w:instrText xml:space="preserve"> REF _Ref505003838 \h  \* MERGEFORMAT </w:instrText>
      </w:r>
      <w:r w:rsidR="005A7497">
        <w:rPr>
          <w:rFonts w:cstheme="minorHAnsi"/>
          <w:szCs w:val="24"/>
        </w:rPr>
      </w:r>
      <w:r w:rsidR="005A7497">
        <w:rPr>
          <w:rFonts w:cstheme="minorHAnsi"/>
          <w:szCs w:val="24"/>
        </w:rPr>
        <w:fldChar w:fldCharType="separate"/>
      </w:r>
      <w:r w:rsidR="005A7497" w:rsidRPr="005A7497">
        <w:rPr>
          <w:rFonts w:cstheme="minorHAnsi"/>
          <w:szCs w:val="24"/>
        </w:rPr>
        <w:t>Table 5</w:t>
      </w:r>
      <w:r w:rsidR="005A7497">
        <w:rPr>
          <w:rFonts w:cstheme="minorHAnsi"/>
          <w:szCs w:val="24"/>
        </w:rPr>
        <w:fldChar w:fldCharType="end"/>
      </w:r>
      <w:r w:rsidR="005A7497">
        <w:rPr>
          <w:rFonts w:cstheme="minorHAnsi"/>
          <w:szCs w:val="24"/>
        </w:rPr>
        <w:t xml:space="preserve">) </w:t>
      </w:r>
      <w:r w:rsidR="001B3579">
        <w:rPr>
          <w:rFonts w:cstheme="minorHAnsi"/>
          <w:szCs w:val="24"/>
        </w:rPr>
        <w:t xml:space="preserve">were </w:t>
      </w:r>
      <w:r w:rsidR="005A7497">
        <w:rPr>
          <w:rFonts w:cstheme="minorHAnsi"/>
          <w:szCs w:val="24"/>
        </w:rPr>
        <w:t xml:space="preserve">used to calculate the benefits </w:t>
      </w:r>
      <w:r w:rsidR="001B3579">
        <w:rPr>
          <w:rFonts w:cstheme="minorHAnsi"/>
          <w:szCs w:val="24"/>
        </w:rPr>
        <w:t xml:space="preserve">in </w:t>
      </w:r>
      <w:r w:rsidR="00BD5037">
        <w:rPr>
          <w:rFonts w:cstheme="minorHAnsi"/>
          <w:szCs w:val="24"/>
        </w:rPr>
        <w:t xml:space="preserve">all analyses except for the </w:t>
      </w:r>
      <w:r w:rsidR="001B3579">
        <w:rPr>
          <w:rFonts w:cstheme="minorHAnsi"/>
          <w:szCs w:val="24"/>
        </w:rPr>
        <w:t xml:space="preserve">Referent-Group.  </w:t>
      </w:r>
    </w:p>
    <w:p w14:paraId="064AFA2A" w14:textId="189EAB9C" w:rsidR="00EE51A3" w:rsidRPr="00A7457A" w:rsidRDefault="00EE51A3" w:rsidP="00EE51A3">
      <w:pPr>
        <w:pStyle w:val="Caption"/>
        <w:spacing w:before="60" w:after="60"/>
        <w:rPr>
          <w:b/>
        </w:rPr>
      </w:pPr>
      <w:bookmarkStart w:id="9" w:name="_Ref505003838"/>
      <w:r w:rsidRPr="00387CF3">
        <w:rPr>
          <w:b/>
        </w:rPr>
        <w:t xml:space="preserve">Table </w:t>
      </w:r>
      <w:r w:rsidRPr="000D3506">
        <w:rPr>
          <w:b/>
        </w:rPr>
        <w:fldChar w:fldCharType="begin"/>
      </w:r>
      <w:r w:rsidRPr="000D3506">
        <w:rPr>
          <w:b/>
        </w:rPr>
        <w:instrText xml:space="preserve"> SEQ Table \* ARABIC </w:instrText>
      </w:r>
      <w:r w:rsidRPr="000D3506">
        <w:rPr>
          <w:b/>
        </w:rPr>
        <w:fldChar w:fldCharType="separate"/>
      </w:r>
      <w:r>
        <w:rPr>
          <w:b/>
          <w:noProof/>
        </w:rPr>
        <w:t>5</w:t>
      </w:r>
      <w:r w:rsidRPr="000D3506">
        <w:rPr>
          <w:b/>
        </w:rPr>
        <w:fldChar w:fldCharType="end"/>
      </w:r>
      <w:bookmarkEnd w:id="9"/>
      <w:r w:rsidRPr="000D3506">
        <w:rPr>
          <w:b/>
        </w:rPr>
        <w:t xml:space="preserve">: </w:t>
      </w:r>
      <w:r>
        <w:rPr>
          <w:b/>
        </w:rPr>
        <w:t xml:space="preserve">Estimated savings for the healthcare sectors due to improved health outcomes of RACF residents </w:t>
      </w:r>
    </w:p>
    <w:tbl>
      <w:tblPr>
        <w:tblStyle w:val="TableGrid"/>
        <w:tblW w:w="9092" w:type="dxa"/>
        <w:tblLook w:val="04A0" w:firstRow="1" w:lastRow="0" w:firstColumn="1" w:lastColumn="0" w:noHBand="0" w:noVBand="1"/>
      </w:tblPr>
      <w:tblGrid>
        <w:gridCol w:w="2830"/>
        <w:gridCol w:w="993"/>
        <w:gridCol w:w="1842"/>
        <w:gridCol w:w="1418"/>
        <w:gridCol w:w="2009"/>
      </w:tblGrid>
      <w:tr w:rsidR="00913711" w:rsidRPr="00913711" w14:paraId="3DF44DDF" w14:textId="1FC7D54B" w:rsidTr="009476A9">
        <w:trPr>
          <w:trHeight w:val="315"/>
        </w:trPr>
        <w:tc>
          <w:tcPr>
            <w:tcW w:w="2830" w:type="dxa"/>
            <w:vMerge w:val="restart"/>
            <w:noWrap/>
            <w:tcMar>
              <w:left w:w="28" w:type="dxa"/>
              <w:right w:w="28" w:type="dxa"/>
            </w:tcMar>
            <w:hideMark/>
          </w:tcPr>
          <w:p w14:paraId="3FA2F913" w14:textId="4F437FE7" w:rsidR="00913711" w:rsidRPr="0052163B" w:rsidRDefault="00913711" w:rsidP="0052163B">
            <w:pPr>
              <w:spacing w:before="60" w:after="60"/>
              <w:jc w:val="left"/>
              <w:rPr>
                <w:rFonts w:cstheme="minorHAnsi"/>
                <w:b/>
                <w:sz w:val="18"/>
                <w:szCs w:val="18"/>
              </w:rPr>
            </w:pPr>
            <w:r w:rsidRPr="00913711">
              <w:rPr>
                <w:rFonts w:cstheme="minorHAnsi"/>
                <w:b/>
                <w:sz w:val="18"/>
                <w:szCs w:val="18"/>
              </w:rPr>
              <w:t xml:space="preserve">Items </w:t>
            </w:r>
          </w:p>
        </w:tc>
        <w:tc>
          <w:tcPr>
            <w:tcW w:w="993" w:type="dxa"/>
            <w:noWrap/>
            <w:tcMar>
              <w:left w:w="28" w:type="dxa"/>
              <w:right w:w="28" w:type="dxa"/>
            </w:tcMar>
            <w:hideMark/>
          </w:tcPr>
          <w:p w14:paraId="6A3A2C03" w14:textId="24232239" w:rsidR="00913711" w:rsidRPr="0052163B" w:rsidRDefault="00913711" w:rsidP="0052163B">
            <w:pPr>
              <w:spacing w:before="60" w:after="60"/>
              <w:jc w:val="center"/>
              <w:rPr>
                <w:rFonts w:cstheme="minorHAnsi"/>
                <w:b/>
                <w:sz w:val="18"/>
                <w:szCs w:val="18"/>
              </w:rPr>
            </w:pPr>
            <w:r w:rsidRPr="0052163B">
              <w:rPr>
                <w:rFonts w:cstheme="minorHAnsi"/>
                <w:b/>
                <w:sz w:val="18"/>
                <w:szCs w:val="18"/>
              </w:rPr>
              <w:t xml:space="preserve">Number </w:t>
            </w:r>
            <w:r w:rsidRPr="00913711">
              <w:rPr>
                <w:rFonts w:cstheme="minorHAnsi"/>
                <w:b/>
                <w:sz w:val="18"/>
                <w:szCs w:val="18"/>
              </w:rPr>
              <w:t>(per annum)</w:t>
            </w:r>
          </w:p>
        </w:tc>
        <w:tc>
          <w:tcPr>
            <w:tcW w:w="1842" w:type="dxa"/>
            <w:tcMar>
              <w:left w:w="28" w:type="dxa"/>
              <w:right w:w="28" w:type="dxa"/>
            </w:tcMar>
          </w:tcPr>
          <w:p w14:paraId="18E6DBD7" w14:textId="7DF20296" w:rsidR="00913711" w:rsidRPr="0052163B" w:rsidRDefault="009476A9" w:rsidP="0052163B">
            <w:pPr>
              <w:spacing w:before="60" w:after="60"/>
              <w:jc w:val="center"/>
              <w:rPr>
                <w:rFonts w:cstheme="minorHAnsi"/>
                <w:b/>
                <w:sz w:val="18"/>
                <w:szCs w:val="18"/>
              </w:rPr>
            </w:pPr>
            <w:r>
              <w:rPr>
                <w:rFonts w:cstheme="minorHAnsi"/>
                <w:b/>
                <w:sz w:val="18"/>
                <w:szCs w:val="18"/>
              </w:rPr>
              <w:t>Number of</w:t>
            </w:r>
            <w:r w:rsidR="00913711">
              <w:rPr>
                <w:rFonts w:cstheme="minorHAnsi"/>
                <w:b/>
                <w:sz w:val="18"/>
                <w:szCs w:val="18"/>
              </w:rPr>
              <w:t xml:space="preserve"> residents</w:t>
            </w:r>
            <w:r>
              <w:rPr>
                <w:rFonts w:cstheme="minorHAnsi"/>
                <w:b/>
                <w:sz w:val="18"/>
                <w:szCs w:val="18"/>
              </w:rPr>
              <w:t xml:space="preserve"> had this outcomes</w:t>
            </w:r>
          </w:p>
        </w:tc>
        <w:tc>
          <w:tcPr>
            <w:tcW w:w="1418" w:type="dxa"/>
            <w:noWrap/>
            <w:tcMar>
              <w:left w:w="28" w:type="dxa"/>
              <w:right w:w="28" w:type="dxa"/>
            </w:tcMar>
            <w:hideMark/>
          </w:tcPr>
          <w:p w14:paraId="54B74E53" w14:textId="13846298" w:rsidR="00913711" w:rsidRPr="0052163B" w:rsidRDefault="00913711" w:rsidP="00913711">
            <w:pPr>
              <w:spacing w:before="60" w:after="60"/>
              <w:jc w:val="center"/>
              <w:rPr>
                <w:rFonts w:cstheme="minorHAnsi"/>
                <w:b/>
                <w:sz w:val="18"/>
                <w:szCs w:val="18"/>
              </w:rPr>
            </w:pPr>
            <w:r w:rsidRPr="0052163B">
              <w:rPr>
                <w:rFonts w:cstheme="minorHAnsi"/>
                <w:b/>
                <w:sz w:val="18"/>
                <w:szCs w:val="18"/>
              </w:rPr>
              <w:t>Market</w:t>
            </w:r>
            <w:r w:rsidRPr="00913711">
              <w:rPr>
                <w:rFonts w:cstheme="minorHAnsi"/>
                <w:b/>
                <w:sz w:val="18"/>
                <w:szCs w:val="18"/>
              </w:rPr>
              <w:t xml:space="preserve"> </w:t>
            </w:r>
            <w:r>
              <w:rPr>
                <w:rFonts w:cstheme="minorHAnsi"/>
                <w:b/>
                <w:sz w:val="18"/>
                <w:szCs w:val="18"/>
              </w:rPr>
              <w:t xml:space="preserve">and </w:t>
            </w:r>
            <w:r w:rsidRPr="00913711">
              <w:rPr>
                <w:rFonts w:cstheme="minorHAnsi"/>
                <w:b/>
                <w:sz w:val="18"/>
                <w:szCs w:val="18"/>
              </w:rPr>
              <w:t>shadow</w:t>
            </w:r>
            <w:r w:rsidRPr="0052163B">
              <w:rPr>
                <w:rFonts w:cstheme="minorHAnsi"/>
                <w:b/>
                <w:sz w:val="18"/>
                <w:szCs w:val="18"/>
              </w:rPr>
              <w:t xml:space="preserve"> price</w:t>
            </w:r>
          </w:p>
        </w:tc>
        <w:tc>
          <w:tcPr>
            <w:tcW w:w="2009" w:type="dxa"/>
          </w:tcPr>
          <w:p w14:paraId="504E6EA5" w14:textId="438E8E42" w:rsidR="00913711" w:rsidRPr="0052163B" w:rsidRDefault="00913711" w:rsidP="00913711">
            <w:pPr>
              <w:spacing w:before="60" w:after="60"/>
              <w:jc w:val="center"/>
              <w:rPr>
                <w:rFonts w:cstheme="minorHAnsi"/>
                <w:b/>
                <w:sz w:val="18"/>
                <w:szCs w:val="18"/>
              </w:rPr>
            </w:pPr>
            <w:r>
              <w:rPr>
                <w:rFonts w:cstheme="minorHAnsi"/>
                <w:b/>
                <w:sz w:val="18"/>
                <w:szCs w:val="18"/>
              </w:rPr>
              <w:t>Total</w:t>
            </w:r>
            <w:r w:rsidR="009476A9">
              <w:rPr>
                <w:rFonts w:cstheme="minorHAnsi"/>
                <w:b/>
                <w:sz w:val="18"/>
                <w:szCs w:val="18"/>
              </w:rPr>
              <w:t xml:space="preserve"> market and shadow values</w:t>
            </w:r>
            <w:r>
              <w:rPr>
                <w:rFonts w:cstheme="minorHAnsi"/>
                <w:b/>
                <w:sz w:val="18"/>
                <w:szCs w:val="18"/>
              </w:rPr>
              <w:t xml:space="preserve"> (annual)</w:t>
            </w:r>
          </w:p>
        </w:tc>
      </w:tr>
      <w:tr w:rsidR="00913711" w:rsidRPr="00913711" w14:paraId="13353D85" w14:textId="77777777" w:rsidTr="009476A9">
        <w:trPr>
          <w:trHeight w:val="315"/>
        </w:trPr>
        <w:tc>
          <w:tcPr>
            <w:tcW w:w="2830" w:type="dxa"/>
            <w:vMerge/>
            <w:noWrap/>
            <w:tcMar>
              <w:left w:w="28" w:type="dxa"/>
              <w:right w:w="28" w:type="dxa"/>
            </w:tcMar>
          </w:tcPr>
          <w:p w14:paraId="64E44302" w14:textId="77777777" w:rsidR="00913711" w:rsidRPr="00913711" w:rsidRDefault="00913711" w:rsidP="0052163B">
            <w:pPr>
              <w:spacing w:before="60" w:after="60"/>
              <w:jc w:val="left"/>
              <w:rPr>
                <w:rFonts w:cstheme="minorHAnsi"/>
                <w:sz w:val="18"/>
                <w:szCs w:val="18"/>
              </w:rPr>
            </w:pPr>
          </w:p>
        </w:tc>
        <w:tc>
          <w:tcPr>
            <w:tcW w:w="993" w:type="dxa"/>
            <w:noWrap/>
            <w:tcMar>
              <w:left w:w="28" w:type="dxa"/>
              <w:right w:w="28" w:type="dxa"/>
            </w:tcMar>
          </w:tcPr>
          <w:p w14:paraId="23EB7FE4" w14:textId="7C85CA57" w:rsidR="00913711" w:rsidRPr="00913711" w:rsidRDefault="00913711" w:rsidP="0052163B">
            <w:pPr>
              <w:spacing w:before="60" w:after="60"/>
              <w:jc w:val="center"/>
              <w:rPr>
                <w:rFonts w:cstheme="minorHAnsi"/>
                <w:sz w:val="18"/>
                <w:szCs w:val="18"/>
              </w:rPr>
            </w:pPr>
            <w:r w:rsidRPr="00913711">
              <w:rPr>
                <w:rFonts w:cstheme="minorHAnsi"/>
                <w:sz w:val="18"/>
                <w:szCs w:val="18"/>
              </w:rPr>
              <w:t>A</w:t>
            </w:r>
          </w:p>
        </w:tc>
        <w:tc>
          <w:tcPr>
            <w:tcW w:w="1842" w:type="dxa"/>
            <w:tcMar>
              <w:left w:w="28" w:type="dxa"/>
              <w:right w:w="28" w:type="dxa"/>
            </w:tcMar>
          </w:tcPr>
          <w:p w14:paraId="1C961157" w14:textId="483DC790" w:rsidR="00913711" w:rsidRPr="00913711" w:rsidRDefault="00913711" w:rsidP="0052163B">
            <w:pPr>
              <w:spacing w:before="60" w:after="60"/>
              <w:jc w:val="center"/>
              <w:rPr>
                <w:rFonts w:cstheme="minorHAnsi"/>
                <w:sz w:val="18"/>
                <w:szCs w:val="18"/>
              </w:rPr>
            </w:pPr>
            <w:r w:rsidRPr="00913711">
              <w:rPr>
                <w:rFonts w:cstheme="minorHAnsi"/>
                <w:sz w:val="18"/>
                <w:szCs w:val="18"/>
              </w:rPr>
              <w:t>B</w:t>
            </w:r>
            <w:r w:rsidR="009476A9">
              <w:rPr>
                <w:rFonts w:cstheme="minorHAnsi"/>
                <w:sz w:val="18"/>
                <w:szCs w:val="18"/>
              </w:rPr>
              <w:t xml:space="preserve"> </w:t>
            </w:r>
          </w:p>
        </w:tc>
        <w:tc>
          <w:tcPr>
            <w:tcW w:w="1418" w:type="dxa"/>
            <w:noWrap/>
            <w:tcMar>
              <w:left w:w="28" w:type="dxa"/>
              <w:right w:w="28" w:type="dxa"/>
            </w:tcMar>
          </w:tcPr>
          <w:p w14:paraId="44240355" w14:textId="106729EB" w:rsidR="00913711" w:rsidRPr="00913711" w:rsidRDefault="00913711" w:rsidP="0052163B">
            <w:pPr>
              <w:spacing w:before="60" w:after="60"/>
              <w:jc w:val="center"/>
              <w:rPr>
                <w:rFonts w:cstheme="minorHAnsi"/>
                <w:sz w:val="18"/>
                <w:szCs w:val="18"/>
              </w:rPr>
            </w:pPr>
            <w:r w:rsidRPr="00913711">
              <w:rPr>
                <w:rFonts w:cstheme="minorHAnsi"/>
                <w:sz w:val="18"/>
                <w:szCs w:val="18"/>
              </w:rPr>
              <w:t>C</w:t>
            </w:r>
          </w:p>
        </w:tc>
        <w:tc>
          <w:tcPr>
            <w:tcW w:w="2009" w:type="dxa"/>
          </w:tcPr>
          <w:p w14:paraId="34A0ADB8" w14:textId="6EC164B1" w:rsidR="00913711" w:rsidRPr="00913711" w:rsidRDefault="00913711" w:rsidP="00913711">
            <w:pPr>
              <w:spacing w:before="60" w:after="60"/>
              <w:jc w:val="center"/>
              <w:rPr>
                <w:rFonts w:cstheme="minorHAnsi"/>
                <w:sz w:val="18"/>
                <w:szCs w:val="18"/>
              </w:rPr>
            </w:pPr>
            <w:r w:rsidRPr="00913711">
              <w:rPr>
                <w:rFonts w:cstheme="minorHAnsi"/>
                <w:sz w:val="18"/>
                <w:szCs w:val="18"/>
              </w:rPr>
              <w:t>A * B * C</w:t>
            </w:r>
          </w:p>
        </w:tc>
      </w:tr>
      <w:tr w:rsidR="00913711" w:rsidRPr="0052163B" w14:paraId="0DE33D65" w14:textId="6BF785F5" w:rsidTr="009476A9">
        <w:trPr>
          <w:trHeight w:val="315"/>
        </w:trPr>
        <w:tc>
          <w:tcPr>
            <w:tcW w:w="2830" w:type="dxa"/>
            <w:noWrap/>
            <w:tcMar>
              <w:left w:w="28" w:type="dxa"/>
              <w:right w:w="28" w:type="dxa"/>
            </w:tcMar>
            <w:hideMark/>
          </w:tcPr>
          <w:p w14:paraId="605C26D9" w14:textId="15734C16" w:rsidR="00913711" w:rsidRPr="0052163B" w:rsidRDefault="00913711" w:rsidP="00913711">
            <w:pPr>
              <w:spacing w:before="60" w:after="60"/>
              <w:jc w:val="left"/>
              <w:rPr>
                <w:rFonts w:cstheme="minorHAnsi"/>
                <w:sz w:val="18"/>
                <w:szCs w:val="18"/>
              </w:rPr>
            </w:pPr>
            <w:r w:rsidRPr="0052163B">
              <w:rPr>
                <w:rFonts w:cstheme="minorHAnsi"/>
                <w:sz w:val="18"/>
                <w:szCs w:val="18"/>
              </w:rPr>
              <w:t xml:space="preserve">Reduction in GP visits </w:t>
            </w:r>
            <w:r>
              <w:rPr>
                <w:rFonts w:cstheme="minorHAnsi"/>
                <w:sz w:val="18"/>
                <w:szCs w:val="18"/>
              </w:rPr>
              <w:t>(</w:t>
            </w:r>
            <w:r w:rsidRPr="0052163B">
              <w:rPr>
                <w:rFonts w:cstheme="minorHAnsi"/>
                <w:sz w:val="18"/>
                <w:szCs w:val="18"/>
              </w:rPr>
              <w:t>item 23</w:t>
            </w:r>
            <w:r>
              <w:rPr>
                <w:rFonts w:cstheme="minorHAnsi"/>
                <w:sz w:val="18"/>
                <w:szCs w:val="18"/>
              </w:rPr>
              <w:t>, MBS)</w:t>
            </w:r>
          </w:p>
        </w:tc>
        <w:tc>
          <w:tcPr>
            <w:tcW w:w="993" w:type="dxa"/>
            <w:noWrap/>
            <w:tcMar>
              <w:left w:w="28" w:type="dxa"/>
              <w:right w:w="28" w:type="dxa"/>
            </w:tcMar>
            <w:hideMark/>
          </w:tcPr>
          <w:p w14:paraId="4A4B2D92" w14:textId="57E0484F" w:rsidR="00913711" w:rsidRPr="0052163B" w:rsidRDefault="00913711" w:rsidP="00913711">
            <w:pPr>
              <w:spacing w:before="60" w:after="60"/>
              <w:jc w:val="center"/>
              <w:rPr>
                <w:rFonts w:cstheme="minorHAnsi"/>
                <w:sz w:val="18"/>
                <w:szCs w:val="18"/>
              </w:rPr>
            </w:pPr>
            <w:r w:rsidRPr="0052163B">
              <w:rPr>
                <w:rFonts w:cstheme="minorHAnsi"/>
                <w:sz w:val="18"/>
                <w:szCs w:val="18"/>
              </w:rPr>
              <w:t>2</w:t>
            </w:r>
            <w:r w:rsidR="009476A9">
              <w:rPr>
                <w:rFonts w:cstheme="minorHAnsi"/>
                <w:sz w:val="18"/>
                <w:szCs w:val="18"/>
              </w:rPr>
              <w:t xml:space="preserve"> (visits)</w:t>
            </w:r>
          </w:p>
        </w:tc>
        <w:tc>
          <w:tcPr>
            <w:tcW w:w="1842" w:type="dxa"/>
            <w:tcMar>
              <w:left w:w="28" w:type="dxa"/>
              <w:right w:w="28" w:type="dxa"/>
            </w:tcMar>
          </w:tcPr>
          <w:p w14:paraId="065BC269" w14:textId="17596049" w:rsidR="00913711" w:rsidRPr="0052163B" w:rsidRDefault="009476A9" w:rsidP="00913711">
            <w:pPr>
              <w:spacing w:before="60" w:after="60"/>
              <w:jc w:val="center"/>
              <w:rPr>
                <w:rFonts w:cstheme="minorHAnsi"/>
                <w:sz w:val="18"/>
                <w:szCs w:val="18"/>
              </w:rPr>
            </w:pPr>
            <w:r>
              <w:rPr>
                <w:rFonts w:cstheme="minorHAnsi"/>
                <w:sz w:val="18"/>
                <w:szCs w:val="18"/>
              </w:rPr>
              <w:t>27 (residents)</w:t>
            </w:r>
          </w:p>
        </w:tc>
        <w:tc>
          <w:tcPr>
            <w:tcW w:w="1418" w:type="dxa"/>
            <w:noWrap/>
            <w:tcMar>
              <w:left w:w="28" w:type="dxa"/>
              <w:right w:w="28" w:type="dxa"/>
            </w:tcMar>
            <w:hideMark/>
          </w:tcPr>
          <w:p w14:paraId="4120129B" w14:textId="6B8C746F" w:rsidR="00913711" w:rsidRPr="0052163B" w:rsidRDefault="00913711" w:rsidP="00913711">
            <w:pPr>
              <w:spacing w:before="60" w:after="60"/>
              <w:jc w:val="center"/>
              <w:rPr>
                <w:rFonts w:cstheme="minorHAnsi"/>
                <w:sz w:val="18"/>
                <w:szCs w:val="18"/>
              </w:rPr>
            </w:pPr>
            <w:r w:rsidRPr="0052163B">
              <w:rPr>
                <w:rFonts w:cstheme="minorHAnsi"/>
                <w:sz w:val="18"/>
                <w:szCs w:val="18"/>
              </w:rPr>
              <w:t>$  37</w:t>
            </w:r>
          </w:p>
        </w:tc>
        <w:tc>
          <w:tcPr>
            <w:tcW w:w="2009" w:type="dxa"/>
          </w:tcPr>
          <w:p w14:paraId="11DAF5ED" w14:textId="3E13E41B" w:rsidR="00913711" w:rsidRPr="005A7497" w:rsidRDefault="00913711" w:rsidP="00913711">
            <w:pPr>
              <w:spacing w:before="60" w:after="60"/>
              <w:jc w:val="center"/>
              <w:rPr>
                <w:rFonts w:cstheme="minorHAnsi"/>
                <w:b/>
                <w:sz w:val="18"/>
                <w:szCs w:val="18"/>
              </w:rPr>
            </w:pPr>
            <w:r w:rsidRPr="005A7497">
              <w:rPr>
                <w:rFonts w:cstheme="minorHAnsi"/>
                <w:b/>
                <w:sz w:val="18"/>
                <w:szCs w:val="18"/>
              </w:rPr>
              <w:t xml:space="preserve"> $ 2,035 </w:t>
            </w:r>
          </w:p>
        </w:tc>
      </w:tr>
      <w:tr w:rsidR="00913711" w:rsidRPr="0052163B" w14:paraId="1529C22C" w14:textId="18194A8F" w:rsidTr="009476A9">
        <w:trPr>
          <w:trHeight w:val="330"/>
        </w:trPr>
        <w:tc>
          <w:tcPr>
            <w:tcW w:w="2830" w:type="dxa"/>
            <w:noWrap/>
            <w:tcMar>
              <w:left w:w="28" w:type="dxa"/>
              <w:right w:w="28" w:type="dxa"/>
            </w:tcMar>
            <w:hideMark/>
          </w:tcPr>
          <w:p w14:paraId="61B7138C" w14:textId="769F45B3" w:rsidR="00913711" w:rsidRPr="0052163B" w:rsidRDefault="00913711" w:rsidP="00913711">
            <w:pPr>
              <w:spacing w:before="60" w:after="60"/>
              <w:jc w:val="left"/>
              <w:rPr>
                <w:rFonts w:cstheme="minorHAnsi"/>
                <w:sz w:val="18"/>
                <w:szCs w:val="18"/>
              </w:rPr>
            </w:pPr>
            <w:r>
              <w:rPr>
                <w:rFonts w:cstheme="minorHAnsi"/>
                <w:sz w:val="18"/>
                <w:szCs w:val="18"/>
              </w:rPr>
              <w:t xml:space="preserve">Reduction in emergency admissions </w:t>
            </w:r>
          </w:p>
        </w:tc>
        <w:tc>
          <w:tcPr>
            <w:tcW w:w="993" w:type="dxa"/>
            <w:noWrap/>
            <w:tcMar>
              <w:left w:w="28" w:type="dxa"/>
              <w:right w:w="28" w:type="dxa"/>
            </w:tcMar>
            <w:hideMark/>
          </w:tcPr>
          <w:p w14:paraId="4775C31E" w14:textId="2C8B4133" w:rsidR="00913711" w:rsidRPr="0052163B" w:rsidRDefault="00913711" w:rsidP="00913711">
            <w:pPr>
              <w:spacing w:before="60" w:after="60"/>
              <w:jc w:val="center"/>
              <w:rPr>
                <w:rFonts w:cstheme="minorHAnsi"/>
                <w:sz w:val="18"/>
                <w:szCs w:val="18"/>
              </w:rPr>
            </w:pPr>
            <w:r w:rsidRPr="0052163B">
              <w:rPr>
                <w:rFonts w:cstheme="minorHAnsi"/>
                <w:sz w:val="18"/>
                <w:szCs w:val="18"/>
              </w:rPr>
              <w:t>1</w:t>
            </w:r>
            <w:r w:rsidR="009476A9">
              <w:rPr>
                <w:rFonts w:cstheme="minorHAnsi"/>
                <w:sz w:val="18"/>
                <w:szCs w:val="18"/>
              </w:rPr>
              <w:t xml:space="preserve"> (transfer)</w:t>
            </w:r>
          </w:p>
        </w:tc>
        <w:tc>
          <w:tcPr>
            <w:tcW w:w="1842" w:type="dxa"/>
            <w:tcMar>
              <w:left w:w="28" w:type="dxa"/>
              <w:right w:w="28" w:type="dxa"/>
            </w:tcMar>
          </w:tcPr>
          <w:p w14:paraId="260D57E3" w14:textId="79902501" w:rsidR="00913711" w:rsidRPr="0052163B" w:rsidRDefault="009476A9" w:rsidP="009476A9">
            <w:pPr>
              <w:spacing w:before="60" w:after="60"/>
              <w:jc w:val="center"/>
              <w:rPr>
                <w:rFonts w:cstheme="minorHAnsi"/>
                <w:sz w:val="18"/>
                <w:szCs w:val="18"/>
              </w:rPr>
            </w:pPr>
            <w:r>
              <w:rPr>
                <w:rFonts w:cstheme="minorHAnsi"/>
                <w:sz w:val="18"/>
                <w:szCs w:val="18"/>
              </w:rPr>
              <w:t>11 (residents)</w:t>
            </w:r>
          </w:p>
        </w:tc>
        <w:tc>
          <w:tcPr>
            <w:tcW w:w="1418" w:type="dxa"/>
            <w:noWrap/>
            <w:tcMar>
              <w:left w:w="28" w:type="dxa"/>
              <w:right w:w="28" w:type="dxa"/>
            </w:tcMar>
            <w:hideMark/>
          </w:tcPr>
          <w:p w14:paraId="0BCB26E6" w14:textId="093DE1D5" w:rsidR="00913711" w:rsidRPr="0052163B" w:rsidRDefault="00913711" w:rsidP="00913711">
            <w:pPr>
              <w:spacing w:before="60" w:after="60"/>
              <w:jc w:val="center"/>
              <w:rPr>
                <w:rFonts w:cstheme="minorHAnsi"/>
                <w:sz w:val="18"/>
                <w:szCs w:val="18"/>
              </w:rPr>
            </w:pPr>
            <w:r w:rsidRPr="0052163B">
              <w:rPr>
                <w:rFonts w:cstheme="minorHAnsi"/>
                <w:sz w:val="18"/>
                <w:szCs w:val="18"/>
              </w:rPr>
              <w:t>$  913</w:t>
            </w:r>
          </w:p>
        </w:tc>
        <w:tc>
          <w:tcPr>
            <w:tcW w:w="2009" w:type="dxa"/>
          </w:tcPr>
          <w:p w14:paraId="1D4E120A" w14:textId="6ABBB4CC" w:rsidR="00913711" w:rsidRPr="005A7497" w:rsidRDefault="00913711" w:rsidP="00913711">
            <w:pPr>
              <w:spacing w:before="60" w:after="60"/>
              <w:jc w:val="center"/>
              <w:rPr>
                <w:rFonts w:cstheme="minorHAnsi"/>
                <w:b/>
                <w:sz w:val="18"/>
                <w:szCs w:val="18"/>
              </w:rPr>
            </w:pPr>
            <w:r w:rsidRPr="005A7497">
              <w:rPr>
                <w:rFonts w:cstheme="minorHAnsi"/>
                <w:b/>
                <w:sz w:val="18"/>
                <w:szCs w:val="18"/>
              </w:rPr>
              <w:t xml:space="preserve"> $ 10,043 </w:t>
            </w:r>
          </w:p>
        </w:tc>
      </w:tr>
    </w:tbl>
    <w:p w14:paraId="437E6672" w14:textId="77777777" w:rsidR="00BD5037" w:rsidRDefault="00BD5037" w:rsidP="008947E7">
      <w:pPr>
        <w:spacing w:before="120" w:after="120" w:line="360" w:lineRule="auto"/>
        <w:rPr>
          <w:rFonts w:cstheme="minorHAnsi"/>
          <w:szCs w:val="24"/>
        </w:rPr>
      </w:pPr>
    </w:p>
    <w:p w14:paraId="3215CC54" w14:textId="78828D94" w:rsidR="00BD5037" w:rsidRDefault="00BD5037" w:rsidP="008947E7">
      <w:pPr>
        <w:spacing w:before="120" w:after="120" w:line="360" w:lineRule="auto"/>
        <w:rPr>
          <w:rFonts w:cstheme="minorHAnsi"/>
          <w:szCs w:val="24"/>
        </w:rPr>
      </w:pPr>
      <w:r>
        <w:rPr>
          <w:rFonts w:cstheme="minorHAnsi"/>
          <w:szCs w:val="24"/>
        </w:rPr>
        <w:t xml:space="preserve">All the calculated benefits are summarised in the table below. </w:t>
      </w:r>
    </w:p>
    <w:p w14:paraId="49331D95" w14:textId="69905C37" w:rsidR="00F5642A" w:rsidRPr="00BD5037" w:rsidRDefault="00BD5037" w:rsidP="00BD5037">
      <w:pPr>
        <w:pStyle w:val="Caption"/>
        <w:keepNext/>
        <w:spacing w:before="60" w:after="60"/>
        <w:rPr>
          <w:b/>
        </w:rPr>
      </w:pPr>
      <w:r w:rsidRPr="00387CF3">
        <w:rPr>
          <w:b/>
        </w:rPr>
        <w:t xml:space="preserve">Table </w:t>
      </w:r>
      <w:r w:rsidRPr="000D3506">
        <w:rPr>
          <w:b/>
        </w:rPr>
        <w:fldChar w:fldCharType="begin"/>
      </w:r>
      <w:r w:rsidRPr="000D3506">
        <w:rPr>
          <w:b/>
        </w:rPr>
        <w:instrText xml:space="preserve"> SEQ Table \* ARABIC </w:instrText>
      </w:r>
      <w:r w:rsidRPr="000D3506">
        <w:rPr>
          <w:b/>
        </w:rPr>
        <w:fldChar w:fldCharType="separate"/>
      </w:r>
      <w:r>
        <w:rPr>
          <w:b/>
          <w:noProof/>
        </w:rPr>
        <w:t>6</w:t>
      </w:r>
      <w:r w:rsidRPr="000D3506">
        <w:rPr>
          <w:b/>
        </w:rPr>
        <w:fldChar w:fldCharType="end"/>
      </w:r>
      <w:r w:rsidRPr="000D3506">
        <w:rPr>
          <w:b/>
        </w:rPr>
        <w:t xml:space="preserve">: </w:t>
      </w:r>
      <w:r w:rsidR="00F5642A" w:rsidRPr="00BD5037">
        <w:rPr>
          <w:b/>
        </w:rPr>
        <w:t xml:space="preserve">Summary of all calculated benefits in market and shadow prices </w:t>
      </w:r>
    </w:p>
    <w:p w14:paraId="38A34E99" w14:textId="4CA78AF0" w:rsidR="00F5642A" w:rsidRDefault="00445C44" w:rsidP="00BD5037">
      <w:pPr>
        <w:keepNext/>
        <w:spacing w:before="120" w:after="120" w:line="360" w:lineRule="auto"/>
        <w:rPr>
          <w:rFonts w:cstheme="minorHAnsi"/>
          <w:szCs w:val="24"/>
        </w:rPr>
      </w:pPr>
      <w:r>
        <w:rPr>
          <w:noProof/>
          <w:lang w:val="en-IN" w:eastAsia="en-IN"/>
        </w:rPr>
        <w:drawing>
          <wp:inline distT="0" distB="0" distL="0" distR="0" wp14:anchorId="5289EFCE" wp14:editId="73175B9E">
            <wp:extent cx="5731510" cy="35318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531870"/>
                    </a:xfrm>
                    <a:prstGeom prst="rect">
                      <a:avLst/>
                    </a:prstGeom>
                  </pic:spPr>
                </pic:pic>
              </a:graphicData>
            </a:graphic>
          </wp:inline>
        </w:drawing>
      </w:r>
    </w:p>
    <w:p w14:paraId="481F9C8D" w14:textId="77777777" w:rsidR="00D60F51" w:rsidRDefault="00D60F51" w:rsidP="00755DC0">
      <w:pPr>
        <w:spacing w:before="120" w:after="120" w:line="360" w:lineRule="auto"/>
        <w:rPr>
          <w:rFonts w:cstheme="minorHAnsi"/>
          <w:b/>
          <w:szCs w:val="24"/>
          <w:u w:val="single"/>
        </w:rPr>
      </w:pPr>
    </w:p>
    <w:p w14:paraId="08688C74" w14:textId="24334B23" w:rsidR="00B06DD1" w:rsidRPr="00B06DD1" w:rsidRDefault="00033F13" w:rsidP="00755DC0">
      <w:pPr>
        <w:spacing w:before="120" w:after="120" w:line="360" w:lineRule="auto"/>
        <w:rPr>
          <w:rFonts w:cstheme="minorHAnsi"/>
          <w:b/>
          <w:szCs w:val="24"/>
          <w:u w:val="single"/>
        </w:rPr>
      </w:pPr>
      <w:r>
        <w:rPr>
          <w:rFonts w:cstheme="minorHAnsi"/>
          <w:b/>
          <w:szCs w:val="24"/>
          <w:u w:val="single"/>
        </w:rPr>
        <w:t xml:space="preserve">A.3. </w:t>
      </w:r>
      <w:r w:rsidR="00B06DD1" w:rsidRPr="00B06DD1">
        <w:rPr>
          <w:rFonts w:cstheme="minorHAnsi"/>
          <w:b/>
          <w:szCs w:val="24"/>
          <w:u w:val="single"/>
        </w:rPr>
        <w:t>Costs</w:t>
      </w:r>
    </w:p>
    <w:p w14:paraId="74CCEBBD" w14:textId="27194373" w:rsidR="00F5642A" w:rsidRDefault="00F5642A" w:rsidP="00F5642A">
      <w:pPr>
        <w:spacing w:before="120" w:after="120" w:line="360" w:lineRule="auto"/>
        <w:rPr>
          <w:rFonts w:cstheme="minorHAnsi"/>
          <w:szCs w:val="24"/>
        </w:rPr>
      </w:pPr>
      <w:r w:rsidRPr="00F5642A">
        <w:rPr>
          <w:rFonts w:cstheme="minorHAnsi"/>
          <w:szCs w:val="24"/>
        </w:rPr>
        <w:t xml:space="preserve">There are two major cost </w:t>
      </w:r>
      <w:r w:rsidR="00C03307">
        <w:rPr>
          <w:rFonts w:cstheme="minorHAnsi"/>
          <w:szCs w:val="24"/>
        </w:rPr>
        <w:t>categories</w:t>
      </w:r>
      <w:r w:rsidRPr="00F5642A">
        <w:rPr>
          <w:rFonts w:cstheme="minorHAnsi"/>
          <w:szCs w:val="24"/>
        </w:rPr>
        <w:t xml:space="preserve">: the initial investment </w:t>
      </w:r>
      <w:r w:rsidR="00B57A86">
        <w:rPr>
          <w:rFonts w:cstheme="minorHAnsi"/>
          <w:szCs w:val="24"/>
        </w:rPr>
        <w:t>(incurred</w:t>
      </w:r>
      <w:r w:rsidR="007B1D63">
        <w:rPr>
          <w:rFonts w:cstheme="minorHAnsi"/>
          <w:szCs w:val="24"/>
        </w:rPr>
        <w:t xml:space="preserve"> once</w:t>
      </w:r>
      <w:r w:rsidR="00B57A86">
        <w:rPr>
          <w:rFonts w:cstheme="minorHAnsi"/>
          <w:szCs w:val="24"/>
        </w:rPr>
        <w:t xml:space="preserve"> in year 0, or 2013) </w:t>
      </w:r>
      <w:r w:rsidRPr="00F5642A">
        <w:rPr>
          <w:rFonts w:cstheme="minorHAnsi"/>
          <w:szCs w:val="24"/>
        </w:rPr>
        <w:t>and the operating cost</w:t>
      </w:r>
      <w:r w:rsidR="00B57A86">
        <w:rPr>
          <w:rFonts w:cstheme="minorHAnsi"/>
          <w:szCs w:val="24"/>
        </w:rPr>
        <w:t xml:space="preserve"> (incurred during the 3 years of IPE program</w:t>
      </w:r>
      <w:r w:rsidR="008A7896">
        <w:rPr>
          <w:rFonts w:cstheme="minorHAnsi"/>
          <w:szCs w:val="24"/>
        </w:rPr>
        <w:t>, 2013-2015</w:t>
      </w:r>
      <w:r w:rsidR="00B57A86">
        <w:rPr>
          <w:rFonts w:cstheme="minorHAnsi"/>
          <w:szCs w:val="24"/>
        </w:rPr>
        <w:t>)</w:t>
      </w:r>
      <w:r w:rsidRPr="00F5642A">
        <w:rPr>
          <w:rFonts w:cstheme="minorHAnsi"/>
          <w:szCs w:val="24"/>
        </w:rPr>
        <w:t xml:space="preserve">. </w:t>
      </w:r>
    </w:p>
    <w:p w14:paraId="47BEC9FF" w14:textId="6A136018" w:rsidR="00CA50AC" w:rsidRDefault="00F5642A" w:rsidP="00CA50AC">
      <w:pPr>
        <w:pStyle w:val="ListParagraph"/>
        <w:numPr>
          <w:ilvl w:val="0"/>
          <w:numId w:val="3"/>
        </w:numPr>
        <w:spacing w:before="120" w:after="120" w:line="360" w:lineRule="auto"/>
        <w:rPr>
          <w:rFonts w:cstheme="minorHAnsi"/>
          <w:szCs w:val="24"/>
        </w:rPr>
      </w:pPr>
      <w:r w:rsidRPr="00F5642A">
        <w:rPr>
          <w:rFonts w:cstheme="minorHAnsi"/>
          <w:szCs w:val="24"/>
        </w:rPr>
        <w:t>The initial investment covered the purchase of learning and teaching equipment for students  that was used as part of care delivery for residents (bladder scanner, digital blood pressure monitor, oximeter, etc.), program equipment for new resident activities developed as part of the student placements (e.g. recumbent bike, stairs, exercise bars and balls), and a dedicated computer for student use.</w:t>
      </w:r>
      <w:r w:rsidR="00157873">
        <w:rPr>
          <w:rFonts w:cstheme="minorHAnsi"/>
          <w:szCs w:val="24"/>
        </w:rPr>
        <w:t xml:space="preserve"> </w:t>
      </w:r>
      <w:r w:rsidR="004E4674">
        <w:rPr>
          <w:rFonts w:cstheme="minorHAnsi"/>
          <w:szCs w:val="24"/>
        </w:rPr>
        <w:t xml:space="preserve">These cost information was included in all analyses. </w:t>
      </w:r>
      <w:r w:rsidR="00157873">
        <w:rPr>
          <w:rFonts w:cstheme="minorHAnsi"/>
          <w:szCs w:val="24"/>
        </w:rPr>
        <w:t xml:space="preserve">The data was sourced from the IPE </w:t>
      </w:r>
      <w:r w:rsidR="004E4674">
        <w:rPr>
          <w:rFonts w:cstheme="minorHAnsi"/>
          <w:szCs w:val="24"/>
        </w:rPr>
        <w:t>program administrative records. Due to</w:t>
      </w:r>
      <w:r w:rsidR="00FA5E19">
        <w:rPr>
          <w:rFonts w:cstheme="minorHAnsi"/>
          <w:szCs w:val="24"/>
        </w:rPr>
        <w:t xml:space="preserve"> the</w:t>
      </w:r>
      <w:r w:rsidR="004E4674">
        <w:rPr>
          <w:rFonts w:cstheme="minorHAnsi"/>
          <w:szCs w:val="24"/>
        </w:rPr>
        <w:t xml:space="preserve"> confidentiality agreement between the aged care organisation and the research team, we do not disclose individual item costs (about 50 items). The total cost of all items </w:t>
      </w:r>
      <w:r w:rsidR="00AF2938">
        <w:rPr>
          <w:rFonts w:cstheme="minorHAnsi"/>
          <w:szCs w:val="24"/>
        </w:rPr>
        <w:t>is</w:t>
      </w:r>
      <w:r w:rsidR="004E4674">
        <w:rPr>
          <w:rFonts w:cstheme="minorHAnsi"/>
          <w:szCs w:val="24"/>
        </w:rPr>
        <w:t xml:space="preserve"> reported in </w:t>
      </w:r>
      <w:r w:rsidR="004E4674">
        <w:rPr>
          <w:rFonts w:cstheme="minorHAnsi"/>
          <w:szCs w:val="24"/>
        </w:rPr>
        <w:fldChar w:fldCharType="begin"/>
      </w:r>
      <w:r w:rsidR="004E4674">
        <w:rPr>
          <w:rFonts w:cstheme="minorHAnsi"/>
          <w:szCs w:val="24"/>
        </w:rPr>
        <w:instrText xml:space="preserve"> REF _Ref505009859 \h </w:instrText>
      </w:r>
      <w:r w:rsidR="004E4674">
        <w:rPr>
          <w:rFonts w:cstheme="minorHAnsi"/>
          <w:szCs w:val="24"/>
        </w:rPr>
      </w:r>
      <w:r w:rsidR="004E4674">
        <w:rPr>
          <w:rFonts w:cstheme="minorHAnsi"/>
          <w:szCs w:val="24"/>
        </w:rPr>
        <w:fldChar w:fldCharType="separate"/>
      </w:r>
      <w:r w:rsidR="004E4674" w:rsidRPr="00387CF3">
        <w:rPr>
          <w:b/>
        </w:rPr>
        <w:t xml:space="preserve">Table </w:t>
      </w:r>
      <w:r w:rsidR="004E4674">
        <w:rPr>
          <w:b/>
          <w:noProof/>
        </w:rPr>
        <w:t>7</w:t>
      </w:r>
      <w:r w:rsidR="004E4674">
        <w:rPr>
          <w:rFonts w:cstheme="minorHAnsi"/>
          <w:szCs w:val="24"/>
        </w:rPr>
        <w:fldChar w:fldCharType="end"/>
      </w:r>
      <w:r w:rsidR="004E4674">
        <w:rPr>
          <w:rFonts w:cstheme="minorHAnsi"/>
          <w:szCs w:val="24"/>
        </w:rPr>
        <w:t xml:space="preserve"> below</w:t>
      </w:r>
      <w:r w:rsidR="00BF1AF9">
        <w:rPr>
          <w:rFonts w:cstheme="minorHAnsi"/>
          <w:szCs w:val="24"/>
        </w:rPr>
        <w:t xml:space="preserve"> (investment costs)</w:t>
      </w:r>
      <w:r w:rsidR="004E4674">
        <w:rPr>
          <w:rFonts w:cstheme="minorHAnsi"/>
          <w:szCs w:val="24"/>
        </w:rPr>
        <w:t xml:space="preserve">. </w:t>
      </w:r>
    </w:p>
    <w:p w14:paraId="6F79774E" w14:textId="77777777" w:rsidR="00CA50AC" w:rsidRDefault="00CA50AC" w:rsidP="00F5642A">
      <w:pPr>
        <w:pStyle w:val="ListParagraph"/>
        <w:spacing w:before="120" w:after="120" w:line="360" w:lineRule="auto"/>
        <w:ind w:left="360"/>
        <w:rPr>
          <w:rFonts w:cstheme="minorHAnsi"/>
          <w:szCs w:val="24"/>
        </w:rPr>
      </w:pPr>
    </w:p>
    <w:p w14:paraId="4E0EA010" w14:textId="78E8BF12" w:rsidR="00F5642A" w:rsidRDefault="00F5642A" w:rsidP="00F5642A">
      <w:pPr>
        <w:pStyle w:val="ListParagraph"/>
        <w:numPr>
          <w:ilvl w:val="0"/>
          <w:numId w:val="3"/>
        </w:numPr>
        <w:spacing w:before="120" w:after="120" w:line="360" w:lineRule="auto"/>
        <w:rPr>
          <w:rFonts w:cstheme="minorHAnsi"/>
          <w:szCs w:val="24"/>
        </w:rPr>
      </w:pPr>
      <w:r w:rsidRPr="00F5642A">
        <w:rPr>
          <w:rFonts w:cstheme="minorHAnsi"/>
          <w:szCs w:val="24"/>
        </w:rPr>
        <w:t xml:space="preserve">The operating cost included </w:t>
      </w:r>
      <w:r w:rsidR="00C03307">
        <w:rPr>
          <w:rFonts w:cstheme="minorHAnsi"/>
          <w:szCs w:val="24"/>
        </w:rPr>
        <w:t xml:space="preserve">two components: </w:t>
      </w:r>
      <w:r w:rsidR="007B1D63">
        <w:rPr>
          <w:rFonts w:cstheme="minorHAnsi"/>
          <w:szCs w:val="24"/>
        </w:rPr>
        <w:t>(i</w:t>
      </w:r>
      <w:r w:rsidRPr="00F5642A">
        <w:rPr>
          <w:rFonts w:cstheme="minorHAnsi"/>
          <w:szCs w:val="24"/>
        </w:rPr>
        <w:t xml:space="preserve">) </w:t>
      </w:r>
      <w:r w:rsidR="00C7482D">
        <w:rPr>
          <w:rFonts w:cstheme="minorHAnsi"/>
          <w:szCs w:val="24"/>
        </w:rPr>
        <w:t xml:space="preserve">recurrent expenditure of students, including training </w:t>
      </w:r>
      <w:r w:rsidRPr="00F5642A">
        <w:rPr>
          <w:rFonts w:cstheme="minorHAnsi"/>
          <w:szCs w:val="24"/>
        </w:rPr>
        <w:t>workshop</w:t>
      </w:r>
      <w:r w:rsidR="00C7482D">
        <w:rPr>
          <w:rFonts w:cstheme="minorHAnsi"/>
          <w:szCs w:val="24"/>
        </w:rPr>
        <w:t xml:space="preserve">s and regular expenditure incurred when students </w:t>
      </w:r>
      <w:r w:rsidR="00FA5E19">
        <w:rPr>
          <w:rFonts w:cstheme="minorHAnsi"/>
          <w:szCs w:val="24"/>
        </w:rPr>
        <w:t xml:space="preserve">were </w:t>
      </w:r>
      <w:r w:rsidR="00C7482D">
        <w:rPr>
          <w:rFonts w:cstheme="minorHAnsi"/>
          <w:szCs w:val="24"/>
        </w:rPr>
        <w:t>learning and working inside the facility</w:t>
      </w:r>
      <w:r w:rsidR="007B1D63">
        <w:rPr>
          <w:rFonts w:cstheme="minorHAnsi"/>
          <w:szCs w:val="24"/>
        </w:rPr>
        <w:t>, and (ii</w:t>
      </w:r>
      <w:r w:rsidRPr="00F5642A">
        <w:rPr>
          <w:rFonts w:cstheme="minorHAnsi"/>
          <w:szCs w:val="24"/>
        </w:rPr>
        <w:t>)</w:t>
      </w:r>
      <w:r w:rsidR="00FA5E19">
        <w:rPr>
          <w:rFonts w:cstheme="minorHAnsi"/>
          <w:szCs w:val="24"/>
        </w:rPr>
        <w:t xml:space="preserve"> the</w:t>
      </w:r>
      <w:r w:rsidRPr="00F5642A">
        <w:rPr>
          <w:rFonts w:cstheme="minorHAnsi"/>
          <w:szCs w:val="24"/>
        </w:rPr>
        <w:t xml:space="preserve"> project management and supervision team, which was determined by the number of work days per annum.</w:t>
      </w:r>
      <w:r w:rsidR="00A033FB">
        <w:rPr>
          <w:rFonts w:cstheme="minorHAnsi"/>
          <w:szCs w:val="24"/>
        </w:rPr>
        <w:t xml:space="preserve"> There was no pre-modelling analysis; the data and calculations came directly from the IPE program records. All operating expenditures are summarised in </w:t>
      </w:r>
      <w:r w:rsidR="00130BF2">
        <w:rPr>
          <w:rFonts w:cstheme="minorHAnsi"/>
          <w:szCs w:val="24"/>
        </w:rPr>
        <w:fldChar w:fldCharType="begin"/>
      </w:r>
      <w:r w:rsidR="00130BF2">
        <w:rPr>
          <w:rFonts w:cstheme="minorHAnsi"/>
          <w:szCs w:val="24"/>
        </w:rPr>
        <w:instrText xml:space="preserve"> REF _Ref505009859 \h </w:instrText>
      </w:r>
      <w:r w:rsidR="00130BF2">
        <w:rPr>
          <w:rFonts w:cstheme="minorHAnsi"/>
          <w:szCs w:val="24"/>
        </w:rPr>
      </w:r>
      <w:r w:rsidR="00130BF2">
        <w:rPr>
          <w:rFonts w:cstheme="minorHAnsi"/>
          <w:szCs w:val="24"/>
        </w:rPr>
        <w:fldChar w:fldCharType="separate"/>
      </w:r>
      <w:r w:rsidR="004E4674" w:rsidRPr="00387CF3">
        <w:rPr>
          <w:b/>
        </w:rPr>
        <w:t xml:space="preserve">Table </w:t>
      </w:r>
      <w:r w:rsidR="004E4674">
        <w:rPr>
          <w:b/>
          <w:noProof/>
        </w:rPr>
        <w:t>7</w:t>
      </w:r>
      <w:r w:rsidR="00130BF2">
        <w:rPr>
          <w:rFonts w:cstheme="minorHAnsi"/>
          <w:szCs w:val="24"/>
        </w:rPr>
        <w:fldChar w:fldCharType="end"/>
      </w:r>
      <w:r w:rsidR="00A033FB">
        <w:rPr>
          <w:rFonts w:cstheme="minorHAnsi"/>
          <w:szCs w:val="24"/>
        </w:rPr>
        <w:t xml:space="preserve">. </w:t>
      </w:r>
      <w:r w:rsidR="00F23062">
        <w:rPr>
          <w:rFonts w:cstheme="minorHAnsi"/>
          <w:szCs w:val="24"/>
        </w:rPr>
        <w:t xml:space="preserve">The only deviation between the </w:t>
      </w:r>
      <w:r w:rsidR="00352EDB">
        <w:rPr>
          <w:rFonts w:cstheme="minorHAnsi"/>
          <w:szCs w:val="24"/>
        </w:rPr>
        <w:t xml:space="preserve">analyses </w:t>
      </w:r>
      <w:r w:rsidR="00F23062">
        <w:rPr>
          <w:rFonts w:cstheme="minorHAnsi"/>
          <w:szCs w:val="24"/>
        </w:rPr>
        <w:t xml:space="preserve">in cost values were the shadow prices for the training </w:t>
      </w:r>
      <w:r w:rsidR="00B67652">
        <w:rPr>
          <w:rFonts w:cstheme="minorHAnsi"/>
          <w:szCs w:val="24"/>
        </w:rPr>
        <w:t xml:space="preserve">space because all expenditures were recorded in the accounting records by either the RACF or the IPE program. </w:t>
      </w:r>
    </w:p>
    <w:p w14:paraId="476E8778" w14:textId="5924F1AA" w:rsidR="003F5130" w:rsidRDefault="00D81123" w:rsidP="00D81123">
      <w:pPr>
        <w:spacing w:before="120" w:after="120" w:line="360" w:lineRule="auto"/>
        <w:rPr>
          <w:rFonts w:cstheme="minorHAnsi"/>
          <w:szCs w:val="24"/>
        </w:rPr>
      </w:pPr>
      <w:r>
        <w:rPr>
          <w:rFonts w:cstheme="minorHAnsi"/>
          <w:szCs w:val="24"/>
        </w:rPr>
        <w:t xml:space="preserve">(i) </w:t>
      </w:r>
      <w:r w:rsidR="005518CC">
        <w:rPr>
          <w:rFonts w:cstheme="minorHAnsi"/>
          <w:szCs w:val="24"/>
        </w:rPr>
        <w:t xml:space="preserve">The recurrent expenditure for the IPE students included: facility expenditure (e.g. working and training space, water and electricity usage), education (e.g. paid educators and trainers) and miscellaneous (e.g. </w:t>
      </w:r>
      <w:r w:rsidR="00373FD3">
        <w:rPr>
          <w:rFonts w:cstheme="minorHAnsi"/>
          <w:szCs w:val="24"/>
        </w:rPr>
        <w:t xml:space="preserve">education materials, </w:t>
      </w:r>
      <w:r w:rsidR="005518CC">
        <w:rPr>
          <w:rFonts w:cstheme="minorHAnsi"/>
          <w:szCs w:val="24"/>
        </w:rPr>
        <w:t>printing, tea and coffee</w:t>
      </w:r>
      <w:r w:rsidR="003F5130">
        <w:rPr>
          <w:rFonts w:cstheme="minorHAnsi"/>
          <w:szCs w:val="24"/>
        </w:rPr>
        <w:t xml:space="preserve">). </w:t>
      </w:r>
    </w:p>
    <w:p w14:paraId="74C8727A" w14:textId="0795B341" w:rsidR="00F5642A" w:rsidRDefault="00647335" w:rsidP="00D81123">
      <w:pPr>
        <w:spacing w:before="120" w:after="120" w:line="360" w:lineRule="auto"/>
        <w:rPr>
          <w:rFonts w:cstheme="minorHAnsi"/>
          <w:szCs w:val="24"/>
        </w:rPr>
      </w:pPr>
      <w:r>
        <w:rPr>
          <w:rFonts w:cstheme="minorHAnsi"/>
          <w:szCs w:val="24"/>
        </w:rPr>
        <w:t>The IPE program offered regular workshop</w:t>
      </w:r>
      <w:r w:rsidR="001478AF">
        <w:rPr>
          <w:rFonts w:cstheme="minorHAnsi"/>
          <w:szCs w:val="24"/>
        </w:rPr>
        <w:t>s</w:t>
      </w:r>
      <w:r>
        <w:rPr>
          <w:rFonts w:cstheme="minorHAnsi"/>
          <w:szCs w:val="24"/>
        </w:rPr>
        <w:t xml:space="preserve"> and training modules on interprofessional topics as well as top-up clinical and nursing skills. The modes of delivery included online self-learning (e.g. </w:t>
      </w:r>
      <w:r w:rsidR="00502454">
        <w:rPr>
          <w:rFonts w:cstheme="minorHAnsi"/>
          <w:szCs w:val="24"/>
        </w:rPr>
        <w:t xml:space="preserve">wound </w:t>
      </w:r>
      <w:r w:rsidR="00FA5E19">
        <w:rPr>
          <w:rFonts w:cstheme="minorHAnsi"/>
          <w:szCs w:val="24"/>
        </w:rPr>
        <w:t xml:space="preserve">care </w:t>
      </w:r>
      <w:r w:rsidR="00502454">
        <w:rPr>
          <w:rFonts w:cstheme="minorHAnsi"/>
          <w:szCs w:val="24"/>
        </w:rPr>
        <w:t>and pressure injury</w:t>
      </w:r>
      <w:r>
        <w:rPr>
          <w:rFonts w:cstheme="minorHAnsi"/>
          <w:szCs w:val="24"/>
        </w:rPr>
        <w:t>) and within in the facility (e.g.</w:t>
      </w:r>
      <w:r w:rsidR="00502454">
        <w:rPr>
          <w:rFonts w:cstheme="minorHAnsi"/>
          <w:szCs w:val="24"/>
        </w:rPr>
        <w:t xml:space="preserve"> understanding cognitive decline and dementia with geriatricians, case st</w:t>
      </w:r>
      <w:r w:rsidR="00F11E4B">
        <w:rPr>
          <w:rFonts w:cstheme="minorHAnsi"/>
          <w:szCs w:val="24"/>
        </w:rPr>
        <w:t>udy sessions and quizzes with GPs</w:t>
      </w:r>
      <w:r w:rsidR="00502454">
        <w:rPr>
          <w:rFonts w:cstheme="minorHAnsi"/>
          <w:szCs w:val="24"/>
        </w:rPr>
        <w:t>, speech pathology, and chronic disease management</w:t>
      </w:r>
      <w:r>
        <w:rPr>
          <w:rFonts w:cstheme="minorHAnsi"/>
          <w:szCs w:val="24"/>
        </w:rPr>
        <w:t xml:space="preserve">). </w:t>
      </w:r>
      <w:r w:rsidR="001478AF">
        <w:rPr>
          <w:rFonts w:cstheme="minorHAnsi"/>
          <w:szCs w:val="24"/>
        </w:rPr>
        <w:t xml:space="preserve">The RACF provided a space for workshops (e.g. a room with its equipment and electricity usage) and a dedicated student room for the IPE program. These expenditures were not accounted explicitly in the IPE </w:t>
      </w:r>
      <w:r w:rsidR="000F0472">
        <w:rPr>
          <w:rFonts w:cstheme="minorHAnsi"/>
          <w:szCs w:val="24"/>
        </w:rPr>
        <w:t xml:space="preserve">program records but </w:t>
      </w:r>
      <w:r w:rsidR="001478AF">
        <w:rPr>
          <w:rFonts w:cstheme="minorHAnsi"/>
          <w:szCs w:val="24"/>
        </w:rPr>
        <w:t xml:space="preserve">included </w:t>
      </w:r>
      <w:r w:rsidR="000F0472">
        <w:rPr>
          <w:rFonts w:cstheme="minorHAnsi"/>
          <w:szCs w:val="24"/>
        </w:rPr>
        <w:t xml:space="preserve">in the </w:t>
      </w:r>
      <w:r w:rsidR="001478AF">
        <w:rPr>
          <w:rFonts w:cstheme="minorHAnsi"/>
          <w:szCs w:val="24"/>
        </w:rPr>
        <w:t xml:space="preserve">RACF </w:t>
      </w:r>
      <w:r w:rsidR="000F0472">
        <w:rPr>
          <w:rFonts w:cstheme="minorHAnsi"/>
          <w:szCs w:val="24"/>
        </w:rPr>
        <w:t>accounting records</w:t>
      </w:r>
      <w:r w:rsidR="008F4A70">
        <w:rPr>
          <w:rFonts w:cstheme="minorHAnsi"/>
          <w:szCs w:val="24"/>
        </w:rPr>
        <w:t xml:space="preserve"> (i.e. the aged care organisation either paid rent or interest payment</w:t>
      </w:r>
      <w:r w:rsidR="00FA5E19">
        <w:rPr>
          <w:rFonts w:cstheme="minorHAnsi"/>
          <w:szCs w:val="24"/>
        </w:rPr>
        <w:t>s</w:t>
      </w:r>
      <w:r w:rsidR="008F4A70">
        <w:rPr>
          <w:rFonts w:cstheme="minorHAnsi"/>
          <w:szCs w:val="24"/>
        </w:rPr>
        <w:t xml:space="preserve"> for the property on which they built the RACF, and paid for regular maintenance, electricity and water </w:t>
      </w:r>
      <w:r w:rsidR="00E47375">
        <w:rPr>
          <w:rFonts w:cstheme="minorHAnsi"/>
          <w:szCs w:val="24"/>
        </w:rPr>
        <w:t xml:space="preserve">consumption). We sourced the rental information of similar property in the RACF areas from the open rental market, converted it into per square meter cost and calculated the annual expenditure for </w:t>
      </w:r>
      <w:r w:rsidR="00FA5E19">
        <w:rPr>
          <w:rFonts w:cstheme="minorHAnsi"/>
          <w:szCs w:val="24"/>
        </w:rPr>
        <w:t xml:space="preserve">the </w:t>
      </w:r>
      <w:r w:rsidR="00E47375">
        <w:rPr>
          <w:rFonts w:cstheme="minorHAnsi"/>
          <w:szCs w:val="24"/>
        </w:rPr>
        <w:t xml:space="preserve">IPE student room (15 square meters, according to the IPE program record). </w:t>
      </w:r>
      <w:r w:rsidR="00525A6B">
        <w:rPr>
          <w:rFonts w:cstheme="minorHAnsi"/>
          <w:szCs w:val="24"/>
        </w:rPr>
        <w:t>Similar calculation</w:t>
      </w:r>
      <w:r w:rsidR="00FA5E19">
        <w:rPr>
          <w:rFonts w:cstheme="minorHAnsi"/>
          <w:szCs w:val="24"/>
        </w:rPr>
        <w:t>s were</w:t>
      </w:r>
      <w:r w:rsidR="00525A6B">
        <w:rPr>
          <w:rFonts w:cstheme="minorHAnsi"/>
          <w:szCs w:val="24"/>
        </w:rPr>
        <w:t xml:space="preserve"> performed for the training room, but applied by hours </w:t>
      </w:r>
      <w:r w:rsidR="004B3C22">
        <w:rPr>
          <w:rFonts w:cstheme="minorHAnsi"/>
          <w:szCs w:val="24"/>
        </w:rPr>
        <w:t xml:space="preserve">(i.e. when there was no IPE training workshops then the space was used for other activities in the facility). </w:t>
      </w:r>
    </w:p>
    <w:p w14:paraId="02ED92C5" w14:textId="6274ECA4" w:rsidR="00C7482D" w:rsidRDefault="003F5130" w:rsidP="00D81123">
      <w:pPr>
        <w:spacing w:before="120" w:after="120" w:line="360" w:lineRule="auto"/>
        <w:rPr>
          <w:rFonts w:cstheme="minorHAnsi"/>
          <w:szCs w:val="24"/>
        </w:rPr>
      </w:pPr>
      <w:r>
        <w:rPr>
          <w:rFonts w:cstheme="minorHAnsi"/>
          <w:szCs w:val="24"/>
        </w:rPr>
        <w:t xml:space="preserve">The </w:t>
      </w:r>
      <w:r w:rsidR="00274C6E">
        <w:rPr>
          <w:rFonts w:cstheme="minorHAnsi"/>
          <w:szCs w:val="24"/>
        </w:rPr>
        <w:t xml:space="preserve">annual </w:t>
      </w:r>
      <w:r>
        <w:rPr>
          <w:rFonts w:cstheme="minorHAnsi"/>
          <w:szCs w:val="24"/>
        </w:rPr>
        <w:t>expenditure for education, including costs paid to clinical educators and trainers</w:t>
      </w:r>
      <w:r w:rsidR="00742609">
        <w:rPr>
          <w:rFonts w:cstheme="minorHAnsi"/>
          <w:szCs w:val="24"/>
        </w:rPr>
        <w:t xml:space="preserve"> for </w:t>
      </w:r>
      <w:r w:rsidR="00274C6E">
        <w:rPr>
          <w:rFonts w:cstheme="minorHAnsi"/>
          <w:szCs w:val="24"/>
        </w:rPr>
        <w:t xml:space="preserve">(an average of) </w:t>
      </w:r>
      <w:r w:rsidR="00742609">
        <w:rPr>
          <w:rFonts w:cstheme="minorHAnsi"/>
          <w:szCs w:val="24"/>
        </w:rPr>
        <w:t>163 workshops (e.g. geriatricians, dieticians</w:t>
      </w:r>
      <w:r>
        <w:rPr>
          <w:rFonts w:cstheme="minorHAnsi"/>
          <w:szCs w:val="24"/>
        </w:rPr>
        <w:t xml:space="preserve">, </w:t>
      </w:r>
      <w:r w:rsidR="00742609">
        <w:rPr>
          <w:rFonts w:cstheme="minorHAnsi"/>
          <w:szCs w:val="24"/>
        </w:rPr>
        <w:t>speech pathologists, pharm</w:t>
      </w:r>
      <w:r w:rsidR="009B4C8C">
        <w:rPr>
          <w:rFonts w:cstheme="minorHAnsi"/>
          <w:szCs w:val="24"/>
        </w:rPr>
        <w:t>acists and nurse practitioners), and miscellaneous training expenditure (e.g. printed materials, tea, coffee)</w:t>
      </w:r>
      <w:r>
        <w:rPr>
          <w:rFonts w:cstheme="minorHAnsi"/>
          <w:szCs w:val="24"/>
        </w:rPr>
        <w:t xml:space="preserve"> </w:t>
      </w:r>
      <w:r w:rsidR="00224855">
        <w:rPr>
          <w:rFonts w:cstheme="minorHAnsi"/>
          <w:szCs w:val="24"/>
        </w:rPr>
        <w:t xml:space="preserve">was </w:t>
      </w:r>
      <w:r>
        <w:rPr>
          <w:rFonts w:cstheme="minorHAnsi"/>
          <w:szCs w:val="24"/>
        </w:rPr>
        <w:t xml:space="preserve">sourced from the IPE program records. </w:t>
      </w:r>
    </w:p>
    <w:p w14:paraId="050C781E" w14:textId="77777777" w:rsidR="00130BF2" w:rsidRDefault="00130BF2" w:rsidP="00D81123">
      <w:pPr>
        <w:spacing w:before="120" w:after="120" w:line="360" w:lineRule="auto"/>
        <w:rPr>
          <w:rFonts w:cstheme="minorHAnsi"/>
          <w:szCs w:val="24"/>
        </w:rPr>
      </w:pPr>
    </w:p>
    <w:p w14:paraId="26F5EEE7" w14:textId="09448486" w:rsidR="00F5642A" w:rsidRDefault="004931C2" w:rsidP="00130BF2">
      <w:pPr>
        <w:widowControl w:val="0"/>
        <w:spacing w:before="120" w:after="120" w:line="360" w:lineRule="auto"/>
        <w:rPr>
          <w:rFonts w:cstheme="minorHAnsi"/>
        </w:rPr>
      </w:pPr>
      <w:r w:rsidRPr="004931C2">
        <w:rPr>
          <w:rFonts w:cstheme="minorHAnsi"/>
        </w:rPr>
        <w:t xml:space="preserve">(ii) </w:t>
      </w:r>
      <w:r>
        <w:rPr>
          <w:rFonts w:cstheme="minorHAnsi"/>
        </w:rPr>
        <w:t xml:space="preserve">The IPE program employed dedicated IPE coordinators (0.4 FTE) and facilitators (0.8 FTE) to manage and support </w:t>
      </w:r>
      <w:r w:rsidR="00224855">
        <w:rPr>
          <w:rFonts w:cstheme="minorHAnsi"/>
        </w:rPr>
        <w:t xml:space="preserve">the program </w:t>
      </w:r>
      <w:r>
        <w:rPr>
          <w:rFonts w:cstheme="minorHAnsi"/>
        </w:rPr>
        <w:t xml:space="preserve">within the facility environment. </w:t>
      </w:r>
      <w:r w:rsidR="00130BF2">
        <w:rPr>
          <w:rFonts w:cstheme="minorHAnsi"/>
        </w:rPr>
        <w:t xml:space="preserve">Additionally, the program employed </w:t>
      </w:r>
      <w:r w:rsidR="00224855">
        <w:rPr>
          <w:rFonts w:cstheme="minorHAnsi"/>
        </w:rPr>
        <w:t xml:space="preserve">a </w:t>
      </w:r>
      <w:r w:rsidR="00130BF2">
        <w:rPr>
          <w:rFonts w:cstheme="minorHAnsi"/>
        </w:rPr>
        <w:t>registered nurse</w:t>
      </w:r>
      <w:r w:rsidR="00850880">
        <w:rPr>
          <w:rFonts w:cstheme="minorHAnsi"/>
        </w:rPr>
        <w:t xml:space="preserve"> (4 hours per week)</w:t>
      </w:r>
      <w:r w:rsidR="00130BF2">
        <w:rPr>
          <w:rFonts w:cstheme="minorHAnsi"/>
        </w:rPr>
        <w:t xml:space="preserve">, </w:t>
      </w:r>
      <w:r w:rsidR="008A1B5F">
        <w:rPr>
          <w:rFonts w:cstheme="minorHAnsi"/>
        </w:rPr>
        <w:t>physiotherapist</w:t>
      </w:r>
      <w:r w:rsidR="00130BF2">
        <w:rPr>
          <w:rFonts w:cstheme="minorHAnsi"/>
        </w:rPr>
        <w:t xml:space="preserve"> </w:t>
      </w:r>
      <w:r w:rsidR="00850880">
        <w:rPr>
          <w:rFonts w:cstheme="minorHAnsi"/>
        </w:rPr>
        <w:t xml:space="preserve">(4 hours per week) </w:t>
      </w:r>
      <w:r w:rsidR="00130BF2">
        <w:rPr>
          <w:rFonts w:cstheme="minorHAnsi"/>
        </w:rPr>
        <w:t xml:space="preserve">and </w:t>
      </w:r>
      <w:r w:rsidR="008A1B5F">
        <w:rPr>
          <w:rFonts w:cstheme="minorHAnsi"/>
        </w:rPr>
        <w:t xml:space="preserve">therapy </w:t>
      </w:r>
      <w:r w:rsidR="00F11E4B">
        <w:rPr>
          <w:rFonts w:cstheme="minorHAnsi"/>
        </w:rPr>
        <w:t>assistant</w:t>
      </w:r>
      <w:r w:rsidR="00130BF2">
        <w:rPr>
          <w:rFonts w:cstheme="minorHAnsi"/>
        </w:rPr>
        <w:t xml:space="preserve"> </w:t>
      </w:r>
      <w:r w:rsidR="00850880">
        <w:rPr>
          <w:rFonts w:cstheme="minorHAnsi"/>
        </w:rPr>
        <w:t xml:space="preserve">(6 hours per week) </w:t>
      </w:r>
      <w:r w:rsidR="00130BF2">
        <w:rPr>
          <w:rFonts w:cstheme="minorHAnsi"/>
        </w:rPr>
        <w:t>to supervise and support students in their training.</w:t>
      </w:r>
      <w:r w:rsidR="00850880">
        <w:rPr>
          <w:rFonts w:cstheme="minorHAnsi"/>
        </w:rPr>
        <w:t xml:space="preserve"> </w:t>
      </w:r>
      <w:r w:rsidR="00F4010D">
        <w:rPr>
          <w:rFonts w:cstheme="minorHAnsi"/>
        </w:rPr>
        <w:t>The actual salar</w:t>
      </w:r>
      <w:r w:rsidR="00130BF2">
        <w:rPr>
          <w:rFonts w:cstheme="minorHAnsi"/>
        </w:rPr>
        <w:t>ies</w:t>
      </w:r>
      <w:r w:rsidR="00F4010D">
        <w:rPr>
          <w:rFonts w:cstheme="minorHAnsi"/>
        </w:rPr>
        <w:t xml:space="preserve"> </w:t>
      </w:r>
      <w:r w:rsidR="00130BF2">
        <w:rPr>
          <w:rFonts w:cstheme="minorHAnsi"/>
        </w:rPr>
        <w:t xml:space="preserve">were </w:t>
      </w:r>
      <w:r w:rsidR="00F4010D">
        <w:rPr>
          <w:rFonts w:cstheme="minorHAnsi"/>
        </w:rPr>
        <w:t xml:space="preserve">sourced directly from the IPE program records over the three-year implementation period. </w:t>
      </w:r>
    </w:p>
    <w:p w14:paraId="5C3744FE" w14:textId="623EF16A" w:rsidR="00B06DD1" w:rsidRPr="00130BF2" w:rsidRDefault="00130BF2" w:rsidP="00130BF2">
      <w:pPr>
        <w:pStyle w:val="Caption"/>
        <w:keepNext/>
        <w:spacing w:before="60" w:after="60"/>
        <w:rPr>
          <w:b/>
        </w:rPr>
      </w:pPr>
      <w:bookmarkStart w:id="10" w:name="_Ref505009859"/>
      <w:r w:rsidRPr="00387CF3">
        <w:rPr>
          <w:b/>
        </w:rPr>
        <w:t xml:space="preserve">Table </w:t>
      </w:r>
      <w:r w:rsidRPr="000D3506">
        <w:rPr>
          <w:b/>
        </w:rPr>
        <w:fldChar w:fldCharType="begin"/>
      </w:r>
      <w:r w:rsidRPr="000D3506">
        <w:rPr>
          <w:b/>
        </w:rPr>
        <w:instrText xml:space="preserve"> SEQ Table \* ARABIC </w:instrText>
      </w:r>
      <w:r w:rsidRPr="000D3506">
        <w:rPr>
          <w:b/>
        </w:rPr>
        <w:fldChar w:fldCharType="separate"/>
      </w:r>
      <w:r w:rsidR="004E4674">
        <w:rPr>
          <w:b/>
          <w:noProof/>
        </w:rPr>
        <w:t>7</w:t>
      </w:r>
      <w:r w:rsidRPr="000D3506">
        <w:rPr>
          <w:b/>
        </w:rPr>
        <w:fldChar w:fldCharType="end"/>
      </w:r>
      <w:bookmarkEnd w:id="10"/>
      <w:r w:rsidRPr="000D3506">
        <w:rPr>
          <w:b/>
        </w:rPr>
        <w:t xml:space="preserve">: </w:t>
      </w:r>
      <w:r w:rsidR="00B06DD1" w:rsidRPr="00130BF2">
        <w:rPr>
          <w:b/>
        </w:rPr>
        <w:t xml:space="preserve">Summary of </w:t>
      </w:r>
      <w:r w:rsidR="00F5642A" w:rsidRPr="00130BF2">
        <w:rPr>
          <w:b/>
        </w:rPr>
        <w:t xml:space="preserve">all </w:t>
      </w:r>
      <w:r w:rsidR="00B06DD1" w:rsidRPr="00130BF2">
        <w:rPr>
          <w:b/>
        </w:rPr>
        <w:t xml:space="preserve">calculated costs </w:t>
      </w:r>
      <w:r w:rsidR="00F5642A" w:rsidRPr="00130BF2">
        <w:rPr>
          <w:b/>
        </w:rPr>
        <w:t xml:space="preserve">in market and shadow prices </w:t>
      </w:r>
    </w:p>
    <w:p w14:paraId="4F5EB7F6" w14:textId="68F35BE9" w:rsidR="00B06DD1" w:rsidRDefault="00F11E4B" w:rsidP="00130BF2">
      <w:pPr>
        <w:keepNext/>
        <w:spacing w:before="120" w:after="120" w:line="360" w:lineRule="auto"/>
        <w:rPr>
          <w:rFonts w:cstheme="minorHAnsi"/>
          <w:szCs w:val="24"/>
        </w:rPr>
      </w:pPr>
      <w:r>
        <w:rPr>
          <w:noProof/>
          <w:lang w:val="en-IN" w:eastAsia="en-IN"/>
        </w:rPr>
        <w:drawing>
          <wp:inline distT="0" distB="0" distL="0" distR="0" wp14:anchorId="5B19F14E" wp14:editId="000FAFCC">
            <wp:extent cx="5731510" cy="395478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954780"/>
                    </a:xfrm>
                    <a:prstGeom prst="rect">
                      <a:avLst/>
                    </a:prstGeom>
                  </pic:spPr>
                </pic:pic>
              </a:graphicData>
            </a:graphic>
          </wp:inline>
        </w:drawing>
      </w:r>
    </w:p>
    <w:p w14:paraId="7FC44396" w14:textId="77777777" w:rsidR="00D45A09" w:rsidRDefault="00D45A09" w:rsidP="00755DC0">
      <w:pPr>
        <w:spacing w:before="120" w:after="120" w:line="360" w:lineRule="auto"/>
      </w:pPr>
    </w:p>
    <w:p w14:paraId="73245FDC" w14:textId="77777777" w:rsidR="00033F13" w:rsidRDefault="00033F13">
      <w:pPr>
        <w:jc w:val="left"/>
        <w:rPr>
          <w:b/>
          <w:sz w:val="24"/>
        </w:rPr>
      </w:pPr>
      <w:r>
        <w:rPr>
          <w:b/>
          <w:sz w:val="24"/>
        </w:rPr>
        <w:br w:type="page"/>
      </w:r>
    </w:p>
    <w:p w14:paraId="2761CEED" w14:textId="6B35344D" w:rsidR="00B06DD1" w:rsidRPr="00033F13" w:rsidRDefault="00033F13" w:rsidP="00755DC0">
      <w:pPr>
        <w:spacing w:before="120" w:after="120" w:line="360" w:lineRule="auto"/>
        <w:rPr>
          <w:b/>
          <w:sz w:val="24"/>
        </w:rPr>
      </w:pPr>
      <w:r w:rsidRPr="00033F13">
        <w:rPr>
          <w:b/>
          <w:sz w:val="24"/>
        </w:rPr>
        <w:t xml:space="preserve">B. </w:t>
      </w:r>
      <w:r>
        <w:rPr>
          <w:b/>
          <w:sz w:val="24"/>
        </w:rPr>
        <w:t>Complete b</w:t>
      </w:r>
      <w:r w:rsidRPr="00033F13">
        <w:rPr>
          <w:b/>
          <w:sz w:val="24"/>
        </w:rPr>
        <w:t xml:space="preserve">ase case results </w:t>
      </w:r>
    </w:p>
    <w:p w14:paraId="064C4A5D" w14:textId="20E334EA" w:rsidR="005867E6" w:rsidRDefault="005867E6" w:rsidP="005867E6">
      <w:r>
        <w:t xml:space="preserve">The base case results are summarised in </w:t>
      </w:r>
      <w:r>
        <w:fldChar w:fldCharType="begin"/>
      </w:r>
      <w:r>
        <w:instrText xml:space="preserve"> REF _Ref506198026 \h </w:instrText>
      </w:r>
      <w:r>
        <w:fldChar w:fldCharType="separate"/>
      </w:r>
      <w:r w:rsidRPr="00387CF3">
        <w:rPr>
          <w:b/>
        </w:rPr>
        <w:t xml:space="preserve">Table </w:t>
      </w:r>
      <w:r>
        <w:rPr>
          <w:b/>
          <w:noProof/>
        </w:rPr>
        <w:t>8</w:t>
      </w:r>
      <w:r>
        <w:fldChar w:fldCharType="end"/>
      </w:r>
      <w:r>
        <w:t xml:space="preserve">, </w:t>
      </w:r>
      <w:r>
        <w:fldChar w:fldCharType="begin"/>
      </w:r>
      <w:r>
        <w:instrText xml:space="preserve"> REF _Ref506198027 \h </w:instrText>
      </w:r>
      <w:r>
        <w:fldChar w:fldCharType="separate"/>
      </w:r>
      <w:r w:rsidRPr="00387CF3">
        <w:rPr>
          <w:b/>
        </w:rPr>
        <w:t xml:space="preserve">Table </w:t>
      </w:r>
      <w:r>
        <w:rPr>
          <w:b/>
          <w:noProof/>
        </w:rPr>
        <w:t>9</w:t>
      </w:r>
      <w:r>
        <w:fldChar w:fldCharType="end"/>
      </w:r>
      <w:r>
        <w:t xml:space="preserve">, </w:t>
      </w:r>
      <w:r>
        <w:fldChar w:fldCharType="begin"/>
      </w:r>
      <w:r>
        <w:instrText xml:space="preserve"> REF _Ref506198029 \h </w:instrText>
      </w:r>
      <w:r>
        <w:fldChar w:fldCharType="separate"/>
      </w:r>
      <w:r w:rsidRPr="00387CF3">
        <w:rPr>
          <w:b/>
        </w:rPr>
        <w:t xml:space="preserve">Table </w:t>
      </w:r>
      <w:r>
        <w:rPr>
          <w:b/>
          <w:noProof/>
        </w:rPr>
        <w:t>10</w:t>
      </w:r>
      <w:r>
        <w:fldChar w:fldCharType="end"/>
      </w:r>
      <w:r>
        <w:t xml:space="preserve">, </w:t>
      </w:r>
      <w:r>
        <w:fldChar w:fldCharType="begin"/>
      </w:r>
      <w:r>
        <w:instrText xml:space="preserve"> REF _Ref506198030 \h </w:instrText>
      </w:r>
      <w:r>
        <w:fldChar w:fldCharType="separate"/>
      </w:r>
      <w:r w:rsidRPr="00387CF3">
        <w:rPr>
          <w:b/>
        </w:rPr>
        <w:t xml:space="preserve">Table </w:t>
      </w:r>
      <w:r>
        <w:rPr>
          <w:b/>
          <w:noProof/>
        </w:rPr>
        <w:t>11</w:t>
      </w:r>
      <w:r>
        <w:fldChar w:fldCharType="end"/>
      </w:r>
      <w:r>
        <w:t xml:space="preserve">, and </w:t>
      </w:r>
      <w:r>
        <w:fldChar w:fldCharType="begin"/>
      </w:r>
      <w:r>
        <w:instrText xml:space="preserve"> REF _Ref506198031 \h </w:instrText>
      </w:r>
      <w:r>
        <w:fldChar w:fldCharType="separate"/>
      </w:r>
      <w:r w:rsidRPr="00387CF3">
        <w:rPr>
          <w:b/>
        </w:rPr>
        <w:t xml:space="preserve">Table </w:t>
      </w:r>
      <w:r>
        <w:rPr>
          <w:b/>
          <w:noProof/>
        </w:rPr>
        <w:t>12</w:t>
      </w:r>
      <w:r>
        <w:fldChar w:fldCharType="end"/>
      </w:r>
      <w:r>
        <w:t xml:space="preserve">. The Stata codes for the univariate and probabilistic sensitivity analyses can be made available for interested readers upon request. </w:t>
      </w:r>
    </w:p>
    <w:p w14:paraId="4771ADBA" w14:textId="77777777" w:rsidR="00F219E8" w:rsidRDefault="00F219E8" w:rsidP="005867E6"/>
    <w:p w14:paraId="26552D1C" w14:textId="5DBBBCF1" w:rsidR="009916D6" w:rsidRPr="009916D6" w:rsidRDefault="009916D6" w:rsidP="009916D6">
      <w:pPr>
        <w:pStyle w:val="Caption"/>
        <w:keepNext/>
        <w:spacing w:before="60" w:after="60"/>
        <w:rPr>
          <w:b/>
        </w:rPr>
      </w:pPr>
      <w:bookmarkStart w:id="11" w:name="_Ref506198026"/>
      <w:r w:rsidRPr="00387CF3">
        <w:rPr>
          <w:b/>
        </w:rPr>
        <w:t xml:space="preserve">Table </w:t>
      </w:r>
      <w:r w:rsidRPr="000D3506">
        <w:rPr>
          <w:b/>
        </w:rPr>
        <w:fldChar w:fldCharType="begin"/>
      </w:r>
      <w:r w:rsidRPr="000D3506">
        <w:rPr>
          <w:b/>
        </w:rPr>
        <w:instrText xml:space="preserve"> SEQ Table \* ARABIC </w:instrText>
      </w:r>
      <w:r w:rsidRPr="000D3506">
        <w:rPr>
          <w:b/>
        </w:rPr>
        <w:fldChar w:fldCharType="separate"/>
      </w:r>
      <w:r w:rsidR="00E32DEB">
        <w:rPr>
          <w:b/>
          <w:noProof/>
        </w:rPr>
        <w:t>8</w:t>
      </w:r>
      <w:r w:rsidRPr="000D3506">
        <w:rPr>
          <w:b/>
        </w:rPr>
        <w:fldChar w:fldCharType="end"/>
      </w:r>
      <w:bookmarkEnd w:id="11"/>
      <w:r w:rsidRPr="000D3506">
        <w:rPr>
          <w:b/>
        </w:rPr>
        <w:t xml:space="preserve">: </w:t>
      </w:r>
      <w:r>
        <w:rPr>
          <w:b/>
        </w:rPr>
        <w:t xml:space="preserve">Summary results of the base case </w:t>
      </w:r>
    </w:p>
    <w:p w14:paraId="2CB03F8C" w14:textId="77777777" w:rsidR="009916D6" w:rsidRDefault="009916D6" w:rsidP="009916D6">
      <w:pPr>
        <w:spacing w:before="120" w:after="120" w:line="360" w:lineRule="auto"/>
      </w:pPr>
      <w:r>
        <w:rPr>
          <w:noProof/>
          <w:lang w:val="en-IN" w:eastAsia="en-IN"/>
        </w:rPr>
        <w:drawing>
          <wp:inline distT="0" distB="0" distL="0" distR="0" wp14:anchorId="0082B66E" wp14:editId="47AB267C">
            <wp:extent cx="3811219" cy="1553876"/>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30451" cy="1561717"/>
                    </a:xfrm>
                    <a:prstGeom prst="rect">
                      <a:avLst/>
                    </a:prstGeom>
                  </pic:spPr>
                </pic:pic>
              </a:graphicData>
            </a:graphic>
          </wp:inline>
        </w:drawing>
      </w:r>
    </w:p>
    <w:p w14:paraId="00D24F8B" w14:textId="77777777" w:rsidR="009916D6" w:rsidRDefault="009916D6" w:rsidP="00964A65">
      <w:pPr>
        <w:pStyle w:val="Caption"/>
        <w:keepNext/>
        <w:spacing w:before="60" w:after="60"/>
        <w:rPr>
          <w:b/>
        </w:rPr>
      </w:pPr>
    </w:p>
    <w:p w14:paraId="50D54DFB" w14:textId="3A6F6B61" w:rsidR="00964A65" w:rsidRPr="00130BF2" w:rsidRDefault="00964A65" w:rsidP="00964A65">
      <w:pPr>
        <w:pStyle w:val="Caption"/>
        <w:keepNext/>
        <w:spacing w:before="60" w:after="60"/>
        <w:rPr>
          <w:b/>
        </w:rPr>
      </w:pPr>
      <w:bookmarkStart w:id="12" w:name="_Ref506198027"/>
      <w:r w:rsidRPr="00387CF3">
        <w:rPr>
          <w:b/>
        </w:rPr>
        <w:t xml:space="preserve">Table </w:t>
      </w:r>
      <w:r w:rsidRPr="000D3506">
        <w:rPr>
          <w:b/>
        </w:rPr>
        <w:fldChar w:fldCharType="begin"/>
      </w:r>
      <w:r w:rsidRPr="000D3506">
        <w:rPr>
          <w:b/>
        </w:rPr>
        <w:instrText xml:space="preserve"> SEQ Table \* ARABIC </w:instrText>
      </w:r>
      <w:r w:rsidRPr="000D3506">
        <w:rPr>
          <w:b/>
        </w:rPr>
        <w:fldChar w:fldCharType="separate"/>
      </w:r>
      <w:r w:rsidR="00E32DEB">
        <w:rPr>
          <w:b/>
          <w:noProof/>
        </w:rPr>
        <w:t>9</w:t>
      </w:r>
      <w:r w:rsidRPr="000D3506">
        <w:rPr>
          <w:b/>
        </w:rPr>
        <w:fldChar w:fldCharType="end"/>
      </w:r>
      <w:bookmarkEnd w:id="12"/>
      <w:r w:rsidRPr="000D3506">
        <w:rPr>
          <w:b/>
        </w:rPr>
        <w:t xml:space="preserve">: </w:t>
      </w:r>
      <w:r>
        <w:rPr>
          <w:b/>
        </w:rPr>
        <w:t xml:space="preserve">Project Analysis - Base case results </w:t>
      </w:r>
      <w:r w:rsidR="009916D6">
        <w:rPr>
          <w:b/>
        </w:rPr>
        <w:t xml:space="preserve">by year </w:t>
      </w:r>
    </w:p>
    <w:p w14:paraId="2FC962B3" w14:textId="76F62AD8" w:rsidR="00964A65" w:rsidRDefault="00964A65" w:rsidP="00755DC0">
      <w:pPr>
        <w:spacing w:before="120" w:after="120" w:line="360" w:lineRule="auto"/>
      </w:pPr>
      <w:r>
        <w:rPr>
          <w:noProof/>
          <w:lang w:val="en-IN" w:eastAsia="en-IN"/>
        </w:rPr>
        <w:drawing>
          <wp:inline distT="0" distB="0" distL="0" distR="0" wp14:anchorId="5CD68552" wp14:editId="08B75FBC">
            <wp:extent cx="5731510" cy="399796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997960"/>
                    </a:xfrm>
                    <a:prstGeom prst="rect">
                      <a:avLst/>
                    </a:prstGeom>
                  </pic:spPr>
                </pic:pic>
              </a:graphicData>
            </a:graphic>
          </wp:inline>
        </w:drawing>
      </w:r>
    </w:p>
    <w:p w14:paraId="3AD5088E" w14:textId="3756AE1A" w:rsidR="00964A65" w:rsidRPr="00130BF2" w:rsidRDefault="00964A65" w:rsidP="009916D6">
      <w:pPr>
        <w:pStyle w:val="Caption"/>
        <w:keepNext/>
        <w:spacing w:before="60" w:after="60"/>
        <w:rPr>
          <w:b/>
        </w:rPr>
      </w:pPr>
      <w:bookmarkStart w:id="13" w:name="_Ref506198029"/>
      <w:r w:rsidRPr="00387CF3">
        <w:rPr>
          <w:b/>
        </w:rPr>
        <w:t xml:space="preserve">Table </w:t>
      </w:r>
      <w:r w:rsidRPr="000D3506">
        <w:rPr>
          <w:b/>
        </w:rPr>
        <w:fldChar w:fldCharType="begin"/>
      </w:r>
      <w:r w:rsidRPr="000D3506">
        <w:rPr>
          <w:b/>
        </w:rPr>
        <w:instrText xml:space="preserve"> SEQ Table \* ARABIC </w:instrText>
      </w:r>
      <w:r w:rsidRPr="000D3506">
        <w:rPr>
          <w:b/>
        </w:rPr>
        <w:fldChar w:fldCharType="separate"/>
      </w:r>
      <w:r w:rsidR="00E32DEB">
        <w:rPr>
          <w:b/>
          <w:noProof/>
        </w:rPr>
        <w:t>10</w:t>
      </w:r>
      <w:r w:rsidRPr="000D3506">
        <w:rPr>
          <w:b/>
        </w:rPr>
        <w:fldChar w:fldCharType="end"/>
      </w:r>
      <w:bookmarkEnd w:id="13"/>
      <w:r w:rsidRPr="000D3506">
        <w:rPr>
          <w:b/>
        </w:rPr>
        <w:t xml:space="preserve">: </w:t>
      </w:r>
      <w:r>
        <w:rPr>
          <w:b/>
        </w:rPr>
        <w:t xml:space="preserve">Private Analysis - </w:t>
      </w:r>
      <w:r w:rsidR="009916D6">
        <w:rPr>
          <w:b/>
        </w:rPr>
        <w:t>Base case results by year</w:t>
      </w:r>
    </w:p>
    <w:p w14:paraId="1724A082" w14:textId="29902E43" w:rsidR="00D45A09" w:rsidRDefault="00964A65" w:rsidP="00755DC0">
      <w:pPr>
        <w:spacing w:before="120" w:after="120" w:line="360" w:lineRule="auto"/>
      </w:pPr>
      <w:r>
        <w:rPr>
          <w:noProof/>
          <w:lang w:val="en-IN" w:eastAsia="en-IN"/>
        </w:rPr>
        <w:drawing>
          <wp:inline distT="0" distB="0" distL="0" distR="0" wp14:anchorId="57DAD543" wp14:editId="5BDC40C2">
            <wp:extent cx="5731510" cy="2013585"/>
            <wp:effectExtent l="0" t="0" r="254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013585"/>
                    </a:xfrm>
                    <a:prstGeom prst="rect">
                      <a:avLst/>
                    </a:prstGeom>
                  </pic:spPr>
                </pic:pic>
              </a:graphicData>
            </a:graphic>
          </wp:inline>
        </w:drawing>
      </w:r>
    </w:p>
    <w:p w14:paraId="1B4B9550" w14:textId="77777777" w:rsidR="00F219E8" w:rsidRDefault="00F219E8" w:rsidP="00755DC0">
      <w:pPr>
        <w:spacing w:before="120" w:after="120" w:line="360" w:lineRule="auto"/>
      </w:pPr>
    </w:p>
    <w:p w14:paraId="5A7E670D" w14:textId="53D72DA3" w:rsidR="00964A65" w:rsidRPr="00130BF2" w:rsidRDefault="00964A65" w:rsidP="009916D6">
      <w:pPr>
        <w:pStyle w:val="Caption"/>
        <w:keepNext/>
        <w:spacing w:before="60" w:after="60"/>
        <w:rPr>
          <w:b/>
        </w:rPr>
      </w:pPr>
      <w:bookmarkStart w:id="14" w:name="_Ref506198030"/>
      <w:r w:rsidRPr="00387CF3">
        <w:rPr>
          <w:b/>
        </w:rPr>
        <w:t xml:space="preserve">Table </w:t>
      </w:r>
      <w:r w:rsidRPr="000D3506">
        <w:rPr>
          <w:b/>
        </w:rPr>
        <w:fldChar w:fldCharType="begin"/>
      </w:r>
      <w:r w:rsidRPr="000D3506">
        <w:rPr>
          <w:b/>
        </w:rPr>
        <w:instrText xml:space="preserve"> SEQ Table \* ARABIC </w:instrText>
      </w:r>
      <w:r w:rsidRPr="000D3506">
        <w:rPr>
          <w:b/>
        </w:rPr>
        <w:fldChar w:fldCharType="separate"/>
      </w:r>
      <w:r w:rsidR="00E32DEB">
        <w:rPr>
          <w:b/>
          <w:noProof/>
        </w:rPr>
        <w:t>11</w:t>
      </w:r>
      <w:r w:rsidRPr="000D3506">
        <w:rPr>
          <w:b/>
        </w:rPr>
        <w:fldChar w:fldCharType="end"/>
      </w:r>
      <w:bookmarkEnd w:id="14"/>
      <w:r w:rsidRPr="000D3506">
        <w:rPr>
          <w:b/>
        </w:rPr>
        <w:t xml:space="preserve">: </w:t>
      </w:r>
      <w:r>
        <w:rPr>
          <w:b/>
        </w:rPr>
        <w:t xml:space="preserve">Efficiency Analysis - </w:t>
      </w:r>
      <w:r w:rsidR="009916D6">
        <w:rPr>
          <w:b/>
        </w:rPr>
        <w:t>Base case results by year</w:t>
      </w:r>
    </w:p>
    <w:p w14:paraId="732E5E96" w14:textId="3E79915F" w:rsidR="00D45A09" w:rsidRDefault="00964A65" w:rsidP="00755DC0">
      <w:pPr>
        <w:spacing w:before="120" w:after="120" w:line="360" w:lineRule="auto"/>
      </w:pPr>
      <w:r>
        <w:rPr>
          <w:noProof/>
          <w:lang w:val="en-IN" w:eastAsia="en-IN"/>
        </w:rPr>
        <w:drawing>
          <wp:inline distT="0" distB="0" distL="0" distR="0" wp14:anchorId="58CAC23A" wp14:editId="57502261">
            <wp:extent cx="5731510" cy="394716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947160"/>
                    </a:xfrm>
                    <a:prstGeom prst="rect">
                      <a:avLst/>
                    </a:prstGeom>
                  </pic:spPr>
                </pic:pic>
              </a:graphicData>
            </a:graphic>
          </wp:inline>
        </w:drawing>
      </w:r>
    </w:p>
    <w:p w14:paraId="28EE227C" w14:textId="182E3225" w:rsidR="00964A65" w:rsidRPr="00130BF2" w:rsidRDefault="00964A65" w:rsidP="009916D6">
      <w:pPr>
        <w:pStyle w:val="Caption"/>
        <w:keepNext/>
        <w:spacing w:before="60" w:after="60"/>
        <w:rPr>
          <w:b/>
        </w:rPr>
      </w:pPr>
      <w:bookmarkStart w:id="15" w:name="_Ref506198031"/>
      <w:r w:rsidRPr="00387CF3">
        <w:rPr>
          <w:b/>
        </w:rPr>
        <w:t xml:space="preserve">Table </w:t>
      </w:r>
      <w:r w:rsidRPr="000D3506">
        <w:rPr>
          <w:b/>
        </w:rPr>
        <w:fldChar w:fldCharType="begin"/>
      </w:r>
      <w:r w:rsidRPr="000D3506">
        <w:rPr>
          <w:b/>
        </w:rPr>
        <w:instrText xml:space="preserve"> SEQ Table \* ARABIC </w:instrText>
      </w:r>
      <w:r w:rsidRPr="000D3506">
        <w:rPr>
          <w:b/>
        </w:rPr>
        <w:fldChar w:fldCharType="separate"/>
      </w:r>
      <w:r w:rsidR="00E32DEB">
        <w:rPr>
          <w:b/>
          <w:noProof/>
        </w:rPr>
        <w:t>12</w:t>
      </w:r>
      <w:r w:rsidRPr="000D3506">
        <w:rPr>
          <w:b/>
        </w:rPr>
        <w:fldChar w:fldCharType="end"/>
      </w:r>
      <w:bookmarkEnd w:id="15"/>
      <w:r w:rsidRPr="000D3506">
        <w:rPr>
          <w:b/>
        </w:rPr>
        <w:t xml:space="preserve">: </w:t>
      </w:r>
      <w:r>
        <w:rPr>
          <w:b/>
        </w:rPr>
        <w:t xml:space="preserve">Referent-Group Analysis - </w:t>
      </w:r>
      <w:r w:rsidR="009916D6">
        <w:rPr>
          <w:b/>
        </w:rPr>
        <w:t>Base case results by year</w:t>
      </w:r>
    </w:p>
    <w:p w14:paraId="1A9EF709" w14:textId="483C43E4" w:rsidR="00964A65" w:rsidRDefault="00964A65" w:rsidP="00755DC0">
      <w:pPr>
        <w:spacing w:before="120" w:after="120" w:line="360" w:lineRule="auto"/>
      </w:pPr>
      <w:r>
        <w:rPr>
          <w:noProof/>
          <w:lang w:val="en-IN" w:eastAsia="en-IN"/>
        </w:rPr>
        <w:drawing>
          <wp:inline distT="0" distB="0" distL="0" distR="0" wp14:anchorId="1E9421B2" wp14:editId="4EA24DBF">
            <wp:extent cx="5731510" cy="3157855"/>
            <wp:effectExtent l="0" t="0" r="254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3157855"/>
                    </a:xfrm>
                    <a:prstGeom prst="rect">
                      <a:avLst/>
                    </a:prstGeom>
                  </pic:spPr>
                </pic:pic>
              </a:graphicData>
            </a:graphic>
          </wp:inline>
        </w:drawing>
      </w:r>
    </w:p>
    <w:p w14:paraId="4B0555F9" w14:textId="7B81896C" w:rsidR="00A207F9" w:rsidRDefault="00A207F9" w:rsidP="00755DC0">
      <w:pPr>
        <w:spacing w:before="120" w:after="120" w:line="360" w:lineRule="auto"/>
      </w:pPr>
    </w:p>
    <w:p w14:paraId="3381E035" w14:textId="3B16A732" w:rsidR="00A207F9" w:rsidRDefault="00A207F9" w:rsidP="00755DC0">
      <w:pPr>
        <w:spacing w:before="120" w:after="120" w:line="360" w:lineRule="auto"/>
      </w:pPr>
    </w:p>
    <w:p w14:paraId="6F18EA46" w14:textId="0746911E" w:rsidR="00A207F9" w:rsidRPr="00005FC7" w:rsidRDefault="00A207F9" w:rsidP="00755DC0">
      <w:pPr>
        <w:spacing w:before="120" w:after="120" w:line="360" w:lineRule="auto"/>
        <w:rPr>
          <w:b/>
        </w:rPr>
      </w:pPr>
      <w:r w:rsidRPr="00005FC7">
        <w:rPr>
          <w:b/>
        </w:rPr>
        <w:t>References</w:t>
      </w:r>
    </w:p>
    <w:p w14:paraId="4139C25C" w14:textId="77777777" w:rsidR="007E7F42" w:rsidRDefault="007E7F42" w:rsidP="007E7F42">
      <w:pPr>
        <w:spacing w:before="120" w:after="120" w:line="360" w:lineRule="auto"/>
        <w:jc w:val="left"/>
        <w:rPr>
          <w:rFonts w:ascii="Calibri" w:hAnsi="Calibri" w:cs="Calibri"/>
          <w:noProof/>
          <w:lang w:val="en-US"/>
        </w:rPr>
      </w:pPr>
      <w:r>
        <w:rPr>
          <w:rFonts w:ascii="Calibri" w:hAnsi="Calibri" w:cs="Calibri"/>
          <w:noProof/>
          <w:lang w:val="en-US"/>
        </w:rPr>
        <w:t>Direct Health Soutions. (2015). 2015 Absence Management Survey Report. Retrieved from</w:t>
      </w:r>
    </w:p>
    <w:p w14:paraId="5351EF15" w14:textId="77E2573D" w:rsidR="007E7F42" w:rsidRDefault="007E7F42" w:rsidP="007E7F42">
      <w:pPr>
        <w:spacing w:before="120" w:after="120" w:line="360" w:lineRule="auto"/>
        <w:ind w:firstLine="720"/>
        <w:jc w:val="left"/>
        <w:rPr>
          <w:rFonts w:ascii="Calibri" w:hAnsi="Calibri" w:cs="Calibri"/>
          <w:noProof/>
          <w:lang w:val="en-US"/>
        </w:rPr>
      </w:pPr>
      <w:r w:rsidRPr="007E7F42">
        <w:rPr>
          <w:rFonts w:ascii="Calibri" w:hAnsi="Calibri" w:cs="Calibri"/>
          <w:noProof/>
          <w:lang w:val="en-US"/>
        </w:rPr>
        <w:t>https://www.dhs.net.au/insight/2015-absenteeism-survey/</w:t>
      </w:r>
    </w:p>
    <w:p w14:paraId="2C526A2F" w14:textId="19B86D9D" w:rsidR="00A207F9" w:rsidRDefault="00A207F9" w:rsidP="00A207F9">
      <w:pPr>
        <w:spacing w:before="120" w:after="120" w:line="360" w:lineRule="auto"/>
        <w:jc w:val="left"/>
        <w:rPr>
          <w:rFonts w:ascii="Calibri" w:hAnsi="Calibri" w:cs="Calibri"/>
          <w:noProof/>
          <w:lang w:val="en-US"/>
        </w:rPr>
      </w:pPr>
      <w:r w:rsidRPr="00A207F9">
        <w:rPr>
          <w:rFonts w:ascii="Calibri" w:hAnsi="Calibri" w:cs="Calibri"/>
          <w:noProof/>
          <w:lang w:val="en-US"/>
        </w:rPr>
        <w:t xml:space="preserve">Mukamel, D. B., Spector, W. D., Limcangco, R., Wang, Y., Feng, Z., &amp; Mor, V. (2009). The costs of </w:t>
      </w:r>
    </w:p>
    <w:p w14:paraId="3939D542" w14:textId="52206DB3" w:rsidR="00A207F9" w:rsidRPr="00A207F9" w:rsidRDefault="00A207F9" w:rsidP="00A207F9">
      <w:pPr>
        <w:spacing w:before="120" w:after="120" w:line="360" w:lineRule="auto"/>
        <w:jc w:val="left"/>
        <w:rPr>
          <w:rFonts w:ascii="Calibri" w:hAnsi="Calibri" w:cs="Calibri"/>
          <w:noProof/>
          <w:lang w:val="en-US"/>
        </w:rPr>
      </w:pPr>
      <w:r>
        <w:rPr>
          <w:rFonts w:ascii="Calibri" w:hAnsi="Calibri" w:cs="Calibri"/>
          <w:noProof/>
          <w:lang w:val="en-US"/>
        </w:rPr>
        <w:tab/>
      </w:r>
      <w:r w:rsidRPr="00A207F9">
        <w:rPr>
          <w:rFonts w:ascii="Calibri" w:hAnsi="Calibri" w:cs="Calibri"/>
          <w:noProof/>
          <w:lang w:val="en-US"/>
        </w:rPr>
        <w:t>turnover in nursing homes. M</w:t>
      </w:r>
      <w:r>
        <w:rPr>
          <w:rFonts w:ascii="Calibri" w:hAnsi="Calibri" w:cs="Calibri"/>
          <w:noProof/>
          <w:lang w:val="en-US"/>
        </w:rPr>
        <w:t xml:space="preserve">edical Care, 47(10), 1039–1045. </w:t>
      </w:r>
    </w:p>
    <w:p w14:paraId="112B64C4" w14:textId="77777777" w:rsidR="00A207F9" w:rsidRPr="000C5870" w:rsidRDefault="00A207F9" w:rsidP="00A207F9">
      <w:pPr>
        <w:pStyle w:val="EndNoteBibliography"/>
        <w:spacing w:after="0" w:line="480" w:lineRule="auto"/>
        <w:ind w:left="720" w:hanging="720"/>
      </w:pPr>
      <w:r w:rsidRPr="000C5870">
        <w:t xml:space="preserve">Seaman, K. L., &amp; Williams, E. (2016). </w:t>
      </w:r>
      <w:r w:rsidRPr="000C5870">
        <w:rPr>
          <w:i/>
        </w:rPr>
        <w:t xml:space="preserve">Evaluating the outcomes for Interprofessional Education Programs in Residential Aged Care. </w:t>
      </w:r>
      <w:r w:rsidRPr="000C5870">
        <w:t>Perth, Western Australia: Brightwater Care Group.</w:t>
      </w:r>
    </w:p>
    <w:p w14:paraId="39B5989B" w14:textId="77777777" w:rsidR="00A207F9" w:rsidRDefault="00A207F9" w:rsidP="00755DC0">
      <w:pPr>
        <w:spacing w:before="120" w:after="120" w:line="360" w:lineRule="auto"/>
      </w:pPr>
    </w:p>
    <w:sectPr w:rsidR="00A207F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CED78" w14:textId="77777777" w:rsidR="00774309" w:rsidRDefault="00774309" w:rsidP="00B50FC8">
      <w:pPr>
        <w:spacing w:after="0" w:line="240" w:lineRule="auto"/>
      </w:pPr>
      <w:r>
        <w:separator/>
      </w:r>
    </w:p>
  </w:endnote>
  <w:endnote w:type="continuationSeparator" w:id="0">
    <w:p w14:paraId="34BE91E3" w14:textId="77777777" w:rsidR="00774309" w:rsidRDefault="00774309" w:rsidP="00B5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993528"/>
      <w:docPartObj>
        <w:docPartGallery w:val="Page Numbers (Bottom of Page)"/>
        <w:docPartUnique/>
      </w:docPartObj>
    </w:sdtPr>
    <w:sdtEndPr>
      <w:rPr>
        <w:noProof/>
      </w:rPr>
    </w:sdtEndPr>
    <w:sdtContent>
      <w:p w14:paraId="00B6EF2A" w14:textId="0EC843AB" w:rsidR="00A97535" w:rsidRDefault="00A97535">
        <w:pPr>
          <w:pStyle w:val="Footer"/>
          <w:jc w:val="right"/>
        </w:pPr>
        <w:r>
          <w:fldChar w:fldCharType="begin"/>
        </w:r>
        <w:r>
          <w:instrText xml:space="preserve"> PAGE   \* MERGEFORMAT </w:instrText>
        </w:r>
        <w:r>
          <w:fldChar w:fldCharType="separate"/>
        </w:r>
        <w:r w:rsidR="00A80F48">
          <w:rPr>
            <w:noProof/>
          </w:rPr>
          <w:t>1</w:t>
        </w:r>
        <w:r>
          <w:rPr>
            <w:noProof/>
          </w:rPr>
          <w:fldChar w:fldCharType="end"/>
        </w:r>
      </w:p>
    </w:sdtContent>
  </w:sdt>
  <w:p w14:paraId="0EF06DA3" w14:textId="77777777" w:rsidR="00A97535" w:rsidRDefault="00A97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0865E" w14:textId="77777777" w:rsidR="00774309" w:rsidRDefault="00774309" w:rsidP="00B50FC8">
      <w:pPr>
        <w:spacing w:after="0" w:line="240" w:lineRule="auto"/>
      </w:pPr>
      <w:r>
        <w:separator/>
      </w:r>
    </w:p>
  </w:footnote>
  <w:footnote w:type="continuationSeparator" w:id="0">
    <w:p w14:paraId="500FB942" w14:textId="77777777" w:rsidR="00774309" w:rsidRDefault="00774309" w:rsidP="00B50F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4D71"/>
    <w:multiLevelType w:val="hybridMultilevel"/>
    <w:tmpl w:val="E8F6DB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FA956BB"/>
    <w:multiLevelType w:val="hybridMultilevel"/>
    <w:tmpl w:val="10A87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E89099E"/>
    <w:multiLevelType w:val="hybridMultilevel"/>
    <w:tmpl w:val="E8F6DB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6A"/>
    <w:rsid w:val="00005FC7"/>
    <w:rsid w:val="00007528"/>
    <w:rsid w:val="00033B68"/>
    <w:rsid w:val="00033F13"/>
    <w:rsid w:val="000704D4"/>
    <w:rsid w:val="00093A06"/>
    <w:rsid w:val="000A5C84"/>
    <w:rsid w:val="000D3506"/>
    <w:rsid w:val="000F0472"/>
    <w:rsid w:val="00110DA3"/>
    <w:rsid w:val="00115063"/>
    <w:rsid w:val="00130BF2"/>
    <w:rsid w:val="0013397E"/>
    <w:rsid w:val="00143EC9"/>
    <w:rsid w:val="001478AF"/>
    <w:rsid w:val="0015488F"/>
    <w:rsid w:val="00157873"/>
    <w:rsid w:val="001B3579"/>
    <w:rsid w:val="001C0B86"/>
    <w:rsid w:val="001C5D21"/>
    <w:rsid w:val="001D21F0"/>
    <w:rsid w:val="001D6BD1"/>
    <w:rsid w:val="00207E02"/>
    <w:rsid w:val="00223EE3"/>
    <w:rsid w:val="00224855"/>
    <w:rsid w:val="002552BA"/>
    <w:rsid w:val="0025543F"/>
    <w:rsid w:val="00261B1F"/>
    <w:rsid w:val="00274C6E"/>
    <w:rsid w:val="00277868"/>
    <w:rsid w:val="002852F7"/>
    <w:rsid w:val="00291CA3"/>
    <w:rsid w:val="00294CEA"/>
    <w:rsid w:val="002A5195"/>
    <w:rsid w:val="002A61D5"/>
    <w:rsid w:val="002A7F7A"/>
    <w:rsid w:val="002D2A73"/>
    <w:rsid w:val="002E0595"/>
    <w:rsid w:val="002F7944"/>
    <w:rsid w:val="002F7B74"/>
    <w:rsid w:val="003351FA"/>
    <w:rsid w:val="00343451"/>
    <w:rsid w:val="00352EDB"/>
    <w:rsid w:val="00367CB6"/>
    <w:rsid w:val="00373FD3"/>
    <w:rsid w:val="00382F68"/>
    <w:rsid w:val="003836D7"/>
    <w:rsid w:val="00387AFB"/>
    <w:rsid w:val="00387CF3"/>
    <w:rsid w:val="003B49FD"/>
    <w:rsid w:val="003F5130"/>
    <w:rsid w:val="00403B4F"/>
    <w:rsid w:val="00437478"/>
    <w:rsid w:val="00441628"/>
    <w:rsid w:val="00444FD0"/>
    <w:rsid w:val="00445C44"/>
    <w:rsid w:val="004622FC"/>
    <w:rsid w:val="00480F8B"/>
    <w:rsid w:val="004931C2"/>
    <w:rsid w:val="0049613B"/>
    <w:rsid w:val="004B3C22"/>
    <w:rsid w:val="004E4674"/>
    <w:rsid w:val="00500048"/>
    <w:rsid w:val="00502454"/>
    <w:rsid w:val="0051270E"/>
    <w:rsid w:val="00516D27"/>
    <w:rsid w:val="0052163B"/>
    <w:rsid w:val="0052235D"/>
    <w:rsid w:val="00524297"/>
    <w:rsid w:val="00525A6B"/>
    <w:rsid w:val="005313B7"/>
    <w:rsid w:val="005518CC"/>
    <w:rsid w:val="0055283D"/>
    <w:rsid w:val="00574B2F"/>
    <w:rsid w:val="005807F7"/>
    <w:rsid w:val="005867E6"/>
    <w:rsid w:val="0059375E"/>
    <w:rsid w:val="005A7497"/>
    <w:rsid w:val="005D5FC8"/>
    <w:rsid w:val="005E00D4"/>
    <w:rsid w:val="00642815"/>
    <w:rsid w:val="00647335"/>
    <w:rsid w:val="0065016D"/>
    <w:rsid w:val="00654CD0"/>
    <w:rsid w:val="00667206"/>
    <w:rsid w:val="00697780"/>
    <w:rsid w:val="006A25A2"/>
    <w:rsid w:val="006A3F81"/>
    <w:rsid w:val="006B214A"/>
    <w:rsid w:val="006F077E"/>
    <w:rsid w:val="006F726A"/>
    <w:rsid w:val="0071727B"/>
    <w:rsid w:val="00742609"/>
    <w:rsid w:val="00755DC0"/>
    <w:rsid w:val="00774309"/>
    <w:rsid w:val="007A2337"/>
    <w:rsid w:val="007B1D63"/>
    <w:rsid w:val="007B751F"/>
    <w:rsid w:val="007D62EC"/>
    <w:rsid w:val="007E0174"/>
    <w:rsid w:val="007E7F42"/>
    <w:rsid w:val="00843949"/>
    <w:rsid w:val="00850880"/>
    <w:rsid w:val="008947E7"/>
    <w:rsid w:val="008A1B5F"/>
    <w:rsid w:val="008A7896"/>
    <w:rsid w:val="008B22CF"/>
    <w:rsid w:val="008B63A1"/>
    <w:rsid w:val="008C2329"/>
    <w:rsid w:val="008C7200"/>
    <w:rsid w:val="008E2435"/>
    <w:rsid w:val="008E544B"/>
    <w:rsid w:val="008F4A70"/>
    <w:rsid w:val="00913711"/>
    <w:rsid w:val="00924BF1"/>
    <w:rsid w:val="00932B77"/>
    <w:rsid w:val="00936313"/>
    <w:rsid w:val="009476A9"/>
    <w:rsid w:val="00964A65"/>
    <w:rsid w:val="009916D6"/>
    <w:rsid w:val="009A1940"/>
    <w:rsid w:val="009A4A0E"/>
    <w:rsid w:val="009B29AB"/>
    <w:rsid w:val="009B4C8C"/>
    <w:rsid w:val="009B6633"/>
    <w:rsid w:val="009D08F6"/>
    <w:rsid w:val="009D5956"/>
    <w:rsid w:val="009F4569"/>
    <w:rsid w:val="00A033FB"/>
    <w:rsid w:val="00A069B1"/>
    <w:rsid w:val="00A207F9"/>
    <w:rsid w:val="00A33C61"/>
    <w:rsid w:val="00A62E1F"/>
    <w:rsid w:val="00A7457A"/>
    <w:rsid w:val="00A75602"/>
    <w:rsid w:val="00A80F48"/>
    <w:rsid w:val="00A85CAF"/>
    <w:rsid w:val="00A97535"/>
    <w:rsid w:val="00AB7F49"/>
    <w:rsid w:val="00AC3F84"/>
    <w:rsid w:val="00AF2938"/>
    <w:rsid w:val="00B06DD1"/>
    <w:rsid w:val="00B25F57"/>
    <w:rsid w:val="00B46CF9"/>
    <w:rsid w:val="00B50FC8"/>
    <w:rsid w:val="00B57A86"/>
    <w:rsid w:val="00B67652"/>
    <w:rsid w:val="00B85634"/>
    <w:rsid w:val="00B93981"/>
    <w:rsid w:val="00BA70C2"/>
    <w:rsid w:val="00BB2071"/>
    <w:rsid w:val="00BD068B"/>
    <w:rsid w:val="00BD5037"/>
    <w:rsid w:val="00BD7B0C"/>
    <w:rsid w:val="00BE3057"/>
    <w:rsid w:val="00BF1AF9"/>
    <w:rsid w:val="00BF52D8"/>
    <w:rsid w:val="00BF55F5"/>
    <w:rsid w:val="00C02B56"/>
    <w:rsid w:val="00C03307"/>
    <w:rsid w:val="00C06AD0"/>
    <w:rsid w:val="00C249D1"/>
    <w:rsid w:val="00C32A83"/>
    <w:rsid w:val="00C7482D"/>
    <w:rsid w:val="00C75C8B"/>
    <w:rsid w:val="00C84CDA"/>
    <w:rsid w:val="00C86850"/>
    <w:rsid w:val="00CA2F1B"/>
    <w:rsid w:val="00CA50AC"/>
    <w:rsid w:val="00CA775A"/>
    <w:rsid w:val="00CD0BBB"/>
    <w:rsid w:val="00CD1774"/>
    <w:rsid w:val="00D243E0"/>
    <w:rsid w:val="00D31CAF"/>
    <w:rsid w:val="00D330DB"/>
    <w:rsid w:val="00D37267"/>
    <w:rsid w:val="00D45A09"/>
    <w:rsid w:val="00D60F51"/>
    <w:rsid w:val="00D81123"/>
    <w:rsid w:val="00D96598"/>
    <w:rsid w:val="00DF310E"/>
    <w:rsid w:val="00DF3BDB"/>
    <w:rsid w:val="00DF5A5E"/>
    <w:rsid w:val="00E25F92"/>
    <w:rsid w:val="00E32A1F"/>
    <w:rsid w:val="00E32DEB"/>
    <w:rsid w:val="00E34797"/>
    <w:rsid w:val="00E36263"/>
    <w:rsid w:val="00E376F5"/>
    <w:rsid w:val="00E47375"/>
    <w:rsid w:val="00E727F8"/>
    <w:rsid w:val="00E96EC2"/>
    <w:rsid w:val="00EC1326"/>
    <w:rsid w:val="00EC1C20"/>
    <w:rsid w:val="00ED0F6F"/>
    <w:rsid w:val="00EE0A46"/>
    <w:rsid w:val="00EE51A3"/>
    <w:rsid w:val="00EF2386"/>
    <w:rsid w:val="00F037F8"/>
    <w:rsid w:val="00F045C0"/>
    <w:rsid w:val="00F11E4B"/>
    <w:rsid w:val="00F148D6"/>
    <w:rsid w:val="00F219E8"/>
    <w:rsid w:val="00F23062"/>
    <w:rsid w:val="00F33EB6"/>
    <w:rsid w:val="00F4010D"/>
    <w:rsid w:val="00F41EFC"/>
    <w:rsid w:val="00F5642A"/>
    <w:rsid w:val="00F8141E"/>
    <w:rsid w:val="00FA5E19"/>
    <w:rsid w:val="00FE0D4A"/>
    <w:rsid w:val="00FE6184"/>
    <w:rsid w:val="00FF1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4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6DD1"/>
    <w:rPr>
      <w:sz w:val="16"/>
      <w:szCs w:val="16"/>
    </w:rPr>
  </w:style>
  <w:style w:type="paragraph" w:styleId="CommentText">
    <w:name w:val="annotation text"/>
    <w:basedOn w:val="Normal"/>
    <w:link w:val="CommentTextChar"/>
    <w:uiPriority w:val="99"/>
    <w:semiHidden/>
    <w:unhideWhenUsed/>
    <w:rsid w:val="00B06DD1"/>
    <w:pPr>
      <w:spacing w:line="240" w:lineRule="auto"/>
    </w:pPr>
    <w:rPr>
      <w:sz w:val="20"/>
      <w:szCs w:val="20"/>
    </w:rPr>
  </w:style>
  <w:style w:type="character" w:customStyle="1" w:styleId="CommentTextChar">
    <w:name w:val="Comment Text Char"/>
    <w:basedOn w:val="DefaultParagraphFont"/>
    <w:link w:val="CommentText"/>
    <w:uiPriority w:val="99"/>
    <w:semiHidden/>
    <w:rsid w:val="00B06DD1"/>
    <w:rPr>
      <w:sz w:val="20"/>
      <w:szCs w:val="20"/>
    </w:rPr>
  </w:style>
  <w:style w:type="paragraph" w:styleId="CommentSubject">
    <w:name w:val="annotation subject"/>
    <w:basedOn w:val="CommentText"/>
    <w:next w:val="CommentText"/>
    <w:link w:val="CommentSubjectChar"/>
    <w:uiPriority w:val="99"/>
    <w:semiHidden/>
    <w:unhideWhenUsed/>
    <w:rsid w:val="00B06DD1"/>
    <w:rPr>
      <w:b/>
      <w:bCs/>
    </w:rPr>
  </w:style>
  <w:style w:type="character" w:customStyle="1" w:styleId="CommentSubjectChar">
    <w:name w:val="Comment Subject Char"/>
    <w:basedOn w:val="CommentTextChar"/>
    <w:link w:val="CommentSubject"/>
    <w:uiPriority w:val="99"/>
    <w:semiHidden/>
    <w:rsid w:val="00B06DD1"/>
    <w:rPr>
      <w:b/>
      <w:bCs/>
      <w:sz w:val="20"/>
      <w:szCs w:val="20"/>
    </w:rPr>
  </w:style>
  <w:style w:type="paragraph" w:styleId="BalloonText">
    <w:name w:val="Balloon Text"/>
    <w:basedOn w:val="Normal"/>
    <w:link w:val="BalloonTextChar"/>
    <w:uiPriority w:val="99"/>
    <w:semiHidden/>
    <w:unhideWhenUsed/>
    <w:rsid w:val="00B06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DD1"/>
    <w:rPr>
      <w:rFonts w:ascii="Segoe UI" w:hAnsi="Segoe UI" w:cs="Segoe UI"/>
      <w:sz w:val="18"/>
      <w:szCs w:val="18"/>
    </w:rPr>
  </w:style>
  <w:style w:type="paragraph" w:styleId="ListParagraph">
    <w:name w:val="List Paragraph"/>
    <w:basedOn w:val="Normal"/>
    <w:uiPriority w:val="34"/>
    <w:qFormat/>
    <w:rsid w:val="002F7944"/>
    <w:pPr>
      <w:ind w:left="720"/>
      <w:contextualSpacing/>
    </w:pPr>
  </w:style>
  <w:style w:type="character" w:styleId="Hyperlink">
    <w:name w:val="Hyperlink"/>
    <w:basedOn w:val="DefaultParagraphFont"/>
    <w:uiPriority w:val="99"/>
    <w:unhideWhenUsed/>
    <w:rsid w:val="001D21F0"/>
    <w:rPr>
      <w:color w:val="0563C1" w:themeColor="hyperlink"/>
      <w:u w:val="single"/>
    </w:rPr>
  </w:style>
  <w:style w:type="table" w:styleId="TableGrid">
    <w:name w:val="Table Grid"/>
    <w:basedOn w:val="TableNormal"/>
    <w:uiPriority w:val="39"/>
    <w:rsid w:val="00D37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D350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B50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FC8"/>
  </w:style>
  <w:style w:type="paragraph" w:styleId="Footer">
    <w:name w:val="footer"/>
    <w:basedOn w:val="Normal"/>
    <w:link w:val="FooterChar"/>
    <w:uiPriority w:val="99"/>
    <w:unhideWhenUsed/>
    <w:rsid w:val="00B50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FC8"/>
  </w:style>
  <w:style w:type="character" w:styleId="FollowedHyperlink">
    <w:name w:val="FollowedHyperlink"/>
    <w:basedOn w:val="DefaultParagraphFont"/>
    <w:uiPriority w:val="99"/>
    <w:semiHidden/>
    <w:unhideWhenUsed/>
    <w:rsid w:val="00A207F9"/>
    <w:rPr>
      <w:color w:val="954F72" w:themeColor="followedHyperlink"/>
      <w:u w:val="single"/>
    </w:rPr>
  </w:style>
  <w:style w:type="paragraph" w:customStyle="1" w:styleId="EndNoteBibliography">
    <w:name w:val="EndNote Bibliography"/>
    <w:basedOn w:val="Normal"/>
    <w:link w:val="EndNoteBibliographyChar"/>
    <w:rsid w:val="00A207F9"/>
    <w:pPr>
      <w:spacing w:after="200" w:line="240" w:lineRule="auto"/>
      <w:jc w:val="left"/>
    </w:pPr>
    <w:rPr>
      <w:rFonts w:ascii="Calibri" w:hAnsi="Calibri" w:cs="Calibri"/>
      <w:noProof/>
      <w:lang w:val="en-US"/>
    </w:rPr>
  </w:style>
  <w:style w:type="character" w:customStyle="1" w:styleId="EndNoteBibliographyChar">
    <w:name w:val="EndNote Bibliography Char"/>
    <w:basedOn w:val="DefaultParagraphFont"/>
    <w:link w:val="EndNoteBibliography"/>
    <w:rsid w:val="00A207F9"/>
    <w:rPr>
      <w:rFonts w:ascii="Calibri" w:hAnsi="Calibri" w:cs="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4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6DD1"/>
    <w:rPr>
      <w:sz w:val="16"/>
      <w:szCs w:val="16"/>
    </w:rPr>
  </w:style>
  <w:style w:type="paragraph" w:styleId="CommentText">
    <w:name w:val="annotation text"/>
    <w:basedOn w:val="Normal"/>
    <w:link w:val="CommentTextChar"/>
    <w:uiPriority w:val="99"/>
    <w:semiHidden/>
    <w:unhideWhenUsed/>
    <w:rsid w:val="00B06DD1"/>
    <w:pPr>
      <w:spacing w:line="240" w:lineRule="auto"/>
    </w:pPr>
    <w:rPr>
      <w:sz w:val="20"/>
      <w:szCs w:val="20"/>
    </w:rPr>
  </w:style>
  <w:style w:type="character" w:customStyle="1" w:styleId="CommentTextChar">
    <w:name w:val="Comment Text Char"/>
    <w:basedOn w:val="DefaultParagraphFont"/>
    <w:link w:val="CommentText"/>
    <w:uiPriority w:val="99"/>
    <w:semiHidden/>
    <w:rsid w:val="00B06DD1"/>
    <w:rPr>
      <w:sz w:val="20"/>
      <w:szCs w:val="20"/>
    </w:rPr>
  </w:style>
  <w:style w:type="paragraph" w:styleId="CommentSubject">
    <w:name w:val="annotation subject"/>
    <w:basedOn w:val="CommentText"/>
    <w:next w:val="CommentText"/>
    <w:link w:val="CommentSubjectChar"/>
    <w:uiPriority w:val="99"/>
    <w:semiHidden/>
    <w:unhideWhenUsed/>
    <w:rsid w:val="00B06DD1"/>
    <w:rPr>
      <w:b/>
      <w:bCs/>
    </w:rPr>
  </w:style>
  <w:style w:type="character" w:customStyle="1" w:styleId="CommentSubjectChar">
    <w:name w:val="Comment Subject Char"/>
    <w:basedOn w:val="CommentTextChar"/>
    <w:link w:val="CommentSubject"/>
    <w:uiPriority w:val="99"/>
    <w:semiHidden/>
    <w:rsid w:val="00B06DD1"/>
    <w:rPr>
      <w:b/>
      <w:bCs/>
      <w:sz w:val="20"/>
      <w:szCs w:val="20"/>
    </w:rPr>
  </w:style>
  <w:style w:type="paragraph" w:styleId="BalloonText">
    <w:name w:val="Balloon Text"/>
    <w:basedOn w:val="Normal"/>
    <w:link w:val="BalloonTextChar"/>
    <w:uiPriority w:val="99"/>
    <w:semiHidden/>
    <w:unhideWhenUsed/>
    <w:rsid w:val="00B06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DD1"/>
    <w:rPr>
      <w:rFonts w:ascii="Segoe UI" w:hAnsi="Segoe UI" w:cs="Segoe UI"/>
      <w:sz w:val="18"/>
      <w:szCs w:val="18"/>
    </w:rPr>
  </w:style>
  <w:style w:type="paragraph" w:styleId="ListParagraph">
    <w:name w:val="List Paragraph"/>
    <w:basedOn w:val="Normal"/>
    <w:uiPriority w:val="34"/>
    <w:qFormat/>
    <w:rsid w:val="002F7944"/>
    <w:pPr>
      <w:ind w:left="720"/>
      <w:contextualSpacing/>
    </w:pPr>
  </w:style>
  <w:style w:type="character" w:styleId="Hyperlink">
    <w:name w:val="Hyperlink"/>
    <w:basedOn w:val="DefaultParagraphFont"/>
    <w:uiPriority w:val="99"/>
    <w:unhideWhenUsed/>
    <w:rsid w:val="001D21F0"/>
    <w:rPr>
      <w:color w:val="0563C1" w:themeColor="hyperlink"/>
      <w:u w:val="single"/>
    </w:rPr>
  </w:style>
  <w:style w:type="table" w:styleId="TableGrid">
    <w:name w:val="Table Grid"/>
    <w:basedOn w:val="TableNormal"/>
    <w:uiPriority w:val="39"/>
    <w:rsid w:val="00D37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D350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B50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FC8"/>
  </w:style>
  <w:style w:type="paragraph" w:styleId="Footer">
    <w:name w:val="footer"/>
    <w:basedOn w:val="Normal"/>
    <w:link w:val="FooterChar"/>
    <w:uiPriority w:val="99"/>
    <w:unhideWhenUsed/>
    <w:rsid w:val="00B50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FC8"/>
  </w:style>
  <w:style w:type="character" w:styleId="FollowedHyperlink">
    <w:name w:val="FollowedHyperlink"/>
    <w:basedOn w:val="DefaultParagraphFont"/>
    <w:uiPriority w:val="99"/>
    <w:semiHidden/>
    <w:unhideWhenUsed/>
    <w:rsid w:val="00A207F9"/>
    <w:rPr>
      <w:color w:val="954F72" w:themeColor="followedHyperlink"/>
      <w:u w:val="single"/>
    </w:rPr>
  </w:style>
  <w:style w:type="paragraph" w:customStyle="1" w:styleId="EndNoteBibliography">
    <w:name w:val="EndNote Bibliography"/>
    <w:basedOn w:val="Normal"/>
    <w:link w:val="EndNoteBibliographyChar"/>
    <w:rsid w:val="00A207F9"/>
    <w:pPr>
      <w:spacing w:after="200" w:line="240" w:lineRule="auto"/>
      <w:jc w:val="left"/>
    </w:pPr>
    <w:rPr>
      <w:rFonts w:ascii="Calibri" w:hAnsi="Calibri" w:cs="Calibri"/>
      <w:noProof/>
      <w:lang w:val="en-US"/>
    </w:rPr>
  </w:style>
  <w:style w:type="character" w:customStyle="1" w:styleId="EndNoteBibliographyChar">
    <w:name w:val="EndNote Bibliography Char"/>
    <w:basedOn w:val="DefaultParagraphFont"/>
    <w:link w:val="EndNoteBibliography"/>
    <w:rsid w:val="00A207F9"/>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8062">
      <w:bodyDiv w:val="1"/>
      <w:marLeft w:val="0"/>
      <w:marRight w:val="0"/>
      <w:marTop w:val="0"/>
      <w:marBottom w:val="0"/>
      <w:divBdr>
        <w:top w:val="none" w:sz="0" w:space="0" w:color="auto"/>
        <w:left w:val="none" w:sz="0" w:space="0" w:color="auto"/>
        <w:bottom w:val="none" w:sz="0" w:space="0" w:color="auto"/>
        <w:right w:val="none" w:sz="0" w:space="0" w:color="auto"/>
      </w:divBdr>
    </w:div>
    <w:div w:id="131219644">
      <w:bodyDiv w:val="1"/>
      <w:marLeft w:val="0"/>
      <w:marRight w:val="0"/>
      <w:marTop w:val="0"/>
      <w:marBottom w:val="0"/>
      <w:divBdr>
        <w:top w:val="none" w:sz="0" w:space="0" w:color="auto"/>
        <w:left w:val="none" w:sz="0" w:space="0" w:color="auto"/>
        <w:bottom w:val="none" w:sz="0" w:space="0" w:color="auto"/>
        <w:right w:val="none" w:sz="0" w:space="0" w:color="auto"/>
      </w:divBdr>
    </w:div>
    <w:div w:id="711078616">
      <w:bodyDiv w:val="1"/>
      <w:marLeft w:val="0"/>
      <w:marRight w:val="0"/>
      <w:marTop w:val="0"/>
      <w:marBottom w:val="0"/>
      <w:divBdr>
        <w:top w:val="none" w:sz="0" w:space="0" w:color="auto"/>
        <w:left w:val="none" w:sz="0" w:space="0" w:color="auto"/>
        <w:bottom w:val="none" w:sz="0" w:space="0" w:color="auto"/>
        <w:right w:val="none" w:sz="0" w:space="0" w:color="auto"/>
      </w:divBdr>
    </w:div>
    <w:div w:id="792017034">
      <w:bodyDiv w:val="1"/>
      <w:marLeft w:val="0"/>
      <w:marRight w:val="0"/>
      <w:marTop w:val="0"/>
      <w:marBottom w:val="0"/>
      <w:divBdr>
        <w:top w:val="none" w:sz="0" w:space="0" w:color="auto"/>
        <w:left w:val="none" w:sz="0" w:space="0" w:color="auto"/>
        <w:bottom w:val="none" w:sz="0" w:space="0" w:color="auto"/>
        <w:right w:val="none" w:sz="0" w:space="0" w:color="auto"/>
      </w:divBdr>
    </w:div>
    <w:div w:id="16695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www.payscale.com/research/AU/Job=Aged_Care_Worker/Hourly_Rate"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B9CF2-3B63-42C1-AFB4-5644BAED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3095</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Kim-Huong Nguyen</dc:creator>
  <cp:lastModifiedBy>Vithya Thirunavukarasou, Integra-PDY, IN</cp:lastModifiedBy>
  <cp:revision>3</cp:revision>
  <dcterms:created xsi:type="dcterms:W3CDTF">2019-02-27T11:31:00Z</dcterms:created>
  <dcterms:modified xsi:type="dcterms:W3CDTF">2019-02-27T11:31:00Z</dcterms:modified>
</cp:coreProperties>
</file>