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6833A" w14:textId="6B1C3D15" w:rsidR="00106F90" w:rsidRDefault="00D64CE5">
      <w:r>
        <w:rPr>
          <w:noProof/>
        </w:rPr>
        <w:drawing>
          <wp:inline distT="0" distB="0" distL="0" distR="0" wp14:anchorId="15576EB5" wp14:editId="4BF7CCB2">
            <wp:extent cx="3917950" cy="34671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045C4" w14:textId="5F768A75" w:rsidR="00D64CE5" w:rsidRPr="00D64CE5" w:rsidRDefault="00D64CE5">
      <w:pPr>
        <w:rPr>
          <w:rFonts w:ascii="Times New Roman" w:hAnsi="Times New Roman" w:cs="Times New Roman"/>
          <w:sz w:val="24"/>
          <w:szCs w:val="24"/>
        </w:rPr>
      </w:pPr>
      <w:r w:rsidRPr="00D64CE5">
        <w:rPr>
          <w:rFonts w:ascii="Times New Roman" w:hAnsi="Times New Roman" w:cs="Times New Roman"/>
          <w:sz w:val="24"/>
          <w:szCs w:val="24"/>
        </w:rPr>
        <w:t>Figure S1. Effect of dithizone concentration on Hg</w:t>
      </w:r>
      <w:r w:rsidRPr="00D64CE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D64CE5">
        <w:rPr>
          <w:rFonts w:ascii="Times New Roman" w:hAnsi="Times New Roman" w:cs="Times New Roman"/>
          <w:sz w:val="24"/>
          <w:szCs w:val="24"/>
        </w:rPr>
        <w:t xml:space="preserve"> removal at the initial concentration of 10 and 50 mg/L</w:t>
      </w:r>
    </w:p>
    <w:sectPr w:rsidR="00D64CE5" w:rsidRPr="00D64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E5"/>
    <w:rsid w:val="00106F90"/>
    <w:rsid w:val="00143C0F"/>
    <w:rsid w:val="00D6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0BD66"/>
  <w15:chartTrackingRefBased/>
  <w15:docId w15:val="{C4AF132E-0B92-4C0F-9830-B18B0535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2l4f</dc:creator>
  <cp:keywords/>
  <dc:description/>
  <cp:lastModifiedBy>lenovo 2l4f</cp:lastModifiedBy>
  <cp:revision>2</cp:revision>
  <dcterms:created xsi:type="dcterms:W3CDTF">2020-07-25T14:28:00Z</dcterms:created>
  <dcterms:modified xsi:type="dcterms:W3CDTF">2020-07-25T14:30:00Z</dcterms:modified>
</cp:coreProperties>
</file>