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92E6" w14:textId="1C201832" w:rsid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en-US" w:eastAsia="da-DK"/>
        </w:rPr>
      </w:pPr>
      <w:r>
        <w:rPr>
          <w:rFonts w:ascii="AUPassataBold" w:eastAsia="Times New Roman" w:hAnsi="AUPassataBold" w:cs="Times New Roman"/>
          <w:color w:val="0A0A0A"/>
          <w:kern w:val="36"/>
          <w:sz w:val="48"/>
          <w:szCs w:val="48"/>
          <w:lang w:val="en-US" w:eastAsia="da-DK"/>
        </w:rPr>
        <w:t>Danish-German Jerash Northwest Quarter Project</w:t>
      </w:r>
    </w:p>
    <w:p w14:paraId="164CF7A7" w14:textId="66DC9DBB" w:rsidR="005B35EE" w:rsidRDefault="005B35EE"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en-US" w:eastAsia="da-DK"/>
        </w:rPr>
      </w:pPr>
      <w:r>
        <w:rPr>
          <w:rFonts w:ascii="AUPassataBold" w:eastAsia="Times New Roman" w:hAnsi="AUPassataBold" w:cs="Times New Roman"/>
          <w:color w:val="0A0A0A"/>
          <w:kern w:val="36"/>
          <w:sz w:val="48"/>
          <w:szCs w:val="48"/>
          <w:lang w:val="en-US" w:eastAsia="da-DK"/>
        </w:rPr>
        <w:t>Project Publications</w:t>
      </w:r>
    </w:p>
    <w:p w14:paraId="6AD66116" w14:textId="56328FE3" w:rsidR="007A2AD0" w:rsidRPr="005B35EE" w:rsidRDefault="005B35EE" w:rsidP="00480E9F">
      <w:pPr>
        <w:shd w:val="clear" w:color="auto" w:fill="FEFEFE"/>
        <w:spacing w:before="240" w:line="240" w:lineRule="auto"/>
        <w:jc w:val="center"/>
        <w:outlineLvl w:val="0"/>
        <w:rPr>
          <w:rFonts w:ascii="AUPassataBold" w:eastAsia="Times New Roman" w:hAnsi="AUPassataBold" w:cs="Times New Roman"/>
          <w:color w:val="0A0A0A"/>
          <w:kern w:val="36"/>
          <w:sz w:val="26"/>
          <w:szCs w:val="14"/>
          <w:lang w:val="de-DE" w:eastAsia="da-DK"/>
        </w:rPr>
      </w:pPr>
      <w:r>
        <w:rPr>
          <w:rFonts w:ascii="AUPassataBold" w:eastAsia="Times New Roman" w:hAnsi="AUPassataBold" w:cs="Times New Roman"/>
          <w:color w:val="0A0A0A"/>
          <w:kern w:val="36"/>
          <w:sz w:val="26"/>
          <w:szCs w:val="14"/>
          <w:lang w:val="de-DE" w:eastAsia="da-DK"/>
        </w:rPr>
        <w:t xml:space="preserve">Last Update: </w:t>
      </w:r>
      <w:r w:rsidR="00480E9F" w:rsidRPr="005B35EE">
        <w:rPr>
          <w:rFonts w:ascii="AUPassataBold" w:eastAsia="Times New Roman" w:hAnsi="AUPassataBold" w:cs="Times New Roman"/>
          <w:color w:val="0A0A0A"/>
          <w:kern w:val="36"/>
          <w:sz w:val="26"/>
          <w:szCs w:val="14"/>
          <w:lang w:val="de-DE" w:eastAsia="da-DK"/>
        </w:rPr>
        <w:t>15.8.2020</w:t>
      </w:r>
    </w:p>
    <w:p w14:paraId="3D577989" w14:textId="77777777" w:rsidR="00406642" w:rsidRPr="005B35EE"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5B35EE">
        <w:rPr>
          <w:rFonts w:ascii="AUPassataBold" w:hAnsi="AUPassataBold"/>
          <w:b w:val="0"/>
          <w:bCs w:val="0"/>
          <w:color w:val="0A0A0A"/>
          <w:lang w:val="de-DE"/>
        </w:rPr>
        <w:t>2020</w:t>
      </w:r>
    </w:p>
    <w:p w14:paraId="5D8D254B" w14:textId="3D582989" w:rsidR="00480E9F" w:rsidRDefault="00480E9F" w:rsidP="0043048C">
      <w:pPr>
        <w:pStyle w:val="StandardWeb"/>
        <w:shd w:val="clear" w:color="auto" w:fill="FEFEFE"/>
        <w:rPr>
          <w:rFonts w:ascii="Georgia" w:hAnsi="Georgia"/>
          <w:color w:val="0A0A0A"/>
          <w:sz w:val="21"/>
          <w:szCs w:val="21"/>
          <w:lang w:val="en-US"/>
        </w:rPr>
      </w:pPr>
      <w:proofErr w:type="spellStart"/>
      <w:r w:rsidRPr="00480E9F">
        <w:rPr>
          <w:rFonts w:ascii="Georgia" w:hAnsi="Georgia"/>
          <w:color w:val="0A0A0A"/>
          <w:sz w:val="21"/>
          <w:szCs w:val="21"/>
          <w:lang w:val="de-DE"/>
        </w:rPr>
        <w:t>Barfod</w:t>
      </w:r>
      <w:proofErr w:type="spellEnd"/>
      <w:r w:rsidRPr="00480E9F">
        <w:rPr>
          <w:rFonts w:ascii="Georgia" w:hAnsi="Georgia"/>
          <w:color w:val="0A0A0A"/>
          <w:sz w:val="21"/>
          <w:szCs w:val="21"/>
          <w:lang w:val="de-DE"/>
        </w:rPr>
        <w:t xml:space="preserve">, G. H., </w:t>
      </w:r>
      <w:proofErr w:type="spellStart"/>
      <w:r w:rsidRPr="00480E9F">
        <w:rPr>
          <w:rFonts w:ascii="Georgia" w:hAnsi="Georgia"/>
          <w:color w:val="0A0A0A"/>
          <w:sz w:val="21"/>
          <w:szCs w:val="21"/>
          <w:lang w:val="de-DE"/>
        </w:rPr>
        <w:t>Freestone</w:t>
      </w:r>
      <w:proofErr w:type="spellEnd"/>
      <w:r w:rsidRPr="00480E9F">
        <w:rPr>
          <w:rFonts w:ascii="Georgia" w:hAnsi="Georgia"/>
          <w:color w:val="0A0A0A"/>
          <w:sz w:val="21"/>
          <w:szCs w:val="21"/>
          <w:lang w:val="de-DE"/>
        </w:rPr>
        <w:t xml:space="preserve">, I. C., </w:t>
      </w:r>
      <w:proofErr w:type="spellStart"/>
      <w:r w:rsidRPr="00480E9F">
        <w:rPr>
          <w:rFonts w:ascii="Georgia" w:hAnsi="Georgia"/>
          <w:color w:val="0A0A0A"/>
          <w:sz w:val="21"/>
          <w:szCs w:val="21"/>
          <w:lang w:val="de-DE"/>
        </w:rPr>
        <w:t>Lesher</w:t>
      </w:r>
      <w:proofErr w:type="spellEnd"/>
      <w:r w:rsidRPr="00480E9F">
        <w:rPr>
          <w:rFonts w:ascii="Georgia" w:hAnsi="Georgia"/>
          <w:color w:val="0A0A0A"/>
          <w:sz w:val="21"/>
          <w:szCs w:val="21"/>
          <w:lang w:val="de-DE"/>
        </w:rPr>
        <w:t xml:space="preserve">, C. E., Lichtenberger, A. &amp; Raja, R. (2020). </w:t>
      </w:r>
      <w:r>
        <w:rPr>
          <w:rFonts w:ascii="Georgia" w:hAnsi="Georgia"/>
          <w:color w:val="0A0A0A"/>
          <w:sz w:val="21"/>
          <w:szCs w:val="21"/>
          <w:lang w:val="en-US"/>
        </w:rPr>
        <w:t>“</w:t>
      </w:r>
      <w:r w:rsidRPr="00480E9F">
        <w:rPr>
          <w:rFonts w:ascii="Georgia" w:hAnsi="Georgia"/>
          <w:color w:val="0A0A0A"/>
          <w:sz w:val="21"/>
          <w:szCs w:val="21"/>
          <w:lang w:val="en-US"/>
        </w:rPr>
        <w:t>Alexandrian’ glass confirmed by hafnium isotopes</w:t>
      </w:r>
      <w:r>
        <w:rPr>
          <w:rFonts w:ascii="Georgia" w:hAnsi="Georgia"/>
          <w:color w:val="0A0A0A"/>
          <w:sz w:val="21"/>
          <w:szCs w:val="21"/>
          <w:lang w:val="en-US"/>
        </w:rPr>
        <w:t>”</w:t>
      </w:r>
      <w:r w:rsidRPr="00480E9F">
        <w:rPr>
          <w:rFonts w:ascii="Georgia" w:hAnsi="Georgia"/>
          <w:color w:val="0A0A0A"/>
          <w:sz w:val="21"/>
          <w:szCs w:val="21"/>
          <w:lang w:val="en-US"/>
        </w:rPr>
        <w:t xml:space="preserve">, </w:t>
      </w:r>
      <w:r w:rsidRPr="00480E9F">
        <w:rPr>
          <w:rFonts w:ascii="Georgia" w:hAnsi="Georgia"/>
          <w:i/>
          <w:color w:val="0A0A0A"/>
          <w:sz w:val="21"/>
          <w:szCs w:val="21"/>
          <w:lang w:val="en-US"/>
        </w:rPr>
        <w:t>Scientific Reports</w:t>
      </w:r>
      <w:r w:rsidRPr="00480E9F">
        <w:rPr>
          <w:rFonts w:ascii="Georgia" w:hAnsi="Georgia"/>
          <w:color w:val="0A0A0A"/>
          <w:sz w:val="21"/>
          <w:szCs w:val="21"/>
          <w:lang w:val="en-US"/>
        </w:rPr>
        <w:t xml:space="preserve"> 10, 11322 (2020) </w:t>
      </w:r>
      <w:r>
        <w:rPr>
          <w:rFonts w:ascii="Georgia" w:hAnsi="Georgia"/>
          <w:color w:val="0A0A0A"/>
          <w:sz w:val="21"/>
          <w:szCs w:val="21"/>
          <w:lang w:val="en-US"/>
        </w:rPr>
        <w:t xml:space="preserve">DOI: </w:t>
      </w:r>
      <w:r w:rsidRPr="00480E9F">
        <w:rPr>
          <w:rFonts w:ascii="Georgia" w:hAnsi="Georgia"/>
          <w:color w:val="0A0A0A"/>
          <w:sz w:val="21"/>
          <w:szCs w:val="21"/>
          <w:lang w:val="en-US"/>
        </w:rPr>
        <w:t>doi.org/10.1038/s41598-020-68089-w</w:t>
      </w:r>
    </w:p>
    <w:p w14:paraId="5FDE5003" w14:textId="2CB958B7" w:rsidR="0043048C" w:rsidRPr="00406642" w:rsidRDefault="0043048C" w:rsidP="0043048C">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w:t>
      </w:r>
      <w:r>
        <w:rPr>
          <w:rFonts w:ascii="Georgia" w:hAnsi="Georgia"/>
          <w:color w:val="0A0A0A"/>
          <w:sz w:val="21"/>
          <w:szCs w:val="21"/>
          <w:lang w:val="en-US"/>
        </w:rPr>
        <w:t>20</w:t>
      </w:r>
      <w:r w:rsidRPr="00406642">
        <w:rPr>
          <w:rFonts w:ascii="Georgia" w:hAnsi="Georgia"/>
          <w:color w:val="0A0A0A"/>
          <w:sz w:val="21"/>
          <w:szCs w:val="21"/>
          <w:lang w:val="en-US"/>
        </w:rPr>
        <w:t xml:space="preserve">). "Management of water resources over time in semiarid regions: The case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/Jerash in Jordan", </w:t>
      </w:r>
      <w:r w:rsidRPr="00406642">
        <w:rPr>
          <w:rStyle w:val="Hervorhebung"/>
          <w:rFonts w:ascii="Georgia" w:hAnsi="Georgia"/>
          <w:color w:val="0A0A0A"/>
          <w:sz w:val="21"/>
          <w:szCs w:val="21"/>
          <w:lang w:val="en-US"/>
        </w:rPr>
        <w:t>WIREs Water</w:t>
      </w:r>
      <w:r>
        <w:rPr>
          <w:rStyle w:val="Hervorhebung"/>
          <w:rFonts w:ascii="Georgia" w:hAnsi="Georgia"/>
          <w:color w:val="0A0A0A"/>
          <w:sz w:val="21"/>
          <w:szCs w:val="21"/>
          <w:lang w:val="en-US"/>
        </w:rPr>
        <w:t xml:space="preserve"> </w:t>
      </w:r>
      <w:r>
        <w:rPr>
          <w:rStyle w:val="Hervorhebung"/>
          <w:rFonts w:ascii="Georgia" w:hAnsi="Georgia"/>
          <w:i w:val="0"/>
          <w:color w:val="0A0A0A"/>
          <w:sz w:val="21"/>
          <w:szCs w:val="21"/>
          <w:lang w:val="en-US"/>
        </w:rPr>
        <w:t>7:1</w:t>
      </w:r>
      <w:r w:rsidRPr="00406642">
        <w:rPr>
          <w:rFonts w:ascii="Georgia" w:hAnsi="Georgia"/>
          <w:color w:val="0A0A0A"/>
          <w:sz w:val="21"/>
          <w:szCs w:val="21"/>
          <w:lang w:val="en-US"/>
        </w:rPr>
        <w:t>, e1403, DOI: </w:t>
      </w:r>
      <w:hyperlink r:id="rId4" w:history="1">
        <w:r w:rsidRPr="00406642">
          <w:rPr>
            <w:rStyle w:val="Hyperlink"/>
            <w:rFonts w:ascii="Georgia" w:hAnsi="Georgia"/>
            <w:color w:val="002546"/>
            <w:sz w:val="21"/>
            <w:szCs w:val="21"/>
            <w:lang w:val="en-US"/>
          </w:rPr>
          <w:t>doi.org/10.1002/wat2.1403</w:t>
        </w:r>
      </w:hyperlink>
    </w:p>
    <w:p w14:paraId="6EB07BB9"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Schulze, I. &amp; Schulze, W. (2020). "The Umayyad Coins excavated during the Danish-German Jerash Northwest Quarter Project 2012–2016" in: Goodwin, T. (ed.), </w:t>
      </w:r>
      <w:r w:rsidRPr="00406642">
        <w:rPr>
          <w:rStyle w:val="Hervorhebung"/>
          <w:rFonts w:ascii="Georgia" w:hAnsi="Georgia"/>
          <w:color w:val="0A0A0A"/>
          <w:sz w:val="21"/>
          <w:szCs w:val="21"/>
          <w:lang w:val="en-US"/>
        </w:rPr>
        <w:t>Coinage and History in the Seventh Century Near East 6. Proceedings of the 16th Seventh Century Syrian Numismatic Round Table held at The Hive, Worcester on 6th and 7th April 2019</w:t>
      </w:r>
      <w:r w:rsidRPr="00406642">
        <w:rPr>
          <w:rFonts w:ascii="Georgia" w:hAnsi="Georgia"/>
          <w:color w:val="0A0A0A"/>
          <w:sz w:val="21"/>
          <w:szCs w:val="21"/>
          <w:lang w:val="en-US"/>
        </w:rPr>
        <w:t>, London, 175-180.  </w:t>
      </w:r>
    </w:p>
    <w:p w14:paraId="038752FC"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79873AE0" w14:textId="77777777" w:rsidR="00406642" w:rsidRP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406642">
        <w:rPr>
          <w:rFonts w:ascii="AUPassataBold" w:hAnsi="AUPassataBold"/>
          <w:b w:val="0"/>
          <w:bCs w:val="0"/>
          <w:color w:val="0A0A0A"/>
          <w:lang w:val="de-DE"/>
        </w:rPr>
        <w:t>2019</w:t>
      </w:r>
    </w:p>
    <w:p w14:paraId="53EA9F75"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Barfod, G., Lichtenberger, A., Peterson, A., Raja, A. &amp; Ting, C. (2019). </w:t>
      </w:r>
      <w:r w:rsidRPr="00406642">
        <w:rPr>
          <w:rFonts w:ascii="Georgia" w:hAnsi="Georgia"/>
          <w:color w:val="0A0A0A"/>
          <w:sz w:val="21"/>
          <w:szCs w:val="21"/>
          <w:lang w:val="en-US"/>
        </w:rPr>
        <w:t>"Middle Islamic pottery from Jerash. New research on ceramic fabrics and the implications for production patterns of HMGP pottery in Northern Jordan". </w:t>
      </w:r>
      <w:r w:rsidRPr="00406642">
        <w:rPr>
          <w:rStyle w:val="Hervorhebung"/>
          <w:rFonts w:ascii="Georgia" w:hAnsi="Georgia"/>
          <w:color w:val="0A0A0A"/>
          <w:sz w:val="21"/>
          <w:szCs w:val="21"/>
          <w:lang w:val="de-DE"/>
        </w:rPr>
        <w:t>Zeitschrift für Orientarchäologie </w:t>
      </w:r>
      <w:r w:rsidRPr="00406642">
        <w:rPr>
          <w:rFonts w:ascii="Georgia" w:hAnsi="Georgia"/>
          <w:color w:val="0A0A0A"/>
          <w:sz w:val="21"/>
          <w:szCs w:val="21"/>
          <w:lang w:val="de-DE"/>
        </w:rPr>
        <w:t>12, 140-167.</w:t>
      </w:r>
    </w:p>
    <w:p w14:paraId="6AF41D8C"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Birch, T., </w:t>
      </w:r>
      <w:proofErr w:type="spellStart"/>
      <w:r w:rsidRPr="00406642">
        <w:rPr>
          <w:rFonts w:ascii="Georgia" w:hAnsi="Georgia"/>
          <w:color w:val="0A0A0A"/>
          <w:sz w:val="21"/>
          <w:szCs w:val="21"/>
          <w:lang w:val="de-DE"/>
        </w:rPr>
        <w:t>Orfanou</w:t>
      </w:r>
      <w:proofErr w:type="spellEnd"/>
      <w:r w:rsidRPr="00406642">
        <w:rPr>
          <w:rFonts w:ascii="Georgia" w:hAnsi="Georgia"/>
          <w:color w:val="0A0A0A"/>
          <w:sz w:val="21"/>
          <w:szCs w:val="21"/>
          <w:lang w:val="de-DE"/>
        </w:rPr>
        <w:t xml:space="preserve">, V., Lichtenberger, A., Raja, R., Barfod, G., </w:t>
      </w:r>
      <w:proofErr w:type="spellStart"/>
      <w:r w:rsidRPr="00406642">
        <w:rPr>
          <w:rFonts w:ascii="Georgia" w:hAnsi="Georgia"/>
          <w:color w:val="0A0A0A"/>
          <w:sz w:val="21"/>
          <w:szCs w:val="21"/>
          <w:lang w:val="de-DE"/>
        </w:rPr>
        <w:t>Lesher</w:t>
      </w:r>
      <w:proofErr w:type="spellEnd"/>
      <w:r w:rsidRPr="00406642">
        <w:rPr>
          <w:rFonts w:ascii="Georgia" w:hAnsi="Georgia"/>
          <w:color w:val="0A0A0A"/>
          <w:sz w:val="21"/>
          <w:szCs w:val="21"/>
          <w:lang w:val="de-DE"/>
        </w:rPr>
        <w:t xml:space="preserve">, C. E., Schulze, I. &amp; Schulze, W. (2019). </w:t>
      </w:r>
      <w:r w:rsidRPr="00406642">
        <w:rPr>
          <w:rFonts w:ascii="Georgia" w:hAnsi="Georgia"/>
          <w:color w:val="0A0A0A"/>
          <w:sz w:val="21"/>
          <w:szCs w:val="21"/>
          <w:lang w:val="en-US"/>
        </w:rPr>
        <w:t xml:space="preserve">"From </w:t>
      </w:r>
      <w:proofErr w:type="spellStart"/>
      <w:r w:rsidRPr="00406642">
        <w:rPr>
          <w:rFonts w:ascii="Georgia" w:hAnsi="Georgia"/>
          <w:color w:val="0A0A0A"/>
          <w:sz w:val="21"/>
          <w:szCs w:val="21"/>
          <w:lang w:val="en-US"/>
        </w:rPr>
        <w:t>nummi</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minimi</w:t>
      </w:r>
      <w:proofErr w:type="spellEnd"/>
      <w:r w:rsidRPr="00406642">
        <w:rPr>
          <w:rFonts w:ascii="Georgia" w:hAnsi="Georgia"/>
          <w:color w:val="0A0A0A"/>
          <w:sz w:val="21"/>
          <w:szCs w:val="21"/>
          <w:lang w:val="en-US"/>
        </w:rPr>
        <w:t xml:space="preserve"> to </w:t>
      </w:r>
      <w:proofErr w:type="spellStart"/>
      <w:r w:rsidRPr="00406642">
        <w:rPr>
          <w:rFonts w:ascii="Georgia" w:hAnsi="Georgia"/>
          <w:color w:val="0A0A0A"/>
          <w:sz w:val="21"/>
          <w:szCs w:val="21"/>
          <w:lang w:val="en-US"/>
        </w:rPr>
        <w:t>fulūs</w:t>
      </w:r>
      <w:proofErr w:type="spellEnd"/>
      <w:r w:rsidRPr="00406642">
        <w:rPr>
          <w:rFonts w:ascii="Georgia" w:hAnsi="Georgia"/>
          <w:color w:val="0A0A0A"/>
          <w:sz w:val="21"/>
          <w:szCs w:val="21"/>
          <w:lang w:val="en-US"/>
        </w:rPr>
        <w:t xml:space="preserve">—small change and wider issues: </w:t>
      </w:r>
      <w:proofErr w:type="spellStart"/>
      <w:r w:rsidRPr="00406642">
        <w:rPr>
          <w:rFonts w:ascii="Georgia" w:hAnsi="Georgia"/>
          <w:color w:val="0A0A0A"/>
          <w:sz w:val="21"/>
          <w:szCs w:val="21"/>
          <w:lang w:val="en-US"/>
        </w:rPr>
        <w:t>characterising</w:t>
      </w:r>
      <w:proofErr w:type="spellEnd"/>
      <w:r w:rsidRPr="00406642">
        <w:rPr>
          <w:rFonts w:ascii="Georgia" w:hAnsi="Georgia"/>
          <w:color w:val="0A0A0A"/>
          <w:sz w:val="21"/>
          <w:szCs w:val="21"/>
          <w:lang w:val="en-US"/>
        </w:rPr>
        <w:t xml:space="preserve"> coinage from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/Jerash (Late Roman to Umayyad periods)", </w:t>
      </w:r>
      <w:r w:rsidRPr="00406642">
        <w:rPr>
          <w:rStyle w:val="Hervorhebung"/>
          <w:rFonts w:ascii="Georgia" w:hAnsi="Georgia"/>
          <w:color w:val="0A0A0A"/>
          <w:sz w:val="21"/>
          <w:szCs w:val="21"/>
          <w:lang w:val="en-US"/>
        </w:rPr>
        <w:t>Archaeological and Anthropological Sciences</w:t>
      </w:r>
      <w:r w:rsidRPr="00406642">
        <w:rPr>
          <w:rFonts w:ascii="Georgia" w:hAnsi="Georgia"/>
          <w:color w:val="0A0A0A"/>
          <w:sz w:val="21"/>
          <w:szCs w:val="21"/>
          <w:lang w:val="en-US"/>
        </w:rPr>
        <w:t>, DOI: </w:t>
      </w:r>
      <w:hyperlink r:id="rId5" w:history="1">
        <w:r w:rsidRPr="00406642">
          <w:rPr>
            <w:rStyle w:val="Hyperlink"/>
            <w:rFonts w:ascii="Georgia" w:hAnsi="Georgia"/>
            <w:color w:val="002546"/>
            <w:sz w:val="21"/>
            <w:szCs w:val="21"/>
            <w:lang w:val="en-US"/>
          </w:rPr>
          <w:t>doi.org/10.1007/s12520-019-00866-9</w:t>
        </w:r>
      </w:hyperlink>
      <w:r w:rsidRPr="00406642">
        <w:rPr>
          <w:rFonts w:ascii="Georgia" w:hAnsi="Georgia"/>
          <w:color w:val="0A0A0A"/>
          <w:sz w:val="21"/>
          <w:szCs w:val="21"/>
          <w:lang w:val="en-US"/>
        </w:rPr>
        <w:t>.</w:t>
      </w:r>
    </w:p>
    <w:p w14:paraId="321E8017"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Lichtenberger, A. &amp; Raja, R. (2019). "18. Januar 749 n. </w:t>
      </w:r>
      <w:proofErr w:type="spellStart"/>
      <w:r w:rsidRPr="00406642">
        <w:rPr>
          <w:rFonts w:ascii="Georgia" w:hAnsi="Georgia"/>
          <w:color w:val="0A0A0A"/>
          <w:sz w:val="21"/>
          <w:szCs w:val="21"/>
          <w:lang w:val="de-DE"/>
        </w:rPr>
        <w:t>Chr</w:t>
      </w:r>
      <w:proofErr w:type="spellEnd"/>
      <w:r w:rsidRPr="00406642">
        <w:rPr>
          <w:rFonts w:ascii="Georgia" w:hAnsi="Georgia"/>
          <w:color w:val="0A0A0A"/>
          <w:sz w:val="21"/>
          <w:szCs w:val="21"/>
          <w:lang w:val="de-DE"/>
        </w:rPr>
        <w:t xml:space="preserve"> - Ein Erdbeben zerstört die Stadt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in Jordanien", </w:t>
      </w:r>
      <w:r w:rsidRPr="00406642">
        <w:rPr>
          <w:rStyle w:val="Hervorhebung"/>
          <w:rFonts w:ascii="Georgia" w:hAnsi="Georgia"/>
          <w:color w:val="0A0A0A"/>
          <w:sz w:val="21"/>
          <w:szCs w:val="21"/>
          <w:lang w:val="de-DE"/>
        </w:rPr>
        <w:t>Antike Welt</w:t>
      </w:r>
      <w:r w:rsidRPr="00406642">
        <w:rPr>
          <w:rFonts w:ascii="Georgia" w:hAnsi="Georgia"/>
          <w:color w:val="0A0A0A"/>
          <w:sz w:val="21"/>
          <w:szCs w:val="21"/>
          <w:lang w:val="de-DE"/>
        </w:rPr>
        <w:t> 1:2019, 4.</w:t>
      </w:r>
    </w:p>
    <w:p w14:paraId="5724D27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xml:space="preserve">.). </w:t>
      </w:r>
      <w:r w:rsidRPr="00406642">
        <w:rPr>
          <w:rFonts w:ascii="Georgia" w:hAnsi="Georgia"/>
          <w:color w:val="0A0A0A"/>
          <w:sz w:val="21"/>
          <w:szCs w:val="21"/>
          <w:lang w:val="en-US"/>
        </w:rPr>
        <w:t>(2019). </w:t>
      </w:r>
      <w:r w:rsidRPr="00406642">
        <w:rPr>
          <w:rFonts w:ascii="Georgia" w:hAnsi="Georgia"/>
          <w:i/>
          <w:iCs/>
          <w:color w:val="0A0A0A"/>
          <w:sz w:val="21"/>
          <w:szCs w:val="21"/>
          <w:lang w:val="en-US"/>
        </w:rPr>
        <w:t>Byzantine and Umayyad Jerash Reconsidered</w:t>
      </w:r>
      <w:r w:rsidRPr="00406642">
        <w:rPr>
          <w:rFonts w:ascii="Georgia" w:hAnsi="Georgia"/>
          <w:color w:val="0A0A0A"/>
          <w:sz w:val="21"/>
          <w:szCs w:val="21"/>
          <w:lang w:val="en-US"/>
        </w:rPr>
        <w:t>, Jerash Papers 4, Turnhout.</w:t>
      </w:r>
    </w:p>
    <w:p w14:paraId="3AABE0F9"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Lichtenberger, A. &amp; Raja, R. (2019). "</w:t>
      </w:r>
      <w:hyperlink r:id="rId6" w:history="1">
        <w:r>
          <w:rPr>
            <w:rStyle w:val="Hyperlink"/>
            <w:rFonts w:ascii="Georgia" w:hAnsi="Georgia"/>
            <w:color w:val="002546"/>
            <w:sz w:val="21"/>
            <w:szCs w:val="21"/>
          </w:rPr>
          <w:t>Da verden slog revner i Mellemøsten</w:t>
        </w:r>
      </w:hyperlink>
      <w:r>
        <w:rPr>
          <w:rFonts w:ascii="Georgia" w:hAnsi="Georgia"/>
          <w:color w:val="0A0A0A"/>
          <w:sz w:val="21"/>
          <w:szCs w:val="21"/>
        </w:rPr>
        <w:t>", </w:t>
      </w:r>
      <w:r>
        <w:rPr>
          <w:rFonts w:ascii="Georgia" w:hAnsi="Georgia"/>
          <w:i/>
          <w:iCs/>
          <w:color w:val="0A0A0A"/>
          <w:sz w:val="21"/>
          <w:szCs w:val="21"/>
        </w:rPr>
        <w:t>ForskerZonen, Videnskab.dk</w:t>
      </w:r>
      <w:r>
        <w:rPr>
          <w:rFonts w:ascii="Georgia" w:hAnsi="Georgia"/>
          <w:color w:val="0A0A0A"/>
          <w:sz w:val="21"/>
          <w:szCs w:val="21"/>
        </w:rPr>
        <w:t>.</w:t>
      </w:r>
    </w:p>
    <w:p w14:paraId="6EE288F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(2019). "Defining Borders: The Umayyad-Abbasid Transition and the Earthquake of AD 749 in Jerash", in Lichtenberger, A. &amp; Raja, R. (eds.), </w:t>
      </w:r>
      <w:r w:rsidRPr="00406642">
        <w:rPr>
          <w:rFonts w:ascii="Georgia" w:hAnsi="Georgia"/>
          <w:i/>
          <w:iCs/>
          <w:color w:val="0A0A0A"/>
          <w:sz w:val="21"/>
          <w:szCs w:val="21"/>
          <w:lang w:val="en-US"/>
        </w:rPr>
        <w:t>Byzantine and Umayyad Jerash Reconsidered</w:t>
      </w:r>
      <w:r w:rsidRPr="00406642">
        <w:rPr>
          <w:rFonts w:ascii="Georgia" w:hAnsi="Georgia"/>
          <w:color w:val="0A0A0A"/>
          <w:sz w:val="21"/>
          <w:szCs w:val="21"/>
          <w:lang w:val="en-US"/>
        </w:rPr>
        <w:t>, Jerash Papers 4, Turnhout, 265–286.</w:t>
      </w:r>
    </w:p>
    <w:p w14:paraId="03AC999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lastRenderedPageBreak/>
        <w:t>Lichtenberger, A. &amp; Raja, R. (2019). "Introduction: The Conundrum of Chronologies of the Byzantine and Umayyad Periods in Jerash", in Lichtenberger, A. &amp; Raja, R. (eds.), </w:t>
      </w:r>
      <w:r w:rsidRPr="00406642">
        <w:rPr>
          <w:rFonts w:ascii="Georgia" w:hAnsi="Georgia"/>
          <w:i/>
          <w:iCs/>
          <w:color w:val="0A0A0A"/>
          <w:sz w:val="21"/>
          <w:szCs w:val="21"/>
          <w:lang w:val="en-US"/>
        </w:rPr>
        <w:t>Byzantine and Umayyad Jerash Reconsidered</w:t>
      </w:r>
      <w:r w:rsidRPr="00406642">
        <w:rPr>
          <w:rFonts w:ascii="Georgia" w:hAnsi="Georgia"/>
          <w:color w:val="0A0A0A"/>
          <w:sz w:val="21"/>
          <w:szCs w:val="21"/>
          <w:lang w:val="en-US"/>
        </w:rPr>
        <w:t>, Jerash Papers 4, Turnhout, 1–6.</w:t>
      </w:r>
    </w:p>
    <w:p w14:paraId="4DEBAB6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(2019). "Open-data presentation of a geophysical survey in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(Jerash), Jordan", </w:t>
      </w:r>
      <w:r w:rsidRPr="00406642">
        <w:rPr>
          <w:rStyle w:val="Hervorhebung"/>
          <w:rFonts w:ascii="Georgia" w:hAnsi="Georgia"/>
          <w:color w:val="0A0A0A"/>
          <w:sz w:val="21"/>
          <w:szCs w:val="21"/>
          <w:lang w:val="en-US"/>
        </w:rPr>
        <w:t>Antiquity</w:t>
      </w:r>
      <w:r w:rsidRPr="00406642">
        <w:rPr>
          <w:rFonts w:ascii="Georgia" w:hAnsi="Georgia"/>
          <w:color w:val="0A0A0A"/>
          <w:sz w:val="21"/>
          <w:szCs w:val="21"/>
          <w:lang w:val="en-US"/>
        </w:rPr>
        <w:t>, 93:371, e31, DOI: </w:t>
      </w:r>
      <w:hyperlink r:id="rId7" w:tgtFrame="_blank" w:history="1">
        <w:r w:rsidRPr="00406642">
          <w:rPr>
            <w:rStyle w:val="Hyperlink"/>
            <w:rFonts w:ascii="Georgia" w:hAnsi="Georgia"/>
            <w:color w:val="002546"/>
            <w:sz w:val="21"/>
            <w:szCs w:val="21"/>
            <w:lang w:val="en-US"/>
          </w:rPr>
          <w:t>doi.org/10.15184/aqy.2019.157</w:t>
        </w:r>
      </w:hyperlink>
    </w:p>
    <w:p w14:paraId="651CA61A"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(2019). "The </w:t>
      </w:r>
      <w:proofErr w:type="spellStart"/>
      <w:r w:rsidRPr="00406642">
        <w:rPr>
          <w:rFonts w:ascii="Georgia" w:hAnsi="Georgia"/>
          <w:color w:val="0A0A0A"/>
          <w:sz w:val="21"/>
          <w:szCs w:val="21"/>
          <w:lang w:val="en-US"/>
        </w:rPr>
        <w:t>chora</w:t>
      </w:r>
      <w:proofErr w:type="spellEnd"/>
      <w:r w:rsidRPr="00406642">
        <w:rPr>
          <w:rFonts w:ascii="Georgia" w:hAnsi="Georgia"/>
          <w:color w:val="0A0A0A"/>
          <w:sz w:val="21"/>
          <w:szCs w:val="21"/>
          <w:lang w:val="en-US"/>
        </w:rPr>
        <w:t xml:space="preserve">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/Jerash", in: Lichtenberger, A., Tal, O. &amp; Weiss, Z. (eds.), </w:t>
      </w:r>
      <w:r w:rsidRPr="00406642">
        <w:rPr>
          <w:rFonts w:ascii="Georgia" w:hAnsi="Georgia"/>
          <w:i/>
          <w:iCs/>
          <w:color w:val="0A0A0A"/>
          <w:sz w:val="21"/>
          <w:szCs w:val="21"/>
          <w:lang w:val="en-US"/>
        </w:rPr>
        <w:t>Judaea/</w:t>
      </w:r>
      <w:proofErr w:type="spellStart"/>
      <w:r w:rsidRPr="00406642">
        <w:rPr>
          <w:rFonts w:ascii="Georgia" w:hAnsi="Georgia"/>
          <w:i/>
          <w:iCs/>
          <w:color w:val="0A0A0A"/>
          <w:sz w:val="21"/>
          <w:szCs w:val="21"/>
          <w:lang w:val="en-US"/>
        </w:rPr>
        <w:t>Palaestina</w:t>
      </w:r>
      <w:proofErr w:type="spellEnd"/>
      <w:r w:rsidRPr="00406642">
        <w:rPr>
          <w:rFonts w:ascii="Georgia" w:hAnsi="Georgia"/>
          <w:i/>
          <w:iCs/>
          <w:color w:val="0A0A0A"/>
          <w:sz w:val="21"/>
          <w:szCs w:val="21"/>
          <w:lang w:val="en-US"/>
        </w:rPr>
        <w:t xml:space="preserve"> and Arabia: Cities and hinterlands in Roman and Byzantine Times: Panel 8:6</w:t>
      </w:r>
      <w:r w:rsidRPr="00406642">
        <w:rPr>
          <w:rFonts w:ascii="Georgia" w:hAnsi="Georgia"/>
          <w:color w:val="0A0A0A"/>
          <w:sz w:val="21"/>
          <w:szCs w:val="21"/>
          <w:lang w:val="en-US"/>
        </w:rPr>
        <w:t>. </w:t>
      </w:r>
      <w:r w:rsidRPr="00406642">
        <w:rPr>
          <w:rStyle w:val="Hervorhebung"/>
          <w:rFonts w:ascii="Georgia" w:hAnsi="Georgia"/>
          <w:color w:val="0A0A0A"/>
          <w:sz w:val="21"/>
          <w:szCs w:val="21"/>
          <w:lang w:val="en-US"/>
        </w:rPr>
        <w:t>Archaeology and Economy in the Ancient World. Proceedings of the 19. International Congress of Classical Archaeology, Cologne/Bonn 2018, Band 44</w:t>
      </w:r>
      <w:r w:rsidRPr="00406642">
        <w:rPr>
          <w:rFonts w:ascii="Georgia" w:hAnsi="Georgia"/>
          <w:color w:val="0A0A0A"/>
          <w:sz w:val="21"/>
          <w:szCs w:val="21"/>
          <w:lang w:val="en-US"/>
        </w:rPr>
        <w:t>, Heidelberg, 109-124.</w:t>
      </w:r>
    </w:p>
    <w:p w14:paraId="171D190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(2019). "The Danish-German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Results from the 2014-2015 Seasons", </w:t>
      </w:r>
      <w:r w:rsidRPr="00406642">
        <w:rPr>
          <w:rFonts w:ascii="Georgia" w:hAnsi="Georgia"/>
          <w:i/>
          <w:iCs/>
          <w:color w:val="0A0A0A"/>
          <w:sz w:val="21"/>
          <w:szCs w:val="21"/>
          <w:lang w:val="en-US"/>
        </w:rPr>
        <w:t>Studies in the History and Archaeology of Jordan</w:t>
      </w:r>
      <w:r w:rsidRPr="00406642">
        <w:rPr>
          <w:rFonts w:ascii="Georgia" w:hAnsi="Georgia"/>
          <w:color w:val="0A0A0A"/>
          <w:sz w:val="21"/>
          <w:szCs w:val="21"/>
          <w:lang w:val="en-US"/>
        </w:rPr>
        <w:t> XIII, Amman, 51–71.</w:t>
      </w:r>
    </w:p>
    <w:p w14:paraId="5256C6E3"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Lichtenberger, A., Raja, R., Seland, E. H., </w:t>
      </w:r>
      <w:proofErr w:type="spellStart"/>
      <w:r w:rsidRPr="00406642">
        <w:rPr>
          <w:rFonts w:ascii="Georgia" w:hAnsi="Georgia"/>
          <w:color w:val="0A0A0A"/>
          <w:sz w:val="21"/>
          <w:szCs w:val="21"/>
          <w:lang w:val="de-DE"/>
        </w:rPr>
        <w:t>Kinnaird</w:t>
      </w:r>
      <w:proofErr w:type="spellEnd"/>
      <w:r w:rsidRPr="00406642">
        <w:rPr>
          <w:rFonts w:ascii="Georgia" w:hAnsi="Georgia"/>
          <w:color w:val="0A0A0A"/>
          <w:sz w:val="21"/>
          <w:szCs w:val="21"/>
          <w:lang w:val="de-DE"/>
        </w:rPr>
        <w:t xml:space="preserve">, T., &amp; Simpson, I. A. (2019). </w:t>
      </w:r>
      <w:r w:rsidRPr="00406642">
        <w:rPr>
          <w:rFonts w:ascii="Georgia" w:hAnsi="Georgia"/>
          <w:color w:val="0A0A0A"/>
          <w:sz w:val="21"/>
          <w:szCs w:val="21"/>
          <w:lang w:val="en-US"/>
        </w:rPr>
        <w:t xml:space="preserve">"Urban-riverine hinterland synergies in semi-arid environments: Millennial-scale change, adaptations, and environmental responses at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/Jerash", </w:t>
      </w:r>
      <w:r w:rsidRPr="00406642">
        <w:rPr>
          <w:rFonts w:ascii="Georgia" w:hAnsi="Georgia"/>
          <w:i/>
          <w:iCs/>
          <w:color w:val="0A0A0A"/>
          <w:sz w:val="21"/>
          <w:szCs w:val="21"/>
          <w:lang w:val="en-US"/>
        </w:rPr>
        <w:t>Journal of Field Archaeology</w:t>
      </w:r>
      <w:r w:rsidR="0043048C">
        <w:rPr>
          <w:rFonts w:ascii="Georgia" w:hAnsi="Georgia"/>
          <w:i/>
          <w:iCs/>
          <w:color w:val="0A0A0A"/>
          <w:sz w:val="21"/>
          <w:szCs w:val="21"/>
          <w:lang w:val="en-US"/>
        </w:rPr>
        <w:t xml:space="preserve"> </w:t>
      </w:r>
      <w:r w:rsidR="0043048C">
        <w:rPr>
          <w:rFonts w:ascii="Georgia" w:hAnsi="Georgia"/>
          <w:iCs/>
          <w:color w:val="0A0A0A"/>
          <w:sz w:val="21"/>
          <w:szCs w:val="21"/>
          <w:lang w:val="en-US"/>
        </w:rPr>
        <w:t>44:5, 333-351</w:t>
      </w:r>
      <w:r w:rsidRPr="00406642">
        <w:rPr>
          <w:rFonts w:ascii="Georgia" w:hAnsi="Georgia"/>
          <w:color w:val="0A0A0A"/>
          <w:sz w:val="21"/>
          <w:szCs w:val="21"/>
          <w:lang w:val="en-US"/>
        </w:rPr>
        <w:t>, DOI: </w:t>
      </w:r>
      <w:hyperlink r:id="rId8" w:history="1">
        <w:r w:rsidRPr="00406642">
          <w:rPr>
            <w:rStyle w:val="Hyperlink"/>
            <w:rFonts w:ascii="Georgia" w:hAnsi="Georgia"/>
            <w:color w:val="002546"/>
            <w:sz w:val="21"/>
            <w:szCs w:val="21"/>
            <w:lang w:val="en-US"/>
          </w:rPr>
          <w:t>doi.org/10.1080/00934690.2019.1625619</w:t>
        </w:r>
      </w:hyperlink>
      <w:r w:rsidRPr="00406642">
        <w:rPr>
          <w:rFonts w:ascii="Georgia" w:hAnsi="Georgia"/>
          <w:color w:val="0A0A0A"/>
          <w:sz w:val="21"/>
          <w:szCs w:val="21"/>
          <w:lang w:val="en-US"/>
        </w:rPr>
        <w:t>.  </w:t>
      </w:r>
    </w:p>
    <w:p w14:paraId="6618D106"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Lichtenberger, A., Raja, R. &amp; Stott, D. (2019). </w:t>
      </w:r>
      <w:r w:rsidRPr="00406642">
        <w:rPr>
          <w:rFonts w:ascii="Georgia" w:hAnsi="Georgia"/>
          <w:color w:val="0A0A0A"/>
          <w:sz w:val="21"/>
          <w:szCs w:val="21"/>
          <w:lang w:val="en-US"/>
        </w:rPr>
        <w:t xml:space="preserve">"Mapping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a new and precise map of the site", </w:t>
      </w:r>
      <w:r w:rsidRPr="00406642">
        <w:rPr>
          <w:rStyle w:val="Hervorhebung"/>
          <w:rFonts w:ascii="Georgia" w:hAnsi="Georgia"/>
          <w:color w:val="0A0A0A"/>
          <w:sz w:val="21"/>
          <w:szCs w:val="21"/>
          <w:lang w:val="en-US"/>
        </w:rPr>
        <w:t>Antiquity</w:t>
      </w:r>
      <w:r w:rsidRPr="00406642">
        <w:rPr>
          <w:rFonts w:ascii="Georgia" w:hAnsi="Georgia"/>
          <w:color w:val="0A0A0A"/>
          <w:sz w:val="21"/>
          <w:szCs w:val="21"/>
          <w:lang w:val="en-US"/>
        </w:rPr>
        <w:t> 93:367, 1-7.</w:t>
      </w:r>
    </w:p>
    <w:p w14:paraId="6117B5DC"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Schulze, W &amp; Schulze, I. (2019). "Umayyad Numismatics in </w:t>
      </w:r>
      <w:proofErr w:type="spellStart"/>
      <w:r w:rsidRPr="00406642">
        <w:rPr>
          <w:rFonts w:ascii="Georgia" w:hAnsi="Georgia"/>
          <w:color w:val="0A0A0A"/>
          <w:sz w:val="21"/>
          <w:szCs w:val="21"/>
          <w:lang w:val="en-US"/>
        </w:rPr>
        <w:t>Bilād</w:t>
      </w:r>
      <w:proofErr w:type="spellEnd"/>
      <w:r w:rsidRPr="00406642">
        <w:rPr>
          <w:rFonts w:ascii="Georgia" w:hAnsi="Georgia"/>
          <w:color w:val="0A0A0A"/>
          <w:sz w:val="21"/>
          <w:szCs w:val="21"/>
          <w:lang w:val="en-US"/>
        </w:rPr>
        <w:t xml:space="preserve"> al-</w:t>
      </w:r>
      <w:proofErr w:type="spellStart"/>
      <w:r w:rsidRPr="00406642">
        <w:rPr>
          <w:rFonts w:ascii="Georgia" w:hAnsi="Georgia"/>
          <w:color w:val="0A0A0A"/>
          <w:sz w:val="21"/>
          <w:szCs w:val="21"/>
          <w:lang w:val="en-US"/>
        </w:rPr>
        <w:t>Shām</w:t>
      </w:r>
      <w:proofErr w:type="spellEnd"/>
      <w:r w:rsidRPr="00406642">
        <w:rPr>
          <w:rFonts w:ascii="Georgia" w:hAnsi="Georgia"/>
          <w:color w:val="0A0A0A"/>
          <w:sz w:val="21"/>
          <w:szCs w:val="21"/>
          <w:lang w:val="en-US"/>
        </w:rPr>
        <w:t xml:space="preserve"> with Particular reference to </w:t>
      </w:r>
      <w:proofErr w:type="spellStart"/>
      <w:r w:rsidRPr="00406642">
        <w:rPr>
          <w:rFonts w:ascii="Georgia" w:hAnsi="Georgia"/>
          <w:color w:val="0A0A0A"/>
          <w:sz w:val="21"/>
          <w:szCs w:val="21"/>
          <w:lang w:val="en-US"/>
        </w:rPr>
        <w:t>Jund</w:t>
      </w:r>
      <w:proofErr w:type="spellEnd"/>
      <w:r w:rsidRPr="00406642">
        <w:rPr>
          <w:rFonts w:ascii="Georgia" w:hAnsi="Georgia"/>
          <w:color w:val="0A0A0A"/>
          <w:sz w:val="21"/>
          <w:szCs w:val="21"/>
          <w:lang w:val="en-US"/>
        </w:rPr>
        <w:t xml:space="preserve"> al-</w:t>
      </w:r>
      <w:proofErr w:type="spellStart"/>
      <w:r w:rsidRPr="00406642">
        <w:rPr>
          <w:rFonts w:ascii="Georgia" w:hAnsi="Georgia"/>
          <w:color w:val="0A0A0A"/>
          <w:sz w:val="21"/>
          <w:szCs w:val="21"/>
          <w:lang w:val="en-US"/>
        </w:rPr>
        <w:t>Urdunn</w:t>
      </w:r>
      <w:proofErr w:type="spellEnd"/>
      <w:r w:rsidRPr="00406642">
        <w:rPr>
          <w:rFonts w:ascii="Georgia" w:hAnsi="Georgia"/>
          <w:color w:val="0A0A0A"/>
          <w:sz w:val="21"/>
          <w:szCs w:val="21"/>
          <w:lang w:val="en-US"/>
        </w:rPr>
        <w:t>", in Lichtenberger, A. &amp; Raja, R. (eds.), </w:t>
      </w:r>
      <w:r w:rsidRPr="00406642">
        <w:rPr>
          <w:rFonts w:ascii="Georgia" w:hAnsi="Georgia"/>
          <w:i/>
          <w:iCs/>
          <w:color w:val="0A0A0A"/>
          <w:sz w:val="21"/>
          <w:szCs w:val="21"/>
          <w:lang w:val="en-US"/>
        </w:rPr>
        <w:t>Byzantine and Umayyad Jerash Reconsidered</w:t>
      </w:r>
      <w:r w:rsidRPr="00406642">
        <w:rPr>
          <w:rFonts w:ascii="Georgia" w:hAnsi="Georgia"/>
          <w:color w:val="0A0A0A"/>
          <w:sz w:val="21"/>
          <w:szCs w:val="21"/>
          <w:lang w:val="en-US"/>
        </w:rPr>
        <w:t>, Jerash Papers 4, Turnhout, 239–64.</w:t>
      </w:r>
    </w:p>
    <w:p w14:paraId="1057E5E7"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Ting, C., Lichtenberger, A. &amp; Raja, R. (2019). </w:t>
      </w:r>
      <w:r w:rsidRPr="00406642">
        <w:rPr>
          <w:rFonts w:ascii="Georgia" w:hAnsi="Georgia"/>
          <w:color w:val="0A0A0A"/>
          <w:sz w:val="21"/>
          <w:szCs w:val="21"/>
          <w:lang w:val="en-US"/>
        </w:rPr>
        <w:t>"The technology and production of glazed ceramics from Middle Islamic Jerash, Jordan", </w:t>
      </w:r>
      <w:r w:rsidRPr="00406642">
        <w:rPr>
          <w:rStyle w:val="Hervorhebung"/>
          <w:rFonts w:ascii="Georgia" w:hAnsi="Georgia"/>
          <w:color w:val="0A0A0A"/>
          <w:sz w:val="21"/>
          <w:szCs w:val="21"/>
          <w:lang w:val="en-US"/>
        </w:rPr>
        <w:t>Archaeometry</w:t>
      </w:r>
      <w:r w:rsidR="0043048C">
        <w:rPr>
          <w:rStyle w:val="Hervorhebung"/>
          <w:rFonts w:ascii="Georgia" w:hAnsi="Georgia"/>
          <w:color w:val="0A0A0A"/>
          <w:sz w:val="21"/>
          <w:szCs w:val="21"/>
          <w:lang w:val="en-US"/>
        </w:rPr>
        <w:t xml:space="preserve"> </w:t>
      </w:r>
      <w:r w:rsidR="0043048C">
        <w:rPr>
          <w:rStyle w:val="Hervorhebung"/>
          <w:rFonts w:ascii="Georgia" w:hAnsi="Georgia"/>
          <w:i w:val="0"/>
          <w:color w:val="0A0A0A"/>
          <w:sz w:val="21"/>
          <w:szCs w:val="21"/>
          <w:lang w:val="en-US"/>
        </w:rPr>
        <w:t>61:6, 1296-1312</w:t>
      </w:r>
      <w:r w:rsidRPr="00406642">
        <w:rPr>
          <w:rFonts w:ascii="Georgia" w:hAnsi="Georgia"/>
          <w:color w:val="0A0A0A"/>
          <w:sz w:val="21"/>
          <w:szCs w:val="21"/>
          <w:lang w:val="en-US"/>
        </w:rPr>
        <w:t>, DOI: </w:t>
      </w:r>
      <w:hyperlink r:id="rId9" w:history="1">
        <w:r w:rsidRPr="00406642">
          <w:rPr>
            <w:rStyle w:val="Hyperlink"/>
            <w:rFonts w:ascii="Georgia" w:hAnsi="Georgia"/>
            <w:color w:val="002546"/>
            <w:sz w:val="21"/>
            <w:szCs w:val="21"/>
            <w:lang w:val="en-US"/>
          </w:rPr>
          <w:t>doi.org/10.1111/arcm.12489</w:t>
        </w:r>
      </w:hyperlink>
      <w:r w:rsidRPr="00406642">
        <w:rPr>
          <w:rFonts w:ascii="Georgia" w:hAnsi="Georgia"/>
          <w:color w:val="0A0A0A"/>
          <w:sz w:val="21"/>
          <w:szCs w:val="21"/>
          <w:lang w:val="en-US"/>
        </w:rPr>
        <w:t>.   </w:t>
      </w:r>
    </w:p>
    <w:p w14:paraId="171B7CA1"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1488D853" w14:textId="77777777" w:rsidR="00406642" w:rsidRP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406642">
        <w:rPr>
          <w:rFonts w:ascii="AUPassataBold" w:hAnsi="AUPassataBold"/>
          <w:b w:val="0"/>
          <w:bCs w:val="0"/>
          <w:color w:val="0A0A0A"/>
          <w:lang w:val="de-DE"/>
        </w:rPr>
        <w:t>2018</w:t>
      </w:r>
    </w:p>
    <w:p w14:paraId="60DFA598" w14:textId="7592960B"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Barfod, G. L., </w:t>
      </w:r>
      <w:proofErr w:type="spellStart"/>
      <w:r w:rsidRPr="00406642">
        <w:rPr>
          <w:rFonts w:ascii="Georgia" w:hAnsi="Georgia"/>
          <w:color w:val="0A0A0A"/>
          <w:sz w:val="21"/>
          <w:szCs w:val="21"/>
          <w:lang w:val="de-DE"/>
        </w:rPr>
        <w:t>Freestone</w:t>
      </w:r>
      <w:proofErr w:type="spellEnd"/>
      <w:r w:rsidRPr="00406642">
        <w:rPr>
          <w:rFonts w:ascii="Georgia" w:hAnsi="Georgia"/>
          <w:color w:val="0A0A0A"/>
          <w:sz w:val="21"/>
          <w:szCs w:val="21"/>
          <w:lang w:val="de-DE"/>
        </w:rPr>
        <w:t xml:space="preserve">, I. C., Lichtenberger, A., Raja, R. &amp; Schwarzer, H. (2018). </w:t>
      </w:r>
      <w:r w:rsidRPr="00406642">
        <w:rPr>
          <w:rFonts w:ascii="Georgia" w:hAnsi="Georgia"/>
          <w:color w:val="0A0A0A"/>
          <w:sz w:val="21"/>
          <w:szCs w:val="21"/>
          <w:lang w:val="en-US"/>
        </w:rPr>
        <w:t>"Geochemistry of Byzantine and Early Islamic glass from Jerash, Jordan: Typology, recycling, and provenance", </w:t>
      </w:r>
      <w:r w:rsidRPr="00406642">
        <w:rPr>
          <w:rStyle w:val="Hervorhebung"/>
          <w:rFonts w:ascii="Georgia" w:hAnsi="Georgia"/>
          <w:color w:val="0A0A0A"/>
          <w:sz w:val="21"/>
          <w:szCs w:val="21"/>
          <w:lang w:val="en-US"/>
        </w:rPr>
        <w:t>Geoarchaeology </w:t>
      </w:r>
      <w:r w:rsidR="0043048C">
        <w:rPr>
          <w:rStyle w:val="Hervorhebung"/>
          <w:rFonts w:ascii="Georgia" w:hAnsi="Georgia"/>
          <w:i w:val="0"/>
          <w:color w:val="0A0A0A"/>
          <w:sz w:val="21"/>
          <w:szCs w:val="21"/>
          <w:lang w:val="en-US"/>
        </w:rPr>
        <w:t>33:6, 623-640</w:t>
      </w:r>
      <w:r w:rsidRPr="00406642">
        <w:rPr>
          <w:rFonts w:ascii="Georgia" w:hAnsi="Georgia"/>
          <w:color w:val="0A0A0A"/>
          <w:sz w:val="21"/>
          <w:szCs w:val="21"/>
          <w:lang w:val="en-US"/>
        </w:rPr>
        <w:t>. </w:t>
      </w:r>
    </w:p>
    <w:p w14:paraId="7EE08FF5" w14:textId="77777777" w:rsidR="00406642" w:rsidRPr="00045B66" w:rsidRDefault="00406642" w:rsidP="00045B66">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Birch, T. &amp; </w:t>
      </w:r>
      <w:proofErr w:type="spellStart"/>
      <w:r w:rsidRPr="00406642">
        <w:rPr>
          <w:rFonts w:ascii="Georgia" w:hAnsi="Georgia"/>
          <w:color w:val="0A0A0A"/>
          <w:sz w:val="21"/>
          <w:szCs w:val="21"/>
          <w:lang w:val="en-US"/>
        </w:rPr>
        <w:t>Orfanou</w:t>
      </w:r>
      <w:proofErr w:type="spellEnd"/>
      <w:r w:rsidRPr="00406642">
        <w:rPr>
          <w:rFonts w:ascii="Georgia" w:hAnsi="Georgia"/>
          <w:color w:val="0A0A0A"/>
          <w:sz w:val="21"/>
          <w:szCs w:val="21"/>
          <w:lang w:val="en-US"/>
        </w:rPr>
        <w:t xml:space="preserve">, V. (2018). "Small change in big cities: </w:t>
      </w:r>
      <w:proofErr w:type="spellStart"/>
      <w:r w:rsidRPr="00406642">
        <w:rPr>
          <w:rFonts w:ascii="Georgia" w:hAnsi="Georgia"/>
          <w:color w:val="0A0A0A"/>
          <w:sz w:val="21"/>
          <w:szCs w:val="21"/>
          <w:lang w:val="en-US"/>
        </w:rPr>
        <w:t>Charachterising</w:t>
      </w:r>
      <w:proofErr w:type="spellEnd"/>
      <w:r w:rsidRPr="00406642">
        <w:rPr>
          <w:rFonts w:ascii="Georgia" w:hAnsi="Georgia"/>
          <w:color w:val="0A0A0A"/>
          <w:sz w:val="21"/>
          <w:szCs w:val="21"/>
          <w:lang w:val="en-US"/>
        </w:rPr>
        <w:t xml:space="preserve"> the development of everyday </w:t>
      </w:r>
      <w:r w:rsidRPr="00045B66">
        <w:rPr>
          <w:rFonts w:ascii="Georgia" w:hAnsi="Georgia"/>
          <w:color w:val="0A0A0A"/>
          <w:sz w:val="21"/>
          <w:szCs w:val="21"/>
          <w:lang w:val="en-US"/>
        </w:rPr>
        <w:t>coinage in Jerash", in: Raja, R. &amp; Sindbæk, S. M. (eds.), </w:t>
      </w:r>
      <w:r w:rsidRPr="00045B66">
        <w:rPr>
          <w:rStyle w:val="Hervorhebung"/>
          <w:rFonts w:ascii="Georgia" w:hAnsi="Georgia"/>
          <w:color w:val="0A0A0A"/>
          <w:sz w:val="21"/>
          <w:szCs w:val="21"/>
          <w:lang w:val="en-US"/>
        </w:rPr>
        <w:t>Urban network evolutions: Towards a high-definition archaeology</w:t>
      </w:r>
      <w:r w:rsidRPr="00045B66">
        <w:rPr>
          <w:rFonts w:ascii="Georgia" w:hAnsi="Georgia"/>
          <w:color w:val="0A0A0A"/>
          <w:sz w:val="21"/>
          <w:szCs w:val="21"/>
          <w:lang w:val="en-US"/>
        </w:rPr>
        <w:t>, Aarhus, 117-123.</w:t>
      </w:r>
    </w:p>
    <w:p w14:paraId="07FF9EBF" w14:textId="77777777" w:rsidR="00406642" w:rsidRPr="00045B66" w:rsidRDefault="00406642" w:rsidP="00045B66">
      <w:pPr>
        <w:pStyle w:val="StandardWeb"/>
        <w:shd w:val="clear" w:color="auto" w:fill="FEFEFE"/>
        <w:rPr>
          <w:rFonts w:ascii="Georgia" w:hAnsi="Georgia"/>
          <w:color w:val="0A0A0A"/>
          <w:sz w:val="21"/>
          <w:szCs w:val="21"/>
          <w:lang w:val="en-US"/>
        </w:rPr>
      </w:pPr>
      <w:proofErr w:type="spellStart"/>
      <w:r w:rsidRPr="00045B66">
        <w:rPr>
          <w:rFonts w:ascii="Georgia" w:hAnsi="Georgia"/>
          <w:color w:val="0A0A0A"/>
          <w:sz w:val="21"/>
          <w:szCs w:val="21"/>
          <w:lang w:val="en-US"/>
        </w:rPr>
        <w:t>Cresswell</w:t>
      </w:r>
      <w:proofErr w:type="spellEnd"/>
      <w:r w:rsidRPr="00045B66">
        <w:rPr>
          <w:rFonts w:ascii="Georgia" w:hAnsi="Georgia"/>
          <w:color w:val="0A0A0A"/>
          <w:sz w:val="21"/>
          <w:szCs w:val="21"/>
          <w:lang w:val="en-US"/>
        </w:rPr>
        <w:t>, A. J., Sanderson, D. C. W., Kinnaird, T. C., Holdridge, G., Lichtenberger, A., Raja, R. and Simpson, I. A. (2018). "</w:t>
      </w:r>
      <w:hyperlink r:id="rId10" w:history="1">
        <w:r w:rsidRPr="00045B66">
          <w:rPr>
            <w:rStyle w:val="Hyperlink"/>
            <w:rFonts w:ascii="Georgia" w:hAnsi="Georgia"/>
            <w:color w:val="002546"/>
            <w:sz w:val="21"/>
            <w:szCs w:val="21"/>
            <w:lang w:val="en-US"/>
          </w:rPr>
          <w:t>Jerash Geoarchaeology Working Paper, 2: July 2018. Luminescence Dating of Soils and Sediments from Jerash, Jordan</w:t>
        </w:r>
      </w:hyperlink>
      <w:r w:rsidRPr="00045B66">
        <w:rPr>
          <w:rFonts w:ascii="Georgia" w:hAnsi="Georgia"/>
          <w:color w:val="0A0A0A"/>
          <w:sz w:val="21"/>
          <w:szCs w:val="21"/>
          <w:lang w:val="en-US"/>
        </w:rPr>
        <w:t>", </w:t>
      </w:r>
      <w:r w:rsidRPr="00045B66">
        <w:rPr>
          <w:rFonts w:ascii="Georgia" w:hAnsi="Georgia"/>
          <w:i/>
          <w:iCs/>
          <w:color w:val="0A0A0A"/>
          <w:sz w:val="21"/>
          <w:szCs w:val="21"/>
          <w:lang w:val="en-US"/>
        </w:rPr>
        <w:t>Biological and Environmental Sciences Research Reports</w:t>
      </w:r>
      <w:r w:rsidRPr="00045B66">
        <w:rPr>
          <w:rFonts w:ascii="Georgia" w:hAnsi="Georgia"/>
          <w:color w:val="0A0A0A"/>
          <w:sz w:val="21"/>
          <w:szCs w:val="21"/>
          <w:lang w:val="en-US"/>
        </w:rPr>
        <w:t>.</w:t>
      </w:r>
    </w:p>
    <w:p w14:paraId="7479B8DC" w14:textId="77777777" w:rsidR="00045B66" w:rsidRPr="00045B66" w:rsidRDefault="00045B66" w:rsidP="00045B66">
      <w:pPr>
        <w:pStyle w:val="StandardWeb"/>
        <w:shd w:val="clear" w:color="auto" w:fill="FEFEFE"/>
        <w:rPr>
          <w:rFonts w:ascii="Georgia" w:hAnsi="Georgia"/>
          <w:color w:val="000000"/>
          <w:sz w:val="21"/>
          <w:szCs w:val="21"/>
          <w:shd w:val="clear" w:color="auto" w:fill="FFFFFF"/>
          <w:lang w:val="de-DE"/>
        </w:rPr>
      </w:pPr>
      <w:proofErr w:type="spellStart"/>
      <w:r w:rsidRPr="00045B66">
        <w:rPr>
          <w:rFonts w:ascii="Georgia" w:hAnsi="Georgia"/>
          <w:color w:val="000000"/>
          <w:sz w:val="21"/>
          <w:szCs w:val="21"/>
          <w:shd w:val="clear" w:color="auto" w:fill="FFFFFF"/>
          <w:lang w:val="de-DE"/>
        </w:rPr>
        <w:t>Hausemann</w:t>
      </w:r>
      <w:proofErr w:type="spellEnd"/>
      <w:r w:rsidRPr="00045B66">
        <w:rPr>
          <w:rFonts w:ascii="Georgia" w:hAnsi="Georgia"/>
          <w:color w:val="000000"/>
          <w:sz w:val="21"/>
          <w:szCs w:val="21"/>
          <w:shd w:val="clear" w:color="auto" w:fill="FFFFFF"/>
          <w:lang w:val="de-DE"/>
        </w:rPr>
        <w:t>, D. (</w:t>
      </w:r>
      <w:proofErr w:type="spellStart"/>
      <w:r w:rsidRPr="00045B66">
        <w:rPr>
          <w:rFonts w:ascii="Georgia" w:hAnsi="Georgia"/>
          <w:color w:val="000000"/>
          <w:sz w:val="21"/>
          <w:szCs w:val="21"/>
          <w:shd w:val="clear" w:color="auto" w:fill="FFFFFF"/>
          <w:lang w:val="de-DE"/>
        </w:rPr>
        <w:t>feat</w:t>
      </w:r>
      <w:proofErr w:type="spellEnd"/>
      <w:r w:rsidRPr="00045B66">
        <w:rPr>
          <w:rFonts w:ascii="Georgia" w:hAnsi="Georgia"/>
          <w:color w:val="000000"/>
          <w:sz w:val="21"/>
          <w:szCs w:val="21"/>
          <w:shd w:val="clear" w:color="auto" w:fill="FFFFFF"/>
          <w:lang w:val="de-DE"/>
        </w:rPr>
        <w:t xml:space="preserve">. interview </w:t>
      </w:r>
      <w:proofErr w:type="spellStart"/>
      <w:r w:rsidRPr="00045B66">
        <w:rPr>
          <w:rFonts w:ascii="Georgia" w:hAnsi="Georgia"/>
          <w:color w:val="000000"/>
          <w:sz w:val="21"/>
          <w:szCs w:val="21"/>
          <w:shd w:val="clear" w:color="auto" w:fill="FFFFFF"/>
          <w:lang w:val="de-DE"/>
        </w:rPr>
        <w:t>with</w:t>
      </w:r>
      <w:proofErr w:type="spellEnd"/>
      <w:r w:rsidRPr="00045B66">
        <w:rPr>
          <w:rFonts w:ascii="Georgia" w:hAnsi="Georgia"/>
          <w:color w:val="000000"/>
          <w:sz w:val="21"/>
          <w:szCs w:val="21"/>
          <w:shd w:val="clear" w:color="auto" w:fill="FFFFFF"/>
          <w:lang w:val="de-DE"/>
        </w:rPr>
        <w:t xml:space="preserve"> Prof. Dr. Achim Lichtenberger and Prof. Dr. Rubina Raja). (2018). "Schlaglicht auf eine versunkene Stadt", </w:t>
      </w:r>
      <w:r w:rsidRPr="00045B66">
        <w:rPr>
          <w:rFonts w:ascii="Georgia" w:hAnsi="Georgia"/>
          <w:i/>
          <w:iCs/>
          <w:color w:val="000000"/>
          <w:sz w:val="21"/>
          <w:szCs w:val="21"/>
          <w:shd w:val="clear" w:color="auto" w:fill="FFFFFF"/>
          <w:lang w:val="de-DE"/>
        </w:rPr>
        <w:t>Bild der Wissenschaft</w:t>
      </w:r>
      <w:r w:rsidRPr="00045B66">
        <w:rPr>
          <w:rFonts w:ascii="Georgia" w:hAnsi="Georgia"/>
          <w:color w:val="000000"/>
          <w:sz w:val="21"/>
          <w:szCs w:val="21"/>
          <w:shd w:val="clear" w:color="auto" w:fill="FFFFFF"/>
          <w:lang w:val="de-DE"/>
        </w:rPr>
        <w:t> 4, 30–35.  </w:t>
      </w:r>
    </w:p>
    <w:p w14:paraId="7CB5C7F4" w14:textId="77777777" w:rsidR="00406642" w:rsidRPr="00045B66" w:rsidRDefault="00406642" w:rsidP="00045B66">
      <w:pPr>
        <w:pStyle w:val="StandardWeb"/>
        <w:shd w:val="clear" w:color="auto" w:fill="FEFEFE"/>
        <w:rPr>
          <w:rFonts w:ascii="Georgia" w:hAnsi="Georgia"/>
          <w:color w:val="0A0A0A"/>
          <w:sz w:val="21"/>
          <w:szCs w:val="21"/>
          <w:lang w:val="en-US"/>
        </w:rPr>
      </w:pPr>
      <w:r w:rsidRPr="00045B66">
        <w:rPr>
          <w:rFonts w:ascii="Georgia" w:hAnsi="Georgia"/>
          <w:color w:val="0A0A0A"/>
          <w:sz w:val="21"/>
          <w:szCs w:val="21"/>
          <w:lang w:val="en-US"/>
        </w:rPr>
        <w:lastRenderedPageBreak/>
        <w:t>Jørgensen, C. S. L. (2018). "</w:t>
      </w:r>
      <w:proofErr w:type="spellStart"/>
      <w:r w:rsidRPr="00045B66">
        <w:rPr>
          <w:rFonts w:ascii="Georgia" w:hAnsi="Georgia"/>
          <w:color w:val="0A0A0A"/>
          <w:sz w:val="21"/>
          <w:szCs w:val="21"/>
          <w:lang w:val="en-US"/>
        </w:rPr>
        <w:t>Archaeoseismology</w:t>
      </w:r>
      <w:proofErr w:type="spellEnd"/>
      <w:r w:rsidRPr="00045B66">
        <w:rPr>
          <w:rFonts w:ascii="Georgia" w:hAnsi="Georgia"/>
          <w:color w:val="0A0A0A"/>
          <w:sz w:val="21"/>
          <w:szCs w:val="21"/>
          <w:lang w:val="en-US"/>
        </w:rPr>
        <w:t xml:space="preserve"> in Jerash: Understanding urban dynamics through catastrophic events", in: Raja, R. &amp; Sindbæk, S. M. (eds.), </w:t>
      </w:r>
      <w:r w:rsidRPr="00045B66">
        <w:rPr>
          <w:rStyle w:val="Hervorhebung"/>
          <w:rFonts w:ascii="Georgia" w:hAnsi="Georgia"/>
          <w:color w:val="0A0A0A"/>
          <w:sz w:val="21"/>
          <w:szCs w:val="21"/>
          <w:lang w:val="en-US"/>
        </w:rPr>
        <w:t>Urban network evolutions: Towards a high-definition archaeology</w:t>
      </w:r>
      <w:r w:rsidRPr="00045B66">
        <w:rPr>
          <w:rFonts w:ascii="Georgia" w:hAnsi="Georgia"/>
          <w:color w:val="0A0A0A"/>
          <w:sz w:val="21"/>
          <w:szCs w:val="21"/>
          <w:lang w:val="en-US"/>
        </w:rPr>
        <w:t>, Aarhus, 153-158.   </w:t>
      </w:r>
    </w:p>
    <w:p w14:paraId="64C4DB8B"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Kalaitzoglou, G. (2018). "A Middle Islamic Hamlet in Jerash: Its architectural development",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97-115.</w:t>
      </w:r>
    </w:p>
    <w:p w14:paraId="6F273FBB"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Lichtenberger, A., Peterson, A. &amp; Raja, R. (2018). </w:t>
      </w:r>
      <w:r w:rsidRPr="00406642">
        <w:rPr>
          <w:rFonts w:ascii="Georgia" w:hAnsi="Georgia"/>
          <w:color w:val="0A0A0A"/>
          <w:sz w:val="21"/>
          <w:szCs w:val="21"/>
          <w:lang w:val="en-US"/>
        </w:rPr>
        <w:t>"New evidence for pottery chronology and dietary habits from a Middle Islamic Hamlet in the Northwest Quarter of Jerash",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159-190.  </w:t>
      </w:r>
    </w:p>
    <w:p w14:paraId="4FC4D9C6" w14:textId="77777777" w:rsidR="0077156D" w:rsidRPr="00406642" w:rsidRDefault="0077156D" w:rsidP="0077156D">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w:t>
      </w:r>
      <w:r>
        <w:rPr>
          <w:rFonts w:ascii="Georgia" w:hAnsi="Georgia"/>
          <w:color w:val="0A0A0A"/>
          <w:sz w:val="21"/>
          <w:szCs w:val="21"/>
          <w:lang w:val="en-US"/>
        </w:rPr>
        <w:t>18</w:t>
      </w:r>
      <w:r w:rsidRPr="00406642">
        <w:rPr>
          <w:rFonts w:ascii="Georgia" w:hAnsi="Georgia"/>
          <w:color w:val="0A0A0A"/>
          <w:sz w:val="21"/>
          <w:szCs w:val="21"/>
          <w:lang w:val="en-US"/>
        </w:rPr>
        <w:t xml:space="preserve">). “From Synagogue to Church. The Appropriation of the Synagogue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/Jerash under Justinian”, </w:t>
      </w:r>
      <w:proofErr w:type="spellStart"/>
      <w:r w:rsidRPr="00406642">
        <w:rPr>
          <w:rFonts w:ascii="Georgia" w:hAnsi="Georgia"/>
          <w:i/>
          <w:iCs/>
          <w:color w:val="0A0A0A"/>
          <w:sz w:val="21"/>
          <w:szCs w:val="21"/>
          <w:lang w:val="en-US"/>
        </w:rPr>
        <w:t>Jahrbuch</w:t>
      </w:r>
      <w:proofErr w:type="spellEnd"/>
      <w:r w:rsidRPr="00406642">
        <w:rPr>
          <w:rFonts w:ascii="Georgia" w:hAnsi="Georgia"/>
          <w:i/>
          <w:iCs/>
          <w:color w:val="0A0A0A"/>
          <w:sz w:val="21"/>
          <w:szCs w:val="21"/>
          <w:lang w:val="en-US"/>
        </w:rPr>
        <w:t xml:space="preserve"> </w:t>
      </w:r>
      <w:proofErr w:type="spellStart"/>
      <w:r w:rsidRPr="00406642">
        <w:rPr>
          <w:rFonts w:ascii="Georgia" w:hAnsi="Georgia"/>
          <w:i/>
          <w:iCs/>
          <w:color w:val="0A0A0A"/>
          <w:sz w:val="21"/>
          <w:szCs w:val="21"/>
          <w:lang w:val="en-US"/>
        </w:rPr>
        <w:t>für</w:t>
      </w:r>
      <w:proofErr w:type="spellEnd"/>
      <w:r w:rsidRPr="00406642">
        <w:rPr>
          <w:rFonts w:ascii="Georgia" w:hAnsi="Georgia"/>
          <w:i/>
          <w:iCs/>
          <w:color w:val="0A0A0A"/>
          <w:sz w:val="21"/>
          <w:szCs w:val="21"/>
          <w:lang w:val="en-US"/>
        </w:rPr>
        <w:t xml:space="preserve"> </w:t>
      </w:r>
      <w:proofErr w:type="spellStart"/>
      <w:r w:rsidRPr="00406642">
        <w:rPr>
          <w:rFonts w:ascii="Georgia" w:hAnsi="Georgia"/>
          <w:i/>
          <w:iCs/>
          <w:color w:val="0A0A0A"/>
          <w:sz w:val="21"/>
          <w:szCs w:val="21"/>
          <w:lang w:val="en-US"/>
        </w:rPr>
        <w:t>Antike</w:t>
      </w:r>
      <w:proofErr w:type="spellEnd"/>
      <w:r w:rsidRPr="00406642">
        <w:rPr>
          <w:rFonts w:ascii="Georgia" w:hAnsi="Georgia"/>
          <w:i/>
          <w:iCs/>
          <w:color w:val="0A0A0A"/>
          <w:sz w:val="21"/>
          <w:szCs w:val="21"/>
          <w:lang w:val="en-US"/>
        </w:rPr>
        <w:t xml:space="preserve"> und </w:t>
      </w:r>
      <w:proofErr w:type="spellStart"/>
      <w:r w:rsidRPr="00406642">
        <w:rPr>
          <w:rFonts w:ascii="Georgia" w:hAnsi="Georgia"/>
          <w:i/>
          <w:iCs/>
          <w:color w:val="0A0A0A"/>
          <w:sz w:val="21"/>
          <w:szCs w:val="21"/>
          <w:lang w:val="en-US"/>
        </w:rPr>
        <w:t>Christentum</w:t>
      </w:r>
      <w:proofErr w:type="spellEnd"/>
      <w:r w:rsidRPr="00406642">
        <w:rPr>
          <w:rFonts w:ascii="Georgia" w:hAnsi="Georgia"/>
          <w:color w:val="0A0A0A"/>
          <w:sz w:val="21"/>
          <w:szCs w:val="21"/>
          <w:lang w:val="en-US"/>
        </w:rPr>
        <w:t> 61 (2018), 85-98.</w:t>
      </w:r>
    </w:p>
    <w:p w14:paraId="4DE3700C"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Lichtenberger, A. &amp; Raja, R. (2018). "</w:t>
      </w:r>
      <w:hyperlink r:id="rId11" w:history="1">
        <w:r>
          <w:rPr>
            <w:rStyle w:val="Hyperlink"/>
            <w:rFonts w:ascii="Georgia" w:hAnsi="Georgia"/>
            <w:color w:val="002546"/>
            <w:sz w:val="21"/>
            <w:szCs w:val="21"/>
          </w:rPr>
          <w:t>Gemte forhistoriske bysamfund er afdækket ved hjælp af billeder fra oven</w:t>
        </w:r>
      </w:hyperlink>
      <w:r>
        <w:rPr>
          <w:rFonts w:ascii="Georgia" w:hAnsi="Georgia"/>
          <w:color w:val="0A0A0A"/>
          <w:sz w:val="21"/>
          <w:szCs w:val="21"/>
        </w:rPr>
        <w:t>", Videnskab.dk.</w:t>
      </w:r>
    </w:p>
    <w:p w14:paraId="294E6483"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w:t>
      </w:r>
      <w:r w:rsidRPr="00406642">
        <w:rPr>
          <w:rFonts w:ascii="Georgia" w:hAnsi="Georgia"/>
          <w:b/>
          <w:bCs/>
          <w:color w:val="0A0A0A"/>
          <w:sz w:val="21"/>
          <w:szCs w:val="21"/>
          <w:lang w:val="en-US"/>
        </w:rPr>
        <w:t> </w:t>
      </w:r>
      <w:r w:rsidRPr="00406642">
        <w:rPr>
          <w:rFonts w:ascii="Georgia" w:hAnsi="Georgia"/>
          <w:color w:val="0A0A0A"/>
          <w:sz w:val="21"/>
          <w:szCs w:val="21"/>
          <w:lang w:val="en-US"/>
        </w:rPr>
        <w:t>(2018). "Jerash Northwest Quarter Project", in: Green, J. D. M., Porter, B. A. &amp; Shelton, C. P. (eds.), </w:t>
      </w:r>
      <w:r w:rsidRPr="00406642">
        <w:rPr>
          <w:rFonts w:ascii="Georgia" w:hAnsi="Georgia"/>
          <w:i/>
          <w:iCs/>
          <w:color w:val="0A0A0A"/>
          <w:sz w:val="21"/>
          <w:szCs w:val="21"/>
          <w:lang w:val="en-US"/>
        </w:rPr>
        <w:t>Archaeology in Jordan Newsletter: 2016 and 2017 seasons</w:t>
      </w:r>
      <w:r w:rsidRPr="00406642">
        <w:rPr>
          <w:rFonts w:ascii="Georgia" w:hAnsi="Georgia"/>
          <w:color w:val="0A0A0A"/>
          <w:sz w:val="21"/>
          <w:szCs w:val="21"/>
          <w:lang w:val="en-US"/>
        </w:rPr>
        <w:t>, Amman, 29-30.</w:t>
      </w:r>
    </w:p>
    <w:p w14:paraId="3F72BB80"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xml:space="preserve">.) </w:t>
      </w:r>
      <w:r w:rsidRPr="00406642">
        <w:rPr>
          <w:rFonts w:ascii="Georgia" w:hAnsi="Georgia"/>
          <w:color w:val="0A0A0A"/>
          <w:sz w:val="21"/>
          <w:szCs w:val="21"/>
          <w:lang w:val="en-US"/>
        </w:rPr>
        <w:t>(2018).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w:t>
      </w:r>
    </w:p>
    <w:p w14:paraId="2F8FE309"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(2018). "Middle Islamic Jerash through the lens of the Longue </w:t>
      </w:r>
      <w:proofErr w:type="spellStart"/>
      <w:r w:rsidRPr="00406642">
        <w:rPr>
          <w:rFonts w:ascii="Georgia" w:hAnsi="Georgia"/>
          <w:color w:val="0A0A0A"/>
          <w:sz w:val="21"/>
          <w:szCs w:val="21"/>
          <w:lang w:val="en-US"/>
        </w:rPr>
        <w:t>Dureé</w:t>
      </w:r>
      <w:proofErr w:type="spellEnd"/>
      <w:r w:rsidRPr="00406642">
        <w:rPr>
          <w:rFonts w:ascii="Georgia" w:hAnsi="Georgia"/>
          <w:color w:val="0A0A0A"/>
          <w:sz w:val="21"/>
          <w:szCs w:val="21"/>
          <w:lang w:val="en-US"/>
        </w:rPr>
        <w:t>",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5-36.</w:t>
      </w:r>
    </w:p>
    <w:p w14:paraId="3E059953"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(2018). "</w:t>
      </w:r>
      <w:hyperlink r:id="rId12" w:history="1">
        <w:r w:rsidRPr="00406642">
          <w:rPr>
            <w:rStyle w:val="Hyperlink"/>
            <w:rFonts w:ascii="Georgia" w:hAnsi="Georgia"/>
            <w:color w:val="002546"/>
            <w:sz w:val="21"/>
            <w:szCs w:val="21"/>
            <w:lang w:val="en-US"/>
          </w:rPr>
          <w:t>Once lost archaeology revealed by satellite images and aerial photography</w:t>
        </w:r>
      </w:hyperlink>
      <w:r w:rsidRPr="00406642">
        <w:rPr>
          <w:rFonts w:ascii="Georgia" w:hAnsi="Georgia"/>
          <w:color w:val="0A0A0A"/>
          <w:sz w:val="21"/>
          <w:szCs w:val="21"/>
          <w:lang w:val="en-US"/>
        </w:rPr>
        <w:t xml:space="preserve">", </w:t>
      </w:r>
      <w:proofErr w:type="spellStart"/>
      <w:r w:rsidRPr="00D8557E">
        <w:rPr>
          <w:rFonts w:ascii="Georgia" w:hAnsi="Georgia"/>
          <w:i/>
          <w:color w:val="0A0A0A"/>
          <w:sz w:val="21"/>
          <w:szCs w:val="21"/>
          <w:lang w:val="en-US"/>
        </w:rPr>
        <w:t>ScienceNordic</w:t>
      </w:r>
      <w:proofErr w:type="spellEnd"/>
      <w:r w:rsidRPr="00406642">
        <w:rPr>
          <w:rFonts w:ascii="Georgia" w:hAnsi="Georgia"/>
          <w:color w:val="0A0A0A"/>
          <w:sz w:val="21"/>
          <w:szCs w:val="21"/>
          <w:lang w:val="en-US"/>
        </w:rPr>
        <w:t>.</w:t>
      </w:r>
    </w:p>
    <w:p w14:paraId="77D7E2C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(2018). "River archaeology and urban resilience in Jerash",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125-130.</w:t>
      </w:r>
    </w:p>
    <w:p w14:paraId="3025215A"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xml:space="preserve">.) </w:t>
      </w:r>
      <w:r w:rsidRPr="00406642">
        <w:rPr>
          <w:rFonts w:ascii="Georgia" w:hAnsi="Georgia"/>
          <w:color w:val="0A0A0A"/>
          <w:sz w:val="21"/>
          <w:szCs w:val="21"/>
          <w:lang w:val="en-US"/>
        </w:rPr>
        <w:t>(2018). </w:t>
      </w:r>
      <w:r w:rsidRPr="00406642">
        <w:rPr>
          <w:rFonts w:ascii="Georgia" w:hAnsi="Georgia"/>
          <w:i/>
          <w:iCs/>
          <w:color w:val="0A0A0A"/>
          <w:sz w:val="21"/>
          <w:szCs w:val="21"/>
          <w:lang w:val="en-US"/>
        </w:rPr>
        <w:t>The Archaeology and History of Jerash: 110 Years of Excavations, </w:t>
      </w:r>
      <w:r w:rsidRPr="00406642">
        <w:rPr>
          <w:rFonts w:ascii="Georgia" w:hAnsi="Georgia"/>
          <w:color w:val="0A0A0A"/>
          <w:sz w:val="21"/>
          <w:szCs w:val="21"/>
          <w:lang w:val="en-US"/>
        </w:rPr>
        <w:t>Jerash Papers 1, Turnhout.</w:t>
      </w:r>
    </w:p>
    <w:p w14:paraId="1B7D40CE"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(2018). "The Archaeology and History of Jerash: 110 Years of Excavations — An Introduction", in: Lichtenberger, A. &amp; Raja, R. (eds.) </w:t>
      </w:r>
      <w:r w:rsidRPr="00406642">
        <w:rPr>
          <w:rStyle w:val="Hervorhebung"/>
          <w:rFonts w:ascii="Georgia" w:hAnsi="Georgia"/>
          <w:color w:val="0A0A0A"/>
          <w:sz w:val="21"/>
          <w:szCs w:val="21"/>
          <w:lang w:val="en-US"/>
        </w:rPr>
        <w:t>The Archaeology and History of Jerash: 110 Years of Excavations, </w:t>
      </w:r>
      <w:r w:rsidRPr="00406642">
        <w:rPr>
          <w:rFonts w:ascii="Georgia" w:hAnsi="Georgia"/>
          <w:color w:val="0A0A0A"/>
          <w:sz w:val="21"/>
          <w:szCs w:val="21"/>
          <w:lang w:val="en-US"/>
        </w:rPr>
        <w:t>Jerash Papers 1, Turnhout, 1-6.  </w:t>
      </w:r>
    </w:p>
    <w:p w14:paraId="2F2BE0C6"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(2018). "The Middle Islamic Period in Northern Jordan and its pottery: Ceramics in context",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1-4.</w:t>
      </w:r>
    </w:p>
    <w:p w14:paraId="415ADFC6"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(2018). "Urban networks and dynamics seen through urban peripheries: The case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on the golden river",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101-107.</w:t>
      </w:r>
    </w:p>
    <w:p w14:paraId="56479295"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(2018). "View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/Jerash from its urban periphery: The Northwest Quarter and its significance for the understanding of the urban development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from the Roman </w:t>
      </w:r>
      <w:r w:rsidRPr="00406642">
        <w:rPr>
          <w:rFonts w:ascii="Georgia" w:hAnsi="Georgia"/>
          <w:color w:val="0A0A0A"/>
          <w:sz w:val="21"/>
          <w:szCs w:val="21"/>
          <w:lang w:val="en-US"/>
        </w:rPr>
        <w:lastRenderedPageBreak/>
        <w:t>to the Early Islamic Period", in: Lichtenberger, A. &amp; Raja, R. (eds.), </w:t>
      </w:r>
      <w:r w:rsidRPr="00406642">
        <w:rPr>
          <w:rStyle w:val="Hervorhebung"/>
          <w:rFonts w:ascii="Georgia" w:hAnsi="Georgia"/>
          <w:color w:val="0A0A0A"/>
          <w:sz w:val="21"/>
          <w:szCs w:val="21"/>
          <w:lang w:val="en-US"/>
        </w:rPr>
        <w:t>The Archaeology and History of Jerash: 110 Years of Excavations, </w:t>
      </w:r>
      <w:r w:rsidRPr="00406642">
        <w:rPr>
          <w:rFonts w:ascii="Georgia" w:hAnsi="Georgia"/>
          <w:color w:val="0A0A0A"/>
          <w:sz w:val="21"/>
          <w:szCs w:val="21"/>
          <w:lang w:val="en-US"/>
        </w:rPr>
        <w:t>Jerash Papers 1, Turnhout, 143-166.  </w:t>
      </w:r>
    </w:p>
    <w:p w14:paraId="12CF4E4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Mortensen, E. (2018). "The early research history of Jerash: A short outline", in: Lichtenberger, A. &amp; Raja, R. (eds.), </w:t>
      </w:r>
      <w:r w:rsidRPr="00406642">
        <w:rPr>
          <w:rStyle w:val="Hervorhebung"/>
          <w:rFonts w:ascii="Georgia" w:hAnsi="Georgia"/>
          <w:color w:val="0A0A0A"/>
          <w:sz w:val="21"/>
          <w:szCs w:val="21"/>
          <w:lang w:val="en-US"/>
        </w:rPr>
        <w:t>The Archaeology and History of Jerash: 110 Years of Excavations, </w:t>
      </w:r>
      <w:r w:rsidRPr="00406642">
        <w:rPr>
          <w:rFonts w:ascii="Georgia" w:hAnsi="Georgia"/>
          <w:color w:val="0A0A0A"/>
          <w:sz w:val="21"/>
          <w:szCs w:val="21"/>
          <w:lang w:val="en-US"/>
        </w:rPr>
        <w:t>Jerash Papers 1, Turnhout, 167-186.  </w:t>
      </w:r>
    </w:p>
    <w:p w14:paraId="35FB903A"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Mortensen, E. (2018). "</w:t>
      </w:r>
      <w:proofErr w:type="spellStart"/>
      <w:r w:rsidRPr="00406642">
        <w:rPr>
          <w:rFonts w:ascii="Georgia" w:hAnsi="Georgia"/>
          <w:color w:val="0A0A0A"/>
          <w:sz w:val="21"/>
          <w:szCs w:val="21"/>
          <w:lang w:val="en-US"/>
        </w:rPr>
        <w:t>Travellers</w:t>
      </w:r>
      <w:proofErr w:type="spellEnd"/>
      <w:r w:rsidRPr="00406642">
        <w:rPr>
          <w:rFonts w:ascii="Georgia" w:hAnsi="Georgia"/>
          <w:color w:val="0A0A0A"/>
          <w:sz w:val="21"/>
          <w:szCs w:val="21"/>
          <w:lang w:val="en-US"/>
        </w:rPr>
        <w:t xml:space="preserve"> and early urban archaeology in the Levant: The case of Jerash",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147-152.  </w:t>
      </w:r>
    </w:p>
    <w:p w14:paraId="0ED8DA03"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Möller, H. (2018). "Interpreting Middle Islamic finds 'out of context': Evidence from the Jerash Northwest Quarter",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191-212.</w:t>
      </w:r>
    </w:p>
    <w:p w14:paraId="30306FD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Peterson, A. (2018). "A commentary and analysis of two Ottoman tax records: Settlement history of Late Islamic Jerash",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37-44.</w:t>
      </w:r>
    </w:p>
    <w:p w14:paraId="4D407C20"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Peterson, A. (2018). "Medieval Jerash: Investigating the pottery of a Middle Islamic hamlet in the Northwest Quarter",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139-146.  </w:t>
      </w:r>
    </w:p>
    <w:p w14:paraId="3DE6C7B8"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Peterson, A. (2018). "Middle Islamic ceramics in context from the Northwest Quarter of Jerash", in: Lichtenberger, A. &amp; Raja, R. (eds.), </w:t>
      </w:r>
      <w:r w:rsidRPr="00406642">
        <w:rPr>
          <w:rStyle w:val="Hervorhebung"/>
          <w:rFonts w:ascii="Georgia" w:hAnsi="Georgia"/>
          <w:color w:val="0A0A0A"/>
          <w:sz w:val="21"/>
          <w:szCs w:val="21"/>
          <w:lang w:val="en-US"/>
        </w:rPr>
        <w:t>Middle Islamic Jerash (9th century - 15th century). Archaeology and History of an Ayyubid-Mamluk settlement</w:t>
      </w:r>
      <w:r w:rsidRPr="00406642">
        <w:rPr>
          <w:rFonts w:ascii="Georgia" w:hAnsi="Georgia"/>
          <w:color w:val="0A0A0A"/>
          <w:sz w:val="21"/>
          <w:szCs w:val="21"/>
          <w:lang w:val="en-US"/>
        </w:rPr>
        <w:t>, Jerash Papers 3, Turnhout, 117-157.</w:t>
      </w:r>
    </w:p>
    <w:p w14:paraId="5988AD7E"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Romanowska, I., Brughmans, T., Lichtenberger, A. &amp; Raja, R. (2018). </w:t>
      </w:r>
      <w:r w:rsidRPr="00406642">
        <w:rPr>
          <w:rFonts w:ascii="Georgia" w:hAnsi="Georgia"/>
          <w:color w:val="0A0A0A"/>
          <w:sz w:val="21"/>
          <w:szCs w:val="21"/>
          <w:lang w:val="en-US"/>
        </w:rPr>
        <w:t>"Urban networks seen through ceramics: Formal modelling approaches to pottery distribution in Jerash",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131-137.  </w:t>
      </w:r>
    </w:p>
    <w:p w14:paraId="6B7497D5" w14:textId="77777777" w:rsidR="008A1323"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Schulze, I. &amp; Schulze, W. (2018). "Working with Coins in Jerash: Problems, Solutions, and Preliminary Results" in: Lichtenberger, A. &amp; Raja, R. (eds.), </w:t>
      </w:r>
      <w:r w:rsidRPr="00406642">
        <w:rPr>
          <w:rFonts w:ascii="Georgia" w:hAnsi="Georgia"/>
          <w:i/>
          <w:iCs/>
          <w:color w:val="0A0A0A"/>
          <w:sz w:val="21"/>
          <w:szCs w:val="21"/>
          <w:lang w:val="en-US"/>
        </w:rPr>
        <w:t>The Archaeology and History of Jerash: 110 Years of Excavations in Jerash</w:t>
      </w:r>
      <w:r w:rsidRPr="00406642">
        <w:rPr>
          <w:rFonts w:ascii="Georgia" w:hAnsi="Georgia"/>
          <w:color w:val="0A0A0A"/>
          <w:sz w:val="21"/>
          <w:szCs w:val="21"/>
          <w:lang w:val="en-US"/>
        </w:rPr>
        <w:t>, Jerash Papers 1, Turnhout, 195–205.</w:t>
      </w:r>
    </w:p>
    <w:p w14:paraId="72F1B725" w14:textId="77777777" w:rsidR="00406642" w:rsidRPr="00406642" w:rsidRDefault="00406642" w:rsidP="00406642">
      <w:pPr>
        <w:pStyle w:val="StandardWeb"/>
        <w:shd w:val="clear" w:color="auto" w:fill="FEFEFE"/>
        <w:rPr>
          <w:rFonts w:ascii="Georgia" w:hAnsi="Georgia"/>
          <w:color w:val="0A0A0A"/>
          <w:sz w:val="21"/>
          <w:szCs w:val="21"/>
          <w:lang w:val="en-US"/>
        </w:rPr>
      </w:pPr>
      <w:r w:rsidRPr="00D8557E">
        <w:rPr>
          <w:rFonts w:ascii="Georgia" w:hAnsi="Georgia"/>
          <w:color w:val="0A0A0A"/>
          <w:sz w:val="21"/>
          <w:szCs w:val="21"/>
          <w:lang w:val="de-DE"/>
        </w:rPr>
        <w:t xml:space="preserve">Stott, D., Kristiansen, S. M., Lichtenberger, A. &amp; Raja, R. (2018). </w:t>
      </w:r>
      <w:r w:rsidRPr="00406642">
        <w:rPr>
          <w:rFonts w:ascii="Georgia" w:hAnsi="Georgia"/>
          <w:color w:val="0A0A0A"/>
          <w:sz w:val="21"/>
          <w:szCs w:val="21"/>
          <w:lang w:val="en-US"/>
        </w:rPr>
        <w:t>"Mapping an ancient city with a century of remotely sensed data", </w:t>
      </w:r>
      <w:r w:rsidRPr="00406642">
        <w:rPr>
          <w:rStyle w:val="Hervorhebung"/>
          <w:rFonts w:ascii="Georgia" w:hAnsi="Georgia"/>
          <w:color w:val="0A0A0A"/>
          <w:sz w:val="21"/>
          <w:szCs w:val="21"/>
          <w:lang w:val="en-US"/>
        </w:rPr>
        <w:t>PNAS</w:t>
      </w:r>
      <w:r w:rsidRPr="00406642">
        <w:rPr>
          <w:rFonts w:ascii="Georgia" w:hAnsi="Georgia"/>
          <w:color w:val="0A0A0A"/>
          <w:sz w:val="21"/>
          <w:szCs w:val="21"/>
          <w:lang w:val="en-US"/>
        </w:rPr>
        <w:t> 115:24.</w:t>
      </w:r>
    </w:p>
    <w:p w14:paraId="3E0BEE84"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Thomsen, K. D. (2018). "Mortar and plaster production in Jerash: Changing perspective from macro to micro", in: Raja, R. &amp; Sindbæk, S. M. (eds.), </w:t>
      </w:r>
      <w:r w:rsidRPr="00406642">
        <w:rPr>
          <w:rStyle w:val="Hervorhebung"/>
          <w:rFonts w:ascii="Georgia" w:hAnsi="Georgia"/>
          <w:color w:val="0A0A0A"/>
          <w:sz w:val="21"/>
          <w:szCs w:val="21"/>
          <w:lang w:val="en-US"/>
        </w:rPr>
        <w:t>Urban network evolutions: Towards a high-definition archaeology</w:t>
      </w:r>
      <w:r w:rsidRPr="00406642">
        <w:rPr>
          <w:rFonts w:ascii="Georgia" w:hAnsi="Georgia"/>
          <w:color w:val="0A0A0A"/>
          <w:sz w:val="21"/>
          <w:szCs w:val="21"/>
          <w:lang w:val="en-US"/>
        </w:rPr>
        <w:t>, Aarhus, 109-115.  </w:t>
      </w:r>
    </w:p>
    <w:p w14:paraId="6ACA2354" w14:textId="77777777" w:rsid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67BA4480" w14:textId="77777777" w:rsidR="00406642" w:rsidRPr="00D8557E"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D8557E">
        <w:rPr>
          <w:rFonts w:ascii="AUPassataBold" w:hAnsi="AUPassataBold"/>
          <w:b w:val="0"/>
          <w:bCs w:val="0"/>
          <w:color w:val="0A0A0A"/>
          <w:lang w:val="de-DE"/>
        </w:rPr>
        <w:t>2017</w:t>
      </w:r>
    </w:p>
    <w:p w14:paraId="6FE2CD6C" w14:textId="77777777" w:rsidR="00406642" w:rsidRPr="00D8557E" w:rsidRDefault="00406642" w:rsidP="00406642">
      <w:pPr>
        <w:pStyle w:val="StandardWeb"/>
        <w:shd w:val="clear" w:color="auto" w:fill="FEFEFE"/>
        <w:rPr>
          <w:rFonts w:ascii="Georgia" w:hAnsi="Georgia"/>
          <w:color w:val="0A0A0A"/>
          <w:sz w:val="21"/>
          <w:szCs w:val="21"/>
          <w:lang w:val="de-DE"/>
        </w:rPr>
      </w:pPr>
      <w:proofErr w:type="spellStart"/>
      <w:r w:rsidRPr="00D8557E">
        <w:rPr>
          <w:rFonts w:ascii="Georgia" w:hAnsi="Georgia"/>
          <w:color w:val="0A0A0A"/>
          <w:sz w:val="21"/>
          <w:szCs w:val="21"/>
          <w:lang w:val="de-DE"/>
        </w:rPr>
        <w:t>Alexaki</w:t>
      </w:r>
      <w:proofErr w:type="spellEnd"/>
      <w:r w:rsidRPr="00D8557E">
        <w:rPr>
          <w:rFonts w:ascii="Georgia" w:hAnsi="Georgia"/>
          <w:color w:val="0A0A0A"/>
          <w:sz w:val="21"/>
          <w:szCs w:val="21"/>
          <w:lang w:val="de-DE"/>
        </w:rPr>
        <w:t>, I. (2017). "</w:t>
      </w:r>
      <w:proofErr w:type="spellStart"/>
      <w:r w:rsidRPr="00D8557E">
        <w:rPr>
          <w:rFonts w:ascii="Georgia" w:hAnsi="Georgia"/>
          <w:color w:val="0A0A0A"/>
          <w:sz w:val="21"/>
          <w:szCs w:val="21"/>
          <w:lang w:val="de-DE"/>
        </w:rPr>
        <w:t>Det</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antikke</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Gerasa</w:t>
      </w:r>
      <w:proofErr w:type="spellEnd"/>
      <w:r w:rsidRPr="00D8557E">
        <w:rPr>
          <w:rFonts w:ascii="Georgia" w:hAnsi="Georgia"/>
          <w:color w:val="0A0A0A"/>
          <w:sz w:val="21"/>
          <w:szCs w:val="21"/>
          <w:lang w:val="de-DE"/>
        </w:rPr>
        <w:t xml:space="preserve"> – </w:t>
      </w:r>
      <w:proofErr w:type="spellStart"/>
      <w:r w:rsidRPr="00D8557E">
        <w:rPr>
          <w:rFonts w:ascii="Georgia" w:hAnsi="Georgia"/>
          <w:color w:val="0A0A0A"/>
          <w:sz w:val="21"/>
          <w:szCs w:val="21"/>
          <w:lang w:val="de-DE"/>
        </w:rPr>
        <w:t>modelleret</w:t>
      </w:r>
      <w:proofErr w:type="spellEnd"/>
      <w:r w:rsidRPr="00D8557E">
        <w:rPr>
          <w:rFonts w:ascii="Georgia" w:hAnsi="Georgia"/>
          <w:color w:val="0A0A0A"/>
          <w:sz w:val="21"/>
          <w:szCs w:val="21"/>
          <w:lang w:val="de-DE"/>
        </w:rPr>
        <w:t xml:space="preserve"> i 3D", in: Lichtenberger, A. &amp; Raja, R. (</w:t>
      </w:r>
      <w:proofErr w:type="spellStart"/>
      <w:r w:rsidRPr="00D8557E">
        <w:rPr>
          <w:rFonts w:ascii="Georgia" w:hAnsi="Georgia"/>
          <w:color w:val="0A0A0A"/>
          <w:sz w:val="21"/>
          <w:szCs w:val="21"/>
          <w:lang w:val="de-DE"/>
        </w:rPr>
        <w:t>eds</w:t>
      </w:r>
      <w:proofErr w:type="spellEnd"/>
      <w:r w:rsidRPr="00D8557E">
        <w:rPr>
          <w:rFonts w:ascii="Georgia" w:hAnsi="Georgia"/>
          <w:color w:val="0A0A0A"/>
          <w:sz w:val="21"/>
          <w:szCs w:val="21"/>
          <w:lang w:val="de-DE"/>
        </w:rPr>
        <w:t>.), </w:t>
      </w:r>
      <w:proofErr w:type="spellStart"/>
      <w:r w:rsidRPr="00D8557E">
        <w:rPr>
          <w:rStyle w:val="Hervorhebung"/>
          <w:rFonts w:ascii="Georgia" w:hAnsi="Georgia"/>
          <w:color w:val="0A0A0A"/>
          <w:sz w:val="21"/>
          <w:szCs w:val="21"/>
          <w:lang w:val="de-DE"/>
        </w:rPr>
        <w:t>Gerasa</w:t>
      </w:r>
      <w:proofErr w:type="spellEnd"/>
      <w:r w:rsidRPr="00D8557E">
        <w:rPr>
          <w:rStyle w:val="Hervorhebung"/>
          <w:rFonts w:ascii="Georgia" w:hAnsi="Georgia"/>
          <w:color w:val="0A0A0A"/>
          <w:sz w:val="21"/>
          <w:szCs w:val="21"/>
          <w:lang w:val="de-DE"/>
        </w:rPr>
        <w:t>/</w:t>
      </w:r>
      <w:proofErr w:type="spellStart"/>
      <w:r w:rsidRPr="00D8557E">
        <w:rPr>
          <w:rStyle w:val="Hervorhebung"/>
          <w:rFonts w:ascii="Georgia" w:hAnsi="Georgia"/>
          <w:color w:val="0A0A0A"/>
          <w:sz w:val="21"/>
          <w:szCs w:val="21"/>
          <w:lang w:val="de-DE"/>
        </w:rPr>
        <w:t>Jerash</w:t>
      </w:r>
      <w:proofErr w:type="spellEnd"/>
      <w:r w:rsidRPr="00D8557E">
        <w:rPr>
          <w:rStyle w:val="Hervorhebung"/>
          <w:rFonts w:ascii="Georgia" w:hAnsi="Georgia"/>
          <w:color w:val="0A0A0A"/>
          <w:sz w:val="21"/>
          <w:szCs w:val="21"/>
          <w:lang w:val="de-DE"/>
        </w:rPr>
        <w:t xml:space="preserve">: </w:t>
      </w:r>
      <w:proofErr w:type="spellStart"/>
      <w:r w:rsidRPr="00D8557E">
        <w:rPr>
          <w:rStyle w:val="Hervorhebung"/>
          <w:rFonts w:ascii="Georgia" w:hAnsi="Georgia"/>
          <w:color w:val="0A0A0A"/>
          <w:sz w:val="21"/>
          <w:szCs w:val="21"/>
          <w:lang w:val="de-DE"/>
        </w:rPr>
        <w:t>Fra</w:t>
      </w:r>
      <w:proofErr w:type="spellEnd"/>
      <w:r w:rsidRPr="00D8557E">
        <w:rPr>
          <w:rStyle w:val="Hervorhebung"/>
          <w:rFonts w:ascii="Georgia" w:hAnsi="Georgia"/>
          <w:color w:val="0A0A0A"/>
          <w:sz w:val="21"/>
          <w:szCs w:val="21"/>
          <w:lang w:val="de-DE"/>
        </w:rPr>
        <w:t xml:space="preserve"> den Urbane </w:t>
      </w:r>
      <w:proofErr w:type="spellStart"/>
      <w:r w:rsidRPr="00D8557E">
        <w:rPr>
          <w:rStyle w:val="Hervorhebung"/>
          <w:rFonts w:ascii="Georgia" w:hAnsi="Georgia"/>
          <w:color w:val="0A0A0A"/>
          <w:sz w:val="21"/>
          <w:szCs w:val="21"/>
          <w:lang w:val="de-DE"/>
        </w:rPr>
        <w:t>Periferi</w:t>
      </w:r>
      <w:proofErr w:type="spellEnd"/>
      <w:r w:rsidRPr="00D8557E">
        <w:rPr>
          <w:rFonts w:ascii="Georgia" w:hAnsi="Georgia"/>
          <w:color w:val="0A0A0A"/>
          <w:sz w:val="21"/>
          <w:szCs w:val="21"/>
          <w:lang w:val="de-DE"/>
        </w:rPr>
        <w:t>, Aarhus, 47–52.</w:t>
      </w:r>
    </w:p>
    <w:p w14:paraId="6AEF89CA" w14:textId="77777777" w:rsidR="00406642" w:rsidRPr="00406642" w:rsidRDefault="00406642" w:rsidP="00406642">
      <w:pPr>
        <w:pStyle w:val="StandardWeb"/>
        <w:shd w:val="clear" w:color="auto" w:fill="FEFEFE"/>
        <w:rPr>
          <w:rFonts w:ascii="Georgia" w:hAnsi="Georgia"/>
          <w:color w:val="0A0A0A"/>
          <w:sz w:val="21"/>
          <w:szCs w:val="21"/>
          <w:lang w:val="en-US"/>
        </w:rPr>
      </w:pPr>
      <w:proofErr w:type="spellStart"/>
      <w:r w:rsidRPr="00406642">
        <w:rPr>
          <w:rFonts w:ascii="Georgia" w:hAnsi="Georgia"/>
          <w:color w:val="0A0A0A"/>
          <w:sz w:val="21"/>
          <w:szCs w:val="21"/>
          <w:lang w:val="en-US"/>
        </w:rPr>
        <w:lastRenderedPageBreak/>
        <w:t>Alexaki</w:t>
      </w:r>
      <w:proofErr w:type="spellEnd"/>
      <w:r w:rsidRPr="00406642">
        <w:rPr>
          <w:rFonts w:ascii="Georgia" w:hAnsi="Georgia"/>
          <w:color w:val="0A0A0A"/>
          <w:sz w:val="21"/>
          <w:szCs w:val="21"/>
          <w:lang w:val="en-US"/>
        </w:rPr>
        <w:t xml:space="preserve">, I. (2017). "Modelling ancient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in three dimensions",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47–52.</w:t>
      </w:r>
    </w:p>
    <w:p w14:paraId="0285F768"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Bangsgaard, P., Lichtenberger, A. &amp; Raja, R. (2017). </w:t>
      </w:r>
      <w:r w:rsidRPr="00406642">
        <w:rPr>
          <w:rFonts w:ascii="Georgia" w:hAnsi="Georgia"/>
          <w:color w:val="0A0A0A"/>
          <w:sz w:val="21"/>
          <w:szCs w:val="21"/>
          <w:lang w:val="en-US"/>
        </w:rPr>
        <w:t>"Animal bones from the North-West Quarter",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107–114.</w:t>
      </w:r>
    </w:p>
    <w:p w14:paraId="68710F58" w14:textId="77777777" w:rsidR="00406642" w:rsidRDefault="00406642" w:rsidP="00406642">
      <w:pPr>
        <w:pStyle w:val="StandardWeb"/>
        <w:shd w:val="clear" w:color="auto" w:fill="FEFEFE"/>
        <w:rPr>
          <w:rFonts w:ascii="Georgia" w:hAnsi="Georgia"/>
          <w:color w:val="0A0A0A"/>
          <w:sz w:val="21"/>
          <w:szCs w:val="21"/>
        </w:rPr>
      </w:pPr>
      <w:r w:rsidRPr="00406642">
        <w:rPr>
          <w:rFonts w:ascii="Georgia" w:hAnsi="Georgia"/>
          <w:color w:val="0A0A0A"/>
          <w:sz w:val="21"/>
          <w:szCs w:val="21"/>
          <w:lang w:val="de-DE"/>
        </w:rPr>
        <w:t xml:space="preserve">Bangsgaard, P., Lichtenberger, A. &amp; Raja, R. (2017). </w:t>
      </w:r>
      <w:r>
        <w:rPr>
          <w:rFonts w:ascii="Georgia" w:hAnsi="Georgia"/>
          <w:color w:val="0A0A0A"/>
          <w:sz w:val="21"/>
          <w:szCs w:val="21"/>
        </w:rPr>
        <w:t>"Dyreknogler fra Nordvest-kvarteret",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107–114.  </w:t>
      </w:r>
    </w:p>
    <w:p w14:paraId="5466968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Barfod, G. H. (2017). "Recycling, reuse and reduce: Glass in ancient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115–120.</w:t>
      </w:r>
    </w:p>
    <w:p w14:paraId="7EA8ED83"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Barfod, G. H. (2017). ”Genbrug af glas i det antikke Gerasa”,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115–120. </w:t>
      </w:r>
    </w:p>
    <w:p w14:paraId="31ACB732" w14:textId="77777777" w:rsidR="00406642" w:rsidRPr="00406642" w:rsidRDefault="00406642" w:rsidP="00406642">
      <w:pPr>
        <w:pStyle w:val="StandardWeb"/>
        <w:shd w:val="clear" w:color="auto" w:fill="FEFEFE"/>
        <w:rPr>
          <w:rFonts w:ascii="Georgia" w:hAnsi="Georgia"/>
          <w:color w:val="0A0A0A"/>
          <w:sz w:val="21"/>
          <w:szCs w:val="21"/>
          <w:lang w:val="en-US"/>
        </w:rPr>
      </w:pPr>
      <w:proofErr w:type="spellStart"/>
      <w:r w:rsidRPr="00406642">
        <w:rPr>
          <w:rFonts w:ascii="Georgia" w:hAnsi="Georgia"/>
          <w:color w:val="0A0A0A"/>
          <w:sz w:val="21"/>
          <w:szCs w:val="21"/>
          <w:lang w:val="en-US"/>
        </w:rPr>
        <w:t>Csitneki</w:t>
      </w:r>
      <w:proofErr w:type="spellEnd"/>
      <w:r w:rsidRPr="00406642">
        <w:rPr>
          <w:rFonts w:ascii="Georgia" w:hAnsi="Georgia"/>
          <w:color w:val="0A0A0A"/>
          <w:sz w:val="21"/>
          <w:szCs w:val="21"/>
          <w:lang w:val="en-US"/>
        </w:rPr>
        <w:t>, D. (2017). "Jerash Bowls: Fine tableware from Jerash",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99–106.</w:t>
      </w:r>
    </w:p>
    <w:p w14:paraId="49FCD5B3" w14:textId="77777777" w:rsidR="00406642" w:rsidRPr="00406642" w:rsidRDefault="00406642" w:rsidP="00406642">
      <w:pPr>
        <w:pStyle w:val="StandardWeb"/>
        <w:shd w:val="clear" w:color="auto" w:fill="FEFEFE"/>
        <w:rPr>
          <w:rFonts w:ascii="Georgia" w:hAnsi="Georgia"/>
          <w:color w:val="0A0A0A"/>
          <w:sz w:val="21"/>
          <w:szCs w:val="21"/>
          <w:lang w:val="en-US"/>
        </w:rPr>
      </w:pPr>
      <w:proofErr w:type="spellStart"/>
      <w:r w:rsidRPr="00406642">
        <w:rPr>
          <w:rFonts w:ascii="Georgia" w:hAnsi="Georgia"/>
          <w:color w:val="0A0A0A"/>
          <w:sz w:val="21"/>
          <w:szCs w:val="21"/>
          <w:lang w:val="en-US"/>
        </w:rPr>
        <w:t>Csitneki</w:t>
      </w:r>
      <w:proofErr w:type="spellEnd"/>
      <w:r w:rsidRPr="00406642">
        <w:rPr>
          <w:rFonts w:ascii="Georgia" w:hAnsi="Georgia"/>
          <w:color w:val="0A0A0A"/>
          <w:sz w:val="21"/>
          <w:szCs w:val="21"/>
          <w:lang w:val="en-US"/>
        </w:rPr>
        <w:t>, D. (2017). "Jerash-</w:t>
      </w:r>
      <w:proofErr w:type="spellStart"/>
      <w:r w:rsidRPr="00406642">
        <w:rPr>
          <w:rFonts w:ascii="Georgia" w:hAnsi="Georgia"/>
          <w:color w:val="0A0A0A"/>
          <w:sz w:val="21"/>
          <w:szCs w:val="21"/>
          <w:lang w:val="en-US"/>
        </w:rPr>
        <w:t>skåle</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Fornemt</w:t>
      </w:r>
      <w:proofErr w:type="spellEnd"/>
      <w:r w:rsidRPr="00406642">
        <w:rPr>
          <w:rFonts w:ascii="Georgia" w:hAnsi="Georgia"/>
          <w:color w:val="0A0A0A"/>
          <w:sz w:val="21"/>
          <w:szCs w:val="21"/>
          <w:lang w:val="en-US"/>
        </w:rPr>
        <w:t xml:space="preserve"> service </w:t>
      </w:r>
      <w:proofErr w:type="spellStart"/>
      <w:r w:rsidRPr="00406642">
        <w:rPr>
          <w:rFonts w:ascii="Georgia" w:hAnsi="Georgia"/>
          <w:color w:val="0A0A0A"/>
          <w:sz w:val="21"/>
          <w:szCs w:val="21"/>
          <w:lang w:val="en-US"/>
        </w:rPr>
        <w:t>fra</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antikkens</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 xml:space="preserve">/Jerash: Fra den Urbane </w:t>
      </w:r>
      <w:proofErr w:type="spellStart"/>
      <w:r w:rsidRPr="00406642">
        <w:rPr>
          <w:rStyle w:val="Hervorhebung"/>
          <w:rFonts w:ascii="Georgia" w:hAnsi="Georgia"/>
          <w:color w:val="0A0A0A"/>
          <w:sz w:val="21"/>
          <w:szCs w:val="21"/>
          <w:lang w:val="en-US"/>
        </w:rPr>
        <w:t>Periferi</w:t>
      </w:r>
      <w:proofErr w:type="spellEnd"/>
      <w:r w:rsidRPr="00406642">
        <w:rPr>
          <w:rFonts w:ascii="Georgia" w:hAnsi="Georgia"/>
          <w:color w:val="0A0A0A"/>
          <w:sz w:val="21"/>
          <w:szCs w:val="21"/>
          <w:lang w:val="en-US"/>
        </w:rPr>
        <w:t>, Aarhus, 99–106.</w:t>
      </w:r>
    </w:p>
    <w:p w14:paraId="039F1A6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Egelund, L. &amp; Pedersen, M. N. (2017). </w:t>
      </w:r>
      <w:r w:rsidRPr="00406642">
        <w:rPr>
          <w:rFonts w:ascii="Georgia" w:hAnsi="Georgia"/>
          <w:color w:val="0A0A0A"/>
          <w:sz w:val="21"/>
          <w:szCs w:val="21"/>
          <w:lang w:val="en-US"/>
        </w:rPr>
        <w:t>"A day on the dig",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21–26.</w:t>
      </w:r>
    </w:p>
    <w:p w14:paraId="09C3D9BA"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Egelund, L. &amp; Pedersen, M. N. (2017). "En </w:t>
      </w:r>
      <w:proofErr w:type="spellStart"/>
      <w:r w:rsidRPr="00406642">
        <w:rPr>
          <w:rFonts w:ascii="Georgia" w:hAnsi="Georgia"/>
          <w:color w:val="0A0A0A"/>
          <w:sz w:val="21"/>
          <w:szCs w:val="21"/>
          <w:lang w:val="de-DE"/>
        </w:rPr>
        <w:t>dag</w:t>
      </w:r>
      <w:proofErr w:type="spellEnd"/>
      <w:r w:rsidRPr="00406642">
        <w:rPr>
          <w:rFonts w:ascii="Georgia" w:hAnsi="Georgia"/>
          <w:color w:val="0A0A0A"/>
          <w:sz w:val="21"/>
          <w:szCs w:val="21"/>
          <w:lang w:val="de-DE"/>
        </w:rPr>
        <w:t xml:space="preserve"> i </w:t>
      </w:r>
      <w:proofErr w:type="spellStart"/>
      <w:r w:rsidRPr="00406642">
        <w:rPr>
          <w:rFonts w:ascii="Georgia" w:hAnsi="Georgia"/>
          <w:color w:val="0A0A0A"/>
          <w:sz w:val="21"/>
          <w:szCs w:val="21"/>
          <w:lang w:val="de-DE"/>
        </w:rPr>
        <w:t>felten</w:t>
      </w:r>
      <w:proofErr w:type="spellEnd"/>
      <w:r w:rsidRPr="00406642">
        <w:rPr>
          <w:rFonts w:ascii="Georgia" w:hAnsi="Georgia"/>
          <w:color w:val="0A0A0A"/>
          <w:sz w:val="21"/>
          <w:szCs w:val="21"/>
          <w:lang w:val="de-DE"/>
        </w:rPr>
        <w:t>", in: 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w:t>
      </w:r>
      <w:r w:rsidRPr="00406642">
        <w:rPr>
          <w:rStyle w:val="Hervorhebung"/>
          <w:rFonts w:ascii="Georgia" w:hAnsi="Georgia"/>
          <w:color w:val="0A0A0A"/>
          <w:sz w:val="21"/>
          <w:szCs w:val="21"/>
          <w:lang w:val="de-DE"/>
        </w:rPr>
        <w:t> </w:t>
      </w:r>
      <w:proofErr w:type="spellStart"/>
      <w:r w:rsidRPr="00406642">
        <w:rPr>
          <w:rStyle w:val="Hervorhebung"/>
          <w:rFonts w:ascii="Georgia" w:hAnsi="Georgia"/>
          <w:color w:val="0A0A0A"/>
          <w:sz w:val="21"/>
          <w:szCs w:val="21"/>
          <w:lang w:val="de-DE"/>
        </w:rPr>
        <w:t>Gerasa</w:t>
      </w:r>
      <w:proofErr w:type="spellEnd"/>
      <w:r w:rsidRPr="00406642">
        <w:rPr>
          <w:rStyle w:val="Hervorhebung"/>
          <w:rFonts w:ascii="Georgia" w:hAnsi="Georgia"/>
          <w:color w:val="0A0A0A"/>
          <w:sz w:val="21"/>
          <w:szCs w:val="21"/>
          <w:lang w:val="de-DE"/>
        </w:rPr>
        <w:t>/</w:t>
      </w:r>
      <w:proofErr w:type="spellStart"/>
      <w:r w:rsidRPr="00406642">
        <w:rPr>
          <w:rStyle w:val="Hervorhebung"/>
          <w:rFonts w:ascii="Georgia" w:hAnsi="Georgia"/>
          <w:color w:val="0A0A0A"/>
          <w:sz w:val="21"/>
          <w:szCs w:val="21"/>
          <w:lang w:val="de-DE"/>
        </w:rPr>
        <w:t>Jerash</w:t>
      </w:r>
      <w:proofErr w:type="spellEnd"/>
      <w:r w:rsidRPr="00406642">
        <w:rPr>
          <w:rStyle w:val="Hervorhebung"/>
          <w:rFonts w:ascii="Georgia" w:hAnsi="Georgia"/>
          <w:color w:val="0A0A0A"/>
          <w:sz w:val="21"/>
          <w:szCs w:val="21"/>
          <w:lang w:val="de-DE"/>
        </w:rPr>
        <w:t xml:space="preserve">: </w:t>
      </w:r>
      <w:proofErr w:type="spellStart"/>
      <w:r w:rsidRPr="00406642">
        <w:rPr>
          <w:rStyle w:val="Hervorhebung"/>
          <w:rFonts w:ascii="Georgia" w:hAnsi="Georgia"/>
          <w:color w:val="0A0A0A"/>
          <w:sz w:val="21"/>
          <w:szCs w:val="21"/>
          <w:lang w:val="de-DE"/>
        </w:rPr>
        <w:t>Fra</w:t>
      </w:r>
      <w:proofErr w:type="spellEnd"/>
      <w:r w:rsidRPr="00406642">
        <w:rPr>
          <w:rStyle w:val="Hervorhebung"/>
          <w:rFonts w:ascii="Georgia" w:hAnsi="Georgia"/>
          <w:color w:val="0A0A0A"/>
          <w:sz w:val="21"/>
          <w:szCs w:val="21"/>
          <w:lang w:val="de-DE"/>
        </w:rPr>
        <w:t xml:space="preserve"> den Urbane </w:t>
      </w:r>
      <w:proofErr w:type="spellStart"/>
      <w:r w:rsidRPr="00406642">
        <w:rPr>
          <w:rStyle w:val="Hervorhebung"/>
          <w:rFonts w:ascii="Georgia" w:hAnsi="Georgia"/>
          <w:color w:val="0A0A0A"/>
          <w:sz w:val="21"/>
          <w:szCs w:val="21"/>
          <w:lang w:val="de-DE"/>
        </w:rPr>
        <w:t>Periferi</w:t>
      </w:r>
      <w:proofErr w:type="spellEnd"/>
      <w:r w:rsidRPr="00406642">
        <w:rPr>
          <w:rFonts w:ascii="Georgia" w:hAnsi="Georgia"/>
          <w:color w:val="0A0A0A"/>
          <w:sz w:val="21"/>
          <w:szCs w:val="21"/>
          <w:lang w:val="de-DE"/>
        </w:rPr>
        <w:t>, Aarhus, 21–26.</w:t>
      </w:r>
    </w:p>
    <w:p w14:paraId="398469EC"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Gordon, R., Lichtenberger, A. &amp; Raja, R. (2017). </w:t>
      </w:r>
      <w:r w:rsidRPr="00406642">
        <w:rPr>
          <w:rFonts w:ascii="Georgia" w:hAnsi="Georgia"/>
          <w:color w:val="0A0A0A"/>
          <w:sz w:val="21"/>
          <w:szCs w:val="21"/>
          <w:lang w:val="en-US"/>
        </w:rPr>
        <w:t xml:space="preserve">"A new inscribed amulet from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(Jerash)",</w:t>
      </w:r>
      <w:r w:rsidRPr="00406642">
        <w:rPr>
          <w:rStyle w:val="Hervorhebung"/>
          <w:rFonts w:ascii="Georgia" w:hAnsi="Georgia"/>
          <w:color w:val="0A0A0A"/>
          <w:sz w:val="21"/>
          <w:szCs w:val="21"/>
          <w:lang w:val="en-US"/>
        </w:rPr>
        <w:t> Syria </w:t>
      </w:r>
      <w:r w:rsidRPr="00406642">
        <w:rPr>
          <w:rFonts w:ascii="Georgia" w:hAnsi="Georgia"/>
          <w:color w:val="0A0A0A"/>
          <w:sz w:val="21"/>
          <w:szCs w:val="21"/>
          <w:lang w:val="en-US"/>
        </w:rPr>
        <w:t>94, 297-306.</w:t>
      </w:r>
    </w:p>
    <w:p w14:paraId="27E042C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Holdridge, G., Kristiansen, S. M., Lichtenberger A., Raja, R. &amp; Simpson, I. (2017). </w:t>
      </w:r>
      <w:r w:rsidRPr="00406642">
        <w:rPr>
          <w:rFonts w:ascii="Georgia" w:hAnsi="Georgia"/>
          <w:color w:val="0A0A0A"/>
          <w:sz w:val="21"/>
          <w:szCs w:val="21"/>
          <w:lang w:val="en-US"/>
        </w:rPr>
        <w:t>"City and wadi: Exploring the environs of Jerash", </w:t>
      </w:r>
      <w:r w:rsidRPr="00406642">
        <w:rPr>
          <w:rStyle w:val="Hervorhebung"/>
          <w:rFonts w:ascii="Georgia" w:hAnsi="Georgia"/>
          <w:color w:val="0A0A0A"/>
          <w:sz w:val="21"/>
          <w:szCs w:val="21"/>
          <w:lang w:val="en-US"/>
        </w:rPr>
        <w:t>Antiquity </w:t>
      </w:r>
      <w:r w:rsidRPr="00406642">
        <w:rPr>
          <w:rFonts w:ascii="Georgia" w:hAnsi="Georgia"/>
          <w:color w:val="0A0A0A"/>
          <w:sz w:val="21"/>
          <w:szCs w:val="21"/>
          <w:lang w:val="en-US"/>
        </w:rPr>
        <w:t>91:358. </w:t>
      </w:r>
    </w:p>
    <w:p w14:paraId="616F7190"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Kalaitzoglou, G. (2017). "Excavating Jerash: archaeological aims, methods and techniques",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33-40.</w:t>
      </w:r>
    </w:p>
    <w:p w14:paraId="0B6478E8"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Kalaitzoglou, G. (2017). "Udgravningen af Jerash: arkæologiske målsætninger, metoder og teknikker",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33-40.</w:t>
      </w:r>
    </w:p>
    <w:p w14:paraId="287F1CB9"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Kalaitzoglou, G., Lichtenberger, A. &amp; Raja, R. (2017). "Ausgrabungen im </w:t>
      </w:r>
      <w:proofErr w:type="spellStart"/>
      <w:r w:rsidRPr="00406642">
        <w:rPr>
          <w:rFonts w:ascii="Georgia" w:hAnsi="Georgia"/>
          <w:color w:val="0A0A0A"/>
          <w:sz w:val="21"/>
          <w:szCs w:val="21"/>
          <w:lang w:val="de-DE"/>
        </w:rPr>
        <w:t>Nordwestvirtel</w:t>
      </w:r>
      <w:proofErr w:type="spellEnd"/>
      <w:r w:rsidRPr="00406642">
        <w:rPr>
          <w:rFonts w:ascii="Georgia" w:hAnsi="Georgia"/>
          <w:color w:val="0A0A0A"/>
          <w:sz w:val="21"/>
          <w:szCs w:val="21"/>
          <w:lang w:val="de-DE"/>
        </w:rPr>
        <w:t xml:space="preserve"> von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(Jordanien)", </w:t>
      </w:r>
      <w:r w:rsidRPr="00406642">
        <w:rPr>
          <w:rStyle w:val="Hervorhebung"/>
          <w:rFonts w:ascii="Georgia" w:hAnsi="Georgia"/>
          <w:color w:val="0A0A0A"/>
          <w:sz w:val="21"/>
          <w:szCs w:val="21"/>
          <w:lang w:val="de-DE"/>
        </w:rPr>
        <w:t>Jahresbericht des Instituts für Archäologische Wissenschaften für das Akademische Jahr 2015–2016</w:t>
      </w:r>
      <w:r w:rsidRPr="00406642">
        <w:rPr>
          <w:rFonts w:ascii="Georgia" w:hAnsi="Georgia"/>
          <w:color w:val="0A0A0A"/>
          <w:sz w:val="21"/>
          <w:szCs w:val="21"/>
          <w:lang w:val="de-DE"/>
        </w:rPr>
        <w:t>, Bochum, 85–90.</w:t>
      </w:r>
    </w:p>
    <w:p w14:paraId="2F7DA0C7"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Kristiansen, S. M., Holdridge, G. A. &amp; Simpson, I. (2017). "Et kapitel om Jerash fra naturens store bog: Jordbunden som arkiv",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53-58.  </w:t>
      </w:r>
    </w:p>
    <w:p w14:paraId="018DB548" w14:textId="77777777" w:rsidR="00406642" w:rsidRPr="00406642" w:rsidRDefault="00406642" w:rsidP="00406642">
      <w:pPr>
        <w:pStyle w:val="StandardWeb"/>
        <w:shd w:val="clear" w:color="auto" w:fill="FEFEFE"/>
        <w:rPr>
          <w:rFonts w:ascii="Georgia" w:hAnsi="Georgia"/>
          <w:color w:val="0A0A0A"/>
          <w:sz w:val="21"/>
          <w:szCs w:val="21"/>
          <w:lang w:val="en-US"/>
        </w:rPr>
      </w:pPr>
      <w:r>
        <w:rPr>
          <w:rFonts w:ascii="Georgia" w:hAnsi="Georgia"/>
          <w:color w:val="0A0A0A"/>
          <w:sz w:val="21"/>
          <w:szCs w:val="21"/>
        </w:rPr>
        <w:t xml:space="preserve">Kristiansen, S. M., Holdridge, G. A. &amp; Simpson, I. A. (2017). </w:t>
      </w:r>
      <w:r w:rsidRPr="00406642">
        <w:rPr>
          <w:rFonts w:ascii="Georgia" w:hAnsi="Georgia"/>
          <w:color w:val="0A0A0A"/>
          <w:sz w:val="21"/>
          <w:szCs w:val="21"/>
          <w:lang w:val="en-US"/>
        </w:rPr>
        <w:t>"Reading the book of nature in Jerash: The soil archives",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53-58.  </w:t>
      </w:r>
    </w:p>
    <w:p w14:paraId="34704D78"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lastRenderedPageBreak/>
        <w:t>Kristensen, S. B. (2017). "Cooking up culture: production traditions in Late Roman-Byzantine locally produced cooking ware",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75–82.</w:t>
      </w:r>
    </w:p>
    <w:p w14:paraId="5358C4EB"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Kristensen, S. B. (2017). "Kultur i køkkenet: Traditionelle produktionstekniker for lokalt køkkentøj fra senromersk-byzantinsk tid",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75–82.</w:t>
      </w:r>
    </w:p>
    <w:p w14:paraId="0F8745E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xml:space="preserve">.) </w:t>
      </w:r>
      <w:r w:rsidRPr="00406642">
        <w:rPr>
          <w:rFonts w:ascii="Georgia" w:hAnsi="Georgia"/>
          <w:color w:val="0A0A0A"/>
          <w:sz w:val="21"/>
          <w:szCs w:val="21"/>
          <w:lang w:val="en-US"/>
        </w:rPr>
        <w:t>(2017).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w:t>
      </w:r>
    </w:p>
    <w:p w14:paraId="53924919" w14:textId="77777777" w:rsidR="00406642" w:rsidRPr="00406642" w:rsidRDefault="00406642" w:rsidP="00406642">
      <w:pPr>
        <w:pStyle w:val="StandardWeb"/>
        <w:shd w:val="clear" w:color="auto" w:fill="FEFEFE"/>
        <w:rPr>
          <w:rFonts w:ascii="Georgia" w:hAnsi="Georgia"/>
          <w:color w:val="0A0A0A"/>
          <w:sz w:val="21"/>
          <w:szCs w:val="21"/>
          <w:lang w:val="it-IT"/>
        </w:rPr>
      </w:pPr>
      <w:r w:rsidRPr="00406642">
        <w:rPr>
          <w:rFonts w:ascii="Georgia" w:hAnsi="Georgia"/>
          <w:color w:val="0A0A0A"/>
          <w:sz w:val="21"/>
          <w:szCs w:val="21"/>
          <w:lang w:val="de-DE"/>
        </w:rPr>
        <w:t>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xml:space="preserve">.) </w:t>
      </w:r>
      <w:r w:rsidRPr="00406642">
        <w:rPr>
          <w:rFonts w:ascii="Georgia" w:hAnsi="Georgia"/>
          <w:color w:val="0A0A0A"/>
          <w:sz w:val="21"/>
          <w:szCs w:val="21"/>
          <w:lang w:val="it-IT"/>
        </w:rPr>
        <w:t>(2017). </w:t>
      </w:r>
      <w:r w:rsidRPr="00406642">
        <w:rPr>
          <w:rStyle w:val="Hervorhebung"/>
          <w:rFonts w:ascii="Georgia" w:hAnsi="Georgia"/>
          <w:color w:val="0A0A0A"/>
          <w:sz w:val="21"/>
          <w:szCs w:val="21"/>
          <w:lang w:val="it-IT"/>
        </w:rPr>
        <w:t>Gerasa/Jerash: Fra den Urbane Periferi</w:t>
      </w:r>
      <w:r w:rsidRPr="00406642">
        <w:rPr>
          <w:rFonts w:ascii="Georgia" w:hAnsi="Georgia"/>
          <w:color w:val="0A0A0A"/>
          <w:sz w:val="21"/>
          <w:szCs w:val="21"/>
          <w:lang w:val="it-IT"/>
        </w:rPr>
        <w:t>, Aarhus.  </w:t>
      </w:r>
    </w:p>
    <w:p w14:paraId="2E0B202C" w14:textId="77777777" w:rsidR="00406642" w:rsidRPr="00406642" w:rsidRDefault="00406642" w:rsidP="00406642">
      <w:pPr>
        <w:pStyle w:val="StandardWeb"/>
        <w:shd w:val="clear" w:color="auto" w:fill="FEFEFE"/>
        <w:rPr>
          <w:rFonts w:ascii="Georgia" w:hAnsi="Georgia"/>
          <w:color w:val="0A0A0A"/>
          <w:sz w:val="21"/>
          <w:szCs w:val="21"/>
          <w:lang w:val="it-IT"/>
        </w:rPr>
      </w:pPr>
      <w:r w:rsidRPr="00406642">
        <w:rPr>
          <w:rFonts w:ascii="Georgia" w:hAnsi="Georgia"/>
          <w:color w:val="0A0A0A"/>
          <w:sz w:val="21"/>
          <w:szCs w:val="21"/>
          <w:lang w:val="it-IT"/>
        </w:rPr>
        <w:t>Lichtenberger, A. &amp; Raja, R. (2017). "Editors' preface", in: Lichtenberger, A. &amp; Raja, R. (eds.), </w:t>
      </w:r>
      <w:r w:rsidRPr="00406642">
        <w:rPr>
          <w:rStyle w:val="Hervorhebung"/>
          <w:rFonts w:ascii="Georgia" w:hAnsi="Georgia"/>
          <w:color w:val="0A0A0A"/>
          <w:sz w:val="21"/>
          <w:szCs w:val="21"/>
          <w:lang w:val="it-IT"/>
        </w:rPr>
        <w:t>Gerasa/Jerash: From Urban Periphery</w:t>
      </w:r>
      <w:r w:rsidRPr="00406642">
        <w:rPr>
          <w:rFonts w:ascii="Georgia" w:hAnsi="Georgia"/>
          <w:color w:val="0A0A0A"/>
          <w:sz w:val="21"/>
          <w:szCs w:val="21"/>
          <w:lang w:val="it-IT"/>
        </w:rPr>
        <w:t>, Aarhus, 3.</w:t>
      </w:r>
    </w:p>
    <w:p w14:paraId="7BDDF486"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it-IT"/>
        </w:rPr>
        <w:t xml:space="preserve">Lichtenberger, A. &amp; Raja, R. (2017). </w:t>
      </w:r>
      <w:r w:rsidRPr="00406642">
        <w:rPr>
          <w:rFonts w:ascii="Georgia" w:hAnsi="Georgia"/>
          <w:color w:val="0A0A0A"/>
          <w:sz w:val="21"/>
          <w:szCs w:val="21"/>
          <w:lang w:val="en-US"/>
        </w:rPr>
        <w:t xml:space="preserve">"Mosaicists at work: the </w:t>
      </w:r>
      <w:proofErr w:type="spellStart"/>
      <w:r w:rsidRPr="00406642">
        <w:rPr>
          <w:rFonts w:ascii="Georgia" w:hAnsi="Georgia"/>
          <w:color w:val="0A0A0A"/>
          <w:sz w:val="21"/>
          <w:szCs w:val="21"/>
          <w:lang w:val="en-US"/>
        </w:rPr>
        <w:t>organisation</w:t>
      </w:r>
      <w:proofErr w:type="spellEnd"/>
      <w:r w:rsidRPr="00406642">
        <w:rPr>
          <w:rFonts w:ascii="Georgia" w:hAnsi="Georgia"/>
          <w:color w:val="0A0A0A"/>
          <w:sz w:val="21"/>
          <w:szCs w:val="21"/>
          <w:lang w:val="en-US"/>
        </w:rPr>
        <w:t xml:space="preserve"> of mosaic production in Early Islamic Jerash",</w:t>
      </w:r>
      <w:r w:rsidRPr="00406642">
        <w:rPr>
          <w:rStyle w:val="Hervorhebung"/>
          <w:rFonts w:ascii="Georgia" w:hAnsi="Georgia"/>
          <w:color w:val="0A0A0A"/>
          <w:sz w:val="21"/>
          <w:szCs w:val="21"/>
          <w:lang w:val="en-US"/>
        </w:rPr>
        <w:t> Antiquity</w:t>
      </w:r>
      <w:r w:rsidRPr="00406642">
        <w:rPr>
          <w:rFonts w:ascii="Georgia" w:hAnsi="Georgia"/>
          <w:color w:val="0A0A0A"/>
          <w:sz w:val="21"/>
          <w:szCs w:val="21"/>
          <w:lang w:val="en-US"/>
        </w:rPr>
        <w:t> 91:358, 998-1010.  </w:t>
      </w:r>
    </w:p>
    <w:p w14:paraId="0CFAAFE5"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Lichtenberger, A. &amp; Raja, R. (2017). "</w:t>
      </w:r>
      <w:proofErr w:type="spellStart"/>
      <w:r w:rsidRPr="00406642">
        <w:rPr>
          <w:rFonts w:ascii="Georgia" w:hAnsi="Georgia"/>
          <w:color w:val="0A0A0A"/>
          <w:sz w:val="21"/>
          <w:szCs w:val="21"/>
          <w:lang w:val="de-DE"/>
        </w:rPr>
        <w:t>Redaktørenes</w:t>
      </w:r>
      <w:proofErr w:type="spellEnd"/>
      <w:r w:rsidRPr="00406642">
        <w:rPr>
          <w:rFonts w:ascii="Georgia" w:hAnsi="Georgia"/>
          <w:color w:val="0A0A0A"/>
          <w:sz w:val="21"/>
          <w:szCs w:val="21"/>
          <w:lang w:val="de-DE"/>
        </w:rPr>
        <w:t xml:space="preserve"> </w:t>
      </w:r>
      <w:proofErr w:type="spellStart"/>
      <w:r w:rsidRPr="00406642">
        <w:rPr>
          <w:rFonts w:ascii="Georgia" w:hAnsi="Georgia"/>
          <w:color w:val="0A0A0A"/>
          <w:sz w:val="21"/>
          <w:szCs w:val="21"/>
          <w:lang w:val="de-DE"/>
        </w:rPr>
        <w:t>forord</w:t>
      </w:r>
      <w:proofErr w:type="spellEnd"/>
      <w:r w:rsidRPr="00406642">
        <w:rPr>
          <w:rFonts w:ascii="Georgia" w:hAnsi="Georgia"/>
          <w:color w:val="0A0A0A"/>
          <w:sz w:val="21"/>
          <w:szCs w:val="21"/>
          <w:lang w:val="de-DE"/>
        </w:rPr>
        <w:t>", in: Lichtenberger, A. &amp; Raja, R.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w:t>
      </w:r>
      <w:proofErr w:type="spellStart"/>
      <w:r w:rsidRPr="00406642">
        <w:rPr>
          <w:rStyle w:val="Hervorhebung"/>
          <w:rFonts w:ascii="Georgia" w:hAnsi="Georgia"/>
          <w:color w:val="0A0A0A"/>
          <w:sz w:val="21"/>
          <w:szCs w:val="21"/>
          <w:lang w:val="de-DE"/>
        </w:rPr>
        <w:t>Gerasa</w:t>
      </w:r>
      <w:proofErr w:type="spellEnd"/>
      <w:r w:rsidRPr="00406642">
        <w:rPr>
          <w:rStyle w:val="Hervorhebung"/>
          <w:rFonts w:ascii="Georgia" w:hAnsi="Georgia"/>
          <w:color w:val="0A0A0A"/>
          <w:sz w:val="21"/>
          <w:szCs w:val="21"/>
          <w:lang w:val="de-DE"/>
        </w:rPr>
        <w:t>/</w:t>
      </w:r>
      <w:proofErr w:type="spellStart"/>
      <w:r w:rsidRPr="00406642">
        <w:rPr>
          <w:rStyle w:val="Hervorhebung"/>
          <w:rFonts w:ascii="Georgia" w:hAnsi="Georgia"/>
          <w:color w:val="0A0A0A"/>
          <w:sz w:val="21"/>
          <w:szCs w:val="21"/>
          <w:lang w:val="de-DE"/>
        </w:rPr>
        <w:t>Jerash</w:t>
      </w:r>
      <w:proofErr w:type="spellEnd"/>
      <w:r w:rsidRPr="00406642">
        <w:rPr>
          <w:rStyle w:val="Hervorhebung"/>
          <w:rFonts w:ascii="Georgia" w:hAnsi="Georgia"/>
          <w:color w:val="0A0A0A"/>
          <w:sz w:val="21"/>
          <w:szCs w:val="21"/>
          <w:lang w:val="de-DE"/>
        </w:rPr>
        <w:t>: </w:t>
      </w:r>
      <w:proofErr w:type="spellStart"/>
      <w:r w:rsidRPr="00406642">
        <w:rPr>
          <w:rStyle w:val="Hervorhebung"/>
          <w:rFonts w:ascii="Georgia" w:hAnsi="Georgia"/>
          <w:color w:val="0A0A0A"/>
          <w:sz w:val="21"/>
          <w:szCs w:val="21"/>
          <w:lang w:val="de-DE"/>
        </w:rPr>
        <w:t>Fra</w:t>
      </w:r>
      <w:proofErr w:type="spellEnd"/>
      <w:r w:rsidRPr="00406642">
        <w:rPr>
          <w:rStyle w:val="Hervorhebung"/>
          <w:rFonts w:ascii="Georgia" w:hAnsi="Georgia"/>
          <w:color w:val="0A0A0A"/>
          <w:sz w:val="21"/>
          <w:szCs w:val="21"/>
          <w:lang w:val="de-DE"/>
        </w:rPr>
        <w:t xml:space="preserve"> den Urbane </w:t>
      </w:r>
      <w:proofErr w:type="spellStart"/>
      <w:r w:rsidRPr="00406642">
        <w:rPr>
          <w:rStyle w:val="Hervorhebung"/>
          <w:rFonts w:ascii="Georgia" w:hAnsi="Georgia"/>
          <w:color w:val="0A0A0A"/>
          <w:sz w:val="21"/>
          <w:szCs w:val="21"/>
          <w:lang w:val="de-DE"/>
        </w:rPr>
        <w:t>Periferi</w:t>
      </w:r>
      <w:proofErr w:type="spellEnd"/>
      <w:r w:rsidRPr="00406642">
        <w:rPr>
          <w:rFonts w:ascii="Georgia" w:hAnsi="Georgia"/>
          <w:color w:val="0A0A0A"/>
          <w:sz w:val="21"/>
          <w:szCs w:val="21"/>
          <w:lang w:val="de-DE"/>
        </w:rPr>
        <w:t>, Aarhus, 3.  </w:t>
      </w:r>
    </w:p>
    <w:p w14:paraId="083A975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(2017). "Urban archaeology and the understanding of the past: </w:t>
      </w:r>
      <w:proofErr w:type="spellStart"/>
      <w:r w:rsidRPr="00406642">
        <w:rPr>
          <w:rFonts w:ascii="Georgia" w:hAnsi="Georgia"/>
          <w:color w:val="0A0A0A"/>
          <w:sz w:val="21"/>
          <w:szCs w:val="21"/>
          <w:lang w:val="en-US"/>
        </w:rPr>
        <w:t>Antiochia</w:t>
      </w:r>
      <w:proofErr w:type="spellEnd"/>
      <w:r w:rsidRPr="00406642">
        <w:rPr>
          <w:rFonts w:ascii="Georgia" w:hAnsi="Georgia"/>
          <w:color w:val="0A0A0A"/>
          <w:sz w:val="21"/>
          <w:szCs w:val="21"/>
          <w:lang w:val="en-US"/>
        </w:rPr>
        <w:t xml:space="preserve"> on the </w:t>
      </w:r>
      <w:proofErr w:type="spellStart"/>
      <w:r w:rsidRPr="00406642">
        <w:rPr>
          <w:rFonts w:ascii="Georgia" w:hAnsi="Georgia"/>
          <w:color w:val="0A0A0A"/>
          <w:sz w:val="21"/>
          <w:szCs w:val="21"/>
          <w:lang w:val="en-US"/>
        </w:rPr>
        <w:t>Chrysorrhoas</w:t>
      </w:r>
      <w:proofErr w:type="spellEnd"/>
      <w:r w:rsidRPr="00406642">
        <w:rPr>
          <w:rFonts w:ascii="Georgia" w:hAnsi="Georgia"/>
          <w:color w:val="0A0A0A"/>
          <w:sz w:val="21"/>
          <w:szCs w:val="21"/>
          <w:lang w:val="en-US"/>
        </w:rPr>
        <w:t xml:space="preserve">, also called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9-20.</w:t>
      </w:r>
    </w:p>
    <w:p w14:paraId="4ACDCD4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(2017). "Urban </w:t>
      </w:r>
      <w:proofErr w:type="spellStart"/>
      <w:r w:rsidRPr="00406642">
        <w:rPr>
          <w:rFonts w:ascii="Georgia" w:hAnsi="Georgia"/>
          <w:color w:val="0A0A0A"/>
          <w:sz w:val="21"/>
          <w:szCs w:val="21"/>
          <w:lang w:val="en-US"/>
        </w:rPr>
        <w:t>arkæologi</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og</w:t>
      </w:r>
      <w:proofErr w:type="spellEnd"/>
      <w:r w:rsidRPr="00406642">
        <w:rPr>
          <w:rFonts w:ascii="Georgia" w:hAnsi="Georgia"/>
          <w:color w:val="0A0A0A"/>
          <w:sz w:val="21"/>
          <w:szCs w:val="21"/>
          <w:lang w:val="en-US"/>
        </w:rPr>
        <w:t xml:space="preserve"> et </w:t>
      </w:r>
      <w:proofErr w:type="spellStart"/>
      <w:r w:rsidRPr="00406642">
        <w:rPr>
          <w:rFonts w:ascii="Georgia" w:hAnsi="Georgia"/>
          <w:color w:val="0A0A0A"/>
          <w:sz w:val="21"/>
          <w:szCs w:val="21"/>
          <w:lang w:val="en-US"/>
        </w:rPr>
        <w:t>blik</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ind</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i</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fortiden</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Antiochia-ved-Chrysorrhoas-også-kaldet-Gerasa</w:t>
      </w:r>
      <w:proofErr w:type="spellEnd"/>
      <w:r w:rsidRPr="00406642">
        <w:rPr>
          <w:rFonts w:ascii="Georgia" w:hAnsi="Georgia"/>
          <w:color w:val="0A0A0A"/>
          <w:sz w:val="21"/>
          <w:szCs w:val="21"/>
          <w:lang w:val="en-US"/>
        </w:rPr>
        <w:t>",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 xml:space="preserve">/Jerash: Fra den Urbane </w:t>
      </w:r>
      <w:proofErr w:type="spellStart"/>
      <w:r w:rsidRPr="00406642">
        <w:rPr>
          <w:rStyle w:val="Hervorhebung"/>
          <w:rFonts w:ascii="Georgia" w:hAnsi="Georgia"/>
          <w:color w:val="0A0A0A"/>
          <w:sz w:val="21"/>
          <w:szCs w:val="21"/>
          <w:lang w:val="en-US"/>
        </w:rPr>
        <w:t>Periferi</w:t>
      </w:r>
      <w:proofErr w:type="spellEnd"/>
      <w:r w:rsidRPr="00406642">
        <w:rPr>
          <w:rFonts w:ascii="Georgia" w:hAnsi="Georgia"/>
          <w:color w:val="0A0A0A"/>
          <w:sz w:val="21"/>
          <w:szCs w:val="21"/>
          <w:lang w:val="en-US"/>
        </w:rPr>
        <w:t>, Aarhus, 9-20.  </w:t>
      </w:r>
    </w:p>
    <w:p w14:paraId="544A399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(2017). "</w:t>
      </w:r>
      <w:proofErr w:type="spellStart"/>
      <w:r w:rsidRPr="00406642">
        <w:rPr>
          <w:rFonts w:ascii="Georgia" w:hAnsi="Georgia"/>
          <w:color w:val="0A0A0A"/>
          <w:sz w:val="21"/>
          <w:szCs w:val="21"/>
          <w:lang w:val="en-US"/>
        </w:rPr>
        <w:t>Vandforvaltning</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i</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Nordvest-kvarteret</w:t>
      </w:r>
      <w:proofErr w:type="spellEnd"/>
      <w:r w:rsidRPr="00406642">
        <w:rPr>
          <w:rFonts w:ascii="Georgia" w:hAnsi="Georgia"/>
          <w:color w:val="0A0A0A"/>
          <w:sz w:val="21"/>
          <w:szCs w:val="21"/>
          <w:lang w:val="en-US"/>
        </w:rPr>
        <w:t xml:space="preserve"> </w:t>
      </w:r>
      <w:proofErr w:type="spellStart"/>
      <w:r w:rsidRPr="00406642">
        <w:rPr>
          <w:rFonts w:ascii="Georgia" w:hAnsi="Georgia"/>
          <w:color w:val="0A0A0A"/>
          <w:sz w:val="21"/>
          <w:szCs w:val="21"/>
          <w:lang w:val="en-US"/>
        </w:rPr>
        <w:t>i</w:t>
      </w:r>
      <w:proofErr w:type="spellEnd"/>
      <w:r w:rsidRPr="00406642">
        <w:rPr>
          <w:rFonts w:ascii="Georgia" w:hAnsi="Georgia"/>
          <w:color w:val="0A0A0A"/>
          <w:sz w:val="21"/>
          <w:szCs w:val="21"/>
          <w:lang w:val="en-US"/>
        </w:rPr>
        <w:t xml:space="preserve"> Jerash",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w:t>
      </w:r>
      <w:r w:rsidRPr="00406642">
        <w:rPr>
          <w:rFonts w:ascii="Georgia" w:hAnsi="Georgia"/>
          <w:color w:val="0A0A0A"/>
          <w:sz w:val="21"/>
          <w:szCs w:val="21"/>
          <w:lang w:val="en-US"/>
        </w:rPr>
        <w:t> </w:t>
      </w:r>
      <w:r w:rsidRPr="00406642">
        <w:rPr>
          <w:rStyle w:val="Hervorhebung"/>
          <w:rFonts w:ascii="Georgia" w:hAnsi="Georgia"/>
          <w:color w:val="0A0A0A"/>
          <w:sz w:val="21"/>
          <w:szCs w:val="21"/>
          <w:lang w:val="en-US"/>
        </w:rPr>
        <w:t xml:space="preserve">Fra den Urbane </w:t>
      </w:r>
      <w:proofErr w:type="spellStart"/>
      <w:r w:rsidRPr="00406642">
        <w:rPr>
          <w:rStyle w:val="Hervorhebung"/>
          <w:rFonts w:ascii="Georgia" w:hAnsi="Georgia"/>
          <w:color w:val="0A0A0A"/>
          <w:sz w:val="21"/>
          <w:szCs w:val="21"/>
          <w:lang w:val="en-US"/>
        </w:rPr>
        <w:t>Periferi</w:t>
      </w:r>
      <w:proofErr w:type="spellEnd"/>
      <w:r w:rsidRPr="00406642">
        <w:rPr>
          <w:rFonts w:ascii="Georgia" w:hAnsi="Georgia"/>
          <w:color w:val="0A0A0A"/>
          <w:sz w:val="21"/>
          <w:szCs w:val="21"/>
          <w:lang w:val="en-US"/>
        </w:rPr>
        <w:t>, Aarhus, 121-130.</w:t>
      </w:r>
    </w:p>
    <w:p w14:paraId="3E8F8921"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(2017). "Water management in the North-West Quarter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/Jerash",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121-130. </w:t>
      </w:r>
    </w:p>
    <w:p w14:paraId="238C90D4"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Mortensen, E. (2017). "Archive archaeology: Rediscovering Jerash in the digital archives",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27-32. </w:t>
      </w:r>
    </w:p>
    <w:p w14:paraId="629CE6B0"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Mortensen, E. (2017). "Arkæologi i arkiverne: Den digitale genopdagelse af Jerash",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27-32. </w:t>
      </w:r>
    </w:p>
    <w:p w14:paraId="384AC754"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Möller, H. (2017). "Ceramics in context: Interpreting life through pottery",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59-66. </w:t>
      </w:r>
    </w:p>
    <w:p w14:paraId="27CDAFBE"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Möller, H. (2017). "Keramik i kontekst: fortolkning af liv gennem keramik",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59-66.   </w:t>
      </w:r>
    </w:p>
    <w:p w14:paraId="18DBD7C7"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Peterson, A. (2017). "Medieval pottery from Jerash: The Middle Islamic settlement",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67-74. </w:t>
      </w:r>
    </w:p>
    <w:p w14:paraId="44F1B945"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Peterson, A. (2017). "Middelalderkeramik fra Jerash: Den mellemislamiske bosættelse",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67-74. </w:t>
      </w:r>
    </w:p>
    <w:p w14:paraId="085D6CF4" w14:textId="77777777" w:rsidR="00406642" w:rsidRPr="00406642" w:rsidRDefault="00406642" w:rsidP="00406642">
      <w:pPr>
        <w:pStyle w:val="StandardWeb"/>
        <w:shd w:val="clear" w:color="auto" w:fill="FEFEFE"/>
        <w:rPr>
          <w:rFonts w:ascii="Georgia" w:hAnsi="Georgia"/>
          <w:color w:val="0A0A0A"/>
          <w:sz w:val="21"/>
          <w:szCs w:val="21"/>
          <w:lang w:val="en-US"/>
        </w:rPr>
      </w:pPr>
      <w:r>
        <w:rPr>
          <w:rFonts w:ascii="Georgia" w:hAnsi="Georgia"/>
          <w:color w:val="0A0A0A"/>
          <w:sz w:val="21"/>
          <w:szCs w:val="21"/>
        </w:rPr>
        <w:lastRenderedPageBreak/>
        <w:t xml:space="preserve">Stott, D. &amp; Kristiansen, S. M. (2017). </w:t>
      </w:r>
      <w:r w:rsidRPr="00406642">
        <w:rPr>
          <w:rFonts w:ascii="Georgia" w:hAnsi="Georgia"/>
          <w:color w:val="0A0A0A"/>
          <w:sz w:val="21"/>
          <w:szCs w:val="21"/>
          <w:lang w:val="en-US"/>
        </w:rPr>
        <w:t xml:space="preserve">"Mapping ancient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xml:space="preserve"> with remote sensing",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41–46.</w:t>
      </w:r>
    </w:p>
    <w:p w14:paraId="03297ACD" w14:textId="77777777" w:rsidR="00406642" w:rsidRDefault="00406642" w:rsidP="00406642">
      <w:pPr>
        <w:pStyle w:val="StandardWeb"/>
        <w:shd w:val="clear" w:color="auto" w:fill="FEFEFE"/>
        <w:rPr>
          <w:rFonts w:ascii="Georgia" w:hAnsi="Georgia"/>
          <w:color w:val="0A0A0A"/>
          <w:sz w:val="21"/>
          <w:szCs w:val="21"/>
        </w:rPr>
      </w:pPr>
      <w:r>
        <w:rPr>
          <w:rFonts w:ascii="Georgia" w:hAnsi="Georgia"/>
          <w:color w:val="0A0A0A"/>
          <w:sz w:val="21"/>
          <w:szCs w:val="21"/>
        </w:rPr>
        <w:t>Stott, D. &amp; Kristiansen, S. M. (2017). "Oldtidens Gerasa kortlagt fra luften", in: Lichtenberger, A. &amp; Raja, R. (eds.), </w:t>
      </w:r>
      <w:r>
        <w:rPr>
          <w:rStyle w:val="Hervorhebung"/>
          <w:rFonts w:ascii="Georgia" w:hAnsi="Georgia"/>
          <w:color w:val="0A0A0A"/>
          <w:sz w:val="21"/>
          <w:szCs w:val="21"/>
        </w:rPr>
        <w:t>Gerasa/Jerash: Fra den Urbane Periferi</w:t>
      </w:r>
      <w:r>
        <w:rPr>
          <w:rFonts w:ascii="Georgia" w:hAnsi="Georgia"/>
          <w:color w:val="0A0A0A"/>
          <w:sz w:val="21"/>
          <w:szCs w:val="21"/>
        </w:rPr>
        <w:t>, Aarhus, 41–46.</w:t>
      </w:r>
    </w:p>
    <w:p w14:paraId="6958B9C0" w14:textId="77777777" w:rsidR="00406642" w:rsidRPr="00406642" w:rsidRDefault="00406642" w:rsidP="00406642">
      <w:pPr>
        <w:pStyle w:val="StandardWeb"/>
        <w:shd w:val="clear" w:color="auto" w:fill="FEFEFE"/>
        <w:rPr>
          <w:rFonts w:ascii="Georgia" w:hAnsi="Georgia"/>
          <w:color w:val="0A0A0A"/>
          <w:sz w:val="21"/>
          <w:szCs w:val="21"/>
          <w:lang w:val="en-US"/>
        </w:rPr>
      </w:pPr>
      <w:r>
        <w:rPr>
          <w:rFonts w:ascii="Georgia" w:hAnsi="Georgia"/>
          <w:color w:val="0A0A0A"/>
          <w:sz w:val="21"/>
          <w:szCs w:val="21"/>
        </w:rPr>
        <w:t xml:space="preserve">Thomsen, K. (2017). </w:t>
      </w:r>
      <w:r w:rsidRPr="00406642">
        <w:rPr>
          <w:rFonts w:ascii="Georgia" w:hAnsi="Georgia"/>
          <w:color w:val="0A0A0A"/>
          <w:sz w:val="21"/>
          <w:szCs w:val="21"/>
          <w:lang w:val="en-US"/>
        </w:rPr>
        <w:t>"</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Mortar matters", in: Lichtenberger, A. &amp; Raja, R. (eds.),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83–88.</w:t>
      </w:r>
    </w:p>
    <w:p w14:paraId="0BDAEC33" w14:textId="77777777" w:rsidR="00406642" w:rsidRPr="00D8557E" w:rsidRDefault="00406642" w:rsidP="00406642">
      <w:pPr>
        <w:pStyle w:val="StandardWeb"/>
        <w:shd w:val="clear" w:color="auto" w:fill="FEFEFE"/>
        <w:rPr>
          <w:rFonts w:ascii="Georgia" w:hAnsi="Georgia"/>
          <w:color w:val="0A0A0A"/>
          <w:sz w:val="21"/>
          <w:szCs w:val="21"/>
          <w:lang w:val="de-DE"/>
        </w:rPr>
      </w:pPr>
      <w:r w:rsidRPr="00D8557E">
        <w:rPr>
          <w:rFonts w:ascii="Georgia" w:hAnsi="Georgia"/>
          <w:color w:val="0A0A0A"/>
          <w:sz w:val="21"/>
          <w:szCs w:val="21"/>
          <w:lang w:val="de-DE"/>
        </w:rPr>
        <w:t>Thomsen, K. (2017). "</w:t>
      </w:r>
      <w:proofErr w:type="spellStart"/>
      <w:r w:rsidRPr="00D8557E">
        <w:rPr>
          <w:rFonts w:ascii="Georgia" w:hAnsi="Georgia"/>
          <w:color w:val="0A0A0A"/>
          <w:sz w:val="21"/>
          <w:szCs w:val="21"/>
          <w:lang w:val="de-DE"/>
        </w:rPr>
        <w:t>Mørtelstudier</w:t>
      </w:r>
      <w:proofErr w:type="spellEnd"/>
      <w:r w:rsidRPr="00D8557E">
        <w:rPr>
          <w:rFonts w:ascii="Georgia" w:hAnsi="Georgia"/>
          <w:color w:val="0A0A0A"/>
          <w:sz w:val="21"/>
          <w:szCs w:val="21"/>
          <w:lang w:val="de-DE"/>
        </w:rPr>
        <w:t xml:space="preserve"> i </w:t>
      </w:r>
      <w:proofErr w:type="spellStart"/>
      <w:r w:rsidRPr="00D8557E">
        <w:rPr>
          <w:rFonts w:ascii="Georgia" w:hAnsi="Georgia"/>
          <w:color w:val="0A0A0A"/>
          <w:sz w:val="21"/>
          <w:szCs w:val="21"/>
          <w:lang w:val="de-DE"/>
        </w:rPr>
        <w:t>Gerasa</w:t>
      </w:r>
      <w:proofErr w:type="spellEnd"/>
      <w:r w:rsidRPr="00D8557E">
        <w:rPr>
          <w:rFonts w:ascii="Georgia" w:hAnsi="Georgia"/>
          <w:color w:val="0A0A0A"/>
          <w:sz w:val="21"/>
          <w:szCs w:val="21"/>
          <w:lang w:val="de-DE"/>
        </w:rPr>
        <w:t>", in: Lichtenberger, A. &amp; Raja, R. (</w:t>
      </w:r>
      <w:proofErr w:type="spellStart"/>
      <w:r w:rsidRPr="00D8557E">
        <w:rPr>
          <w:rFonts w:ascii="Georgia" w:hAnsi="Georgia"/>
          <w:color w:val="0A0A0A"/>
          <w:sz w:val="21"/>
          <w:szCs w:val="21"/>
          <w:lang w:val="de-DE"/>
        </w:rPr>
        <w:t>eds</w:t>
      </w:r>
      <w:proofErr w:type="spellEnd"/>
      <w:r w:rsidRPr="00D8557E">
        <w:rPr>
          <w:rFonts w:ascii="Georgia" w:hAnsi="Georgia"/>
          <w:color w:val="0A0A0A"/>
          <w:sz w:val="21"/>
          <w:szCs w:val="21"/>
          <w:lang w:val="de-DE"/>
        </w:rPr>
        <w:t>.), </w:t>
      </w:r>
      <w:proofErr w:type="spellStart"/>
      <w:r w:rsidRPr="00D8557E">
        <w:rPr>
          <w:rStyle w:val="Hervorhebung"/>
          <w:rFonts w:ascii="Georgia" w:hAnsi="Georgia"/>
          <w:color w:val="0A0A0A"/>
          <w:sz w:val="21"/>
          <w:szCs w:val="21"/>
          <w:lang w:val="de-DE"/>
        </w:rPr>
        <w:t>Gerasa</w:t>
      </w:r>
      <w:proofErr w:type="spellEnd"/>
      <w:r w:rsidRPr="00D8557E">
        <w:rPr>
          <w:rStyle w:val="Hervorhebung"/>
          <w:rFonts w:ascii="Georgia" w:hAnsi="Georgia"/>
          <w:color w:val="0A0A0A"/>
          <w:sz w:val="21"/>
          <w:szCs w:val="21"/>
          <w:lang w:val="de-DE"/>
        </w:rPr>
        <w:t>/</w:t>
      </w:r>
      <w:proofErr w:type="spellStart"/>
      <w:r w:rsidRPr="00D8557E">
        <w:rPr>
          <w:rStyle w:val="Hervorhebung"/>
          <w:rFonts w:ascii="Georgia" w:hAnsi="Georgia"/>
          <w:color w:val="0A0A0A"/>
          <w:sz w:val="21"/>
          <w:szCs w:val="21"/>
          <w:lang w:val="de-DE"/>
        </w:rPr>
        <w:t>Jerash</w:t>
      </w:r>
      <w:proofErr w:type="spellEnd"/>
      <w:r w:rsidRPr="00D8557E">
        <w:rPr>
          <w:rStyle w:val="Hervorhebung"/>
          <w:rFonts w:ascii="Georgia" w:hAnsi="Georgia"/>
          <w:color w:val="0A0A0A"/>
          <w:sz w:val="21"/>
          <w:szCs w:val="21"/>
          <w:lang w:val="de-DE"/>
        </w:rPr>
        <w:t xml:space="preserve">: </w:t>
      </w:r>
      <w:proofErr w:type="spellStart"/>
      <w:r w:rsidRPr="00D8557E">
        <w:rPr>
          <w:rStyle w:val="Hervorhebung"/>
          <w:rFonts w:ascii="Georgia" w:hAnsi="Georgia"/>
          <w:color w:val="0A0A0A"/>
          <w:sz w:val="21"/>
          <w:szCs w:val="21"/>
          <w:lang w:val="de-DE"/>
        </w:rPr>
        <w:t>Fra</w:t>
      </w:r>
      <w:proofErr w:type="spellEnd"/>
      <w:r w:rsidRPr="00D8557E">
        <w:rPr>
          <w:rStyle w:val="Hervorhebung"/>
          <w:rFonts w:ascii="Georgia" w:hAnsi="Georgia"/>
          <w:color w:val="0A0A0A"/>
          <w:sz w:val="21"/>
          <w:szCs w:val="21"/>
          <w:lang w:val="de-DE"/>
        </w:rPr>
        <w:t xml:space="preserve"> den Urbane </w:t>
      </w:r>
      <w:proofErr w:type="spellStart"/>
      <w:r w:rsidRPr="00D8557E">
        <w:rPr>
          <w:rStyle w:val="Hervorhebung"/>
          <w:rFonts w:ascii="Georgia" w:hAnsi="Georgia"/>
          <w:color w:val="0A0A0A"/>
          <w:sz w:val="21"/>
          <w:szCs w:val="21"/>
          <w:lang w:val="de-DE"/>
        </w:rPr>
        <w:t>Periferi</w:t>
      </w:r>
      <w:proofErr w:type="spellEnd"/>
      <w:r w:rsidRPr="00D8557E">
        <w:rPr>
          <w:rFonts w:ascii="Georgia" w:hAnsi="Georgia"/>
          <w:color w:val="0A0A0A"/>
          <w:sz w:val="21"/>
          <w:szCs w:val="21"/>
          <w:lang w:val="de-DE"/>
        </w:rPr>
        <w:t>, Aarhus, 83–88.</w:t>
      </w:r>
    </w:p>
    <w:p w14:paraId="68A404CA"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Wootton, W. T. (2017). "Mosaics from the North-West Quarter of Jerash", in: Lichtenberger, A. &amp; Raja, R. (eds.),</w:t>
      </w:r>
      <w:r w:rsidRPr="00406642">
        <w:rPr>
          <w:rStyle w:val="Hervorhebung"/>
          <w:rFonts w:ascii="Georgia" w:hAnsi="Georgia"/>
          <w:color w:val="0A0A0A"/>
          <w:sz w:val="21"/>
          <w:szCs w:val="21"/>
          <w:lang w:val="en-US"/>
        </w:rPr>
        <w:t> </w:t>
      </w:r>
      <w:proofErr w:type="spellStart"/>
      <w:r w:rsidRPr="00406642">
        <w:rPr>
          <w:rStyle w:val="Hervorhebung"/>
          <w:rFonts w:ascii="Georgia" w:hAnsi="Georgia"/>
          <w:color w:val="0A0A0A"/>
          <w:sz w:val="21"/>
          <w:szCs w:val="21"/>
          <w:lang w:val="en-US"/>
        </w:rPr>
        <w:t>Gerasa</w:t>
      </w:r>
      <w:proofErr w:type="spellEnd"/>
      <w:r w:rsidRPr="00406642">
        <w:rPr>
          <w:rStyle w:val="Hervorhebung"/>
          <w:rFonts w:ascii="Georgia" w:hAnsi="Georgia"/>
          <w:color w:val="0A0A0A"/>
          <w:sz w:val="21"/>
          <w:szCs w:val="21"/>
          <w:lang w:val="en-US"/>
        </w:rPr>
        <w:t>/Jerash: From the Urban Periphery</w:t>
      </w:r>
      <w:r w:rsidRPr="00406642">
        <w:rPr>
          <w:rFonts w:ascii="Georgia" w:hAnsi="Georgia"/>
          <w:color w:val="0A0A0A"/>
          <w:sz w:val="21"/>
          <w:szCs w:val="21"/>
          <w:lang w:val="en-US"/>
        </w:rPr>
        <w:t>, Aarhus, 89–98.</w:t>
      </w:r>
    </w:p>
    <w:p w14:paraId="7758B649" w14:textId="77777777" w:rsidR="00406642" w:rsidRPr="00D8557E" w:rsidRDefault="00406642" w:rsidP="00406642">
      <w:pPr>
        <w:pStyle w:val="StandardWeb"/>
        <w:shd w:val="clear" w:color="auto" w:fill="FEFEFE"/>
        <w:rPr>
          <w:rFonts w:ascii="Georgia" w:hAnsi="Georgia"/>
          <w:color w:val="0A0A0A"/>
          <w:sz w:val="21"/>
          <w:szCs w:val="21"/>
          <w:lang w:val="de-DE"/>
        </w:rPr>
      </w:pPr>
      <w:proofErr w:type="spellStart"/>
      <w:r w:rsidRPr="00D8557E">
        <w:rPr>
          <w:rFonts w:ascii="Georgia" w:hAnsi="Georgia"/>
          <w:color w:val="0A0A0A"/>
          <w:sz w:val="21"/>
          <w:szCs w:val="21"/>
          <w:lang w:val="de-DE"/>
        </w:rPr>
        <w:t>Wootton</w:t>
      </w:r>
      <w:proofErr w:type="spellEnd"/>
      <w:r w:rsidRPr="00D8557E">
        <w:rPr>
          <w:rFonts w:ascii="Georgia" w:hAnsi="Georgia"/>
          <w:color w:val="0A0A0A"/>
          <w:sz w:val="21"/>
          <w:szCs w:val="21"/>
          <w:lang w:val="de-DE"/>
        </w:rPr>
        <w:t>, W. T. (2017). "</w:t>
      </w:r>
      <w:proofErr w:type="spellStart"/>
      <w:r w:rsidRPr="00D8557E">
        <w:rPr>
          <w:rFonts w:ascii="Georgia" w:hAnsi="Georgia"/>
          <w:color w:val="0A0A0A"/>
          <w:sz w:val="21"/>
          <w:szCs w:val="21"/>
          <w:lang w:val="de-DE"/>
        </w:rPr>
        <w:t>Mosaikker</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fra</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Nordvest-kvarteret</w:t>
      </w:r>
      <w:proofErr w:type="spellEnd"/>
      <w:r w:rsidRPr="00D8557E">
        <w:rPr>
          <w:rFonts w:ascii="Georgia" w:hAnsi="Georgia"/>
          <w:color w:val="0A0A0A"/>
          <w:sz w:val="21"/>
          <w:szCs w:val="21"/>
          <w:lang w:val="de-DE"/>
        </w:rPr>
        <w:t xml:space="preserve"> i </w:t>
      </w:r>
      <w:proofErr w:type="spellStart"/>
      <w:r w:rsidRPr="00D8557E">
        <w:rPr>
          <w:rFonts w:ascii="Georgia" w:hAnsi="Georgia"/>
          <w:color w:val="0A0A0A"/>
          <w:sz w:val="21"/>
          <w:szCs w:val="21"/>
          <w:lang w:val="de-DE"/>
        </w:rPr>
        <w:t>Jerash</w:t>
      </w:r>
      <w:proofErr w:type="spellEnd"/>
      <w:r w:rsidRPr="00D8557E">
        <w:rPr>
          <w:rFonts w:ascii="Georgia" w:hAnsi="Georgia"/>
          <w:color w:val="0A0A0A"/>
          <w:sz w:val="21"/>
          <w:szCs w:val="21"/>
          <w:lang w:val="de-DE"/>
        </w:rPr>
        <w:t>", in: Lichtenberger, A. &amp; Raja, R. (</w:t>
      </w:r>
      <w:proofErr w:type="spellStart"/>
      <w:r w:rsidRPr="00D8557E">
        <w:rPr>
          <w:rFonts w:ascii="Georgia" w:hAnsi="Georgia"/>
          <w:color w:val="0A0A0A"/>
          <w:sz w:val="21"/>
          <w:szCs w:val="21"/>
          <w:lang w:val="de-DE"/>
        </w:rPr>
        <w:t>eds</w:t>
      </w:r>
      <w:proofErr w:type="spellEnd"/>
      <w:r w:rsidRPr="00D8557E">
        <w:rPr>
          <w:rFonts w:ascii="Georgia" w:hAnsi="Georgia"/>
          <w:color w:val="0A0A0A"/>
          <w:sz w:val="21"/>
          <w:szCs w:val="21"/>
          <w:lang w:val="de-DE"/>
        </w:rPr>
        <w:t>.), </w:t>
      </w:r>
      <w:proofErr w:type="spellStart"/>
      <w:r w:rsidRPr="00D8557E">
        <w:rPr>
          <w:rStyle w:val="Hervorhebung"/>
          <w:rFonts w:ascii="Georgia" w:hAnsi="Georgia"/>
          <w:color w:val="0A0A0A"/>
          <w:sz w:val="21"/>
          <w:szCs w:val="21"/>
          <w:lang w:val="de-DE"/>
        </w:rPr>
        <w:t>Gerasa</w:t>
      </w:r>
      <w:proofErr w:type="spellEnd"/>
      <w:r w:rsidRPr="00D8557E">
        <w:rPr>
          <w:rStyle w:val="Hervorhebung"/>
          <w:rFonts w:ascii="Georgia" w:hAnsi="Georgia"/>
          <w:color w:val="0A0A0A"/>
          <w:sz w:val="21"/>
          <w:szCs w:val="21"/>
          <w:lang w:val="de-DE"/>
        </w:rPr>
        <w:t>/</w:t>
      </w:r>
      <w:proofErr w:type="spellStart"/>
      <w:r w:rsidRPr="00D8557E">
        <w:rPr>
          <w:rStyle w:val="Hervorhebung"/>
          <w:rFonts w:ascii="Georgia" w:hAnsi="Georgia"/>
          <w:color w:val="0A0A0A"/>
          <w:sz w:val="21"/>
          <w:szCs w:val="21"/>
          <w:lang w:val="de-DE"/>
        </w:rPr>
        <w:t>Jerash</w:t>
      </w:r>
      <w:proofErr w:type="spellEnd"/>
      <w:r w:rsidRPr="00D8557E">
        <w:rPr>
          <w:rStyle w:val="Hervorhebung"/>
          <w:rFonts w:ascii="Georgia" w:hAnsi="Georgia"/>
          <w:color w:val="0A0A0A"/>
          <w:sz w:val="21"/>
          <w:szCs w:val="21"/>
          <w:lang w:val="de-DE"/>
        </w:rPr>
        <w:t xml:space="preserve">: </w:t>
      </w:r>
      <w:proofErr w:type="spellStart"/>
      <w:r w:rsidRPr="00D8557E">
        <w:rPr>
          <w:rStyle w:val="Hervorhebung"/>
          <w:rFonts w:ascii="Georgia" w:hAnsi="Georgia"/>
          <w:color w:val="0A0A0A"/>
          <w:sz w:val="21"/>
          <w:szCs w:val="21"/>
          <w:lang w:val="de-DE"/>
        </w:rPr>
        <w:t>Fra</w:t>
      </w:r>
      <w:proofErr w:type="spellEnd"/>
      <w:r w:rsidRPr="00D8557E">
        <w:rPr>
          <w:rStyle w:val="Hervorhebung"/>
          <w:rFonts w:ascii="Georgia" w:hAnsi="Georgia"/>
          <w:color w:val="0A0A0A"/>
          <w:sz w:val="21"/>
          <w:szCs w:val="21"/>
          <w:lang w:val="de-DE"/>
        </w:rPr>
        <w:t xml:space="preserve"> den Urbane </w:t>
      </w:r>
      <w:proofErr w:type="spellStart"/>
      <w:r w:rsidRPr="00D8557E">
        <w:rPr>
          <w:rStyle w:val="Hervorhebung"/>
          <w:rFonts w:ascii="Georgia" w:hAnsi="Georgia"/>
          <w:color w:val="0A0A0A"/>
          <w:sz w:val="21"/>
          <w:szCs w:val="21"/>
          <w:lang w:val="de-DE"/>
        </w:rPr>
        <w:t>Periferi</w:t>
      </w:r>
      <w:proofErr w:type="spellEnd"/>
      <w:r w:rsidRPr="00D8557E">
        <w:rPr>
          <w:rFonts w:ascii="Georgia" w:hAnsi="Georgia"/>
          <w:color w:val="0A0A0A"/>
          <w:sz w:val="21"/>
          <w:szCs w:val="21"/>
          <w:lang w:val="de-DE"/>
        </w:rPr>
        <w:t>, Aarhus, 89–98.</w:t>
      </w:r>
    </w:p>
    <w:p w14:paraId="215606DB" w14:textId="77777777" w:rsidR="00406642" w:rsidRPr="00D8557E"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p>
    <w:p w14:paraId="7C51CE9B" w14:textId="77777777" w:rsidR="00406642" w:rsidRP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406642">
        <w:rPr>
          <w:rFonts w:ascii="AUPassataBold" w:hAnsi="AUPassataBold"/>
          <w:b w:val="0"/>
          <w:bCs w:val="0"/>
          <w:color w:val="0A0A0A"/>
          <w:lang w:val="de-DE"/>
        </w:rPr>
        <w:t>2016</w:t>
      </w:r>
    </w:p>
    <w:p w14:paraId="69700259"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Haensch, R., Lichtenberger, A. &amp; Raja, R. (2016). "Christen, Juden und Soldaten im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des 6. Jahrhunderts", </w:t>
      </w:r>
      <w:r w:rsidRPr="00406642">
        <w:rPr>
          <w:rStyle w:val="Hervorhebung"/>
          <w:rFonts w:ascii="Georgia" w:hAnsi="Georgia"/>
          <w:color w:val="0A0A0A"/>
          <w:sz w:val="21"/>
          <w:szCs w:val="21"/>
          <w:lang w:val="de-DE"/>
        </w:rPr>
        <w:t>Chiron</w:t>
      </w:r>
      <w:r w:rsidRPr="00406642">
        <w:rPr>
          <w:rFonts w:ascii="Georgia" w:hAnsi="Georgia"/>
          <w:color w:val="0A0A0A"/>
          <w:sz w:val="21"/>
          <w:szCs w:val="21"/>
          <w:lang w:val="de-DE"/>
        </w:rPr>
        <w:t> 46, 177–204.</w:t>
      </w:r>
    </w:p>
    <w:p w14:paraId="0916FBDC"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Kalaitzoglou, G., Lichtenberger, A. &amp; Raja, R. (2016). "Ausgrabungen im Nordwestviertel von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(Jordanien)", </w:t>
      </w:r>
      <w:r w:rsidRPr="00406642">
        <w:rPr>
          <w:rStyle w:val="Hervorhebung"/>
          <w:rFonts w:ascii="Georgia" w:hAnsi="Georgia"/>
          <w:color w:val="0A0A0A"/>
          <w:sz w:val="21"/>
          <w:szCs w:val="21"/>
          <w:lang w:val="de-DE"/>
        </w:rPr>
        <w:t>Jahresbericht des Instituts für Archäologische Wissenschaften für das akademische Jahr 2014–2015</w:t>
      </w:r>
      <w:r w:rsidRPr="00406642">
        <w:rPr>
          <w:rFonts w:ascii="Georgia" w:hAnsi="Georgia"/>
          <w:color w:val="0A0A0A"/>
          <w:sz w:val="21"/>
          <w:szCs w:val="21"/>
          <w:lang w:val="de-DE"/>
        </w:rPr>
        <w:t>, Bochum, 89–94. </w:t>
      </w:r>
    </w:p>
    <w:p w14:paraId="51C8CD2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Larsen, J. M., Lichtenberger, A., Raja, R. &amp; Gordon, R. L. (2016). </w:t>
      </w:r>
      <w:r w:rsidRPr="00406642">
        <w:rPr>
          <w:rFonts w:ascii="Georgia" w:hAnsi="Georgia"/>
          <w:color w:val="0A0A0A"/>
          <w:sz w:val="21"/>
          <w:szCs w:val="21"/>
          <w:lang w:val="en-US"/>
        </w:rPr>
        <w:t>"An Umayyad period magical amulet from a domestic context in Jerash, Jordan", </w:t>
      </w:r>
      <w:r w:rsidRPr="00406642">
        <w:rPr>
          <w:rStyle w:val="Hervorhebung"/>
          <w:rFonts w:ascii="Georgia" w:hAnsi="Georgia"/>
          <w:color w:val="0A0A0A"/>
          <w:sz w:val="21"/>
          <w:szCs w:val="21"/>
          <w:lang w:val="en-US"/>
        </w:rPr>
        <w:t>Syria </w:t>
      </w:r>
      <w:r w:rsidRPr="00406642">
        <w:rPr>
          <w:rFonts w:ascii="Georgia" w:hAnsi="Georgia"/>
          <w:color w:val="0A0A0A"/>
          <w:sz w:val="21"/>
          <w:szCs w:val="21"/>
          <w:lang w:val="en-US"/>
        </w:rPr>
        <w:t>93, 369-386.    </w:t>
      </w:r>
    </w:p>
    <w:p w14:paraId="1F72839F"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(2016). "Living with and on the river-side. The example of Roman </w:t>
      </w:r>
      <w:proofErr w:type="spellStart"/>
      <w:r w:rsidRPr="00406642">
        <w:rPr>
          <w:rFonts w:ascii="Georgia" w:hAnsi="Georgia"/>
          <w:color w:val="0A0A0A"/>
          <w:sz w:val="21"/>
          <w:szCs w:val="21"/>
          <w:lang w:val="en-US"/>
        </w:rPr>
        <w:t>Antiochia</w:t>
      </w:r>
      <w:proofErr w:type="spellEnd"/>
      <w:r w:rsidRPr="00406642">
        <w:rPr>
          <w:rFonts w:ascii="Georgia" w:hAnsi="Georgia"/>
          <w:color w:val="0A0A0A"/>
          <w:sz w:val="21"/>
          <w:szCs w:val="21"/>
          <w:lang w:val="en-US"/>
        </w:rPr>
        <w:t>-on-the-</w:t>
      </w:r>
      <w:proofErr w:type="spellStart"/>
      <w:r w:rsidRPr="00406642">
        <w:rPr>
          <w:rFonts w:ascii="Georgia" w:hAnsi="Georgia"/>
          <w:color w:val="0A0A0A"/>
          <w:sz w:val="21"/>
          <w:szCs w:val="21"/>
          <w:lang w:val="en-US"/>
        </w:rPr>
        <w:t>Chrysorrhoas</w:t>
      </w:r>
      <w:proofErr w:type="spellEnd"/>
      <w:r w:rsidRPr="00406642">
        <w:rPr>
          <w:rFonts w:ascii="Georgia" w:hAnsi="Georgia"/>
          <w:color w:val="0A0A0A"/>
          <w:sz w:val="21"/>
          <w:szCs w:val="21"/>
          <w:lang w:val="en-US"/>
        </w:rPr>
        <w:t>-formerly-called-</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in: Madsen, J. K., Andersen, N. O. &amp; Thuesen, I. (eds.), </w:t>
      </w:r>
      <w:r w:rsidRPr="00406642">
        <w:rPr>
          <w:rStyle w:val="Hervorhebung"/>
          <w:rFonts w:ascii="Georgia" w:hAnsi="Georgia"/>
          <w:color w:val="0A0A0A"/>
          <w:sz w:val="21"/>
          <w:szCs w:val="21"/>
          <w:lang w:val="en-US"/>
        </w:rPr>
        <w:t xml:space="preserve">Water of Life. Festschrift for </w:t>
      </w:r>
      <w:proofErr w:type="spellStart"/>
      <w:r w:rsidRPr="00406642">
        <w:rPr>
          <w:rStyle w:val="Hervorhebung"/>
          <w:rFonts w:ascii="Georgia" w:hAnsi="Georgia"/>
          <w:color w:val="0A0A0A"/>
          <w:sz w:val="21"/>
          <w:szCs w:val="21"/>
          <w:lang w:val="en-US"/>
        </w:rPr>
        <w:t>Peder</w:t>
      </w:r>
      <w:proofErr w:type="spellEnd"/>
      <w:r w:rsidRPr="00406642">
        <w:rPr>
          <w:rStyle w:val="Hervorhebung"/>
          <w:rFonts w:ascii="Georgia" w:hAnsi="Georgia"/>
          <w:color w:val="0A0A0A"/>
          <w:sz w:val="21"/>
          <w:szCs w:val="21"/>
          <w:lang w:val="en-US"/>
        </w:rPr>
        <w:t xml:space="preserve"> Mortensen. Proceedings of the Danish Institute in Damascus 11</w:t>
      </w:r>
      <w:r w:rsidRPr="00406642">
        <w:rPr>
          <w:rFonts w:ascii="Georgia" w:hAnsi="Georgia"/>
          <w:color w:val="0A0A0A"/>
          <w:sz w:val="21"/>
          <w:szCs w:val="21"/>
          <w:lang w:val="en-US"/>
        </w:rPr>
        <w:t>, Copenhagen, 98–117.</w:t>
      </w:r>
    </w:p>
    <w:p w14:paraId="07301E51"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(2016). "Jerash in the Middle Islamic period. Connecting texts and archaeology through new evidence from the Northwest Quarter", </w:t>
      </w:r>
      <w:proofErr w:type="spellStart"/>
      <w:r w:rsidRPr="00406642">
        <w:rPr>
          <w:rStyle w:val="Hervorhebung"/>
          <w:rFonts w:ascii="Georgia" w:hAnsi="Georgia"/>
          <w:color w:val="0A0A0A"/>
          <w:sz w:val="21"/>
          <w:szCs w:val="21"/>
          <w:lang w:val="en-US"/>
        </w:rPr>
        <w:t>Zeitschrift</w:t>
      </w:r>
      <w:proofErr w:type="spellEnd"/>
      <w:r w:rsidRPr="00406642">
        <w:rPr>
          <w:rStyle w:val="Hervorhebung"/>
          <w:rFonts w:ascii="Georgia" w:hAnsi="Georgia"/>
          <w:color w:val="0A0A0A"/>
          <w:sz w:val="21"/>
          <w:szCs w:val="21"/>
          <w:lang w:val="en-US"/>
        </w:rPr>
        <w:t xml:space="preserve"> des </w:t>
      </w:r>
      <w:proofErr w:type="spellStart"/>
      <w:r w:rsidRPr="00406642">
        <w:rPr>
          <w:rStyle w:val="Hervorhebung"/>
          <w:rFonts w:ascii="Georgia" w:hAnsi="Georgia"/>
          <w:color w:val="0A0A0A"/>
          <w:sz w:val="21"/>
          <w:szCs w:val="21"/>
          <w:lang w:val="en-US"/>
        </w:rPr>
        <w:t>Deutschen</w:t>
      </w:r>
      <w:proofErr w:type="spellEnd"/>
      <w:r w:rsidRPr="00406642">
        <w:rPr>
          <w:rStyle w:val="Hervorhebung"/>
          <w:rFonts w:ascii="Georgia" w:hAnsi="Georgia"/>
          <w:color w:val="0A0A0A"/>
          <w:sz w:val="21"/>
          <w:szCs w:val="21"/>
          <w:lang w:val="en-US"/>
        </w:rPr>
        <w:t xml:space="preserve"> </w:t>
      </w:r>
      <w:proofErr w:type="spellStart"/>
      <w:r w:rsidRPr="00406642">
        <w:rPr>
          <w:rStyle w:val="Hervorhebung"/>
          <w:rFonts w:ascii="Georgia" w:hAnsi="Georgia"/>
          <w:color w:val="0A0A0A"/>
          <w:sz w:val="21"/>
          <w:szCs w:val="21"/>
          <w:lang w:val="en-US"/>
        </w:rPr>
        <w:t>Palästina-Veriens</w:t>
      </w:r>
      <w:proofErr w:type="spellEnd"/>
      <w:r w:rsidRPr="00406642">
        <w:rPr>
          <w:rStyle w:val="Hervorhebung"/>
          <w:rFonts w:ascii="Georgia" w:hAnsi="Georgia"/>
          <w:color w:val="0A0A0A"/>
          <w:sz w:val="21"/>
          <w:szCs w:val="21"/>
          <w:lang w:val="en-US"/>
        </w:rPr>
        <w:t> </w:t>
      </w:r>
      <w:r w:rsidRPr="00406642">
        <w:rPr>
          <w:rFonts w:ascii="Georgia" w:hAnsi="Georgia"/>
          <w:color w:val="0A0A0A"/>
          <w:sz w:val="21"/>
          <w:szCs w:val="21"/>
          <w:lang w:val="en-US"/>
        </w:rPr>
        <w:t>132, 63-81.</w:t>
      </w:r>
    </w:p>
    <w:p w14:paraId="5C07BBB4"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&amp; Raja, R. (2016). "The Danish-German Northwest Quarter Project at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Results from the 2011-2013 seasons", </w:t>
      </w:r>
      <w:r w:rsidRPr="00406642">
        <w:rPr>
          <w:rStyle w:val="Hervorhebung"/>
          <w:rFonts w:ascii="Georgia" w:hAnsi="Georgia"/>
          <w:color w:val="0A0A0A"/>
          <w:sz w:val="21"/>
          <w:szCs w:val="21"/>
          <w:lang w:val="en-US"/>
        </w:rPr>
        <w:t>Studies in the history and archaeology of Jordan XII: Transparent Borders 7</w:t>
      </w:r>
      <w:r w:rsidRPr="00406642">
        <w:rPr>
          <w:rFonts w:ascii="Georgia" w:hAnsi="Georgia"/>
          <w:color w:val="0A0A0A"/>
          <w:sz w:val="21"/>
          <w:szCs w:val="21"/>
          <w:lang w:val="en-US"/>
        </w:rPr>
        <w:t>, 173-188.</w:t>
      </w:r>
    </w:p>
    <w:p w14:paraId="2FB8BDA9" w14:textId="77777777" w:rsid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(2016).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w:t>
      </w:r>
      <w:r w:rsidRPr="00406642">
        <w:rPr>
          <w:rStyle w:val="Hervorhebung"/>
          <w:rFonts w:ascii="Georgia" w:hAnsi="Georgia"/>
          <w:color w:val="0A0A0A"/>
          <w:sz w:val="21"/>
          <w:szCs w:val="21"/>
          <w:lang w:val="en-US"/>
        </w:rPr>
        <w:t>American Journal of Archaeology</w:t>
      </w:r>
      <w:r w:rsidRPr="00406642">
        <w:rPr>
          <w:rFonts w:ascii="Georgia" w:hAnsi="Georgia"/>
          <w:color w:val="0A0A0A"/>
          <w:sz w:val="21"/>
          <w:szCs w:val="21"/>
          <w:lang w:val="en-US"/>
        </w:rPr>
        <w:t> 120:4, 643.</w:t>
      </w:r>
    </w:p>
    <w:p w14:paraId="5D50CAFE" w14:textId="77777777" w:rsidR="002335F2" w:rsidRPr="00406642" w:rsidRDefault="002335F2" w:rsidP="002335F2">
      <w:pPr>
        <w:pStyle w:val="StandardWeb"/>
        <w:shd w:val="clear" w:color="auto" w:fill="FEFEFE"/>
        <w:rPr>
          <w:rFonts w:ascii="Georgia" w:hAnsi="Georgia"/>
          <w:color w:val="0A0A0A"/>
          <w:sz w:val="21"/>
          <w:szCs w:val="21"/>
          <w:lang w:val="en-US"/>
        </w:rPr>
      </w:pPr>
      <w:r w:rsidRPr="004E1900">
        <w:rPr>
          <w:rFonts w:ascii="Georgia" w:hAnsi="Georgia"/>
          <w:color w:val="0A0A0A"/>
          <w:sz w:val="21"/>
          <w:szCs w:val="21"/>
          <w:lang w:val="de-DE"/>
        </w:rPr>
        <w:t xml:space="preserve">Lichtenberger, A., Raja, R., Eger, C., Kalaitzoglou, G. &amp; Sørensen, A. H. (2016). </w:t>
      </w:r>
      <w:r>
        <w:rPr>
          <w:rFonts w:ascii="Georgia" w:hAnsi="Georgia"/>
          <w:color w:val="0A0A0A"/>
          <w:sz w:val="21"/>
          <w:szCs w:val="21"/>
          <w:lang w:val="en-US"/>
        </w:rPr>
        <w:t>“</w:t>
      </w:r>
      <w:r w:rsidRPr="00406642">
        <w:rPr>
          <w:rFonts w:ascii="Georgia" w:hAnsi="Georgia"/>
          <w:color w:val="0A0A0A"/>
          <w:sz w:val="21"/>
          <w:szCs w:val="21"/>
          <w:lang w:val="en-US"/>
        </w:rPr>
        <w:t>A newly excavated private house in Jerash. Reconsidering aspects of continuity and change in material culture from Late Antiquity to the early Islamic period”, </w:t>
      </w:r>
      <w:proofErr w:type="spellStart"/>
      <w:r w:rsidRPr="00406642">
        <w:rPr>
          <w:rStyle w:val="Hervorhebung"/>
          <w:rFonts w:ascii="Georgia" w:hAnsi="Georgia"/>
          <w:color w:val="0A0A0A"/>
          <w:sz w:val="21"/>
          <w:szCs w:val="21"/>
          <w:lang w:val="en-US"/>
        </w:rPr>
        <w:t>Antiquité</w:t>
      </w:r>
      <w:proofErr w:type="spellEnd"/>
      <w:r w:rsidRPr="00406642">
        <w:rPr>
          <w:rStyle w:val="Hervorhebung"/>
          <w:rFonts w:ascii="Georgia" w:hAnsi="Georgia"/>
          <w:color w:val="0A0A0A"/>
          <w:sz w:val="21"/>
          <w:szCs w:val="21"/>
          <w:lang w:val="en-US"/>
        </w:rPr>
        <w:t xml:space="preserve"> Tardive</w:t>
      </w:r>
      <w:r w:rsidRPr="00406642">
        <w:rPr>
          <w:rFonts w:ascii="Georgia" w:hAnsi="Georgia"/>
          <w:color w:val="0A0A0A"/>
          <w:sz w:val="21"/>
          <w:szCs w:val="21"/>
          <w:lang w:val="en-US"/>
        </w:rPr>
        <w:t> 24, 317-359.</w:t>
      </w:r>
    </w:p>
    <w:p w14:paraId="7F8860DD" w14:textId="77777777" w:rsidR="002335F2" w:rsidRPr="00406642" w:rsidRDefault="002335F2" w:rsidP="00406642">
      <w:pPr>
        <w:pStyle w:val="StandardWeb"/>
        <w:shd w:val="clear" w:color="auto" w:fill="FEFEFE"/>
        <w:rPr>
          <w:rFonts w:ascii="Georgia" w:hAnsi="Georgia"/>
          <w:color w:val="0A0A0A"/>
          <w:sz w:val="21"/>
          <w:szCs w:val="21"/>
          <w:lang w:val="en-US"/>
        </w:rPr>
      </w:pPr>
    </w:p>
    <w:p w14:paraId="2DF90263"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44DD4C6F" w14:textId="77777777" w:rsidR="003E60A0" w:rsidRPr="0048318F" w:rsidRDefault="003E60A0"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78CA0833" w14:textId="77777777" w:rsidR="00406642" w:rsidRP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406642">
        <w:rPr>
          <w:rFonts w:ascii="AUPassataBold" w:hAnsi="AUPassataBold"/>
          <w:b w:val="0"/>
          <w:bCs w:val="0"/>
          <w:color w:val="0A0A0A"/>
          <w:lang w:val="de-DE"/>
        </w:rPr>
        <w:t>2015</w:t>
      </w:r>
    </w:p>
    <w:p w14:paraId="79A99079"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Barfod, G. H., Larsen, J. M., Lichtenberger, A. &amp; Raja, R. (2015). </w:t>
      </w:r>
      <w:r w:rsidRPr="00406642">
        <w:rPr>
          <w:rFonts w:ascii="Georgia" w:hAnsi="Georgia"/>
          <w:color w:val="0A0A0A"/>
          <w:sz w:val="21"/>
          <w:szCs w:val="21"/>
          <w:lang w:val="en-US"/>
        </w:rPr>
        <w:t>"</w:t>
      </w:r>
      <w:hyperlink r:id="rId13" w:tgtFrame="_blank" w:history="1">
        <w:r w:rsidRPr="00406642">
          <w:rPr>
            <w:rStyle w:val="Hyperlink"/>
            <w:rFonts w:ascii="Georgia" w:hAnsi="Georgia"/>
            <w:color w:val="002546"/>
            <w:sz w:val="21"/>
            <w:szCs w:val="21"/>
            <w:lang w:val="en-US"/>
          </w:rPr>
          <w:t>Revealing text in a complexly rolled silver scroll from Jerash with computed tomography and advanced imaging software</w:t>
        </w:r>
      </w:hyperlink>
      <w:r w:rsidRPr="00406642">
        <w:rPr>
          <w:rFonts w:ascii="Georgia" w:hAnsi="Georgia"/>
          <w:color w:val="0A0A0A"/>
          <w:sz w:val="21"/>
          <w:szCs w:val="21"/>
          <w:lang w:val="en-US"/>
        </w:rPr>
        <w:t>", </w:t>
      </w:r>
      <w:r w:rsidRPr="00406642">
        <w:rPr>
          <w:rStyle w:val="Hervorhebung"/>
          <w:rFonts w:ascii="Georgia" w:hAnsi="Georgia"/>
          <w:color w:val="0A0A0A"/>
          <w:sz w:val="21"/>
          <w:szCs w:val="21"/>
          <w:lang w:val="en-US"/>
        </w:rPr>
        <w:t>Nature Scientific Reports </w:t>
      </w:r>
      <w:r w:rsidRPr="00406642">
        <w:rPr>
          <w:rFonts w:ascii="Georgia" w:hAnsi="Georgia"/>
          <w:color w:val="0A0A0A"/>
          <w:sz w:val="21"/>
          <w:szCs w:val="21"/>
          <w:lang w:val="en-US"/>
        </w:rPr>
        <w:t>5, 1-10.</w:t>
      </w:r>
    </w:p>
    <w:p w14:paraId="79186D36"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Kalaitzoglou, G., Lichtenberger, A. &amp; Raja, R. (2015). ”</w:t>
      </w:r>
      <w:hyperlink r:id="rId14" w:tgtFrame="_blank" w:history="1">
        <w:r w:rsidRPr="00406642">
          <w:rPr>
            <w:rStyle w:val="Hyperlink"/>
            <w:rFonts w:ascii="Georgia" w:hAnsi="Georgia"/>
            <w:color w:val="002546"/>
            <w:sz w:val="21"/>
            <w:szCs w:val="21"/>
            <w:lang w:val="de-DE"/>
          </w:rPr>
          <w:t xml:space="preserve">Ausgrabungen im Nordwestviertel von </w:t>
        </w:r>
        <w:proofErr w:type="spellStart"/>
        <w:r w:rsidRPr="00406642">
          <w:rPr>
            <w:rStyle w:val="Hyperlink"/>
            <w:rFonts w:ascii="Georgia" w:hAnsi="Georgia"/>
            <w:color w:val="002546"/>
            <w:sz w:val="21"/>
            <w:szCs w:val="21"/>
            <w:lang w:val="de-DE"/>
          </w:rPr>
          <w:t>Gerasa</w:t>
        </w:r>
        <w:proofErr w:type="spellEnd"/>
      </w:hyperlink>
      <w:r w:rsidRPr="00406642">
        <w:rPr>
          <w:rFonts w:ascii="Georgia" w:hAnsi="Georgia"/>
          <w:color w:val="0A0A0A"/>
          <w:sz w:val="21"/>
          <w:szCs w:val="21"/>
          <w:lang w:val="de-DE"/>
        </w:rPr>
        <w:t xml:space="preserve">”, in: Berns, C., Müller-Kissing, M. &amp; </w:t>
      </w:r>
      <w:proofErr w:type="spellStart"/>
      <w:r w:rsidRPr="00406642">
        <w:rPr>
          <w:rFonts w:ascii="Georgia" w:hAnsi="Georgia"/>
          <w:color w:val="0A0A0A"/>
          <w:sz w:val="21"/>
          <w:szCs w:val="21"/>
          <w:lang w:val="de-DE"/>
        </w:rPr>
        <w:t>Stöllner</w:t>
      </w:r>
      <w:proofErr w:type="spellEnd"/>
      <w:r w:rsidRPr="00406642">
        <w:rPr>
          <w:rFonts w:ascii="Georgia" w:hAnsi="Georgia"/>
          <w:color w:val="0A0A0A"/>
          <w:sz w:val="21"/>
          <w:szCs w:val="21"/>
          <w:lang w:val="de-DE"/>
        </w:rPr>
        <w:t>, T. (</w:t>
      </w:r>
      <w:proofErr w:type="spellStart"/>
      <w:r w:rsidRPr="00406642">
        <w:rPr>
          <w:rFonts w:ascii="Georgia" w:hAnsi="Georgia"/>
          <w:color w:val="0A0A0A"/>
          <w:sz w:val="21"/>
          <w:szCs w:val="21"/>
          <w:lang w:val="de-DE"/>
        </w:rPr>
        <w:t>eds</w:t>
      </w:r>
      <w:proofErr w:type="spellEnd"/>
      <w:r w:rsidRPr="00406642">
        <w:rPr>
          <w:rFonts w:ascii="Georgia" w:hAnsi="Georgia"/>
          <w:color w:val="0A0A0A"/>
          <w:sz w:val="21"/>
          <w:szCs w:val="21"/>
          <w:lang w:val="de-DE"/>
        </w:rPr>
        <w:t>.), </w:t>
      </w:r>
      <w:r w:rsidRPr="00406642">
        <w:rPr>
          <w:rStyle w:val="Hervorhebung"/>
          <w:rFonts w:ascii="Georgia" w:hAnsi="Georgia"/>
          <w:color w:val="0A0A0A"/>
          <w:sz w:val="21"/>
          <w:szCs w:val="21"/>
          <w:lang w:val="de-DE"/>
        </w:rPr>
        <w:t>Jahresbericht des Instituts für Archäologische Wissenschaften für das Akademische Jahr 2013–2014</w:t>
      </w:r>
      <w:r w:rsidRPr="00406642">
        <w:rPr>
          <w:rFonts w:ascii="Georgia" w:hAnsi="Georgia"/>
          <w:color w:val="0A0A0A"/>
          <w:sz w:val="21"/>
          <w:szCs w:val="21"/>
          <w:lang w:val="de-DE"/>
        </w:rPr>
        <w:t>, Bochum, 71–75.</w:t>
      </w:r>
    </w:p>
    <w:p w14:paraId="3922A92D"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Kalaitzoglou, G., Lichtenberger, A. &amp; Raja, R. (2015). </w:t>
      </w:r>
      <w:r w:rsidRPr="00406642">
        <w:rPr>
          <w:rFonts w:ascii="Georgia" w:hAnsi="Georgia"/>
          <w:color w:val="0A0A0A"/>
          <w:sz w:val="21"/>
          <w:szCs w:val="21"/>
          <w:lang w:val="en-US"/>
        </w:rPr>
        <w:t>"Preliminary report of the fourth season of the Danish-German Jerash Northwest Quarter Project 2014", </w:t>
      </w:r>
      <w:r w:rsidRPr="00406642">
        <w:rPr>
          <w:rFonts w:ascii="Georgia" w:hAnsi="Georgia"/>
          <w:i/>
          <w:iCs/>
          <w:color w:val="0A0A0A"/>
          <w:sz w:val="21"/>
          <w:szCs w:val="21"/>
          <w:lang w:val="en-US"/>
        </w:rPr>
        <w:t>Annual of the Department of Antiquities of Jordan</w:t>
      </w:r>
      <w:r w:rsidRPr="00406642">
        <w:rPr>
          <w:rFonts w:ascii="Georgia" w:hAnsi="Georgia"/>
          <w:color w:val="0A0A0A"/>
          <w:sz w:val="21"/>
          <w:szCs w:val="21"/>
          <w:lang w:val="en-US"/>
        </w:rPr>
        <w:t> 59, 11-43.  </w:t>
      </w:r>
    </w:p>
    <w:p w14:paraId="01C1073B"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(2015). ”An architectural block with altar-iconography from the North-west Quarter of Jerash”, </w:t>
      </w:r>
      <w:r w:rsidRPr="00406642">
        <w:rPr>
          <w:rStyle w:val="Hervorhebung"/>
          <w:rFonts w:ascii="Georgia" w:hAnsi="Georgia"/>
          <w:color w:val="0A0A0A"/>
          <w:sz w:val="21"/>
          <w:szCs w:val="21"/>
          <w:lang w:val="en-US"/>
        </w:rPr>
        <w:t>Levant</w:t>
      </w:r>
      <w:r w:rsidRPr="00406642">
        <w:rPr>
          <w:rFonts w:ascii="Georgia" w:hAnsi="Georgia"/>
          <w:color w:val="0A0A0A"/>
          <w:sz w:val="21"/>
          <w:szCs w:val="21"/>
          <w:lang w:val="en-US"/>
        </w:rPr>
        <w:t> 47:1, 112–130. </w:t>
      </w:r>
    </w:p>
    <w:p w14:paraId="653F1AC7"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(2015). "</w:t>
      </w:r>
      <w:hyperlink r:id="rId15" w:anchor="pdf_only_tab_contents" w:tgtFrame="_blank" w:history="1">
        <w:r w:rsidRPr="00406642">
          <w:rPr>
            <w:rStyle w:val="Hyperlink"/>
            <w:rFonts w:ascii="Georgia" w:hAnsi="Georgia"/>
            <w:color w:val="002546"/>
            <w:sz w:val="21"/>
            <w:szCs w:val="21"/>
            <w:lang w:val="en-US"/>
          </w:rPr>
          <w:t xml:space="preserve">New archaeological research in the Northwest Quarter of Jerash and its implications for the urban development of Roman </w:t>
        </w:r>
        <w:proofErr w:type="spellStart"/>
        <w:r w:rsidRPr="00406642">
          <w:rPr>
            <w:rStyle w:val="Hyperlink"/>
            <w:rFonts w:ascii="Georgia" w:hAnsi="Georgia"/>
            <w:color w:val="002546"/>
            <w:sz w:val="21"/>
            <w:szCs w:val="21"/>
            <w:lang w:val="en-US"/>
          </w:rPr>
          <w:t>Gerasa</w:t>
        </w:r>
        <w:proofErr w:type="spellEnd"/>
      </w:hyperlink>
      <w:r w:rsidRPr="00406642">
        <w:rPr>
          <w:rFonts w:ascii="Georgia" w:hAnsi="Georgia"/>
          <w:color w:val="0A0A0A"/>
          <w:sz w:val="21"/>
          <w:szCs w:val="21"/>
          <w:lang w:val="en-US"/>
        </w:rPr>
        <w:t>", </w:t>
      </w:r>
      <w:r w:rsidRPr="00406642">
        <w:rPr>
          <w:rStyle w:val="Hervorhebung"/>
          <w:rFonts w:ascii="Georgia" w:hAnsi="Georgia"/>
          <w:color w:val="0A0A0A"/>
          <w:sz w:val="21"/>
          <w:szCs w:val="21"/>
          <w:lang w:val="en-US"/>
        </w:rPr>
        <w:t>American Journal of Archaeology</w:t>
      </w:r>
      <w:r w:rsidRPr="00406642">
        <w:rPr>
          <w:rFonts w:ascii="Georgia" w:hAnsi="Georgia"/>
          <w:color w:val="0A0A0A"/>
          <w:sz w:val="21"/>
          <w:szCs w:val="21"/>
          <w:lang w:val="en-US"/>
        </w:rPr>
        <w:t> 119:4, 483-500.  </w:t>
      </w:r>
    </w:p>
    <w:p w14:paraId="40F334EA"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(2015). ”Intentional cooking pot deposits in Late Roman Jerash (Northwest Quarter)”, </w:t>
      </w:r>
      <w:r w:rsidRPr="00406642">
        <w:rPr>
          <w:rStyle w:val="Hervorhebung"/>
          <w:rFonts w:ascii="Georgia" w:hAnsi="Georgia"/>
          <w:color w:val="0A0A0A"/>
          <w:sz w:val="21"/>
          <w:szCs w:val="21"/>
          <w:lang w:val="en-US"/>
        </w:rPr>
        <w:t xml:space="preserve">Syria: </w:t>
      </w:r>
      <w:proofErr w:type="spellStart"/>
      <w:r w:rsidRPr="00406642">
        <w:rPr>
          <w:rStyle w:val="Hervorhebung"/>
          <w:rFonts w:ascii="Georgia" w:hAnsi="Georgia"/>
          <w:color w:val="0A0A0A"/>
          <w:sz w:val="21"/>
          <w:szCs w:val="21"/>
          <w:lang w:val="en-US"/>
        </w:rPr>
        <w:t>Archéologie</w:t>
      </w:r>
      <w:proofErr w:type="spellEnd"/>
      <w:r w:rsidRPr="00406642">
        <w:rPr>
          <w:rStyle w:val="Hervorhebung"/>
          <w:rFonts w:ascii="Georgia" w:hAnsi="Georgia"/>
          <w:color w:val="0A0A0A"/>
          <w:sz w:val="21"/>
          <w:szCs w:val="21"/>
          <w:lang w:val="en-US"/>
        </w:rPr>
        <w:t xml:space="preserve">, Art et </w:t>
      </w:r>
      <w:proofErr w:type="spellStart"/>
      <w:r w:rsidRPr="00406642">
        <w:rPr>
          <w:rStyle w:val="Hervorhebung"/>
          <w:rFonts w:ascii="Georgia" w:hAnsi="Georgia"/>
          <w:color w:val="0A0A0A"/>
          <w:sz w:val="21"/>
          <w:szCs w:val="21"/>
          <w:lang w:val="en-US"/>
        </w:rPr>
        <w:t>Histoire</w:t>
      </w:r>
      <w:proofErr w:type="spellEnd"/>
      <w:r w:rsidRPr="00406642">
        <w:rPr>
          <w:rStyle w:val="Hervorhebung"/>
          <w:rFonts w:ascii="Georgia" w:hAnsi="Georgia"/>
          <w:color w:val="0A0A0A"/>
          <w:sz w:val="21"/>
          <w:szCs w:val="21"/>
          <w:lang w:val="en-US"/>
        </w:rPr>
        <w:t> </w:t>
      </w:r>
      <w:r w:rsidRPr="00406642">
        <w:rPr>
          <w:rFonts w:ascii="Georgia" w:hAnsi="Georgia"/>
          <w:color w:val="0A0A0A"/>
          <w:sz w:val="21"/>
          <w:szCs w:val="21"/>
          <w:lang w:val="en-US"/>
        </w:rPr>
        <w:t>92, 309–238.</w:t>
      </w:r>
    </w:p>
    <w:p w14:paraId="4D41BFB6"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en-US"/>
        </w:rPr>
        <w:t xml:space="preserve">Lichtenberger, A. &amp; Raja, R. (2015). ”A hoard of Byzantine and Arab-Byzantine coins from the excavations at Jerash. </w:t>
      </w:r>
      <w:r w:rsidRPr="00406642">
        <w:rPr>
          <w:rFonts w:ascii="Georgia" w:hAnsi="Georgia"/>
          <w:color w:val="0A0A0A"/>
          <w:sz w:val="21"/>
          <w:szCs w:val="21"/>
          <w:lang w:val="de-DE"/>
        </w:rPr>
        <w:t xml:space="preserve">6: </w:t>
      </w:r>
      <w:proofErr w:type="spellStart"/>
      <w:r w:rsidRPr="00406642">
        <w:rPr>
          <w:rFonts w:ascii="Georgia" w:hAnsi="Georgia"/>
          <w:color w:val="0A0A0A"/>
          <w:sz w:val="21"/>
          <w:szCs w:val="21"/>
          <w:lang w:val="de-DE"/>
        </w:rPr>
        <w:t>Jerash</w:t>
      </w:r>
      <w:proofErr w:type="spellEnd"/>
      <w:r w:rsidRPr="00406642">
        <w:rPr>
          <w:rFonts w:ascii="Georgia" w:hAnsi="Georgia"/>
          <w:color w:val="0A0A0A"/>
          <w:sz w:val="21"/>
          <w:szCs w:val="21"/>
          <w:lang w:val="de-DE"/>
        </w:rPr>
        <w:t xml:space="preserve"> 2014”, </w:t>
      </w:r>
      <w:proofErr w:type="spellStart"/>
      <w:r w:rsidRPr="00406642">
        <w:rPr>
          <w:rStyle w:val="Hervorhebung"/>
          <w:rFonts w:ascii="Georgia" w:hAnsi="Georgia"/>
          <w:color w:val="0A0A0A"/>
          <w:sz w:val="21"/>
          <w:szCs w:val="21"/>
          <w:lang w:val="de-DE"/>
        </w:rPr>
        <w:t>Numismatic</w:t>
      </w:r>
      <w:proofErr w:type="spellEnd"/>
      <w:r w:rsidRPr="00406642">
        <w:rPr>
          <w:rStyle w:val="Hervorhebung"/>
          <w:rFonts w:ascii="Georgia" w:hAnsi="Georgia"/>
          <w:color w:val="0A0A0A"/>
          <w:sz w:val="21"/>
          <w:szCs w:val="21"/>
          <w:lang w:val="de-DE"/>
        </w:rPr>
        <w:t xml:space="preserve"> Chronicle</w:t>
      </w:r>
      <w:r w:rsidRPr="00406642">
        <w:rPr>
          <w:rFonts w:ascii="Georgia" w:hAnsi="Georgia"/>
          <w:color w:val="0A0A0A"/>
          <w:sz w:val="21"/>
          <w:szCs w:val="21"/>
          <w:lang w:val="de-DE"/>
        </w:rPr>
        <w:t> 175, 299–308. </w:t>
      </w:r>
    </w:p>
    <w:p w14:paraId="6E6486A0"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Lichtenberger, A., </w:t>
      </w:r>
      <w:proofErr w:type="spellStart"/>
      <w:r w:rsidRPr="00406642">
        <w:rPr>
          <w:rFonts w:ascii="Georgia" w:hAnsi="Georgia"/>
          <w:color w:val="0A0A0A"/>
          <w:sz w:val="21"/>
          <w:szCs w:val="21"/>
          <w:lang w:val="de-DE"/>
        </w:rPr>
        <w:t>Lindroos</w:t>
      </w:r>
      <w:proofErr w:type="spellEnd"/>
      <w:r w:rsidRPr="00406642">
        <w:rPr>
          <w:rFonts w:ascii="Georgia" w:hAnsi="Georgia"/>
          <w:color w:val="0A0A0A"/>
          <w:sz w:val="21"/>
          <w:szCs w:val="21"/>
          <w:lang w:val="de-DE"/>
        </w:rPr>
        <w:t xml:space="preserve">, A., Raja, R. &amp; Heinemeier, J. (2015). </w:t>
      </w:r>
      <w:r w:rsidRPr="00406642">
        <w:rPr>
          <w:rFonts w:ascii="Georgia" w:hAnsi="Georgia"/>
          <w:color w:val="0A0A0A"/>
          <w:sz w:val="21"/>
          <w:szCs w:val="21"/>
          <w:lang w:val="en-US"/>
        </w:rPr>
        <w:t>"</w:t>
      </w:r>
      <w:hyperlink r:id="rId16" w:history="1">
        <w:r w:rsidRPr="00406642">
          <w:rPr>
            <w:rStyle w:val="Hyperlink"/>
            <w:rFonts w:ascii="Georgia" w:hAnsi="Georgia"/>
            <w:color w:val="002546"/>
            <w:sz w:val="21"/>
            <w:szCs w:val="21"/>
            <w:lang w:val="en-US"/>
          </w:rPr>
          <w:t>Radiocarbon analysis of mortar from Roman and Byzantine water management installations in the Northwest Quarter of Jerash, Jordan</w:t>
        </w:r>
      </w:hyperlink>
      <w:r w:rsidRPr="00406642">
        <w:rPr>
          <w:rFonts w:ascii="Georgia" w:hAnsi="Georgia"/>
          <w:color w:val="0A0A0A"/>
          <w:sz w:val="21"/>
          <w:szCs w:val="21"/>
          <w:lang w:val="en-US"/>
        </w:rPr>
        <w:t>",</w:t>
      </w:r>
      <w:r w:rsidRPr="00406642">
        <w:rPr>
          <w:rStyle w:val="Hervorhebung"/>
          <w:rFonts w:ascii="Georgia" w:hAnsi="Georgia"/>
          <w:color w:val="0A0A0A"/>
          <w:sz w:val="21"/>
          <w:szCs w:val="21"/>
          <w:lang w:val="en-US"/>
        </w:rPr>
        <w:t> Journal of Archaeological Science: Reports</w:t>
      </w:r>
      <w:r w:rsidRPr="00406642">
        <w:rPr>
          <w:rFonts w:ascii="Georgia" w:hAnsi="Georgia"/>
          <w:color w:val="0A0A0A"/>
          <w:sz w:val="21"/>
          <w:szCs w:val="21"/>
          <w:lang w:val="en-US"/>
        </w:rPr>
        <w:t> 2, 114-127.  </w:t>
      </w:r>
    </w:p>
    <w:p w14:paraId="218D9C57"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Raja, R. &amp; Sørensen, A. H., with contributions by Bangsgaard, P., Eger, C, &amp; Jensen, P. F. (2015). "Preliminary Registration Report of the Fourth Season of the Danish-German Jerash Northwest Quarter Project 2014", </w:t>
      </w:r>
      <w:r w:rsidRPr="00406642">
        <w:rPr>
          <w:rFonts w:ascii="Georgia" w:hAnsi="Georgia"/>
          <w:i/>
          <w:iCs/>
          <w:color w:val="0A0A0A"/>
          <w:sz w:val="21"/>
          <w:szCs w:val="21"/>
          <w:lang w:val="en-US"/>
        </w:rPr>
        <w:t>Annual of the Department of Antiquities of Jordan </w:t>
      </w:r>
      <w:r w:rsidRPr="00406642">
        <w:rPr>
          <w:rFonts w:ascii="Georgia" w:hAnsi="Georgia"/>
          <w:color w:val="0A0A0A"/>
          <w:sz w:val="21"/>
          <w:szCs w:val="21"/>
          <w:lang w:val="en-US"/>
        </w:rPr>
        <w:t>59, 45–131.    </w:t>
      </w:r>
    </w:p>
    <w:p w14:paraId="50B384F4"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12006C32"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045B66">
        <w:rPr>
          <w:rFonts w:ascii="AUPassataBold" w:hAnsi="AUPassataBold"/>
          <w:b w:val="0"/>
          <w:bCs w:val="0"/>
          <w:color w:val="0A0A0A"/>
          <w:lang w:val="de-DE"/>
        </w:rPr>
        <w:t>2014</w:t>
      </w:r>
    </w:p>
    <w:p w14:paraId="35436EB1"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lastRenderedPageBreak/>
        <w:t xml:space="preserve">Kalaitzoglou, G., Lichtenberger, A. &amp; Raja, R. (2014). "Ausgrabungen im Nordwestviertel von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(Jordanien)", </w:t>
      </w:r>
      <w:r w:rsidRPr="00406642">
        <w:rPr>
          <w:rStyle w:val="Hervorhebung"/>
          <w:rFonts w:ascii="Georgia" w:hAnsi="Georgia"/>
          <w:color w:val="0A0A0A"/>
          <w:sz w:val="21"/>
          <w:szCs w:val="21"/>
          <w:lang w:val="de-DE"/>
        </w:rPr>
        <w:t>Jahresbericht des Instituts für Archäologische Wissenschaften für das Akademische Jahr 2012-2013</w:t>
      </w:r>
      <w:r w:rsidRPr="00406642">
        <w:rPr>
          <w:rFonts w:ascii="Georgia" w:hAnsi="Georgia"/>
          <w:color w:val="0A0A0A"/>
          <w:sz w:val="21"/>
          <w:szCs w:val="21"/>
          <w:lang w:val="de-DE"/>
        </w:rPr>
        <w:t>, 60-64.</w:t>
      </w:r>
    </w:p>
    <w:p w14:paraId="76FA3C70"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Kalaitzoglou, G., Lichtenberger, A. &amp; Raja, R. (2014). </w:t>
      </w:r>
      <w:r w:rsidRPr="00406642">
        <w:rPr>
          <w:rFonts w:ascii="Georgia" w:hAnsi="Georgia"/>
          <w:color w:val="0A0A0A"/>
          <w:sz w:val="21"/>
          <w:szCs w:val="21"/>
          <w:lang w:val="en-US"/>
        </w:rPr>
        <w:t>"The Danish-German Jerash North-West Quarter Project 2013: Preliminary Field Report", </w:t>
      </w:r>
      <w:r w:rsidRPr="00406642">
        <w:rPr>
          <w:rStyle w:val="Hervorhebung"/>
          <w:rFonts w:ascii="Georgia" w:hAnsi="Georgia"/>
          <w:color w:val="0A0A0A"/>
          <w:sz w:val="21"/>
          <w:szCs w:val="21"/>
          <w:lang w:val="en-US"/>
        </w:rPr>
        <w:t>Annual of the Department of Antiquities of Jordan</w:t>
      </w:r>
      <w:r w:rsidRPr="00406642">
        <w:rPr>
          <w:rFonts w:ascii="Georgia" w:hAnsi="Georgia"/>
          <w:color w:val="0A0A0A"/>
          <w:sz w:val="21"/>
          <w:szCs w:val="21"/>
          <w:lang w:val="en-US"/>
        </w:rPr>
        <w:t> 58, 11–37. </w:t>
      </w:r>
    </w:p>
    <w:p w14:paraId="78ED811B"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(2014). "Danish-German Northwest Quarter Project", in: </w:t>
      </w:r>
      <w:proofErr w:type="spellStart"/>
      <w:r w:rsidRPr="00406642">
        <w:rPr>
          <w:rFonts w:ascii="Georgia" w:hAnsi="Georgia"/>
          <w:color w:val="0A0A0A"/>
          <w:sz w:val="21"/>
          <w:szCs w:val="21"/>
          <w:lang w:val="en-US"/>
        </w:rPr>
        <w:t>Kenkel</w:t>
      </w:r>
      <w:proofErr w:type="spellEnd"/>
      <w:r w:rsidRPr="00406642">
        <w:rPr>
          <w:rFonts w:ascii="Georgia" w:hAnsi="Georgia"/>
          <w:color w:val="0A0A0A"/>
          <w:sz w:val="21"/>
          <w:szCs w:val="21"/>
          <w:lang w:val="en-US"/>
        </w:rPr>
        <w:t xml:space="preserve">, F. &amp; </w:t>
      </w:r>
      <w:proofErr w:type="spellStart"/>
      <w:r w:rsidRPr="00406642">
        <w:rPr>
          <w:rFonts w:ascii="Georgia" w:hAnsi="Georgia"/>
          <w:color w:val="0A0A0A"/>
          <w:sz w:val="21"/>
          <w:szCs w:val="21"/>
          <w:lang w:val="en-US"/>
        </w:rPr>
        <w:t>Vieweger</w:t>
      </w:r>
      <w:proofErr w:type="spellEnd"/>
      <w:r w:rsidRPr="00406642">
        <w:rPr>
          <w:rFonts w:ascii="Georgia" w:hAnsi="Georgia"/>
          <w:color w:val="0A0A0A"/>
          <w:sz w:val="21"/>
          <w:szCs w:val="21"/>
          <w:lang w:val="en-US"/>
        </w:rPr>
        <w:t>, D. (eds.), </w:t>
      </w:r>
      <w:r w:rsidRPr="00406642">
        <w:rPr>
          <w:rStyle w:val="Hervorhebung"/>
          <w:rFonts w:ascii="Georgia" w:hAnsi="Georgia"/>
          <w:color w:val="0A0A0A"/>
          <w:sz w:val="21"/>
          <w:szCs w:val="21"/>
          <w:lang w:val="en-US"/>
        </w:rPr>
        <w:t xml:space="preserve">With Trowel and </w:t>
      </w:r>
      <w:proofErr w:type="spellStart"/>
      <w:r w:rsidRPr="00406642">
        <w:rPr>
          <w:rStyle w:val="Hervorhebung"/>
          <w:rFonts w:ascii="Georgia" w:hAnsi="Georgia"/>
          <w:color w:val="0A0A0A"/>
          <w:sz w:val="21"/>
          <w:szCs w:val="21"/>
          <w:lang w:val="en-US"/>
        </w:rPr>
        <w:t>Hightech</w:t>
      </w:r>
      <w:proofErr w:type="spellEnd"/>
      <w:r w:rsidRPr="00406642">
        <w:rPr>
          <w:rStyle w:val="Hervorhebung"/>
          <w:rFonts w:ascii="Georgia" w:hAnsi="Georgia"/>
          <w:color w:val="0A0A0A"/>
          <w:sz w:val="21"/>
          <w:szCs w:val="21"/>
          <w:lang w:val="en-US"/>
        </w:rPr>
        <w:t>: German Archaeological Projects in Jordan, </w:t>
      </w:r>
      <w:r w:rsidRPr="00406642">
        <w:rPr>
          <w:rFonts w:ascii="Georgia" w:hAnsi="Georgia"/>
          <w:color w:val="0A0A0A"/>
          <w:sz w:val="21"/>
          <w:szCs w:val="21"/>
          <w:lang w:val="en-US"/>
        </w:rPr>
        <w:t>Berlin, 24-25.</w:t>
      </w:r>
    </w:p>
    <w:p w14:paraId="4A7EE2B7"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Lichtenberger, A. &amp; Raja, R. (2014).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w:t>
      </w:r>
      <w:r w:rsidRPr="00406642">
        <w:rPr>
          <w:rStyle w:val="Hervorhebung"/>
          <w:rFonts w:ascii="Georgia" w:hAnsi="Georgia"/>
          <w:color w:val="0A0A0A"/>
          <w:sz w:val="21"/>
          <w:szCs w:val="21"/>
          <w:lang w:val="en-US"/>
        </w:rPr>
        <w:t>American Journal of Archaeology</w:t>
      </w:r>
      <w:r w:rsidRPr="00406642">
        <w:rPr>
          <w:rFonts w:ascii="Georgia" w:hAnsi="Georgia"/>
          <w:color w:val="0A0A0A"/>
          <w:sz w:val="21"/>
          <w:szCs w:val="21"/>
          <w:lang w:val="en-US"/>
        </w:rPr>
        <w:t> 118:4, 643.</w:t>
      </w:r>
    </w:p>
    <w:p w14:paraId="00CC74B4"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t xml:space="preserve">Lichtenberger, A., Raja, R. &amp; Sørensen, A. H. "The Danish-German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2013. Preliminary Registration Report", </w:t>
      </w:r>
      <w:r w:rsidRPr="00406642">
        <w:rPr>
          <w:rStyle w:val="Hervorhebung"/>
          <w:rFonts w:ascii="Georgia" w:hAnsi="Georgia"/>
          <w:color w:val="0A0A0A"/>
          <w:sz w:val="21"/>
          <w:szCs w:val="21"/>
          <w:lang w:val="en-US"/>
        </w:rPr>
        <w:t>Annual of the Department of Antiquities of Jordan</w:t>
      </w:r>
      <w:r w:rsidRPr="00406642">
        <w:rPr>
          <w:rFonts w:ascii="Georgia" w:hAnsi="Georgia"/>
          <w:color w:val="0A0A0A"/>
          <w:sz w:val="21"/>
          <w:szCs w:val="21"/>
          <w:lang w:val="en-US"/>
        </w:rPr>
        <w:t> 58, 39-103</w:t>
      </w:r>
    </w:p>
    <w:p w14:paraId="3EA5D849"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7B673984" w14:textId="77777777" w:rsidR="00406642" w:rsidRPr="00406642"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406642">
        <w:rPr>
          <w:rFonts w:ascii="AUPassataBold" w:hAnsi="AUPassataBold"/>
          <w:b w:val="0"/>
          <w:bCs w:val="0"/>
          <w:color w:val="0A0A0A"/>
          <w:lang w:val="de-DE"/>
        </w:rPr>
        <w:t>2013</w:t>
      </w:r>
    </w:p>
    <w:p w14:paraId="42166FD2"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Kalaitzoglou, G., Lichtenberger, A. &amp; Raja, R. (2013). </w:t>
      </w:r>
      <w:r w:rsidRPr="00406642">
        <w:rPr>
          <w:rFonts w:ascii="Georgia" w:hAnsi="Georgia"/>
          <w:color w:val="0A0A0A"/>
          <w:sz w:val="21"/>
          <w:szCs w:val="21"/>
          <w:lang w:val="en-US"/>
        </w:rPr>
        <w:t xml:space="preserve">"Preliminary report of the second season of the Danish-German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2012", </w:t>
      </w:r>
      <w:r w:rsidRPr="00406642">
        <w:rPr>
          <w:rStyle w:val="Hervorhebung"/>
          <w:rFonts w:ascii="Georgia" w:hAnsi="Georgia"/>
          <w:color w:val="0A0A0A"/>
          <w:sz w:val="21"/>
          <w:szCs w:val="21"/>
          <w:lang w:val="en-US"/>
        </w:rPr>
        <w:t>Annual of the Department of Antiquities in Jordan</w:t>
      </w:r>
      <w:r w:rsidRPr="00406642">
        <w:rPr>
          <w:rFonts w:ascii="Georgia" w:hAnsi="Georgia"/>
          <w:color w:val="0A0A0A"/>
          <w:sz w:val="21"/>
          <w:szCs w:val="21"/>
          <w:lang w:val="en-US"/>
        </w:rPr>
        <w:t> 57, 57-79.</w:t>
      </w:r>
    </w:p>
    <w:p w14:paraId="71CC904C"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Kalaitzoglou, G., Lichtenberger, A. &amp; Raja, R. (2013). "2012 Ausgrabungen im Nordwestviertel von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(Jordanien)", </w:t>
      </w:r>
      <w:r w:rsidRPr="00406642">
        <w:rPr>
          <w:rStyle w:val="Hervorhebung"/>
          <w:rFonts w:ascii="Georgia" w:hAnsi="Georgia"/>
          <w:color w:val="0A0A0A"/>
          <w:sz w:val="21"/>
          <w:szCs w:val="21"/>
          <w:lang w:val="de-DE"/>
        </w:rPr>
        <w:t xml:space="preserve">Jahresbericht des Instituts für Archäologische Wissenschaften für das </w:t>
      </w:r>
      <w:proofErr w:type="spellStart"/>
      <w:r w:rsidRPr="00406642">
        <w:rPr>
          <w:rStyle w:val="Hervorhebung"/>
          <w:rFonts w:ascii="Georgia" w:hAnsi="Georgia"/>
          <w:color w:val="0A0A0A"/>
          <w:sz w:val="21"/>
          <w:szCs w:val="21"/>
          <w:lang w:val="de-DE"/>
        </w:rPr>
        <w:t>Academische</w:t>
      </w:r>
      <w:proofErr w:type="spellEnd"/>
      <w:r w:rsidRPr="00406642">
        <w:rPr>
          <w:rStyle w:val="Hervorhebung"/>
          <w:rFonts w:ascii="Georgia" w:hAnsi="Georgia"/>
          <w:color w:val="0A0A0A"/>
          <w:sz w:val="21"/>
          <w:szCs w:val="21"/>
          <w:lang w:val="de-DE"/>
        </w:rPr>
        <w:t xml:space="preserve"> Jahr 2011-2012</w:t>
      </w:r>
      <w:r w:rsidRPr="00406642">
        <w:rPr>
          <w:rFonts w:ascii="Georgia" w:hAnsi="Georgia"/>
          <w:color w:val="0A0A0A"/>
          <w:sz w:val="21"/>
          <w:szCs w:val="21"/>
          <w:lang w:val="de-DE"/>
        </w:rPr>
        <w:t>, 65-68.  </w:t>
      </w:r>
    </w:p>
    <w:p w14:paraId="4FC8989D"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Lichtenberger, A. &amp; Raja, R. (2013). "Schicht für Schicht in die Vergangenheit", </w:t>
      </w:r>
      <w:r w:rsidRPr="00406642">
        <w:rPr>
          <w:rStyle w:val="Hervorhebung"/>
          <w:rFonts w:ascii="Georgia" w:hAnsi="Georgia"/>
          <w:color w:val="0A0A0A"/>
          <w:sz w:val="21"/>
          <w:szCs w:val="21"/>
          <w:lang w:val="de-DE"/>
        </w:rPr>
        <w:t>Welt und Umwelt der Bibel</w:t>
      </w:r>
      <w:r w:rsidRPr="00406642">
        <w:rPr>
          <w:rFonts w:ascii="Georgia" w:hAnsi="Georgia"/>
          <w:color w:val="0A0A0A"/>
          <w:sz w:val="21"/>
          <w:szCs w:val="21"/>
          <w:lang w:val="de-DE"/>
        </w:rPr>
        <w:t> 1, 62-63.</w:t>
      </w:r>
    </w:p>
    <w:p w14:paraId="5D93932E"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Lichtenberger, A., Raja, R. &amp; Sørensen, A. H. (2013). </w:t>
      </w:r>
      <w:r w:rsidRPr="00406642">
        <w:rPr>
          <w:rFonts w:ascii="Georgia" w:hAnsi="Georgia"/>
          <w:color w:val="0A0A0A"/>
          <w:sz w:val="21"/>
          <w:szCs w:val="21"/>
          <w:lang w:val="en-US"/>
        </w:rPr>
        <w:t xml:space="preserve">"Preliminary registration report of the second season of the Danish-German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2012", </w:t>
      </w:r>
      <w:r w:rsidRPr="00406642">
        <w:rPr>
          <w:rStyle w:val="Hervorhebung"/>
          <w:rFonts w:ascii="Georgia" w:hAnsi="Georgia"/>
          <w:color w:val="0A0A0A"/>
          <w:sz w:val="21"/>
          <w:szCs w:val="21"/>
          <w:lang w:val="en-US"/>
        </w:rPr>
        <w:t>Annual of the Department of Antiquities in Jordan</w:t>
      </w:r>
      <w:r w:rsidRPr="00406642">
        <w:rPr>
          <w:rFonts w:ascii="Georgia" w:hAnsi="Georgia"/>
          <w:color w:val="0A0A0A"/>
          <w:sz w:val="21"/>
          <w:szCs w:val="21"/>
          <w:lang w:val="en-US"/>
        </w:rPr>
        <w:t> 57, 9-56.</w:t>
      </w:r>
    </w:p>
    <w:p w14:paraId="018224E1"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en-US"/>
        </w:rPr>
      </w:pPr>
    </w:p>
    <w:p w14:paraId="78CD850E" w14:textId="77777777" w:rsidR="00406642" w:rsidRPr="00045B66" w:rsidRDefault="00406642" w:rsidP="00406642">
      <w:pPr>
        <w:pStyle w:val="berschrift1"/>
        <w:shd w:val="clear" w:color="auto" w:fill="FEFEFE"/>
        <w:spacing w:before="240" w:beforeAutospacing="0" w:after="0" w:afterAutospacing="0"/>
        <w:rPr>
          <w:rFonts w:ascii="AUPassataBold" w:hAnsi="AUPassataBold"/>
          <w:b w:val="0"/>
          <w:bCs w:val="0"/>
          <w:color w:val="0A0A0A"/>
          <w:lang w:val="de-DE"/>
        </w:rPr>
      </w:pPr>
      <w:r w:rsidRPr="00045B66">
        <w:rPr>
          <w:rFonts w:ascii="AUPassataBold" w:hAnsi="AUPassataBold"/>
          <w:b w:val="0"/>
          <w:bCs w:val="0"/>
          <w:color w:val="0A0A0A"/>
          <w:lang w:val="de-DE"/>
        </w:rPr>
        <w:t>2012</w:t>
      </w:r>
    </w:p>
    <w:p w14:paraId="7F766890" w14:textId="77777777" w:rsidR="00406642" w:rsidRPr="00406642" w:rsidRDefault="00406642" w:rsidP="00406642">
      <w:pPr>
        <w:pStyle w:val="StandardWeb"/>
        <w:shd w:val="clear" w:color="auto" w:fill="FEFEFE"/>
        <w:rPr>
          <w:rFonts w:ascii="Georgia" w:hAnsi="Georgia"/>
          <w:color w:val="0A0A0A"/>
          <w:sz w:val="21"/>
          <w:szCs w:val="21"/>
          <w:lang w:val="de-DE"/>
        </w:rPr>
      </w:pPr>
      <w:r w:rsidRPr="00406642">
        <w:rPr>
          <w:rFonts w:ascii="Georgia" w:hAnsi="Georgia"/>
          <w:color w:val="0A0A0A"/>
          <w:sz w:val="21"/>
          <w:szCs w:val="21"/>
          <w:lang w:val="de-DE"/>
        </w:rPr>
        <w:t xml:space="preserve">Kalaitzoglou, G., Lichtenberger, A. &amp; Raja, R. (2012). "Das Nordwestviertel von </w:t>
      </w:r>
      <w:proofErr w:type="spellStart"/>
      <w:r w:rsidRPr="00406642">
        <w:rPr>
          <w:rFonts w:ascii="Georgia" w:hAnsi="Georgia"/>
          <w:color w:val="0A0A0A"/>
          <w:sz w:val="21"/>
          <w:szCs w:val="21"/>
          <w:lang w:val="de-DE"/>
        </w:rPr>
        <w:t>Gerasa</w:t>
      </w:r>
      <w:proofErr w:type="spellEnd"/>
      <w:r w:rsidRPr="00406642">
        <w:rPr>
          <w:rFonts w:ascii="Georgia" w:hAnsi="Georgia"/>
          <w:color w:val="0A0A0A"/>
          <w:sz w:val="21"/>
          <w:szCs w:val="21"/>
          <w:lang w:val="de-DE"/>
        </w:rPr>
        <w:t xml:space="preserve"> (Jordanien)", </w:t>
      </w:r>
      <w:r w:rsidRPr="00406642">
        <w:rPr>
          <w:rStyle w:val="Hervorhebung"/>
          <w:rFonts w:ascii="Georgia" w:hAnsi="Georgia"/>
          <w:color w:val="0A0A0A"/>
          <w:sz w:val="21"/>
          <w:szCs w:val="21"/>
          <w:lang w:val="de-DE"/>
        </w:rPr>
        <w:t>Jahresbericht des Instituts für Archäologische Wissenschaften für das A</w:t>
      </w:r>
      <w:r w:rsidR="002335F2">
        <w:rPr>
          <w:rStyle w:val="Hervorhebung"/>
          <w:rFonts w:ascii="Georgia" w:hAnsi="Georgia"/>
          <w:color w:val="0A0A0A"/>
          <w:sz w:val="21"/>
          <w:szCs w:val="21"/>
          <w:lang w:val="de-DE"/>
        </w:rPr>
        <w:t>k</w:t>
      </w:r>
      <w:r w:rsidRPr="00406642">
        <w:rPr>
          <w:rStyle w:val="Hervorhebung"/>
          <w:rFonts w:ascii="Georgia" w:hAnsi="Georgia"/>
          <w:color w:val="0A0A0A"/>
          <w:sz w:val="21"/>
          <w:szCs w:val="21"/>
          <w:lang w:val="de-DE"/>
        </w:rPr>
        <w:t>ademische Jahr 2010-2011, </w:t>
      </w:r>
      <w:r w:rsidRPr="00406642">
        <w:rPr>
          <w:rFonts w:ascii="Georgia" w:hAnsi="Georgia"/>
          <w:color w:val="0A0A0A"/>
          <w:sz w:val="21"/>
          <w:szCs w:val="21"/>
          <w:lang w:val="de-DE"/>
        </w:rPr>
        <w:t>Bochum, 69-73.</w:t>
      </w:r>
    </w:p>
    <w:p w14:paraId="7C965911"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de-DE"/>
        </w:rPr>
        <w:t xml:space="preserve">Kalaitzoglou G., Kniess, R., Lichtenberger, A., Pilz D. &amp; Raja, R. (2012). </w:t>
      </w:r>
      <w:r w:rsidRPr="00406642">
        <w:rPr>
          <w:rFonts w:ascii="Georgia" w:hAnsi="Georgia"/>
          <w:color w:val="0A0A0A"/>
          <w:sz w:val="21"/>
          <w:szCs w:val="21"/>
          <w:lang w:val="en-US"/>
        </w:rPr>
        <w:t xml:space="preserve">"Report on a geophysical prospection of the Northwest Quarter of </w:t>
      </w:r>
      <w:proofErr w:type="spellStart"/>
      <w:r w:rsidRPr="00406642">
        <w:rPr>
          <w:rFonts w:ascii="Georgia" w:hAnsi="Georgia"/>
          <w:color w:val="0A0A0A"/>
          <w:sz w:val="21"/>
          <w:szCs w:val="21"/>
          <w:lang w:val="en-US"/>
        </w:rPr>
        <w:t>Gerasa</w:t>
      </w:r>
      <w:proofErr w:type="spellEnd"/>
      <w:r w:rsidRPr="00406642">
        <w:rPr>
          <w:rFonts w:ascii="Georgia" w:hAnsi="Georgia"/>
          <w:color w:val="0A0A0A"/>
          <w:sz w:val="21"/>
          <w:szCs w:val="21"/>
          <w:lang w:val="en-US"/>
        </w:rPr>
        <w:t>/ Jerash 2011", </w:t>
      </w:r>
      <w:r w:rsidRPr="00406642">
        <w:rPr>
          <w:rFonts w:ascii="Georgia" w:hAnsi="Georgia"/>
          <w:i/>
          <w:iCs/>
          <w:color w:val="0A0A0A"/>
          <w:sz w:val="21"/>
          <w:szCs w:val="21"/>
          <w:lang w:val="en-US"/>
        </w:rPr>
        <w:t>Annual of the Department of Antiquities of Jordan</w:t>
      </w:r>
      <w:r w:rsidRPr="00406642">
        <w:rPr>
          <w:rFonts w:ascii="Georgia" w:hAnsi="Georgia"/>
          <w:color w:val="0A0A0A"/>
          <w:sz w:val="21"/>
          <w:szCs w:val="21"/>
          <w:lang w:val="en-US"/>
        </w:rPr>
        <w:t> 56, 79-88.</w:t>
      </w:r>
    </w:p>
    <w:p w14:paraId="2EE3CBA6" w14:textId="77777777" w:rsidR="00406642" w:rsidRPr="00406642" w:rsidRDefault="00406642" w:rsidP="00406642">
      <w:pPr>
        <w:pStyle w:val="StandardWeb"/>
        <w:shd w:val="clear" w:color="auto" w:fill="FEFEFE"/>
        <w:rPr>
          <w:rFonts w:ascii="Georgia" w:hAnsi="Georgia"/>
          <w:color w:val="0A0A0A"/>
          <w:sz w:val="21"/>
          <w:szCs w:val="21"/>
          <w:lang w:val="en-US"/>
        </w:rPr>
      </w:pPr>
      <w:r w:rsidRPr="00406642">
        <w:rPr>
          <w:rFonts w:ascii="Georgia" w:hAnsi="Georgia"/>
          <w:color w:val="0A0A0A"/>
          <w:sz w:val="21"/>
          <w:szCs w:val="21"/>
          <w:lang w:val="en-US"/>
        </w:rPr>
        <w:lastRenderedPageBreak/>
        <w:t xml:space="preserve">Lichtenberger, A. &amp; Raja, R. (2012). "Preliminary report of the first season of the Danish-German </w:t>
      </w:r>
      <w:proofErr w:type="spellStart"/>
      <w:r w:rsidRPr="00406642">
        <w:rPr>
          <w:rFonts w:ascii="Georgia" w:hAnsi="Georgia"/>
          <w:color w:val="0A0A0A"/>
          <w:sz w:val="21"/>
          <w:szCs w:val="21"/>
          <w:lang w:val="en-US"/>
        </w:rPr>
        <w:t>Jarash</w:t>
      </w:r>
      <w:proofErr w:type="spellEnd"/>
      <w:r w:rsidRPr="00406642">
        <w:rPr>
          <w:rFonts w:ascii="Georgia" w:hAnsi="Georgia"/>
          <w:color w:val="0A0A0A"/>
          <w:sz w:val="21"/>
          <w:szCs w:val="21"/>
          <w:lang w:val="en-US"/>
        </w:rPr>
        <w:t xml:space="preserve"> Northwest Quarter Project", </w:t>
      </w:r>
      <w:r w:rsidRPr="00406642">
        <w:rPr>
          <w:rStyle w:val="Hervorhebung"/>
          <w:rFonts w:ascii="Georgia" w:hAnsi="Georgia"/>
          <w:color w:val="0A0A0A"/>
          <w:sz w:val="21"/>
          <w:szCs w:val="21"/>
          <w:lang w:val="en-US"/>
        </w:rPr>
        <w:t>Annual of the Department of Antiquities in Jordan</w:t>
      </w:r>
      <w:r w:rsidRPr="00406642">
        <w:rPr>
          <w:rFonts w:ascii="Georgia" w:hAnsi="Georgia"/>
          <w:color w:val="0A0A0A"/>
          <w:sz w:val="21"/>
          <w:szCs w:val="21"/>
          <w:lang w:val="en-US"/>
        </w:rPr>
        <w:t> 56, 231-240.</w:t>
      </w:r>
    </w:p>
    <w:p w14:paraId="497AF995" w14:textId="77777777" w:rsidR="004E1900" w:rsidRDefault="004E1900" w:rsidP="004E1900">
      <w:pPr>
        <w:pStyle w:val="berschrift1"/>
        <w:shd w:val="clear" w:color="auto" w:fill="FEFEFE"/>
        <w:spacing w:before="240" w:beforeAutospacing="0" w:after="0" w:afterAutospacing="0"/>
        <w:rPr>
          <w:rFonts w:ascii="AUPassataBold" w:hAnsi="AUPassataBold"/>
          <w:b w:val="0"/>
          <w:bCs w:val="0"/>
          <w:color w:val="0A0A0A"/>
          <w:lang w:val="en-US"/>
        </w:rPr>
      </w:pPr>
    </w:p>
    <w:p w14:paraId="0DC5AD16" w14:textId="77777777" w:rsidR="004E1900" w:rsidRDefault="004E1900" w:rsidP="004E1900">
      <w:pPr>
        <w:pStyle w:val="berschrift1"/>
        <w:shd w:val="clear" w:color="auto" w:fill="FEFEFE"/>
        <w:spacing w:before="240" w:beforeAutospacing="0" w:after="0" w:afterAutospacing="0"/>
        <w:rPr>
          <w:rFonts w:ascii="AUPassataBold" w:hAnsi="AUPassataBold"/>
          <w:b w:val="0"/>
          <w:bCs w:val="0"/>
          <w:color w:val="0A0A0A"/>
          <w:lang w:val="en-US"/>
        </w:rPr>
      </w:pPr>
      <w:r>
        <w:rPr>
          <w:rFonts w:ascii="AUPassataBold" w:hAnsi="AUPassataBold"/>
          <w:b w:val="0"/>
          <w:bCs w:val="0"/>
          <w:color w:val="0A0A0A"/>
          <w:lang w:val="en-US"/>
        </w:rPr>
        <w:t>PhD Theses</w:t>
      </w:r>
    </w:p>
    <w:p w14:paraId="738DE44E" w14:textId="77777777" w:rsidR="004E1900" w:rsidRDefault="004E1900" w:rsidP="004E1900">
      <w:pPr>
        <w:pStyle w:val="StandardWeb"/>
        <w:shd w:val="clear" w:color="auto" w:fill="FEFEFE"/>
        <w:rPr>
          <w:rFonts w:ascii="Georgia" w:hAnsi="Georgia"/>
          <w:color w:val="0A0A0A"/>
          <w:sz w:val="21"/>
          <w:szCs w:val="21"/>
          <w:lang w:val="en-US"/>
        </w:rPr>
      </w:pPr>
      <w:r>
        <w:rPr>
          <w:rFonts w:ascii="Georgia" w:hAnsi="Georgia"/>
          <w:color w:val="0A0A0A"/>
          <w:sz w:val="21"/>
          <w:szCs w:val="21"/>
          <w:lang w:val="en-US"/>
        </w:rPr>
        <w:t>Peterson, A.H. (2019). </w:t>
      </w:r>
      <w:r>
        <w:rPr>
          <w:rStyle w:val="Hervorhebung"/>
          <w:rFonts w:ascii="Georgia" w:hAnsi="Georgia"/>
          <w:color w:val="0A0A0A"/>
          <w:sz w:val="21"/>
          <w:szCs w:val="21"/>
          <w:lang w:val="en-US"/>
        </w:rPr>
        <w:t>Ceramics in Context. The History and Pottery of a Middle Islamic Settlement in the Northwest Quarter of Jerash</w:t>
      </w:r>
      <w:r>
        <w:rPr>
          <w:rFonts w:ascii="Georgia" w:hAnsi="Georgia"/>
          <w:color w:val="0A0A0A"/>
          <w:sz w:val="21"/>
          <w:szCs w:val="21"/>
          <w:lang w:val="en-US"/>
        </w:rPr>
        <w:t>, Aarhus University. Unpublished dissertation.</w:t>
      </w:r>
    </w:p>
    <w:p w14:paraId="320175D2" w14:textId="77777777" w:rsidR="004E1900" w:rsidRPr="00D8557E" w:rsidRDefault="004E1900" w:rsidP="004E1900">
      <w:pPr>
        <w:pStyle w:val="StandardWeb"/>
        <w:shd w:val="clear" w:color="auto" w:fill="FEFEFE"/>
        <w:rPr>
          <w:rFonts w:ascii="Georgia" w:hAnsi="Georgia"/>
          <w:color w:val="0A0A0A"/>
          <w:sz w:val="21"/>
          <w:szCs w:val="21"/>
          <w:lang w:val="de-DE"/>
        </w:rPr>
      </w:pPr>
      <w:r>
        <w:rPr>
          <w:rFonts w:ascii="Georgia" w:hAnsi="Georgia"/>
          <w:color w:val="0A0A0A"/>
          <w:sz w:val="21"/>
          <w:szCs w:val="21"/>
          <w:lang w:val="en-US"/>
        </w:rPr>
        <w:t>Thomsen, K. (2019). </w:t>
      </w:r>
      <w:r>
        <w:rPr>
          <w:rStyle w:val="Hervorhebung"/>
          <w:rFonts w:ascii="Georgia" w:hAnsi="Georgia"/>
          <w:color w:val="0A0A0A"/>
          <w:sz w:val="21"/>
          <w:szCs w:val="21"/>
          <w:lang w:val="en-US"/>
        </w:rPr>
        <w:t>Urban Life in Jerash, Jordan: The Technological and Stylistic Development of Mortar, Plaster and Wall Paintings from Roman Times to the Middle Islamic Period from an Archaeological and Geoarchaeological Perspective</w:t>
      </w:r>
      <w:r>
        <w:rPr>
          <w:rFonts w:ascii="Georgia" w:hAnsi="Georgia"/>
          <w:color w:val="0A0A0A"/>
          <w:sz w:val="21"/>
          <w:szCs w:val="21"/>
          <w:lang w:val="en-US"/>
        </w:rPr>
        <w:t xml:space="preserve">, Aarhus University. </w:t>
      </w:r>
      <w:proofErr w:type="spellStart"/>
      <w:r w:rsidRPr="00D8557E">
        <w:rPr>
          <w:rFonts w:ascii="Georgia" w:hAnsi="Georgia"/>
          <w:color w:val="0A0A0A"/>
          <w:sz w:val="21"/>
          <w:szCs w:val="21"/>
          <w:lang w:val="de-DE"/>
        </w:rPr>
        <w:t>Unpublished</w:t>
      </w:r>
      <w:proofErr w:type="spellEnd"/>
      <w:r w:rsidRPr="00D8557E">
        <w:rPr>
          <w:rFonts w:ascii="Georgia" w:hAnsi="Georgia"/>
          <w:color w:val="0A0A0A"/>
          <w:sz w:val="21"/>
          <w:szCs w:val="21"/>
          <w:lang w:val="de-DE"/>
        </w:rPr>
        <w:t xml:space="preserve"> </w:t>
      </w:r>
      <w:proofErr w:type="spellStart"/>
      <w:r w:rsidRPr="00D8557E">
        <w:rPr>
          <w:rFonts w:ascii="Georgia" w:hAnsi="Georgia"/>
          <w:color w:val="0A0A0A"/>
          <w:sz w:val="21"/>
          <w:szCs w:val="21"/>
          <w:lang w:val="de-DE"/>
        </w:rPr>
        <w:t>dissertation</w:t>
      </w:r>
      <w:proofErr w:type="spellEnd"/>
      <w:r w:rsidRPr="00D8557E">
        <w:rPr>
          <w:rFonts w:ascii="Georgia" w:hAnsi="Georgia"/>
          <w:color w:val="0A0A0A"/>
          <w:sz w:val="21"/>
          <w:szCs w:val="21"/>
          <w:lang w:val="de-DE"/>
        </w:rPr>
        <w:t>.</w:t>
      </w:r>
    </w:p>
    <w:p w14:paraId="7D11B5FA" w14:textId="77777777" w:rsidR="004E1900" w:rsidRPr="00D8557E" w:rsidRDefault="004E1900" w:rsidP="004E1900">
      <w:pPr>
        <w:pStyle w:val="berschrift1"/>
        <w:shd w:val="clear" w:color="auto" w:fill="FEFEFE"/>
        <w:spacing w:before="240" w:beforeAutospacing="0" w:after="0" w:afterAutospacing="0"/>
        <w:rPr>
          <w:rFonts w:ascii="AUPassataBold" w:hAnsi="AUPassataBold"/>
          <w:b w:val="0"/>
          <w:bCs w:val="0"/>
          <w:color w:val="0A0A0A"/>
          <w:lang w:val="de-DE"/>
        </w:rPr>
      </w:pPr>
    </w:p>
    <w:p w14:paraId="2B7F3CF8" w14:textId="77777777" w:rsidR="004E1900" w:rsidRPr="00D8557E" w:rsidRDefault="004E1900" w:rsidP="004E1900">
      <w:pPr>
        <w:pStyle w:val="berschrift1"/>
        <w:shd w:val="clear" w:color="auto" w:fill="FEFEFE"/>
        <w:spacing w:before="240" w:beforeAutospacing="0" w:after="0" w:afterAutospacing="0"/>
        <w:rPr>
          <w:rFonts w:ascii="AUPassataBold" w:hAnsi="AUPassataBold"/>
          <w:b w:val="0"/>
          <w:bCs w:val="0"/>
          <w:color w:val="0A0A0A"/>
          <w:lang w:val="de-DE"/>
        </w:rPr>
      </w:pPr>
      <w:r w:rsidRPr="00D8557E">
        <w:rPr>
          <w:rFonts w:ascii="AUPassataBold" w:hAnsi="AUPassataBold"/>
          <w:b w:val="0"/>
          <w:bCs w:val="0"/>
          <w:color w:val="0A0A0A"/>
          <w:lang w:val="de-DE"/>
        </w:rPr>
        <w:t xml:space="preserve">MA </w:t>
      </w:r>
      <w:proofErr w:type="spellStart"/>
      <w:r w:rsidRPr="00D8557E">
        <w:rPr>
          <w:rFonts w:ascii="AUPassataBold" w:hAnsi="AUPassataBold"/>
          <w:b w:val="0"/>
          <w:bCs w:val="0"/>
          <w:color w:val="0A0A0A"/>
          <w:lang w:val="de-DE"/>
        </w:rPr>
        <w:t>Theses</w:t>
      </w:r>
      <w:proofErr w:type="spellEnd"/>
    </w:p>
    <w:p w14:paraId="4B52C764" w14:textId="77777777" w:rsidR="004E1900" w:rsidRPr="00D8557E" w:rsidRDefault="004E1900" w:rsidP="004E1900">
      <w:pPr>
        <w:pStyle w:val="StandardWeb"/>
        <w:shd w:val="clear" w:color="auto" w:fill="FEFEFE"/>
        <w:rPr>
          <w:rFonts w:ascii="Georgia" w:hAnsi="Georgia"/>
          <w:color w:val="0A0A0A"/>
          <w:sz w:val="21"/>
          <w:szCs w:val="21"/>
          <w:lang w:val="de-DE"/>
        </w:rPr>
      </w:pPr>
      <w:proofErr w:type="spellStart"/>
      <w:r w:rsidRPr="00D8557E">
        <w:rPr>
          <w:rFonts w:ascii="Georgia" w:hAnsi="Georgia"/>
          <w:color w:val="0A0A0A"/>
          <w:sz w:val="21"/>
          <w:szCs w:val="21"/>
          <w:lang w:val="de-DE"/>
        </w:rPr>
        <w:t>Csitneki</w:t>
      </w:r>
      <w:proofErr w:type="spellEnd"/>
      <w:r w:rsidRPr="00D8557E">
        <w:rPr>
          <w:rFonts w:ascii="Georgia" w:hAnsi="Georgia"/>
          <w:color w:val="0A0A0A"/>
          <w:sz w:val="21"/>
          <w:szCs w:val="21"/>
          <w:lang w:val="de-DE"/>
        </w:rPr>
        <w:t>, D. (2016). </w:t>
      </w:r>
      <w:proofErr w:type="spellStart"/>
      <w:r w:rsidRPr="00D8557E">
        <w:rPr>
          <w:rStyle w:val="Hervorhebung"/>
          <w:rFonts w:ascii="Georgia" w:hAnsi="Georgia"/>
          <w:color w:val="0A0A0A"/>
          <w:sz w:val="21"/>
          <w:szCs w:val="21"/>
          <w:lang w:val="de-DE"/>
        </w:rPr>
        <w:t>Jerash</w:t>
      </w:r>
      <w:proofErr w:type="spellEnd"/>
      <w:r w:rsidRPr="00D8557E">
        <w:rPr>
          <w:rStyle w:val="Hervorhebung"/>
          <w:rFonts w:ascii="Georgia" w:hAnsi="Georgia"/>
          <w:color w:val="0A0A0A"/>
          <w:sz w:val="21"/>
          <w:szCs w:val="21"/>
          <w:lang w:val="de-DE"/>
        </w:rPr>
        <w:t xml:space="preserve"> </w:t>
      </w:r>
      <w:proofErr w:type="spellStart"/>
      <w:r w:rsidRPr="00D8557E">
        <w:rPr>
          <w:rStyle w:val="Hervorhebung"/>
          <w:rFonts w:ascii="Georgia" w:hAnsi="Georgia"/>
          <w:color w:val="0A0A0A"/>
          <w:sz w:val="21"/>
          <w:szCs w:val="21"/>
          <w:lang w:val="de-DE"/>
        </w:rPr>
        <w:t>Bowls</w:t>
      </w:r>
      <w:proofErr w:type="spellEnd"/>
      <w:r w:rsidRPr="00D8557E">
        <w:rPr>
          <w:rStyle w:val="Hervorhebung"/>
          <w:rFonts w:ascii="Georgia" w:hAnsi="Georgia"/>
          <w:color w:val="0A0A0A"/>
          <w:sz w:val="21"/>
          <w:szCs w:val="21"/>
          <w:lang w:val="de-DE"/>
        </w:rPr>
        <w:t xml:space="preserve">, Typologie, Chronologie und Ikonographie einer feinkeramischen Gattung in </w:t>
      </w:r>
      <w:proofErr w:type="spellStart"/>
      <w:r w:rsidRPr="00D8557E">
        <w:rPr>
          <w:rStyle w:val="Hervorhebung"/>
          <w:rFonts w:ascii="Georgia" w:hAnsi="Georgia"/>
          <w:color w:val="0A0A0A"/>
          <w:sz w:val="21"/>
          <w:szCs w:val="21"/>
          <w:lang w:val="de-DE"/>
        </w:rPr>
        <w:t>Gerasa</w:t>
      </w:r>
      <w:proofErr w:type="spellEnd"/>
      <w:r w:rsidRPr="00D8557E">
        <w:rPr>
          <w:rStyle w:val="Hervorhebung"/>
          <w:rFonts w:ascii="Georgia" w:hAnsi="Georgia"/>
          <w:color w:val="0A0A0A"/>
          <w:sz w:val="21"/>
          <w:szCs w:val="21"/>
          <w:lang w:val="de-DE"/>
        </w:rPr>
        <w:t xml:space="preserve"> (Jordanien), </w:t>
      </w:r>
      <w:r w:rsidR="00D75C01" w:rsidRPr="00D8557E">
        <w:rPr>
          <w:rFonts w:ascii="Georgia" w:hAnsi="Georgia"/>
          <w:color w:val="0A0A0A"/>
          <w:sz w:val="21"/>
          <w:szCs w:val="21"/>
          <w:lang w:val="de-DE"/>
        </w:rPr>
        <w:t>Ruhr-Universität Bochum</w:t>
      </w:r>
      <w:r w:rsidRPr="00D8557E">
        <w:rPr>
          <w:rFonts w:ascii="Georgia" w:hAnsi="Georgia"/>
          <w:color w:val="0A0A0A"/>
          <w:sz w:val="21"/>
          <w:szCs w:val="21"/>
          <w:lang w:val="de-DE"/>
        </w:rPr>
        <w:t>.</w:t>
      </w:r>
    </w:p>
    <w:p w14:paraId="41B8243D" w14:textId="77777777" w:rsidR="00D75C01" w:rsidRPr="00D75C01" w:rsidRDefault="00D75C01" w:rsidP="004E1900">
      <w:pPr>
        <w:pStyle w:val="StandardWeb"/>
        <w:shd w:val="clear" w:color="auto" w:fill="FEFEFE"/>
        <w:rPr>
          <w:rFonts w:ascii="Georgia" w:hAnsi="Georgia"/>
          <w:color w:val="0A0A0A"/>
          <w:sz w:val="21"/>
          <w:szCs w:val="21"/>
          <w:lang w:val="en-US"/>
        </w:rPr>
      </w:pPr>
      <w:r w:rsidRPr="00D75C01">
        <w:rPr>
          <w:rFonts w:ascii="Georgia" w:hAnsi="Georgia"/>
          <w:color w:val="0A0A0A"/>
          <w:sz w:val="21"/>
          <w:szCs w:val="21"/>
          <w:lang w:val="en-US"/>
        </w:rPr>
        <w:t>Ebeling, P</w:t>
      </w:r>
      <w:r>
        <w:rPr>
          <w:rFonts w:ascii="Georgia" w:hAnsi="Georgia"/>
          <w:color w:val="0A0A0A"/>
          <w:sz w:val="21"/>
          <w:szCs w:val="21"/>
          <w:lang w:val="en-US"/>
        </w:rPr>
        <w:t>. (2019).</w:t>
      </w:r>
      <w:r w:rsidRPr="00D75C01">
        <w:rPr>
          <w:rFonts w:ascii="Georgia" w:hAnsi="Georgia"/>
          <w:color w:val="0A0A0A"/>
          <w:sz w:val="21"/>
          <w:szCs w:val="21"/>
          <w:lang w:val="en-US"/>
        </w:rPr>
        <w:t xml:space="preserve"> </w:t>
      </w:r>
      <w:r w:rsidRPr="00D8557E">
        <w:rPr>
          <w:rFonts w:ascii="Georgia" w:hAnsi="Georgia"/>
          <w:i/>
          <w:color w:val="0A0A0A"/>
          <w:sz w:val="21"/>
          <w:szCs w:val="21"/>
          <w:lang w:val="en-US"/>
        </w:rPr>
        <w:t>The Roof-Tiles from the Excavations in the Northwest Quarter of Jerash</w:t>
      </w:r>
      <w:r w:rsidRPr="00D75C01">
        <w:rPr>
          <w:rStyle w:val="Hervorhebung"/>
          <w:rFonts w:ascii="Georgia" w:hAnsi="Georgia"/>
          <w:color w:val="0A0A0A"/>
          <w:sz w:val="21"/>
          <w:szCs w:val="21"/>
          <w:lang w:val="en-US"/>
        </w:rPr>
        <w:t>, </w:t>
      </w:r>
      <w:proofErr w:type="spellStart"/>
      <w:r w:rsidRPr="00D75C01">
        <w:rPr>
          <w:rFonts w:ascii="Georgia" w:hAnsi="Georgia"/>
          <w:color w:val="0A0A0A"/>
          <w:sz w:val="21"/>
          <w:szCs w:val="21"/>
          <w:lang w:val="en-US"/>
        </w:rPr>
        <w:t>Westfälische</w:t>
      </w:r>
      <w:proofErr w:type="spellEnd"/>
      <w:r w:rsidRPr="00D75C01">
        <w:rPr>
          <w:rFonts w:ascii="Georgia" w:hAnsi="Georgia"/>
          <w:color w:val="0A0A0A"/>
          <w:sz w:val="21"/>
          <w:szCs w:val="21"/>
          <w:lang w:val="en-US"/>
        </w:rPr>
        <w:t xml:space="preserve"> </w:t>
      </w:r>
      <w:proofErr w:type="spellStart"/>
      <w:r w:rsidRPr="00D75C01">
        <w:rPr>
          <w:rFonts w:ascii="Georgia" w:hAnsi="Georgia"/>
          <w:color w:val="0A0A0A"/>
          <w:sz w:val="21"/>
          <w:szCs w:val="21"/>
          <w:lang w:val="en-US"/>
        </w:rPr>
        <w:t>Wilhelms</w:t>
      </w:r>
      <w:proofErr w:type="spellEnd"/>
      <w:r w:rsidRPr="00D75C01">
        <w:rPr>
          <w:rFonts w:ascii="Georgia" w:hAnsi="Georgia"/>
          <w:color w:val="0A0A0A"/>
          <w:sz w:val="21"/>
          <w:szCs w:val="21"/>
          <w:lang w:val="en-US"/>
        </w:rPr>
        <w:t>-Universität Münster.</w:t>
      </w:r>
    </w:p>
    <w:p w14:paraId="50531AFD" w14:textId="77777777" w:rsidR="004E1900" w:rsidRDefault="004E1900" w:rsidP="004E1900">
      <w:pPr>
        <w:pStyle w:val="StandardWeb"/>
        <w:shd w:val="clear" w:color="auto" w:fill="FEFEFE"/>
        <w:rPr>
          <w:rFonts w:ascii="Georgia" w:hAnsi="Georgia"/>
          <w:color w:val="0A0A0A"/>
          <w:sz w:val="21"/>
          <w:szCs w:val="21"/>
          <w:lang w:val="en-US"/>
        </w:rPr>
      </w:pPr>
      <w:r>
        <w:rPr>
          <w:rFonts w:ascii="Georgia" w:hAnsi="Georgia"/>
          <w:color w:val="0A0A0A"/>
          <w:sz w:val="21"/>
          <w:szCs w:val="21"/>
          <w:lang w:val="en-US"/>
        </w:rPr>
        <w:t>Egelund, L. (2017). </w:t>
      </w:r>
      <w:r>
        <w:rPr>
          <w:rStyle w:val="Hervorhebung"/>
          <w:rFonts w:ascii="Georgia" w:hAnsi="Georgia"/>
          <w:color w:val="0A0A0A"/>
          <w:sz w:val="21"/>
          <w:szCs w:val="21"/>
          <w:lang w:val="en-US"/>
        </w:rPr>
        <w:t>The House of the Tesserae: A Study of Cultural Changes and Continuities in Domestic Architecture from the Roman Period into the Early Islamic Period (749 CE),</w:t>
      </w:r>
      <w:r>
        <w:rPr>
          <w:rFonts w:ascii="Georgia" w:hAnsi="Georgia"/>
          <w:color w:val="0A0A0A"/>
          <w:sz w:val="21"/>
          <w:szCs w:val="21"/>
          <w:lang w:val="en-US"/>
        </w:rPr>
        <w:t> Aarhus University: Unpublished MA thesis.</w:t>
      </w:r>
    </w:p>
    <w:p w14:paraId="1F3F4C28" w14:textId="77777777" w:rsidR="004E1900" w:rsidRDefault="004E1900" w:rsidP="004E1900">
      <w:pPr>
        <w:pStyle w:val="StandardWeb"/>
        <w:shd w:val="clear" w:color="auto" w:fill="FEFEFE"/>
        <w:rPr>
          <w:rFonts w:ascii="Georgia" w:hAnsi="Georgia"/>
          <w:color w:val="0A0A0A"/>
          <w:sz w:val="21"/>
          <w:szCs w:val="21"/>
          <w:lang w:val="en-US"/>
        </w:rPr>
      </w:pPr>
      <w:r>
        <w:rPr>
          <w:rFonts w:ascii="Georgia" w:hAnsi="Georgia"/>
          <w:color w:val="0A0A0A"/>
          <w:sz w:val="21"/>
          <w:szCs w:val="21"/>
          <w:lang w:val="en-US"/>
        </w:rPr>
        <w:t>Hiort, D.M. (2013). </w:t>
      </w:r>
      <w:r>
        <w:rPr>
          <w:rStyle w:val="Hervorhebung"/>
          <w:rFonts w:ascii="Georgia" w:hAnsi="Georgia"/>
          <w:color w:val="0A0A0A"/>
          <w:sz w:val="21"/>
          <w:szCs w:val="21"/>
          <w:lang w:val="en-US"/>
        </w:rPr>
        <w:t xml:space="preserve">The Roman Horned Altar: An analysis, Discussion and </w:t>
      </w:r>
      <w:proofErr w:type="spellStart"/>
      <w:r>
        <w:rPr>
          <w:rStyle w:val="Hervorhebung"/>
          <w:rFonts w:ascii="Georgia" w:hAnsi="Georgia"/>
          <w:color w:val="0A0A0A"/>
          <w:sz w:val="21"/>
          <w:szCs w:val="21"/>
          <w:lang w:val="en-US"/>
        </w:rPr>
        <w:t>Contextualisation</w:t>
      </w:r>
      <w:proofErr w:type="spellEnd"/>
      <w:r>
        <w:rPr>
          <w:rStyle w:val="Hervorhebung"/>
          <w:rFonts w:ascii="Georgia" w:hAnsi="Georgia"/>
          <w:color w:val="0A0A0A"/>
          <w:sz w:val="21"/>
          <w:szCs w:val="21"/>
          <w:lang w:val="en-US"/>
        </w:rPr>
        <w:t xml:space="preserve"> of the Material From Jerash,</w:t>
      </w:r>
      <w:r>
        <w:rPr>
          <w:rFonts w:ascii="Georgia" w:hAnsi="Georgia"/>
          <w:color w:val="0A0A0A"/>
          <w:sz w:val="21"/>
          <w:szCs w:val="21"/>
          <w:lang w:val="en-US"/>
        </w:rPr>
        <w:t> Aarhus University: Unpublished MA thesis.</w:t>
      </w:r>
    </w:p>
    <w:p w14:paraId="2FA22DEF" w14:textId="4AF9230E" w:rsidR="004E1900" w:rsidRDefault="004E1900" w:rsidP="00D8557E">
      <w:pPr>
        <w:pStyle w:val="StandardWeb"/>
        <w:shd w:val="clear" w:color="auto" w:fill="FEFEFE"/>
        <w:rPr>
          <w:rFonts w:ascii="Georgia" w:hAnsi="Georgia"/>
          <w:color w:val="0A0A0A"/>
          <w:sz w:val="21"/>
          <w:szCs w:val="21"/>
          <w:lang w:val="en-US"/>
        </w:rPr>
      </w:pPr>
      <w:r>
        <w:rPr>
          <w:rFonts w:ascii="Georgia" w:hAnsi="Georgia"/>
          <w:color w:val="0A0A0A"/>
          <w:sz w:val="21"/>
          <w:szCs w:val="21"/>
          <w:lang w:val="en-US"/>
        </w:rPr>
        <w:t>Kristensen, S.B. (2019). </w:t>
      </w:r>
      <w:r>
        <w:rPr>
          <w:rStyle w:val="Hervorhebung"/>
          <w:rFonts w:ascii="Georgia" w:hAnsi="Georgia"/>
          <w:color w:val="0A0A0A"/>
          <w:sz w:val="21"/>
          <w:szCs w:val="21"/>
          <w:lang w:val="en-US"/>
        </w:rPr>
        <w:t>Cooking up Culture - Redefining shape and function. Production traditions of Late Roman-Byzantine locally produced cooking ware,</w:t>
      </w:r>
      <w:r>
        <w:rPr>
          <w:rFonts w:ascii="Georgia" w:hAnsi="Georgia"/>
          <w:color w:val="0A0A0A"/>
          <w:sz w:val="21"/>
          <w:szCs w:val="21"/>
          <w:lang w:val="en-US"/>
        </w:rPr>
        <w:t> Aarhus University: Unpublished MA thesis.</w:t>
      </w:r>
    </w:p>
    <w:p w14:paraId="7BC8F4F9" w14:textId="77777777" w:rsidR="004E1900" w:rsidRDefault="004E1900" w:rsidP="004E1900">
      <w:pPr>
        <w:pStyle w:val="berschrift1"/>
        <w:shd w:val="clear" w:color="auto" w:fill="FEFEFE"/>
        <w:spacing w:before="240" w:beforeAutospacing="0" w:after="0" w:afterAutospacing="0"/>
        <w:rPr>
          <w:rFonts w:ascii="AUPassataBold" w:hAnsi="AUPassataBold"/>
          <w:b w:val="0"/>
          <w:bCs w:val="0"/>
          <w:color w:val="0A0A0A"/>
          <w:lang w:val="en-US"/>
        </w:rPr>
      </w:pPr>
    </w:p>
    <w:p w14:paraId="1391A1F3" w14:textId="77777777" w:rsidR="0048318F" w:rsidRPr="00045B66" w:rsidRDefault="0048318F" w:rsidP="00406642">
      <w:pPr>
        <w:pStyle w:val="berschrift1"/>
        <w:shd w:val="clear" w:color="auto" w:fill="FEFEFE"/>
        <w:spacing w:before="240" w:beforeAutospacing="0" w:after="0" w:afterAutospacing="0"/>
        <w:rPr>
          <w:rFonts w:ascii="AUPassataBold" w:hAnsi="AUPassataBold"/>
          <w:b w:val="0"/>
          <w:bCs w:val="0"/>
          <w:color w:val="0A0A0A"/>
          <w:lang w:val="en-US"/>
        </w:rPr>
      </w:pPr>
    </w:p>
    <w:sectPr w:rsidR="0048318F" w:rsidRPr="00045B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Passata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D0"/>
    <w:rsid w:val="00045B66"/>
    <w:rsid w:val="00156D71"/>
    <w:rsid w:val="002335F2"/>
    <w:rsid w:val="002D446C"/>
    <w:rsid w:val="003E60A0"/>
    <w:rsid w:val="00406642"/>
    <w:rsid w:val="0043048C"/>
    <w:rsid w:val="00450CBC"/>
    <w:rsid w:val="00480E9F"/>
    <w:rsid w:val="0048318F"/>
    <w:rsid w:val="004E1900"/>
    <w:rsid w:val="005B35EE"/>
    <w:rsid w:val="006E6CEB"/>
    <w:rsid w:val="0077156D"/>
    <w:rsid w:val="007A2AD0"/>
    <w:rsid w:val="008A1323"/>
    <w:rsid w:val="00A21E6B"/>
    <w:rsid w:val="00B21058"/>
    <w:rsid w:val="00D10364"/>
    <w:rsid w:val="00D75C01"/>
    <w:rsid w:val="00D8557E"/>
    <w:rsid w:val="00ED15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1450"/>
  <w15:chartTrackingRefBased/>
  <w15:docId w15:val="{CA5063AE-7B13-4000-8387-64DFFAD8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1058"/>
    <w:pPr>
      <w:spacing w:after="0" w:line="360" w:lineRule="auto"/>
    </w:pPr>
    <w:rPr>
      <w:rFonts w:ascii="Times New Roman" w:hAnsi="Times New Roman"/>
      <w:sz w:val="24"/>
    </w:rPr>
  </w:style>
  <w:style w:type="paragraph" w:styleId="berschrift1">
    <w:name w:val="heading 1"/>
    <w:basedOn w:val="Standard"/>
    <w:link w:val="berschrift1Zchn"/>
    <w:uiPriority w:val="9"/>
    <w:qFormat/>
    <w:rsid w:val="007A2AD0"/>
    <w:pPr>
      <w:spacing w:before="100" w:beforeAutospacing="1" w:after="100" w:afterAutospacing="1" w:line="240" w:lineRule="auto"/>
      <w:outlineLvl w:val="0"/>
    </w:pPr>
    <w:rPr>
      <w:rFonts w:eastAsia="Times New Roman" w:cs="Times New Roman"/>
      <w:b/>
      <w:bCs/>
      <w:kern w:val="36"/>
      <w:sz w:val="48"/>
      <w:szCs w:val="48"/>
      <w:lang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2AD0"/>
    <w:rPr>
      <w:rFonts w:ascii="Times New Roman" w:eastAsia="Times New Roman" w:hAnsi="Times New Roman" w:cs="Times New Roman"/>
      <w:b/>
      <w:bCs/>
      <w:kern w:val="36"/>
      <w:sz w:val="48"/>
      <w:szCs w:val="48"/>
      <w:lang w:eastAsia="da-DK"/>
    </w:rPr>
  </w:style>
  <w:style w:type="paragraph" w:styleId="StandardWeb">
    <w:name w:val="Normal (Web)"/>
    <w:basedOn w:val="Standard"/>
    <w:uiPriority w:val="99"/>
    <w:unhideWhenUsed/>
    <w:rsid w:val="007A2AD0"/>
    <w:pPr>
      <w:spacing w:before="100" w:beforeAutospacing="1" w:after="100" w:afterAutospacing="1" w:line="240" w:lineRule="auto"/>
    </w:pPr>
    <w:rPr>
      <w:rFonts w:eastAsia="Times New Roman" w:cs="Times New Roman"/>
      <w:szCs w:val="24"/>
      <w:lang w:eastAsia="da-DK"/>
    </w:rPr>
  </w:style>
  <w:style w:type="character" w:styleId="Hervorhebung">
    <w:name w:val="Emphasis"/>
    <w:basedOn w:val="Absatz-Standardschriftart"/>
    <w:uiPriority w:val="20"/>
    <w:qFormat/>
    <w:rsid w:val="007A2AD0"/>
    <w:rPr>
      <w:i/>
      <w:iCs/>
    </w:rPr>
  </w:style>
  <w:style w:type="character" w:styleId="Hyperlink">
    <w:name w:val="Hyperlink"/>
    <w:basedOn w:val="Absatz-Standardschriftart"/>
    <w:uiPriority w:val="99"/>
    <w:semiHidden/>
    <w:unhideWhenUsed/>
    <w:rsid w:val="007A2AD0"/>
    <w:rPr>
      <w:color w:val="0000FF"/>
      <w:u w:val="single"/>
    </w:rPr>
  </w:style>
  <w:style w:type="character" w:styleId="BesuchterLink">
    <w:name w:val="FollowedHyperlink"/>
    <w:basedOn w:val="Absatz-Standardschriftart"/>
    <w:uiPriority w:val="99"/>
    <w:semiHidden/>
    <w:unhideWhenUsed/>
    <w:rsid w:val="0043048C"/>
    <w:rPr>
      <w:color w:val="954F72" w:themeColor="followedHyperlink"/>
      <w:u w:val="single"/>
    </w:rPr>
  </w:style>
  <w:style w:type="paragraph" w:styleId="Sprechblasentext">
    <w:name w:val="Balloon Text"/>
    <w:basedOn w:val="Standard"/>
    <w:link w:val="SprechblasentextZchn"/>
    <w:uiPriority w:val="99"/>
    <w:semiHidden/>
    <w:unhideWhenUsed/>
    <w:rsid w:val="00D855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99998">
      <w:bodyDiv w:val="1"/>
      <w:marLeft w:val="0"/>
      <w:marRight w:val="0"/>
      <w:marTop w:val="0"/>
      <w:marBottom w:val="0"/>
      <w:divBdr>
        <w:top w:val="none" w:sz="0" w:space="0" w:color="auto"/>
        <w:left w:val="none" w:sz="0" w:space="0" w:color="auto"/>
        <w:bottom w:val="none" w:sz="0" w:space="0" w:color="auto"/>
        <w:right w:val="none" w:sz="0" w:space="0" w:color="auto"/>
      </w:divBdr>
      <w:divsChild>
        <w:div w:id="1497303791">
          <w:marLeft w:val="0"/>
          <w:marRight w:val="0"/>
          <w:marTop w:val="0"/>
          <w:marBottom w:val="0"/>
          <w:divBdr>
            <w:top w:val="none" w:sz="0" w:space="0" w:color="auto"/>
            <w:left w:val="none" w:sz="0" w:space="0" w:color="auto"/>
            <w:bottom w:val="none" w:sz="0" w:space="0" w:color="auto"/>
            <w:right w:val="none" w:sz="0" w:space="0" w:color="auto"/>
          </w:divBdr>
          <w:divsChild>
            <w:div w:id="1262834316">
              <w:marLeft w:val="0"/>
              <w:marRight w:val="0"/>
              <w:marTop w:val="0"/>
              <w:marBottom w:val="0"/>
              <w:divBdr>
                <w:top w:val="none" w:sz="0" w:space="0" w:color="auto"/>
                <w:left w:val="none" w:sz="0" w:space="0" w:color="auto"/>
                <w:bottom w:val="none" w:sz="0" w:space="0" w:color="auto"/>
                <w:right w:val="none" w:sz="0" w:space="0" w:color="auto"/>
              </w:divBdr>
            </w:div>
          </w:divsChild>
        </w:div>
        <w:div w:id="910847261">
          <w:marLeft w:val="0"/>
          <w:marRight w:val="0"/>
          <w:marTop w:val="0"/>
          <w:marBottom w:val="0"/>
          <w:divBdr>
            <w:top w:val="none" w:sz="0" w:space="0" w:color="auto"/>
            <w:left w:val="none" w:sz="0" w:space="0" w:color="auto"/>
            <w:bottom w:val="none" w:sz="0" w:space="0" w:color="auto"/>
            <w:right w:val="none" w:sz="0" w:space="0" w:color="auto"/>
          </w:divBdr>
          <w:divsChild>
            <w:div w:id="1830973266">
              <w:marLeft w:val="0"/>
              <w:marRight w:val="0"/>
              <w:marTop w:val="0"/>
              <w:marBottom w:val="0"/>
              <w:divBdr>
                <w:top w:val="none" w:sz="0" w:space="0" w:color="auto"/>
                <w:left w:val="none" w:sz="0" w:space="0" w:color="auto"/>
                <w:bottom w:val="none" w:sz="0" w:space="0" w:color="auto"/>
                <w:right w:val="none" w:sz="0" w:space="0" w:color="auto"/>
              </w:divBdr>
            </w:div>
          </w:divsChild>
        </w:div>
        <w:div w:id="630018336">
          <w:marLeft w:val="0"/>
          <w:marRight w:val="0"/>
          <w:marTop w:val="0"/>
          <w:marBottom w:val="0"/>
          <w:divBdr>
            <w:top w:val="none" w:sz="0" w:space="0" w:color="auto"/>
            <w:left w:val="none" w:sz="0" w:space="0" w:color="auto"/>
            <w:bottom w:val="none" w:sz="0" w:space="0" w:color="auto"/>
            <w:right w:val="none" w:sz="0" w:space="0" w:color="auto"/>
          </w:divBdr>
          <w:divsChild>
            <w:div w:id="706952270">
              <w:marLeft w:val="0"/>
              <w:marRight w:val="0"/>
              <w:marTop w:val="0"/>
              <w:marBottom w:val="0"/>
              <w:divBdr>
                <w:top w:val="none" w:sz="0" w:space="0" w:color="auto"/>
                <w:left w:val="none" w:sz="0" w:space="0" w:color="auto"/>
                <w:bottom w:val="none" w:sz="0" w:space="0" w:color="auto"/>
                <w:right w:val="none" w:sz="0" w:space="0" w:color="auto"/>
              </w:divBdr>
            </w:div>
          </w:divsChild>
        </w:div>
        <w:div w:id="1792702836">
          <w:marLeft w:val="0"/>
          <w:marRight w:val="0"/>
          <w:marTop w:val="0"/>
          <w:marBottom w:val="0"/>
          <w:divBdr>
            <w:top w:val="none" w:sz="0" w:space="0" w:color="auto"/>
            <w:left w:val="none" w:sz="0" w:space="0" w:color="auto"/>
            <w:bottom w:val="none" w:sz="0" w:space="0" w:color="auto"/>
            <w:right w:val="none" w:sz="0" w:space="0" w:color="auto"/>
          </w:divBdr>
          <w:divsChild>
            <w:div w:id="1188760252">
              <w:marLeft w:val="0"/>
              <w:marRight w:val="0"/>
              <w:marTop w:val="0"/>
              <w:marBottom w:val="0"/>
              <w:divBdr>
                <w:top w:val="none" w:sz="0" w:space="0" w:color="auto"/>
                <w:left w:val="none" w:sz="0" w:space="0" w:color="auto"/>
                <w:bottom w:val="none" w:sz="0" w:space="0" w:color="auto"/>
                <w:right w:val="none" w:sz="0" w:space="0" w:color="auto"/>
              </w:divBdr>
            </w:div>
          </w:divsChild>
        </w:div>
        <w:div w:id="198933362">
          <w:marLeft w:val="0"/>
          <w:marRight w:val="0"/>
          <w:marTop w:val="0"/>
          <w:marBottom w:val="0"/>
          <w:divBdr>
            <w:top w:val="none" w:sz="0" w:space="0" w:color="auto"/>
            <w:left w:val="none" w:sz="0" w:space="0" w:color="auto"/>
            <w:bottom w:val="none" w:sz="0" w:space="0" w:color="auto"/>
            <w:right w:val="none" w:sz="0" w:space="0" w:color="auto"/>
          </w:divBdr>
          <w:divsChild>
            <w:div w:id="100296471">
              <w:marLeft w:val="0"/>
              <w:marRight w:val="0"/>
              <w:marTop w:val="0"/>
              <w:marBottom w:val="0"/>
              <w:divBdr>
                <w:top w:val="none" w:sz="0" w:space="0" w:color="auto"/>
                <w:left w:val="none" w:sz="0" w:space="0" w:color="auto"/>
                <w:bottom w:val="none" w:sz="0" w:space="0" w:color="auto"/>
                <w:right w:val="none" w:sz="0" w:space="0" w:color="auto"/>
              </w:divBdr>
            </w:div>
          </w:divsChild>
        </w:div>
        <w:div w:id="958995515">
          <w:marLeft w:val="0"/>
          <w:marRight w:val="0"/>
          <w:marTop w:val="0"/>
          <w:marBottom w:val="0"/>
          <w:divBdr>
            <w:top w:val="none" w:sz="0" w:space="0" w:color="auto"/>
            <w:left w:val="none" w:sz="0" w:space="0" w:color="auto"/>
            <w:bottom w:val="none" w:sz="0" w:space="0" w:color="auto"/>
            <w:right w:val="none" w:sz="0" w:space="0" w:color="auto"/>
          </w:divBdr>
          <w:divsChild>
            <w:div w:id="1952122882">
              <w:marLeft w:val="0"/>
              <w:marRight w:val="0"/>
              <w:marTop w:val="0"/>
              <w:marBottom w:val="0"/>
              <w:divBdr>
                <w:top w:val="none" w:sz="0" w:space="0" w:color="auto"/>
                <w:left w:val="none" w:sz="0" w:space="0" w:color="auto"/>
                <w:bottom w:val="none" w:sz="0" w:space="0" w:color="auto"/>
                <w:right w:val="none" w:sz="0" w:space="0" w:color="auto"/>
              </w:divBdr>
            </w:div>
          </w:divsChild>
        </w:div>
        <w:div w:id="1610355702">
          <w:marLeft w:val="0"/>
          <w:marRight w:val="0"/>
          <w:marTop w:val="0"/>
          <w:marBottom w:val="0"/>
          <w:divBdr>
            <w:top w:val="none" w:sz="0" w:space="0" w:color="auto"/>
            <w:left w:val="none" w:sz="0" w:space="0" w:color="auto"/>
            <w:bottom w:val="none" w:sz="0" w:space="0" w:color="auto"/>
            <w:right w:val="none" w:sz="0" w:space="0" w:color="auto"/>
          </w:divBdr>
          <w:divsChild>
            <w:div w:id="420222273">
              <w:marLeft w:val="0"/>
              <w:marRight w:val="0"/>
              <w:marTop w:val="0"/>
              <w:marBottom w:val="0"/>
              <w:divBdr>
                <w:top w:val="none" w:sz="0" w:space="0" w:color="auto"/>
                <w:left w:val="none" w:sz="0" w:space="0" w:color="auto"/>
                <w:bottom w:val="none" w:sz="0" w:space="0" w:color="auto"/>
                <w:right w:val="none" w:sz="0" w:space="0" w:color="auto"/>
              </w:divBdr>
            </w:div>
          </w:divsChild>
        </w:div>
        <w:div w:id="1919290903">
          <w:marLeft w:val="0"/>
          <w:marRight w:val="0"/>
          <w:marTop w:val="0"/>
          <w:marBottom w:val="0"/>
          <w:divBdr>
            <w:top w:val="none" w:sz="0" w:space="0" w:color="auto"/>
            <w:left w:val="none" w:sz="0" w:space="0" w:color="auto"/>
            <w:bottom w:val="none" w:sz="0" w:space="0" w:color="auto"/>
            <w:right w:val="none" w:sz="0" w:space="0" w:color="auto"/>
          </w:divBdr>
          <w:divsChild>
            <w:div w:id="1626690816">
              <w:marLeft w:val="0"/>
              <w:marRight w:val="0"/>
              <w:marTop w:val="0"/>
              <w:marBottom w:val="0"/>
              <w:divBdr>
                <w:top w:val="none" w:sz="0" w:space="0" w:color="auto"/>
                <w:left w:val="none" w:sz="0" w:space="0" w:color="auto"/>
                <w:bottom w:val="none" w:sz="0" w:space="0" w:color="auto"/>
                <w:right w:val="none" w:sz="0" w:space="0" w:color="auto"/>
              </w:divBdr>
            </w:div>
          </w:divsChild>
        </w:div>
        <w:div w:id="20477726">
          <w:marLeft w:val="0"/>
          <w:marRight w:val="0"/>
          <w:marTop w:val="0"/>
          <w:marBottom w:val="0"/>
          <w:divBdr>
            <w:top w:val="none" w:sz="0" w:space="0" w:color="auto"/>
            <w:left w:val="none" w:sz="0" w:space="0" w:color="auto"/>
            <w:bottom w:val="none" w:sz="0" w:space="0" w:color="auto"/>
            <w:right w:val="none" w:sz="0" w:space="0" w:color="auto"/>
          </w:divBdr>
          <w:divsChild>
            <w:div w:id="58984498">
              <w:marLeft w:val="0"/>
              <w:marRight w:val="0"/>
              <w:marTop w:val="0"/>
              <w:marBottom w:val="0"/>
              <w:divBdr>
                <w:top w:val="none" w:sz="0" w:space="0" w:color="auto"/>
                <w:left w:val="none" w:sz="0" w:space="0" w:color="auto"/>
                <w:bottom w:val="none" w:sz="0" w:space="0" w:color="auto"/>
                <w:right w:val="none" w:sz="0" w:space="0" w:color="auto"/>
              </w:divBdr>
            </w:div>
          </w:divsChild>
        </w:div>
        <w:div w:id="809055917">
          <w:marLeft w:val="0"/>
          <w:marRight w:val="0"/>
          <w:marTop w:val="0"/>
          <w:marBottom w:val="0"/>
          <w:divBdr>
            <w:top w:val="none" w:sz="0" w:space="0" w:color="auto"/>
            <w:left w:val="none" w:sz="0" w:space="0" w:color="auto"/>
            <w:bottom w:val="none" w:sz="0" w:space="0" w:color="auto"/>
            <w:right w:val="none" w:sz="0" w:space="0" w:color="auto"/>
          </w:divBdr>
          <w:divsChild>
            <w:div w:id="1704793204">
              <w:marLeft w:val="0"/>
              <w:marRight w:val="0"/>
              <w:marTop w:val="0"/>
              <w:marBottom w:val="0"/>
              <w:divBdr>
                <w:top w:val="none" w:sz="0" w:space="0" w:color="auto"/>
                <w:left w:val="none" w:sz="0" w:space="0" w:color="auto"/>
                <w:bottom w:val="none" w:sz="0" w:space="0" w:color="auto"/>
                <w:right w:val="none" w:sz="0" w:space="0" w:color="auto"/>
              </w:divBdr>
            </w:div>
            <w:div w:id="1171724254">
              <w:marLeft w:val="0"/>
              <w:marRight w:val="0"/>
              <w:marTop w:val="0"/>
              <w:marBottom w:val="0"/>
              <w:divBdr>
                <w:top w:val="none" w:sz="0" w:space="0" w:color="auto"/>
                <w:left w:val="none" w:sz="0" w:space="0" w:color="auto"/>
                <w:bottom w:val="none" w:sz="0" w:space="0" w:color="auto"/>
                <w:right w:val="none" w:sz="0" w:space="0" w:color="auto"/>
              </w:divBdr>
            </w:div>
          </w:divsChild>
        </w:div>
        <w:div w:id="1561944658">
          <w:marLeft w:val="0"/>
          <w:marRight w:val="0"/>
          <w:marTop w:val="0"/>
          <w:marBottom w:val="0"/>
          <w:divBdr>
            <w:top w:val="none" w:sz="0" w:space="0" w:color="auto"/>
            <w:left w:val="none" w:sz="0" w:space="0" w:color="auto"/>
            <w:bottom w:val="none" w:sz="0" w:space="0" w:color="auto"/>
            <w:right w:val="none" w:sz="0" w:space="0" w:color="auto"/>
          </w:divBdr>
          <w:divsChild>
            <w:div w:id="877938062">
              <w:marLeft w:val="0"/>
              <w:marRight w:val="0"/>
              <w:marTop w:val="0"/>
              <w:marBottom w:val="0"/>
              <w:divBdr>
                <w:top w:val="none" w:sz="0" w:space="0" w:color="auto"/>
                <w:left w:val="none" w:sz="0" w:space="0" w:color="auto"/>
                <w:bottom w:val="none" w:sz="0" w:space="0" w:color="auto"/>
                <w:right w:val="none" w:sz="0" w:space="0" w:color="auto"/>
              </w:divBdr>
            </w:div>
            <w:div w:id="115686537">
              <w:marLeft w:val="0"/>
              <w:marRight w:val="0"/>
              <w:marTop w:val="0"/>
              <w:marBottom w:val="0"/>
              <w:divBdr>
                <w:top w:val="none" w:sz="0" w:space="0" w:color="auto"/>
                <w:left w:val="none" w:sz="0" w:space="0" w:color="auto"/>
                <w:bottom w:val="none" w:sz="0" w:space="0" w:color="auto"/>
                <w:right w:val="none" w:sz="0" w:space="0" w:color="auto"/>
              </w:divBdr>
            </w:div>
          </w:divsChild>
        </w:div>
        <w:div w:id="1377583376">
          <w:marLeft w:val="0"/>
          <w:marRight w:val="0"/>
          <w:marTop w:val="0"/>
          <w:marBottom w:val="0"/>
          <w:divBdr>
            <w:top w:val="none" w:sz="0" w:space="0" w:color="auto"/>
            <w:left w:val="none" w:sz="0" w:space="0" w:color="auto"/>
            <w:bottom w:val="none" w:sz="0" w:space="0" w:color="auto"/>
            <w:right w:val="none" w:sz="0" w:space="0" w:color="auto"/>
          </w:divBdr>
          <w:divsChild>
            <w:div w:id="21187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133">
      <w:bodyDiv w:val="1"/>
      <w:marLeft w:val="0"/>
      <w:marRight w:val="0"/>
      <w:marTop w:val="0"/>
      <w:marBottom w:val="0"/>
      <w:divBdr>
        <w:top w:val="none" w:sz="0" w:space="0" w:color="auto"/>
        <w:left w:val="none" w:sz="0" w:space="0" w:color="auto"/>
        <w:bottom w:val="none" w:sz="0" w:space="0" w:color="auto"/>
        <w:right w:val="none" w:sz="0" w:space="0" w:color="auto"/>
      </w:divBdr>
    </w:div>
    <w:div w:id="1905724335">
      <w:bodyDiv w:val="1"/>
      <w:marLeft w:val="0"/>
      <w:marRight w:val="0"/>
      <w:marTop w:val="0"/>
      <w:marBottom w:val="0"/>
      <w:divBdr>
        <w:top w:val="none" w:sz="0" w:space="0" w:color="auto"/>
        <w:left w:val="none" w:sz="0" w:space="0" w:color="auto"/>
        <w:bottom w:val="none" w:sz="0" w:space="0" w:color="auto"/>
        <w:right w:val="none" w:sz="0" w:space="0" w:color="auto"/>
      </w:divBdr>
      <w:divsChild>
        <w:div w:id="942961410">
          <w:marLeft w:val="0"/>
          <w:marRight w:val="0"/>
          <w:marTop w:val="0"/>
          <w:marBottom w:val="0"/>
          <w:divBdr>
            <w:top w:val="none" w:sz="0" w:space="0" w:color="auto"/>
            <w:left w:val="none" w:sz="0" w:space="0" w:color="auto"/>
            <w:bottom w:val="none" w:sz="0" w:space="0" w:color="auto"/>
            <w:right w:val="none" w:sz="0" w:space="0" w:color="auto"/>
          </w:divBdr>
          <w:divsChild>
            <w:div w:id="2059283767">
              <w:marLeft w:val="0"/>
              <w:marRight w:val="0"/>
              <w:marTop w:val="0"/>
              <w:marBottom w:val="0"/>
              <w:divBdr>
                <w:top w:val="none" w:sz="0" w:space="0" w:color="auto"/>
                <w:left w:val="none" w:sz="0" w:space="0" w:color="auto"/>
                <w:bottom w:val="none" w:sz="0" w:space="0" w:color="auto"/>
                <w:right w:val="none" w:sz="0" w:space="0" w:color="auto"/>
              </w:divBdr>
            </w:div>
          </w:divsChild>
        </w:div>
        <w:div w:id="1885752504">
          <w:marLeft w:val="0"/>
          <w:marRight w:val="0"/>
          <w:marTop w:val="0"/>
          <w:marBottom w:val="0"/>
          <w:divBdr>
            <w:top w:val="none" w:sz="0" w:space="0" w:color="auto"/>
            <w:left w:val="none" w:sz="0" w:space="0" w:color="auto"/>
            <w:bottom w:val="none" w:sz="0" w:space="0" w:color="auto"/>
            <w:right w:val="none" w:sz="0" w:space="0" w:color="auto"/>
          </w:divBdr>
          <w:divsChild>
            <w:div w:id="883062999">
              <w:marLeft w:val="0"/>
              <w:marRight w:val="0"/>
              <w:marTop w:val="0"/>
              <w:marBottom w:val="0"/>
              <w:divBdr>
                <w:top w:val="none" w:sz="0" w:space="0" w:color="auto"/>
                <w:left w:val="none" w:sz="0" w:space="0" w:color="auto"/>
                <w:bottom w:val="none" w:sz="0" w:space="0" w:color="auto"/>
                <w:right w:val="none" w:sz="0" w:space="0" w:color="auto"/>
              </w:divBdr>
            </w:div>
            <w:div w:id="167985960">
              <w:marLeft w:val="0"/>
              <w:marRight w:val="0"/>
              <w:marTop w:val="0"/>
              <w:marBottom w:val="0"/>
              <w:divBdr>
                <w:top w:val="none" w:sz="0" w:space="0" w:color="auto"/>
                <w:left w:val="none" w:sz="0" w:space="0" w:color="auto"/>
                <w:bottom w:val="none" w:sz="0" w:space="0" w:color="auto"/>
                <w:right w:val="none" w:sz="0" w:space="0" w:color="auto"/>
              </w:divBdr>
            </w:div>
          </w:divsChild>
        </w:div>
        <w:div w:id="831406574">
          <w:marLeft w:val="0"/>
          <w:marRight w:val="0"/>
          <w:marTop w:val="0"/>
          <w:marBottom w:val="0"/>
          <w:divBdr>
            <w:top w:val="none" w:sz="0" w:space="0" w:color="auto"/>
            <w:left w:val="none" w:sz="0" w:space="0" w:color="auto"/>
            <w:bottom w:val="none" w:sz="0" w:space="0" w:color="auto"/>
            <w:right w:val="none" w:sz="0" w:space="0" w:color="auto"/>
          </w:divBdr>
          <w:divsChild>
            <w:div w:id="1119104648">
              <w:marLeft w:val="0"/>
              <w:marRight w:val="0"/>
              <w:marTop w:val="0"/>
              <w:marBottom w:val="0"/>
              <w:divBdr>
                <w:top w:val="none" w:sz="0" w:space="0" w:color="auto"/>
                <w:left w:val="none" w:sz="0" w:space="0" w:color="auto"/>
                <w:bottom w:val="none" w:sz="0" w:space="0" w:color="auto"/>
                <w:right w:val="none" w:sz="0" w:space="0" w:color="auto"/>
              </w:divBdr>
            </w:div>
          </w:divsChild>
        </w:div>
        <w:div w:id="1512185480">
          <w:marLeft w:val="0"/>
          <w:marRight w:val="0"/>
          <w:marTop w:val="0"/>
          <w:marBottom w:val="0"/>
          <w:divBdr>
            <w:top w:val="none" w:sz="0" w:space="0" w:color="auto"/>
            <w:left w:val="none" w:sz="0" w:space="0" w:color="auto"/>
            <w:bottom w:val="none" w:sz="0" w:space="0" w:color="auto"/>
            <w:right w:val="none" w:sz="0" w:space="0" w:color="auto"/>
          </w:divBdr>
          <w:divsChild>
            <w:div w:id="1971088507">
              <w:marLeft w:val="0"/>
              <w:marRight w:val="0"/>
              <w:marTop w:val="0"/>
              <w:marBottom w:val="0"/>
              <w:divBdr>
                <w:top w:val="none" w:sz="0" w:space="0" w:color="auto"/>
                <w:left w:val="none" w:sz="0" w:space="0" w:color="auto"/>
                <w:bottom w:val="none" w:sz="0" w:space="0" w:color="auto"/>
                <w:right w:val="none" w:sz="0" w:space="0" w:color="auto"/>
              </w:divBdr>
            </w:div>
          </w:divsChild>
        </w:div>
        <w:div w:id="316227027">
          <w:marLeft w:val="0"/>
          <w:marRight w:val="0"/>
          <w:marTop w:val="0"/>
          <w:marBottom w:val="0"/>
          <w:divBdr>
            <w:top w:val="none" w:sz="0" w:space="0" w:color="auto"/>
            <w:left w:val="none" w:sz="0" w:space="0" w:color="auto"/>
            <w:bottom w:val="none" w:sz="0" w:space="0" w:color="auto"/>
            <w:right w:val="none" w:sz="0" w:space="0" w:color="auto"/>
          </w:divBdr>
          <w:divsChild>
            <w:div w:id="1262684618">
              <w:marLeft w:val="0"/>
              <w:marRight w:val="0"/>
              <w:marTop w:val="0"/>
              <w:marBottom w:val="0"/>
              <w:divBdr>
                <w:top w:val="none" w:sz="0" w:space="0" w:color="auto"/>
                <w:left w:val="none" w:sz="0" w:space="0" w:color="auto"/>
                <w:bottom w:val="none" w:sz="0" w:space="0" w:color="auto"/>
                <w:right w:val="none" w:sz="0" w:space="0" w:color="auto"/>
              </w:divBdr>
            </w:div>
          </w:divsChild>
        </w:div>
        <w:div w:id="1346709359">
          <w:marLeft w:val="0"/>
          <w:marRight w:val="0"/>
          <w:marTop w:val="0"/>
          <w:marBottom w:val="0"/>
          <w:divBdr>
            <w:top w:val="none" w:sz="0" w:space="0" w:color="auto"/>
            <w:left w:val="none" w:sz="0" w:space="0" w:color="auto"/>
            <w:bottom w:val="none" w:sz="0" w:space="0" w:color="auto"/>
            <w:right w:val="none" w:sz="0" w:space="0" w:color="auto"/>
          </w:divBdr>
          <w:divsChild>
            <w:div w:id="1898125055">
              <w:marLeft w:val="0"/>
              <w:marRight w:val="0"/>
              <w:marTop w:val="0"/>
              <w:marBottom w:val="0"/>
              <w:divBdr>
                <w:top w:val="none" w:sz="0" w:space="0" w:color="auto"/>
                <w:left w:val="none" w:sz="0" w:space="0" w:color="auto"/>
                <w:bottom w:val="none" w:sz="0" w:space="0" w:color="auto"/>
                <w:right w:val="none" w:sz="0" w:space="0" w:color="auto"/>
              </w:divBdr>
            </w:div>
          </w:divsChild>
        </w:div>
        <w:div w:id="1169560291">
          <w:marLeft w:val="0"/>
          <w:marRight w:val="0"/>
          <w:marTop w:val="0"/>
          <w:marBottom w:val="0"/>
          <w:divBdr>
            <w:top w:val="none" w:sz="0" w:space="0" w:color="auto"/>
            <w:left w:val="none" w:sz="0" w:space="0" w:color="auto"/>
            <w:bottom w:val="none" w:sz="0" w:space="0" w:color="auto"/>
            <w:right w:val="none" w:sz="0" w:space="0" w:color="auto"/>
          </w:divBdr>
          <w:divsChild>
            <w:div w:id="1436173739">
              <w:marLeft w:val="0"/>
              <w:marRight w:val="0"/>
              <w:marTop w:val="0"/>
              <w:marBottom w:val="0"/>
              <w:divBdr>
                <w:top w:val="none" w:sz="0" w:space="0" w:color="auto"/>
                <w:left w:val="none" w:sz="0" w:space="0" w:color="auto"/>
                <w:bottom w:val="none" w:sz="0" w:space="0" w:color="auto"/>
                <w:right w:val="none" w:sz="0" w:space="0" w:color="auto"/>
              </w:divBdr>
            </w:div>
          </w:divsChild>
        </w:div>
        <w:div w:id="742339113">
          <w:marLeft w:val="0"/>
          <w:marRight w:val="0"/>
          <w:marTop w:val="0"/>
          <w:marBottom w:val="0"/>
          <w:divBdr>
            <w:top w:val="none" w:sz="0" w:space="0" w:color="auto"/>
            <w:left w:val="none" w:sz="0" w:space="0" w:color="auto"/>
            <w:bottom w:val="none" w:sz="0" w:space="0" w:color="auto"/>
            <w:right w:val="none" w:sz="0" w:space="0" w:color="auto"/>
          </w:divBdr>
          <w:divsChild>
            <w:div w:id="173350535">
              <w:marLeft w:val="0"/>
              <w:marRight w:val="0"/>
              <w:marTop w:val="0"/>
              <w:marBottom w:val="0"/>
              <w:divBdr>
                <w:top w:val="none" w:sz="0" w:space="0" w:color="auto"/>
                <w:left w:val="none" w:sz="0" w:space="0" w:color="auto"/>
                <w:bottom w:val="none" w:sz="0" w:space="0" w:color="auto"/>
                <w:right w:val="none" w:sz="0" w:space="0" w:color="auto"/>
              </w:divBdr>
            </w:div>
          </w:divsChild>
        </w:div>
        <w:div w:id="1554000916">
          <w:marLeft w:val="0"/>
          <w:marRight w:val="0"/>
          <w:marTop w:val="0"/>
          <w:marBottom w:val="0"/>
          <w:divBdr>
            <w:top w:val="none" w:sz="0" w:space="0" w:color="auto"/>
            <w:left w:val="none" w:sz="0" w:space="0" w:color="auto"/>
            <w:bottom w:val="none" w:sz="0" w:space="0" w:color="auto"/>
            <w:right w:val="none" w:sz="0" w:space="0" w:color="auto"/>
          </w:divBdr>
          <w:divsChild>
            <w:div w:id="1665621087">
              <w:marLeft w:val="0"/>
              <w:marRight w:val="0"/>
              <w:marTop w:val="0"/>
              <w:marBottom w:val="0"/>
              <w:divBdr>
                <w:top w:val="none" w:sz="0" w:space="0" w:color="auto"/>
                <w:left w:val="none" w:sz="0" w:space="0" w:color="auto"/>
                <w:bottom w:val="none" w:sz="0" w:space="0" w:color="auto"/>
                <w:right w:val="none" w:sz="0" w:space="0" w:color="auto"/>
              </w:divBdr>
            </w:div>
          </w:divsChild>
        </w:div>
        <w:div w:id="59669311">
          <w:marLeft w:val="0"/>
          <w:marRight w:val="0"/>
          <w:marTop w:val="0"/>
          <w:marBottom w:val="0"/>
          <w:divBdr>
            <w:top w:val="none" w:sz="0" w:space="0" w:color="auto"/>
            <w:left w:val="none" w:sz="0" w:space="0" w:color="auto"/>
            <w:bottom w:val="none" w:sz="0" w:space="0" w:color="auto"/>
            <w:right w:val="none" w:sz="0" w:space="0" w:color="auto"/>
          </w:divBdr>
          <w:divsChild>
            <w:div w:id="340089716">
              <w:marLeft w:val="0"/>
              <w:marRight w:val="0"/>
              <w:marTop w:val="0"/>
              <w:marBottom w:val="0"/>
              <w:divBdr>
                <w:top w:val="none" w:sz="0" w:space="0" w:color="auto"/>
                <w:left w:val="none" w:sz="0" w:space="0" w:color="auto"/>
                <w:bottom w:val="none" w:sz="0" w:space="0" w:color="auto"/>
                <w:right w:val="none" w:sz="0" w:space="0" w:color="auto"/>
              </w:divBdr>
            </w:div>
            <w:div w:id="432746850">
              <w:marLeft w:val="0"/>
              <w:marRight w:val="0"/>
              <w:marTop w:val="0"/>
              <w:marBottom w:val="0"/>
              <w:divBdr>
                <w:top w:val="none" w:sz="0" w:space="0" w:color="auto"/>
                <w:left w:val="none" w:sz="0" w:space="0" w:color="auto"/>
                <w:bottom w:val="none" w:sz="0" w:space="0" w:color="auto"/>
                <w:right w:val="none" w:sz="0" w:space="0" w:color="auto"/>
              </w:divBdr>
            </w:div>
          </w:divsChild>
        </w:div>
        <w:div w:id="2066222521">
          <w:marLeft w:val="0"/>
          <w:marRight w:val="0"/>
          <w:marTop w:val="0"/>
          <w:marBottom w:val="0"/>
          <w:divBdr>
            <w:top w:val="none" w:sz="0" w:space="0" w:color="auto"/>
            <w:left w:val="none" w:sz="0" w:space="0" w:color="auto"/>
            <w:bottom w:val="none" w:sz="0" w:space="0" w:color="auto"/>
            <w:right w:val="none" w:sz="0" w:space="0" w:color="auto"/>
          </w:divBdr>
          <w:divsChild>
            <w:div w:id="1173032682">
              <w:marLeft w:val="0"/>
              <w:marRight w:val="0"/>
              <w:marTop w:val="0"/>
              <w:marBottom w:val="0"/>
              <w:divBdr>
                <w:top w:val="none" w:sz="0" w:space="0" w:color="auto"/>
                <w:left w:val="none" w:sz="0" w:space="0" w:color="auto"/>
                <w:bottom w:val="none" w:sz="0" w:space="0" w:color="auto"/>
                <w:right w:val="none" w:sz="0" w:space="0" w:color="auto"/>
              </w:divBdr>
            </w:div>
            <w:div w:id="5507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934690.2019.1625619" TargetMode="External"/><Relationship Id="rId13" Type="http://schemas.openxmlformats.org/officeDocument/2006/relationships/hyperlink" Target="https://www.nature.com/articles/srep1776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5184/aqy.2019.157" TargetMode="External"/><Relationship Id="rId12" Type="http://schemas.openxmlformats.org/officeDocument/2006/relationships/hyperlink" Target="https://sciencenordic.com/archaeology-denmark-forskerzonen/once-lost-archaeology-revealed-by-satellite-images-and-aerial-photography/145630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ncedirect.com/science/article/pii/S2352409X15000024" TargetMode="External"/><Relationship Id="rId1" Type="http://schemas.openxmlformats.org/officeDocument/2006/relationships/styles" Target="styles.xml"/><Relationship Id="rId6" Type="http://schemas.openxmlformats.org/officeDocument/2006/relationships/hyperlink" Target="https://videnskab.dk/kultur-samfund/da-verden-slog-revner-i-mellemoesten" TargetMode="External"/><Relationship Id="rId11" Type="http://schemas.openxmlformats.org/officeDocument/2006/relationships/hyperlink" Target="https://videnskab.dk/kultur-samfund/forsvunden-forhistorisk-by-er-genopdaget-ved-hjaelp-af-billeder-fra-oven" TargetMode="External"/><Relationship Id="rId5" Type="http://schemas.openxmlformats.org/officeDocument/2006/relationships/hyperlink" Target="https://link.springer.com/article/10.1007/s12520-019-00866-9" TargetMode="External"/><Relationship Id="rId15" Type="http://schemas.openxmlformats.org/officeDocument/2006/relationships/hyperlink" Target="http://www.jstor.org/stable/10.3764/aja.119.4.0483" TargetMode="External"/><Relationship Id="rId10" Type="http://schemas.openxmlformats.org/officeDocument/2006/relationships/hyperlink" Target="http://hdl.handle.net/1893/27524" TargetMode="External"/><Relationship Id="rId4" Type="http://schemas.openxmlformats.org/officeDocument/2006/relationships/hyperlink" Target="https://onlinelibrary.wiley.com/doi/full/10.1002/wat2.1403" TargetMode="External"/><Relationship Id="rId9" Type="http://schemas.openxmlformats.org/officeDocument/2006/relationships/hyperlink" Target="https://doi.org/10.1111/arcm.12489" TargetMode="External"/><Relationship Id="rId14" Type="http://schemas.openxmlformats.org/officeDocument/2006/relationships/hyperlink" Target="http://www.ruhr-uni-bochum.de/archaelogie/mam/jb_13_14_ok.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3622</Words>
  <Characters>22823</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Mortensen</dc:creator>
  <cp:keywords/>
  <dc:description/>
  <cp:lastModifiedBy>BoLi</cp:lastModifiedBy>
  <cp:revision>4</cp:revision>
  <dcterms:created xsi:type="dcterms:W3CDTF">2020-08-15T15:38:00Z</dcterms:created>
  <dcterms:modified xsi:type="dcterms:W3CDTF">2020-08-15T15:47:00Z</dcterms:modified>
</cp:coreProperties>
</file>