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DAE9" w14:textId="77777777" w:rsidR="009425AB" w:rsidRPr="001549D3" w:rsidRDefault="009425AB" w:rsidP="0089193C">
      <w:pPr>
        <w:pStyle w:val="SupplementaryMaterial"/>
        <w:rPr>
          <w:b w:val="0"/>
        </w:rPr>
      </w:pPr>
      <w:r w:rsidRPr="001549D3">
        <w:t>Supplementary Material</w:t>
      </w:r>
    </w:p>
    <w:p w14:paraId="7FAC0757" w14:textId="77777777" w:rsidR="009425AB" w:rsidRPr="0089193C" w:rsidRDefault="009425AB" w:rsidP="009425A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Supplementary Tables</w:t>
      </w:r>
    </w:p>
    <w:p w14:paraId="05A287A0" w14:textId="77777777" w:rsidR="009425AB" w:rsidRDefault="009425AB" w:rsidP="00541701">
      <w:r>
        <w:rPr>
          <w:b/>
          <w:bCs/>
        </w:rPr>
        <w:t xml:space="preserve">Table S1: </w:t>
      </w:r>
      <w:r>
        <w:t>References for the construction of the graphical summary shown in Figure 1</w:t>
      </w:r>
      <w:r>
        <w:br/>
        <w:t>* MLD is highly variable depending on how it is defined.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425AB" w14:paraId="3F48E82F" w14:textId="77777777" w:rsidTr="0001606F">
        <w:tc>
          <w:tcPr>
            <w:tcW w:w="1803" w:type="dxa"/>
          </w:tcPr>
          <w:p w14:paraId="4739B1B5" w14:textId="77777777" w:rsidR="009425AB" w:rsidRDefault="009425AB" w:rsidP="00F4500A">
            <w:pPr>
              <w:spacing w:after="0"/>
            </w:pPr>
          </w:p>
        </w:tc>
        <w:tc>
          <w:tcPr>
            <w:tcW w:w="1803" w:type="dxa"/>
          </w:tcPr>
          <w:p w14:paraId="0B634985" w14:textId="531CD3D0" w:rsidR="009425AB" w:rsidRDefault="00664896" w:rsidP="00F4500A">
            <w:pPr>
              <w:spacing w:after="0"/>
            </w:pPr>
            <w:r>
              <w:t>Tropical ocean</w:t>
            </w:r>
            <w:r w:rsidR="009425AB">
              <w:t xml:space="preserve"> Summer</w:t>
            </w:r>
          </w:p>
        </w:tc>
        <w:tc>
          <w:tcPr>
            <w:tcW w:w="1803" w:type="dxa"/>
          </w:tcPr>
          <w:p w14:paraId="7B0821D8" w14:textId="356A8A34" w:rsidR="009425AB" w:rsidRDefault="00664896" w:rsidP="00F4500A">
            <w:pPr>
              <w:spacing w:after="0"/>
            </w:pPr>
            <w:r>
              <w:t>Tropical ocean</w:t>
            </w:r>
            <w:r w:rsidR="009425AB">
              <w:t xml:space="preserve"> Winter</w:t>
            </w:r>
          </w:p>
        </w:tc>
        <w:tc>
          <w:tcPr>
            <w:tcW w:w="1803" w:type="dxa"/>
          </w:tcPr>
          <w:p w14:paraId="020753F5" w14:textId="77777777" w:rsidR="009425AB" w:rsidRDefault="009425AB" w:rsidP="00F4500A">
            <w:pPr>
              <w:spacing w:after="0"/>
            </w:pPr>
            <w:r>
              <w:t>Southern Ocean Summer</w:t>
            </w:r>
          </w:p>
        </w:tc>
        <w:tc>
          <w:tcPr>
            <w:tcW w:w="1804" w:type="dxa"/>
          </w:tcPr>
          <w:p w14:paraId="6E2C9479" w14:textId="77777777" w:rsidR="009425AB" w:rsidRDefault="009425AB" w:rsidP="00F4500A">
            <w:pPr>
              <w:spacing w:after="0"/>
            </w:pPr>
            <w:r>
              <w:t>Southern Ocean Winter</w:t>
            </w:r>
          </w:p>
        </w:tc>
      </w:tr>
      <w:tr w:rsidR="009425AB" w14:paraId="066ED87E" w14:textId="77777777" w:rsidTr="0001606F">
        <w:tc>
          <w:tcPr>
            <w:tcW w:w="1803" w:type="dxa"/>
          </w:tcPr>
          <w:p w14:paraId="6B003826" w14:textId="77777777" w:rsidR="009425AB" w:rsidRDefault="009425AB" w:rsidP="00F4500A">
            <w:pPr>
              <w:spacing w:after="0"/>
            </w:pPr>
            <w:r>
              <w:t>Limiting environmental factor</w:t>
            </w:r>
          </w:p>
        </w:tc>
        <w:tc>
          <w:tcPr>
            <w:tcW w:w="1803" w:type="dxa"/>
          </w:tcPr>
          <w:p w14:paraId="02770B49" w14:textId="77777777" w:rsidR="009425AB" w:rsidRDefault="009425AB" w:rsidP="00F4500A">
            <w:pPr>
              <w:spacing w:after="0"/>
            </w:pPr>
            <w:r>
              <w:t>Nitrate or Phosphate</w:t>
            </w:r>
          </w:p>
          <w:p w14:paraId="2BF89E34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(Tyrrell, 1999; Moore et al., 2001;</w:t>
            </w:r>
            <w:r w:rsidR="00C52EB2">
              <w:rPr>
                <w:noProof/>
              </w:rPr>
              <w:t xml:space="preserve"> Aumont et al. 2003;</w:t>
            </w:r>
            <w:r>
              <w:rPr>
                <w:noProof/>
              </w:rPr>
              <w:t xml:space="preserve"> Moore et al., 2013; Arteaga et al., 2014)</w:t>
            </w:r>
            <w:r>
              <w:t xml:space="preserve"> </w:t>
            </w:r>
          </w:p>
        </w:tc>
        <w:tc>
          <w:tcPr>
            <w:tcW w:w="1803" w:type="dxa"/>
          </w:tcPr>
          <w:p w14:paraId="7BD9EA96" w14:textId="77777777" w:rsidR="009425AB" w:rsidRDefault="009425AB" w:rsidP="00F4500A">
            <w:pPr>
              <w:spacing w:after="0"/>
            </w:pPr>
            <w:r>
              <w:t xml:space="preserve">Nitrate or Phosphate </w:t>
            </w:r>
          </w:p>
          <w:p w14:paraId="72096816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(Arteaga et al., 2014)</w:t>
            </w:r>
          </w:p>
        </w:tc>
        <w:tc>
          <w:tcPr>
            <w:tcW w:w="1803" w:type="dxa"/>
          </w:tcPr>
          <w:p w14:paraId="6DEB0DE6" w14:textId="77777777" w:rsidR="009425AB" w:rsidRDefault="009425AB" w:rsidP="00F4500A">
            <w:pPr>
              <w:spacing w:after="0"/>
            </w:pPr>
            <w:r>
              <w:t xml:space="preserve">Iron </w:t>
            </w:r>
          </w:p>
          <w:p w14:paraId="6D811EC6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(Moore et al., 2001; Boyd and Ellwood, 2010; Venables and Moore, 2010; Moore et al., 2013)</w:t>
            </w:r>
          </w:p>
        </w:tc>
        <w:tc>
          <w:tcPr>
            <w:tcW w:w="1804" w:type="dxa"/>
          </w:tcPr>
          <w:p w14:paraId="0D867344" w14:textId="77777777" w:rsidR="009425AB" w:rsidRDefault="009425AB" w:rsidP="00F4500A">
            <w:pPr>
              <w:spacing w:after="0"/>
            </w:pPr>
            <w:r>
              <w:t xml:space="preserve">Light </w:t>
            </w:r>
          </w:p>
          <w:p w14:paraId="7A00A961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(Boyd and Ellwood, 2010; Venables and Moore, 2010)</w:t>
            </w:r>
          </w:p>
        </w:tc>
      </w:tr>
      <w:tr w:rsidR="009425AB" w14:paraId="0FAFFCBD" w14:textId="77777777" w:rsidTr="0001606F">
        <w:tc>
          <w:tcPr>
            <w:tcW w:w="1803" w:type="dxa"/>
          </w:tcPr>
          <w:p w14:paraId="6573FCC3" w14:textId="77777777" w:rsidR="009425AB" w:rsidRDefault="009425AB" w:rsidP="00F4500A">
            <w:pPr>
              <w:spacing w:after="0"/>
            </w:pPr>
            <w:r>
              <w:t>MLD*</w:t>
            </w:r>
          </w:p>
        </w:tc>
        <w:tc>
          <w:tcPr>
            <w:tcW w:w="1803" w:type="dxa"/>
          </w:tcPr>
          <w:p w14:paraId="2DB4BE60" w14:textId="77777777" w:rsidR="009425AB" w:rsidRDefault="009425AB" w:rsidP="00F4500A">
            <w:pPr>
              <w:spacing w:after="0"/>
            </w:pPr>
            <w:r>
              <w:t xml:space="preserve">&lt; 50m </w:t>
            </w:r>
          </w:p>
          <w:p w14:paraId="09F8342E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(Kara et al., 2003; de Boyer Montégut et al., 2004)</w:t>
            </w:r>
          </w:p>
        </w:tc>
        <w:tc>
          <w:tcPr>
            <w:tcW w:w="1803" w:type="dxa"/>
          </w:tcPr>
          <w:p w14:paraId="11F6913F" w14:textId="77777777" w:rsidR="009425AB" w:rsidRDefault="009425AB" w:rsidP="00F4500A">
            <w:pPr>
              <w:spacing w:after="0"/>
            </w:pPr>
            <w:r>
              <w:t xml:space="preserve">&lt; 100 m </w:t>
            </w:r>
          </w:p>
          <w:p w14:paraId="3B2ECAC5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(Kara et al., 2003; de Boyer Montégut et al., 2004)</w:t>
            </w:r>
          </w:p>
        </w:tc>
        <w:tc>
          <w:tcPr>
            <w:tcW w:w="1803" w:type="dxa"/>
          </w:tcPr>
          <w:p w14:paraId="0D25B9D7" w14:textId="77777777" w:rsidR="009425AB" w:rsidRDefault="009425AB" w:rsidP="00F4500A">
            <w:pPr>
              <w:spacing w:after="0"/>
            </w:pPr>
            <w:r>
              <w:t xml:space="preserve">&lt; 150m </w:t>
            </w:r>
          </w:p>
          <w:p w14:paraId="7B573183" w14:textId="77777777" w:rsidR="009425AB" w:rsidRDefault="009425AB" w:rsidP="00F4500A">
            <w:pPr>
              <w:spacing w:after="0"/>
            </w:pPr>
            <w:r w:rsidRPr="00C52EB2">
              <w:rPr>
                <w:noProof/>
              </w:rPr>
              <w:t>(Kara et al., 2003; de Boyer Montégut et al., 2004; Boyd et al., 2008; Dong et al., 2008; Buongiorno Nardelli et al., 2017; Mtshali et al., 2019)</w:t>
            </w:r>
            <w:r w:rsidRPr="00C52EB2">
              <w:t xml:space="preserve"> </w:t>
            </w:r>
          </w:p>
          <w:p w14:paraId="5B136892" w14:textId="77777777" w:rsidR="009425AB" w:rsidRDefault="009425AB" w:rsidP="00F4500A">
            <w:pPr>
              <w:spacing w:after="0"/>
            </w:pPr>
          </w:p>
        </w:tc>
        <w:tc>
          <w:tcPr>
            <w:tcW w:w="1804" w:type="dxa"/>
          </w:tcPr>
          <w:p w14:paraId="129F9E28" w14:textId="77777777" w:rsidR="009425AB" w:rsidRDefault="009425AB" w:rsidP="00F4500A">
            <w:pPr>
              <w:spacing w:after="0"/>
            </w:pPr>
            <w:r>
              <w:t xml:space="preserve">&gt; 100m and can be much deeper (&gt;500m) around ACC </w:t>
            </w:r>
          </w:p>
          <w:p w14:paraId="10831457" w14:textId="77777777" w:rsidR="009425AB" w:rsidRDefault="009425AB" w:rsidP="00F6600B">
            <w:pPr>
              <w:spacing w:after="0"/>
            </w:pPr>
            <w:r>
              <w:rPr>
                <w:noProof/>
              </w:rPr>
              <w:t>(de Boyer Montégut et al., 2004; Boyd et al., 2008; Dong et al., 2008; Mtshali et al., 2019)</w:t>
            </w:r>
          </w:p>
        </w:tc>
      </w:tr>
      <w:tr w:rsidR="009425AB" w14:paraId="6DC02E17" w14:textId="77777777" w:rsidTr="0001606F">
        <w:tc>
          <w:tcPr>
            <w:tcW w:w="1803" w:type="dxa"/>
          </w:tcPr>
          <w:p w14:paraId="6D7F9BCD" w14:textId="77777777" w:rsidR="009425AB" w:rsidRDefault="009425AB" w:rsidP="00F4500A">
            <w:pPr>
              <w:spacing w:after="0"/>
            </w:pPr>
            <w:r>
              <w:t>Downwelling Irradiance</w:t>
            </w:r>
          </w:p>
        </w:tc>
        <w:tc>
          <w:tcPr>
            <w:tcW w:w="1803" w:type="dxa"/>
          </w:tcPr>
          <w:p w14:paraId="5388E9B4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467A7D53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(Bouvet et al., 2002)</w:t>
            </w:r>
          </w:p>
        </w:tc>
        <w:tc>
          <w:tcPr>
            <w:tcW w:w="1803" w:type="dxa"/>
          </w:tcPr>
          <w:p w14:paraId="6426B84F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3C79A2C4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(Bouvet et al., 2002)</w:t>
            </w:r>
          </w:p>
        </w:tc>
        <w:tc>
          <w:tcPr>
            <w:tcW w:w="1803" w:type="dxa"/>
          </w:tcPr>
          <w:p w14:paraId="2165FA8B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604968F5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(Bouvet et al., 2002)</w:t>
            </w:r>
          </w:p>
        </w:tc>
        <w:tc>
          <w:tcPr>
            <w:tcW w:w="1804" w:type="dxa"/>
          </w:tcPr>
          <w:p w14:paraId="7B4C5D43" w14:textId="77777777" w:rsidR="009425AB" w:rsidRDefault="009425AB" w:rsidP="00F4500A">
            <w:pPr>
              <w:spacing w:after="0"/>
            </w:pPr>
            <w:r>
              <w:t xml:space="preserve">Low </w:t>
            </w:r>
          </w:p>
          <w:p w14:paraId="3BA2C083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(Bouvet et al., 2002)</w:t>
            </w:r>
          </w:p>
        </w:tc>
      </w:tr>
      <w:tr w:rsidR="009425AB" w14:paraId="66FBDFB1" w14:textId="77777777" w:rsidTr="0001606F">
        <w:tc>
          <w:tcPr>
            <w:tcW w:w="1803" w:type="dxa"/>
          </w:tcPr>
          <w:p w14:paraId="00B513A8" w14:textId="77777777" w:rsidR="009425AB" w:rsidRDefault="009425AB" w:rsidP="00F4500A">
            <w:pPr>
              <w:spacing w:after="0"/>
            </w:pPr>
            <w:r>
              <w:t>Macronutrients</w:t>
            </w:r>
          </w:p>
        </w:tc>
        <w:tc>
          <w:tcPr>
            <w:tcW w:w="1803" w:type="dxa"/>
          </w:tcPr>
          <w:p w14:paraId="3DBFCBB4" w14:textId="77777777" w:rsidR="009425AB" w:rsidRDefault="009425AB" w:rsidP="00F4500A">
            <w:pPr>
              <w:spacing w:after="0"/>
            </w:pPr>
            <w:r>
              <w:t xml:space="preserve">Low </w:t>
            </w:r>
          </w:p>
          <w:p w14:paraId="01F690A9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(Louanchi and Najjar, 2000; Dong et al., 2008; Moore et al., 2013)</w:t>
            </w:r>
          </w:p>
        </w:tc>
        <w:tc>
          <w:tcPr>
            <w:tcW w:w="1803" w:type="dxa"/>
          </w:tcPr>
          <w:p w14:paraId="6B186148" w14:textId="77777777" w:rsidR="009425AB" w:rsidRDefault="009425AB" w:rsidP="00F4500A">
            <w:pPr>
              <w:spacing w:after="0"/>
            </w:pPr>
            <w:r>
              <w:t xml:space="preserve">Low </w:t>
            </w:r>
          </w:p>
          <w:p w14:paraId="215908B6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(Louanchi and Najjar, 2000; Moore et al., 2013)</w:t>
            </w:r>
          </w:p>
          <w:p w14:paraId="6FAFFAC4" w14:textId="77777777" w:rsidR="009425AB" w:rsidRDefault="009425AB" w:rsidP="00F4500A">
            <w:pPr>
              <w:spacing w:after="0"/>
            </w:pPr>
            <w:r>
              <w:t xml:space="preserve">Deepening nitracline </w:t>
            </w:r>
            <w:r>
              <w:rPr>
                <w:noProof/>
              </w:rPr>
              <w:t>(Herbland and Voituriez, 1979; Cullen, 2015)</w:t>
            </w:r>
          </w:p>
        </w:tc>
        <w:tc>
          <w:tcPr>
            <w:tcW w:w="1803" w:type="dxa"/>
          </w:tcPr>
          <w:p w14:paraId="4D342A70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654CE0A1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(Louanchi and Najjar, 2000; Dong et al., 2008; Moore et al., 2013)</w:t>
            </w:r>
          </w:p>
        </w:tc>
        <w:tc>
          <w:tcPr>
            <w:tcW w:w="1804" w:type="dxa"/>
          </w:tcPr>
          <w:p w14:paraId="51526770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6157238E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(Louanchi and Najjar, 2000)</w:t>
            </w:r>
          </w:p>
        </w:tc>
      </w:tr>
      <w:tr w:rsidR="009425AB" w14:paraId="6E8B4023" w14:textId="77777777" w:rsidTr="0001606F">
        <w:tc>
          <w:tcPr>
            <w:tcW w:w="1803" w:type="dxa"/>
          </w:tcPr>
          <w:p w14:paraId="67C172B9" w14:textId="77777777" w:rsidR="009425AB" w:rsidRDefault="009425AB" w:rsidP="00F4500A">
            <w:pPr>
              <w:spacing w:after="0"/>
            </w:pPr>
            <w:r>
              <w:lastRenderedPageBreak/>
              <w:t>Iron</w:t>
            </w:r>
          </w:p>
        </w:tc>
        <w:tc>
          <w:tcPr>
            <w:tcW w:w="1803" w:type="dxa"/>
          </w:tcPr>
          <w:p w14:paraId="035B12DB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57EF0165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(Parekh et al., 2004; Tagliabue et al., 2012; Fitzsimmons et al., 2013; Sedwick et al., 2015)</w:t>
            </w:r>
          </w:p>
        </w:tc>
        <w:tc>
          <w:tcPr>
            <w:tcW w:w="1803" w:type="dxa"/>
          </w:tcPr>
          <w:p w14:paraId="0715757C" w14:textId="77777777" w:rsidR="009425AB" w:rsidRDefault="009425AB" w:rsidP="00F4500A">
            <w:pPr>
              <w:spacing w:after="0"/>
            </w:pPr>
            <w:r>
              <w:t xml:space="preserve">High </w:t>
            </w:r>
          </w:p>
          <w:p w14:paraId="5D48B7D7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(Bergquist and Boyle, 2006)</w:t>
            </w:r>
          </w:p>
        </w:tc>
        <w:tc>
          <w:tcPr>
            <w:tcW w:w="1803" w:type="dxa"/>
          </w:tcPr>
          <w:p w14:paraId="49C189DF" w14:textId="77777777" w:rsidR="009425AB" w:rsidRDefault="009425AB" w:rsidP="00F4500A">
            <w:pPr>
              <w:spacing w:after="0"/>
            </w:pPr>
            <w:r>
              <w:t xml:space="preserve">Low with small </w:t>
            </w:r>
            <w:proofErr w:type="spellStart"/>
            <w:r>
              <w:t>ferricline</w:t>
            </w:r>
            <w:proofErr w:type="spellEnd"/>
            <w:r>
              <w:t xml:space="preserve"> across mixed layer </w:t>
            </w:r>
          </w:p>
          <w:p w14:paraId="20D316E4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(Parekh et al., 2004; Tagliabue et al., 2012)</w:t>
            </w:r>
          </w:p>
        </w:tc>
        <w:tc>
          <w:tcPr>
            <w:tcW w:w="1804" w:type="dxa"/>
          </w:tcPr>
          <w:p w14:paraId="5D21EB5D" w14:textId="77777777" w:rsidR="009425AB" w:rsidRDefault="009425AB" w:rsidP="00F4500A">
            <w:pPr>
              <w:spacing w:after="0"/>
            </w:pPr>
            <w:r>
              <w:t xml:space="preserve">Replenished mixed layer from winter mixing </w:t>
            </w:r>
          </w:p>
          <w:p w14:paraId="794F3403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(Tagliabue et al., 2014; Mtshali et al., 2019)</w:t>
            </w:r>
          </w:p>
        </w:tc>
      </w:tr>
      <w:tr w:rsidR="009425AB" w14:paraId="4BAE7544" w14:textId="77777777" w:rsidTr="0001606F">
        <w:tc>
          <w:tcPr>
            <w:tcW w:w="1803" w:type="dxa"/>
          </w:tcPr>
          <w:p w14:paraId="6F287207" w14:textId="77777777" w:rsidR="009425AB" w:rsidRDefault="009425AB" w:rsidP="00F4500A">
            <w:pPr>
              <w:spacing w:after="0"/>
            </w:pPr>
            <w:r>
              <w:t>Phytoplankton</w:t>
            </w:r>
          </w:p>
        </w:tc>
        <w:tc>
          <w:tcPr>
            <w:tcW w:w="1803" w:type="dxa"/>
          </w:tcPr>
          <w:p w14:paraId="7DAB655C" w14:textId="77777777" w:rsidR="009425AB" w:rsidRDefault="009425AB" w:rsidP="00F4500A">
            <w:pPr>
              <w:spacing w:after="0"/>
            </w:pPr>
            <w:r>
              <w:t xml:space="preserve">High with SCM present above pycnocline </w:t>
            </w:r>
          </w:p>
          <w:p w14:paraId="335C6D23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(Cullen, 1982; Yoder et al., 1993; Ma et al., 2014; Cullen, 2015)</w:t>
            </w:r>
          </w:p>
        </w:tc>
        <w:tc>
          <w:tcPr>
            <w:tcW w:w="1803" w:type="dxa"/>
          </w:tcPr>
          <w:p w14:paraId="7BD3B526" w14:textId="77777777" w:rsidR="009425AB" w:rsidRDefault="009425AB" w:rsidP="00F4500A">
            <w:pPr>
              <w:spacing w:after="0"/>
            </w:pPr>
            <w:r>
              <w:t xml:space="preserve">High with SCM present above pycnocline </w:t>
            </w:r>
          </w:p>
          <w:p w14:paraId="03D9600E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(Cullen, 1982; Yoder et al., 1993; Ma et al., 2014; Cullen, 2015)</w:t>
            </w:r>
          </w:p>
        </w:tc>
        <w:tc>
          <w:tcPr>
            <w:tcW w:w="1803" w:type="dxa"/>
          </w:tcPr>
          <w:p w14:paraId="4546A645" w14:textId="77777777" w:rsidR="009425AB" w:rsidRDefault="009425AB" w:rsidP="00F4500A">
            <w:pPr>
              <w:spacing w:after="0"/>
            </w:pPr>
            <w:r>
              <w:t xml:space="preserve">Low, SCM presence not determined by macronutrients </w:t>
            </w:r>
          </w:p>
          <w:p w14:paraId="42656CD9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(Mitchell et al., 1991; Yoder et al., 1993; Holm-Hansen and Hewes, 2004; Uitz et al., 2006; Ma et al., 2014; Cullen, 2015)</w:t>
            </w:r>
          </w:p>
        </w:tc>
        <w:tc>
          <w:tcPr>
            <w:tcW w:w="1804" w:type="dxa"/>
          </w:tcPr>
          <w:p w14:paraId="480D9B1F" w14:textId="77777777" w:rsidR="009425AB" w:rsidRDefault="009425AB" w:rsidP="00F4500A">
            <w:pPr>
              <w:spacing w:after="0"/>
            </w:pPr>
            <w:r>
              <w:t xml:space="preserve">Almost no growth </w:t>
            </w:r>
          </w:p>
          <w:p w14:paraId="4D04C961" w14:textId="77777777" w:rsidR="009425AB" w:rsidRDefault="009425AB" w:rsidP="00F4500A">
            <w:pPr>
              <w:spacing w:after="0"/>
            </w:pPr>
            <w:r>
              <w:rPr>
                <w:noProof/>
              </w:rPr>
              <w:t>(Mitchell et al., 1991; Yoder et al., 1993; Venables and Moore, 2010; Ma et al., 2014; Ardyna et al., 2017)</w:t>
            </w:r>
          </w:p>
        </w:tc>
      </w:tr>
    </w:tbl>
    <w:p w14:paraId="7ED5822C" w14:textId="77777777" w:rsidR="009425AB" w:rsidRDefault="009425AB" w:rsidP="00541701">
      <w:pPr>
        <w:spacing w:line="480" w:lineRule="auto"/>
        <w:jc w:val="both"/>
      </w:pPr>
    </w:p>
    <w:p w14:paraId="5FEFD555" w14:textId="77777777" w:rsidR="009425AB" w:rsidRDefault="009425AB" w:rsidP="00F4500A">
      <w:pPr>
        <w:jc w:val="both"/>
      </w:pPr>
      <w:r>
        <w:rPr>
          <w:b/>
          <w:bCs/>
        </w:rPr>
        <w:t xml:space="preserve">Table S2: </w:t>
      </w:r>
      <w:r>
        <w:t>Evidence of the SCM formation mechanisms discussed in this Review from 18 key studies.</w:t>
      </w:r>
    </w:p>
    <w:tbl>
      <w:tblPr>
        <w:tblStyle w:val="TableGrid"/>
        <w:tblpPr w:leftFromText="180" w:rightFromText="180" w:vertAnchor="text" w:horzAnchor="margin" w:tblpXSpec="center" w:tblpY="262"/>
        <w:tblW w:w="10348" w:type="dxa"/>
        <w:tblLook w:val="04A0" w:firstRow="1" w:lastRow="0" w:firstColumn="1" w:lastColumn="0" w:noHBand="0" w:noVBand="1"/>
      </w:tblPr>
      <w:tblGrid>
        <w:gridCol w:w="1407"/>
        <w:gridCol w:w="872"/>
        <w:gridCol w:w="883"/>
        <w:gridCol w:w="816"/>
        <w:gridCol w:w="1687"/>
        <w:gridCol w:w="1560"/>
        <w:gridCol w:w="3123"/>
      </w:tblGrid>
      <w:tr w:rsidR="009425AB" w:rsidRPr="00541701" w14:paraId="4A33D50B" w14:textId="77777777" w:rsidTr="00453118">
        <w:trPr>
          <w:trHeight w:val="310"/>
        </w:trPr>
        <w:tc>
          <w:tcPr>
            <w:tcW w:w="1407" w:type="dxa"/>
            <w:hideMark/>
          </w:tcPr>
          <w:p w14:paraId="0ED807C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Paper</w:t>
            </w:r>
          </w:p>
        </w:tc>
        <w:tc>
          <w:tcPr>
            <w:tcW w:w="872" w:type="dxa"/>
            <w:noWrap/>
            <w:hideMark/>
          </w:tcPr>
          <w:p w14:paraId="10AE43D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Months</w:t>
            </w:r>
          </w:p>
        </w:tc>
        <w:tc>
          <w:tcPr>
            <w:tcW w:w="883" w:type="dxa"/>
            <w:hideMark/>
          </w:tcPr>
          <w:p w14:paraId="086D68F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Year</w:t>
            </w:r>
          </w:p>
        </w:tc>
        <w:tc>
          <w:tcPr>
            <w:tcW w:w="816" w:type="dxa"/>
            <w:noWrap/>
            <w:hideMark/>
          </w:tcPr>
          <w:p w14:paraId="685FDD9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Region</w:t>
            </w:r>
          </w:p>
        </w:tc>
        <w:tc>
          <w:tcPr>
            <w:tcW w:w="1687" w:type="dxa"/>
            <w:hideMark/>
          </w:tcPr>
          <w:p w14:paraId="40C49CE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Mechanisms</w:t>
            </w:r>
          </w:p>
        </w:tc>
        <w:tc>
          <w:tcPr>
            <w:tcW w:w="1560" w:type="dxa"/>
            <w:hideMark/>
          </w:tcPr>
          <w:p w14:paraId="51C3585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SCM Depth</w:t>
            </w:r>
          </w:p>
        </w:tc>
        <w:tc>
          <w:tcPr>
            <w:tcW w:w="3123" w:type="dxa"/>
            <w:hideMark/>
          </w:tcPr>
          <w:p w14:paraId="4E205A4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AU" w:eastAsia="zh-CN"/>
              </w:rPr>
              <w:t>Evidence</w:t>
            </w:r>
          </w:p>
        </w:tc>
      </w:tr>
      <w:tr w:rsidR="009425AB" w:rsidRPr="00541701" w14:paraId="3FA627BC" w14:textId="77777777" w:rsidTr="00453118">
        <w:trPr>
          <w:trHeight w:val="620"/>
        </w:trPr>
        <w:tc>
          <w:tcPr>
            <w:tcW w:w="1407" w:type="dxa"/>
            <w:hideMark/>
          </w:tcPr>
          <w:p w14:paraId="4180E7E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Tripathy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(2015)</w:t>
            </w:r>
          </w:p>
        </w:tc>
        <w:tc>
          <w:tcPr>
            <w:tcW w:w="872" w:type="dxa"/>
            <w:noWrap/>
            <w:hideMark/>
          </w:tcPr>
          <w:p w14:paraId="094C774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Feb</w:t>
            </w:r>
          </w:p>
        </w:tc>
        <w:tc>
          <w:tcPr>
            <w:tcW w:w="883" w:type="dxa"/>
            <w:hideMark/>
          </w:tcPr>
          <w:p w14:paraId="5587F49E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2011</w:t>
            </w:r>
          </w:p>
        </w:tc>
        <w:tc>
          <w:tcPr>
            <w:tcW w:w="816" w:type="dxa"/>
            <w:noWrap/>
            <w:hideMark/>
          </w:tcPr>
          <w:p w14:paraId="5BC042D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79D10C1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63C9D45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50E36BA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HPLC pigments show increasing fucoxanthin with depth. </w:t>
            </w:r>
          </w:p>
        </w:tc>
      </w:tr>
      <w:tr w:rsidR="009425AB" w:rsidRPr="00541701" w14:paraId="086D2672" w14:textId="77777777" w:rsidTr="00453118">
        <w:trPr>
          <w:trHeight w:val="1520"/>
        </w:trPr>
        <w:tc>
          <w:tcPr>
            <w:tcW w:w="1407" w:type="dxa"/>
            <w:hideMark/>
          </w:tcPr>
          <w:p w14:paraId="644F1C0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Parslow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(2001)</w:t>
            </w:r>
          </w:p>
        </w:tc>
        <w:tc>
          <w:tcPr>
            <w:tcW w:w="872" w:type="dxa"/>
            <w:noWrap/>
            <w:hideMark/>
          </w:tcPr>
          <w:p w14:paraId="49F241D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Dec-March</w:t>
            </w:r>
          </w:p>
        </w:tc>
        <w:tc>
          <w:tcPr>
            <w:tcW w:w="883" w:type="dxa"/>
            <w:hideMark/>
          </w:tcPr>
          <w:p w14:paraId="6DD5532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multiple</w:t>
            </w:r>
          </w:p>
        </w:tc>
        <w:tc>
          <w:tcPr>
            <w:tcW w:w="816" w:type="dxa"/>
            <w:noWrap/>
            <w:hideMark/>
          </w:tcPr>
          <w:p w14:paraId="2BE5301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1273435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6AEC328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025B6CE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HPLC pigments show increasing fucoxanthin with depth. Microscopic analysis confirmed dominance (70-80%) of diatoms in SCM compared to the upper mixed l</w:t>
            </w:r>
            <w:r w:rsidRPr="004531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</w:t>
            </w: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yer (30%) in March 1998.</w:t>
            </w:r>
          </w:p>
        </w:tc>
      </w:tr>
      <w:tr w:rsidR="009425AB" w:rsidRPr="00541701" w14:paraId="20BBE068" w14:textId="77777777" w:rsidTr="00453118">
        <w:trPr>
          <w:trHeight w:val="1230"/>
        </w:trPr>
        <w:tc>
          <w:tcPr>
            <w:tcW w:w="1407" w:type="dxa"/>
            <w:hideMark/>
          </w:tcPr>
          <w:p w14:paraId="5E689F0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Gomi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(2007)</w:t>
            </w:r>
          </w:p>
        </w:tc>
        <w:tc>
          <w:tcPr>
            <w:tcW w:w="872" w:type="dxa"/>
            <w:noWrap/>
            <w:hideMark/>
          </w:tcPr>
          <w:p w14:paraId="6EAAE36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Nov-March </w:t>
            </w:r>
          </w:p>
        </w:tc>
        <w:tc>
          <w:tcPr>
            <w:tcW w:w="883" w:type="dxa"/>
            <w:hideMark/>
          </w:tcPr>
          <w:p w14:paraId="2CE28C42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2001</w:t>
            </w:r>
          </w:p>
        </w:tc>
        <w:tc>
          <w:tcPr>
            <w:tcW w:w="816" w:type="dxa"/>
            <w:noWrap/>
            <w:hideMark/>
          </w:tcPr>
          <w:p w14:paraId="0A2B8F7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442C0A7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Sea-ice retreat</w:t>
            </w:r>
          </w:p>
        </w:tc>
        <w:tc>
          <w:tcPr>
            <w:tcW w:w="1560" w:type="dxa"/>
            <w:hideMark/>
          </w:tcPr>
          <w:p w14:paraId="68998A0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Above pycnocline</w:t>
            </w:r>
          </w:p>
        </w:tc>
        <w:tc>
          <w:tcPr>
            <w:tcW w:w="3123" w:type="dxa"/>
            <w:hideMark/>
          </w:tcPr>
          <w:p w14:paraId="655248B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Microsocopic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analysis coupled with visual sea-ice observations. Sea-ice algae is found in a bloom that occurs after melt, where a SCM is formed.</w:t>
            </w:r>
          </w:p>
        </w:tc>
      </w:tr>
      <w:tr w:rsidR="009425AB" w:rsidRPr="00541701" w14:paraId="0AD730E9" w14:textId="77777777" w:rsidTr="00453118">
        <w:trPr>
          <w:trHeight w:val="1380"/>
        </w:trPr>
        <w:tc>
          <w:tcPr>
            <w:tcW w:w="1407" w:type="dxa"/>
            <w:hideMark/>
          </w:tcPr>
          <w:p w14:paraId="629CC66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Mikaelyan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(1995)</w:t>
            </w:r>
          </w:p>
        </w:tc>
        <w:tc>
          <w:tcPr>
            <w:tcW w:w="872" w:type="dxa"/>
            <w:noWrap/>
            <w:hideMark/>
          </w:tcPr>
          <w:p w14:paraId="3374485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Feb-April</w:t>
            </w:r>
          </w:p>
        </w:tc>
        <w:tc>
          <w:tcPr>
            <w:tcW w:w="883" w:type="dxa"/>
            <w:hideMark/>
          </w:tcPr>
          <w:p w14:paraId="0F08132A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1989</w:t>
            </w:r>
          </w:p>
        </w:tc>
        <w:tc>
          <w:tcPr>
            <w:tcW w:w="816" w:type="dxa"/>
            <w:noWrap/>
            <w:hideMark/>
          </w:tcPr>
          <w:p w14:paraId="43D3F8C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35FB4E1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Photoacclimation</w:t>
            </w:r>
            <w:proofErr w:type="spellEnd"/>
          </w:p>
        </w:tc>
        <w:tc>
          <w:tcPr>
            <w:tcW w:w="1560" w:type="dxa"/>
            <w:hideMark/>
          </w:tcPr>
          <w:p w14:paraId="04F0C9B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24772BC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Increased cellular chlorophyll-a content measured by microscopy, cellular fluorescence intensities and spectrofluorometric determination.</w:t>
            </w:r>
          </w:p>
        </w:tc>
      </w:tr>
      <w:tr w:rsidR="009425AB" w:rsidRPr="00541701" w14:paraId="1D0BCA7A" w14:textId="77777777" w:rsidTr="00453118">
        <w:trPr>
          <w:trHeight w:val="1020"/>
        </w:trPr>
        <w:tc>
          <w:tcPr>
            <w:tcW w:w="1407" w:type="dxa"/>
            <w:hideMark/>
          </w:tcPr>
          <w:p w14:paraId="7C7C1649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Wright and Van Eden (2001)</w:t>
            </w:r>
          </w:p>
        </w:tc>
        <w:tc>
          <w:tcPr>
            <w:tcW w:w="872" w:type="dxa"/>
            <w:noWrap/>
            <w:hideMark/>
          </w:tcPr>
          <w:p w14:paraId="3F6FDED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Jan-Mar</w:t>
            </w:r>
          </w:p>
        </w:tc>
        <w:tc>
          <w:tcPr>
            <w:tcW w:w="883" w:type="dxa"/>
            <w:hideMark/>
          </w:tcPr>
          <w:p w14:paraId="41C49C5F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1996</w:t>
            </w:r>
          </w:p>
        </w:tc>
        <w:tc>
          <w:tcPr>
            <w:tcW w:w="816" w:type="dxa"/>
            <w:noWrap/>
            <w:hideMark/>
          </w:tcPr>
          <w:p w14:paraId="2EAFC02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POOZ</w:t>
            </w:r>
          </w:p>
        </w:tc>
        <w:tc>
          <w:tcPr>
            <w:tcW w:w="1687" w:type="dxa"/>
            <w:hideMark/>
          </w:tcPr>
          <w:p w14:paraId="276C6C1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Eddies</w:t>
            </w:r>
          </w:p>
        </w:tc>
        <w:tc>
          <w:tcPr>
            <w:tcW w:w="1560" w:type="dxa"/>
            <w:hideMark/>
          </w:tcPr>
          <w:p w14:paraId="057C98B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17FB417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Co-located SCM with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center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of a cold-core eddy and a warm-core eddy.</w:t>
            </w:r>
          </w:p>
        </w:tc>
      </w:tr>
      <w:tr w:rsidR="009425AB" w:rsidRPr="00541701" w14:paraId="4EDD49D3" w14:textId="77777777" w:rsidTr="00453118">
        <w:trPr>
          <w:trHeight w:val="1410"/>
        </w:trPr>
        <w:tc>
          <w:tcPr>
            <w:tcW w:w="1407" w:type="dxa"/>
            <w:hideMark/>
          </w:tcPr>
          <w:p w14:paraId="68636609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Erikson et al. (2016)</w:t>
            </w:r>
          </w:p>
        </w:tc>
        <w:tc>
          <w:tcPr>
            <w:tcW w:w="872" w:type="dxa"/>
            <w:noWrap/>
            <w:hideMark/>
          </w:tcPr>
          <w:p w14:paraId="484E5E8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Feb-March </w:t>
            </w:r>
          </w:p>
        </w:tc>
        <w:tc>
          <w:tcPr>
            <w:tcW w:w="883" w:type="dxa"/>
            <w:hideMark/>
          </w:tcPr>
          <w:p w14:paraId="018E4E06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2016</w:t>
            </w:r>
          </w:p>
        </w:tc>
        <w:tc>
          <w:tcPr>
            <w:tcW w:w="816" w:type="dxa"/>
            <w:noWrap/>
            <w:hideMark/>
          </w:tcPr>
          <w:p w14:paraId="4B53E6E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6CCD80D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Shelf subduction</w:t>
            </w:r>
          </w:p>
        </w:tc>
        <w:tc>
          <w:tcPr>
            <w:tcW w:w="1560" w:type="dxa"/>
            <w:hideMark/>
          </w:tcPr>
          <w:p w14:paraId="22D4660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495B4E7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Glider profiles taken </w:t>
            </w:r>
            <w:r w:rsidRPr="004531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from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onshelf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to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offshelf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transects. The fluorescence signal moves along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isopycnals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into winter waters, developing a SCM below the pycnocline.</w:t>
            </w:r>
          </w:p>
        </w:tc>
      </w:tr>
      <w:tr w:rsidR="009425AB" w:rsidRPr="00541701" w14:paraId="68A455DC" w14:textId="77777777" w:rsidTr="00453118">
        <w:trPr>
          <w:trHeight w:val="1100"/>
        </w:trPr>
        <w:tc>
          <w:tcPr>
            <w:tcW w:w="1407" w:type="dxa"/>
            <w:hideMark/>
          </w:tcPr>
          <w:p w14:paraId="1A65F86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Rembauville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(2016)</w:t>
            </w:r>
          </w:p>
        </w:tc>
        <w:tc>
          <w:tcPr>
            <w:tcW w:w="872" w:type="dxa"/>
            <w:noWrap/>
            <w:hideMark/>
          </w:tcPr>
          <w:p w14:paraId="54F7253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285C7A3D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2014</w:t>
            </w:r>
          </w:p>
        </w:tc>
        <w:tc>
          <w:tcPr>
            <w:tcW w:w="816" w:type="dxa"/>
            <w:noWrap/>
            <w:hideMark/>
          </w:tcPr>
          <w:p w14:paraId="7ECA514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PFZ </w:t>
            </w:r>
          </w:p>
        </w:tc>
        <w:tc>
          <w:tcPr>
            <w:tcW w:w="1687" w:type="dxa"/>
            <w:hideMark/>
          </w:tcPr>
          <w:p w14:paraId="329CBF79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Photoacclimation</w:t>
            </w:r>
            <w:proofErr w:type="spellEnd"/>
          </w:p>
        </w:tc>
        <w:tc>
          <w:tcPr>
            <w:tcW w:w="1560" w:type="dxa"/>
            <w:hideMark/>
          </w:tcPr>
          <w:p w14:paraId="426A651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06B4FEE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Increased chlorophyll-a to particulate organic carbon in transition layer compared to the upper mixed layer.</w:t>
            </w:r>
          </w:p>
        </w:tc>
      </w:tr>
      <w:tr w:rsidR="009425AB" w:rsidRPr="00541701" w14:paraId="0F85553B" w14:textId="77777777" w:rsidTr="00453118">
        <w:trPr>
          <w:trHeight w:val="1150"/>
        </w:trPr>
        <w:tc>
          <w:tcPr>
            <w:tcW w:w="1407" w:type="dxa"/>
            <w:hideMark/>
          </w:tcPr>
          <w:p w14:paraId="037EC69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Rembauville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(2016)</w:t>
            </w:r>
          </w:p>
        </w:tc>
        <w:tc>
          <w:tcPr>
            <w:tcW w:w="872" w:type="dxa"/>
            <w:noWrap/>
            <w:hideMark/>
          </w:tcPr>
          <w:p w14:paraId="3196723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73A97C01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2014</w:t>
            </w:r>
          </w:p>
        </w:tc>
        <w:tc>
          <w:tcPr>
            <w:tcW w:w="816" w:type="dxa"/>
            <w:noWrap/>
            <w:hideMark/>
          </w:tcPr>
          <w:p w14:paraId="4807172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SAZ</w:t>
            </w:r>
          </w:p>
        </w:tc>
        <w:tc>
          <w:tcPr>
            <w:tcW w:w="1687" w:type="dxa"/>
            <w:hideMark/>
          </w:tcPr>
          <w:p w14:paraId="530FA5C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Photoacclimation</w:t>
            </w:r>
            <w:proofErr w:type="spellEnd"/>
          </w:p>
        </w:tc>
        <w:tc>
          <w:tcPr>
            <w:tcW w:w="1560" w:type="dxa"/>
            <w:hideMark/>
          </w:tcPr>
          <w:p w14:paraId="1A56C99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Above pycnocline</w:t>
            </w:r>
          </w:p>
        </w:tc>
        <w:tc>
          <w:tcPr>
            <w:tcW w:w="3123" w:type="dxa"/>
            <w:hideMark/>
          </w:tcPr>
          <w:p w14:paraId="0E81401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Increased chlorophyll-a to particulate organic carbon in transition layer compared to the upper mixed layer.</w:t>
            </w:r>
          </w:p>
        </w:tc>
      </w:tr>
      <w:tr w:rsidR="009425AB" w:rsidRPr="00541701" w14:paraId="27AF8373" w14:textId="77777777" w:rsidTr="00453118">
        <w:trPr>
          <w:trHeight w:val="1060"/>
        </w:trPr>
        <w:tc>
          <w:tcPr>
            <w:tcW w:w="1407" w:type="dxa"/>
            <w:hideMark/>
          </w:tcPr>
          <w:p w14:paraId="092370D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Armand et al. (2008)</w:t>
            </w:r>
          </w:p>
        </w:tc>
        <w:tc>
          <w:tcPr>
            <w:tcW w:w="872" w:type="dxa"/>
            <w:noWrap/>
            <w:hideMark/>
          </w:tcPr>
          <w:p w14:paraId="2FAD52C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274D989A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2005</w:t>
            </w:r>
          </w:p>
        </w:tc>
        <w:tc>
          <w:tcPr>
            <w:tcW w:w="816" w:type="dxa"/>
            <w:noWrap/>
            <w:hideMark/>
          </w:tcPr>
          <w:p w14:paraId="66E40C8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55C1AD4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0221378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4F5C6C3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Increased,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BSi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, Fucoxanthin and diatom counts in microscopic analysis within the SCM compared to the upper mixed layer.</w:t>
            </w:r>
          </w:p>
        </w:tc>
      </w:tr>
      <w:tr w:rsidR="009425AB" w:rsidRPr="00541701" w14:paraId="174AAF47" w14:textId="77777777" w:rsidTr="00453118">
        <w:trPr>
          <w:trHeight w:val="1000"/>
        </w:trPr>
        <w:tc>
          <w:tcPr>
            <w:tcW w:w="1407" w:type="dxa"/>
            <w:hideMark/>
          </w:tcPr>
          <w:p w14:paraId="13528F9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Bathmann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(1997)</w:t>
            </w:r>
          </w:p>
        </w:tc>
        <w:tc>
          <w:tcPr>
            <w:tcW w:w="872" w:type="dxa"/>
            <w:noWrap/>
            <w:hideMark/>
          </w:tcPr>
          <w:p w14:paraId="615C8D1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Oct-Nov</w:t>
            </w:r>
          </w:p>
        </w:tc>
        <w:tc>
          <w:tcPr>
            <w:tcW w:w="883" w:type="dxa"/>
            <w:hideMark/>
          </w:tcPr>
          <w:p w14:paraId="369EA73E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1992</w:t>
            </w:r>
          </w:p>
        </w:tc>
        <w:tc>
          <w:tcPr>
            <w:tcW w:w="816" w:type="dxa"/>
            <w:noWrap/>
            <w:hideMark/>
          </w:tcPr>
          <w:p w14:paraId="7F82CC3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57E139E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7676A67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Undetermined</w:t>
            </w:r>
          </w:p>
        </w:tc>
        <w:tc>
          <w:tcPr>
            <w:tcW w:w="3123" w:type="dxa"/>
            <w:hideMark/>
          </w:tcPr>
          <w:p w14:paraId="40DDC7E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Microscopic analysis identified a subsurface bloom dominated by three diatom species.</w:t>
            </w:r>
          </w:p>
        </w:tc>
      </w:tr>
      <w:tr w:rsidR="009425AB" w:rsidRPr="00541701" w14:paraId="20CD9D05" w14:textId="77777777" w:rsidTr="00453118">
        <w:trPr>
          <w:trHeight w:val="1000"/>
        </w:trPr>
        <w:tc>
          <w:tcPr>
            <w:tcW w:w="1407" w:type="dxa"/>
            <w:hideMark/>
          </w:tcPr>
          <w:p w14:paraId="2732FFC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Westwood et al. (2011)</w:t>
            </w:r>
          </w:p>
        </w:tc>
        <w:tc>
          <w:tcPr>
            <w:tcW w:w="872" w:type="dxa"/>
            <w:noWrap/>
            <w:hideMark/>
          </w:tcPr>
          <w:p w14:paraId="6A8B259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772F24AB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2007</w:t>
            </w:r>
          </w:p>
        </w:tc>
        <w:tc>
          <w:tcPr>
            <w:tcW w:w="816" w:type="dxa"/>
            <w:noWrap/>
            <w:hideMark/>
          </w:tcPr>
          <w:p w14:paraId="669EA12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6E98C70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761764E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7A86CF5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HPLC pigments show increasing fucoxanthin with depth which is supported by microscopic analysis. </w:t>
            </w:r>
          </w:p>
        </w:tc>
      </w:tr>
      <w:tr w:rsidR="009425AB" w:rsidRPr="00541701" w14:paraId="6C69ABAF" w14:textId="77777777" w:rsidTr="00453118">
        <w:trPr>
          <w:trHeight w:val="1210"/>
        </w:trPr>
        <w:tc>
          <w:tcPr>
            <w:tcW w:w="1407" w:type="dxa"/>
            <w:hideMark/>
          </w:tcPr>
          <w:p w14:paraId="0B0D7CE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Clementson et al (1998)</w:t>
            </w:r>
          </w:p>
        </w:tc>
        <w:tc>
          <w:tcPr>
            <w:tcW w:w="872" w:type="dxa"/>
            <w:noWrap/>
            <w:hideMark/>
          </w:tcPr>
          <w:p w14:paraId="1F7D19E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</w:t>
            </w:r>
          </w:p>
        </w:tc>
        <w:tc>
          <w:tcPr>
            <w:tcW w:w="883" w:type="dxa"/>
            <w:hideMark/>
          </w:tcPr>
          <w:p w14:paraId="1D56D1E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1990</w:t>
            </w:r>
          </w:p>
        </w:tc>
        <w:tc>
          <w:tcPr>
            <w:tcW w:w="816" w:type="dxa"/>
            <w:noWrap/>
            <w:hideMark/>
          </w:tcPr>
          <w:p w14:paraId="26BEC2B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SAZ</w:t>
            </w:r>
          </w:p>
        </w:tc>
        <w:tc>
          <w:tcPr>
            <w:tcW w:w="1687" w:type="dxa"/>
            <w:hideMark/>
          </w:tcPr>
          <w:p w14:paraId="7F3FAFE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Eddies</w:t>
            </w:r>
          </w:p>
        </w:tc>
        <w:tc>
          <w:tcPr>
            <w:tcW w:w="1560" w:type="dxa"/>
            <w:hideMark/>
          </w:tcPr>
          <w:p w14:paraId="494B31B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Above pycnocline</w:t>
            </w:r>
          </w:p>
        </w:tc>
        <w:tc>
          <w:tcPr>
            <w:tcW w:w="3123" w:type="dxa"/>
            <w:hideMark/>
          </w:tcPr>
          <w:p w14:paraId="64BE1CF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mixing associated with a warm-core eddy produced a localised, strong SCM</w:t>
            </w:r>
            <w:r w:rsidRPr="004531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above the pycnocline with nitrate stripped from the surface. </w:t>
            </w:r>
          </w:p>
        </w:tc>
      </w:tr>
      <w:tr w:rsidR="009425AB" w:rsidRPr="00541701" w14:paraId="2F80CC81" w14:textId="77777777" w:rsidTr="00453118">
        <w:trPr>
          <w:trHeight w:val="900"/>
        </w:trPr>
        <w:tc>
          <w:tcPr>
            <w:tcW w:w="1407" w:type="dxa"/>
            <w:hideMark/>
          </w:tcPr>
          <w:p w14:paraId="2CEC39C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Daly et al. (2001)</w:t>
            </w:r>
          </w:p>
        </w:tc>
        <w:tc>
          <w:tcPr>
            <w:tcW w:w="872" w:type="dxa"/>
            <w:noWrap/>
            <w:hideMark/>
          </w:tcPr>
          <w:p w14:paraId="7D70919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</w:t>
            </w:r>
          </w:p>
        </w:tc>
        <w:tc>
          <w:tcPr>
            <w:tcW w:w="883" w:type="dxa"/>
            <w:hideMark/>
          </w:tcPr>
          <w:p w14:paraId="628DCD4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1996</w:t>
            </w:r>
          </w:p>
        </w:tc>
        <w:tc>
          <w:tcPr>
            <w:tcW w:w="816" w:type="dxa"/>
            <w:noWrap/>
            <w:hideMark/>
          </w:tcPr>
          <w:p w14:paraId="7508256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SAZ</w:t>
            </w:r>
          </w:p>
        </w:tc>
        <w:tc>
          <w:tcPr>
            <w:tcW w:w="1687" w:type="dxa"/>
            <w:hideMark/>
          </w:tcPr>
          <w:p w14:paraId="5490DF9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Eddies</w:t>
            </w:r>
          </w:p>
        </w:tc>
        <w:tc>
          <w:tcPr>
            <w:tcW w:w="1560" w:type="dxa"/>
            <w:hideMark/>
          </w:tcPr>
          <w:p w14:paraId="54DEED7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0749A66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Particulate organic carbon accumulation at 120-160m at the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center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of a warm-c</w:t>
            </w:r>
            <w:r w:rsidRPr="004531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o</w:t>
            </w: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re eddy</w:t>
            </w:r>
          </w:p>
        </w:tc>
      </w:tr>
      <w:tr w:rsidR="009425AB" w:rsidRPr="00541701" w14:paraId="7C8DCEE9" w14:textId="77777777" w:rsidTr="00453118">
        <w:trPr>
          <w:trHeight w:val="1200"/>
        </w:trPr>
        <w:tc>
          <w:tcPr>
            <w:tcW w:w="1407" w:type="dxa"/>
            <w:hideMark/>
          </w:tcPr>
          <w:p w14:paraId="7B322E9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Whitehouse et al. (2008)</w:t>
            </w:r>
          </w:p>
        </w:tc>
        <w:tc>
          <w:tcPr>
            <w:tcW w:w="872" w:type="dxa"/>
            <w:noWrap/>
            <w:hideMark/>
          </w:tcPr>
          <w:p w14:paraId="4F32BD8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Dec-Jan </w:t>
            </w:r>
          </w:p>
        </w:tc>
        <w:tc>
          <w:tcPr>
            <w:tcW w:w="883" w:type="dxa"/>
            <w:hideMark/>
          </w:tcPr>
          <w:p w14:paraId="689EFB47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2004</w:t>
            </w:r>
          </w:p>
        </w:tc>
        <w:tc>
          <w:tcPr>
            <w:tcW w:w="816" w:type="dxa"/>
            <w:noWrap/>
            <w:hideMark/>
          </w:tcPr>
          <w:p w14:paraId="361AB4F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SOI</w:t>
            </w:r>
          </w:p>
        </w:tc>
        <w:tc>
          <w:tcPr>
            <w:tcW w:w="1687" w:type="dxa"/>
            <w:hideMark/>
          </w:tcPr>
          <w:p w14:paraId="399CA62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Iron fertilisation by land mass</w:t>
            </w:r>
          </w:p>
        </w:tc>
        <w:tc>
          <w:tcPr>
            <w:tcW w:w="1560" w:type="dxa"/>
            <w:hideMark/>
          </w:tcPr>
          <w:p w14:paraId="499F9BE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0B2DF14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Silicate is stripped from the surface and a SCM forms above the pycnocline, at the location of the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silicline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.</w:t>
            </w:r>
          </w:p>
        </w:tc>
      </w:tr>
      <w:tr w:rsidR="009425AB" w:rsidRPr="00541701" w14:paraId="0E8A5777" w14:textId="77777777" w:rsidTr="00453118">
        <w:trPr>
          <w:trHeight w:val="1120"/>
        </w:trPr>
        <w:tc>
          <w:tcPr>
            <w:tcW w:w="1407" w:type="dxa"/>
            <w:hideMark/>
          </w:tcPr>
          <w:p w14:paraId="6747C19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Kopczynska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(2001)</w:t>
            </w:r>
          </w:p>
        </w:tc>
        <w:tc>
          <w:tcPr>
            <w:tcW w:w="872" w:type="dxa"/>
            <w:noWrap/>
            <w:hideMark/>
          </w:tcPr>
          <w:p w14:paraId="46DAD549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March-April</w:t>
            </w:r>
          </w:p>
        </w:tc>
        <w:tc>
          <w:tcPr>
            <w:tcW w:w="883" w:type="dxa"/>
            <w:hideMark/>
          </w:tcPr>
          <w:p w14:paraId="54352F07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1998</w:t>
            </w:r>
          </w:p>
        </w:tc>
        <w:tc>
          <w:tcPr>
            <w:tcW w:w="816" w:type="dxa"/>
            <w:noWrap/>
            <w:hideMark/>
          </w:tcPr>
          <w:p w14:paraId="175A13C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75B4C8B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33864E5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4277F1F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Microscopic analysis identified that the highest concentration of diatoms is at the SCM</w:t>
            </w:r>
          </w:p>
        </w:tc>
      </w:tr>
      <w:tr w:rsidR="009425AB" w:rsidRPr="00541701" w14:paraId="6AA970FA" w14:textId="77777777" w:rsidTr="00453118">
        <w:trPr>
          <w:trHeight w:val="930"/>
        </w:trPr>
        <w:tc>
          <w:tcPr>
            <w:tcW w:w="1407" w:type="dxa"/>
            <w:hideMark/>
          </w:tcPr>
          <w:p w14:paraId="6C4A35B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Armand et al (2008)</w:t>
            </w:r>
          </w:p>
        </w:tc>
        <w:tc>
          <w:tcPr>
            <w:tcW w:w="872" w:type="dxa"/>
            <w:noWrap/>
            <w:hideMark/>
          </w:tcPr>
          <w:p w14:paraId="75FA896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27757CE6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2005</w:t>
            </w:r>
          </w:p>
        </w:tc>
        <w:tc>
          <w:tcPr>
            <w:tcW w:w="816" w:type="dxa"/>
            <w:noWrap/>
            <w:hideMark/>
          </w:tcPr>
          <w:p w14:paraId="6145469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SIO</w:t>
            </w:r>
          </w:p>
        </w:tc>
        <w:tc>
          <w:tcPr>
            <w:tcW w:w="1687" w:type="dxa"/>
            <w:hideMark/>
          </w:tcPr>
          <w:p w14:paraId="39B2E4A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1EFBB36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391EB8E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Increased, biogenic silica, fucoxanthin and diatom counts in microscopic analysis within the SCM compared to the upper mixed layer.</w:t>
            </w:r>
          </w:p>
        </w:tc>
      </w:tr>
      <w:tr w:rsidR="009425AB" w:rsidRPr="00541701" w14:paraId="0C7C4083" w14:textId="77777777" w:rsidTr="00453118">
        <w:trPr>
          <w:trHeight w:val="870"/>
        </w:trPr>
        <w:tc>
          <w:tcPr>
            <w:tcW w:w="1407" w:type="dxa"/>
            <w:hideMark/>
          </w:tcPr>
          <w:p w14:paraId="016023F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Gomi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(2010)</w:t>
            </w:r>
          </w:p>
        </w:tc>
        <w:tc>
          <w:tcPr>
            <w:tcW w:w="872" w:type="dxa"/>
            <w:noWrap/>
            <w:hideMark/>
          </w:tcPr>
          <w:p w14:paraId="6050082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Feb-March </w:t>
            </w:r>
          </w:p>
        </w:tc>
        <w:tc>
          <w:tcPr>
            <w:tcW w:w="883" w:type="dxa"/>
            <w:hideMark/>
          </w:tcPr>
          <w:p w14:paraId="7955A911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multiple</w:t>
            </w:r>
          </w:p>
        </w:tc>
        <w:tc>
          <w:tcPr>
            <w:tcW w:w="816" w:type="dxa"/>
            <w:noWrap/>
            <w:hideMark/>
          </w:tcPr>
          <w:p w14:paraId="6643E1D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PFZ</w:t>
            </w:r>
          </w:p>
        </w:tc>
        <w:tc>
          <w:tcPr>
            <w:tcW w:w="1687" w:type="dxa"/>
            <w:hideMark/>
          </w:tcPr>
          <w:p w14:paraId="553CE2A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1BD10FA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3E52E08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Microscopic analysis revealed diatom dominance at the SCM</w:t>
            </w:r>
          </w:p>
        </w:tc>
      </w:tr>
      <w:tr w:rsidR="009425AB" w:rsidRPr="00541701" w14:paraId="45DF419E" w14:textId="77777777" w:rsidTr="00453118">
        <w:trPr>
          <w:trHeight w:val="1030"/>
        </w:trPr>
        <w:tc>
          <w:tcPr>
            <w:tcW w:w="1407" w:type="dxa"/>
            <w:hideMark/>
          </w:tcPr>
          <w:p w14:paraId="15C38E2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Cailliau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(1999)</w:t>
            </w:r>
          </w:p>
        </w:tc>
        <w:tc>
          <w:tcPr>
            <w:tcW w:w="872" w:type="dxa"/>
            <w:noWrap/>
            <w:hideMark/>
          </w:tcPr>
          <w:p w14:paraId="0A320AC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Feb-March </w:t>
            </w:r>
          </w:p>
        </w:tc>
        <w:tc>
          <w:tcPr>
            <w:tcW w:w="883" w:type="dxa"/>
            <w:hideMark/>
          </w:tcPr>
          <w:p w14:paraId="3CD31648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1994</w:t>
            </w:r>
          </w:p>
        </w:tc>
        <w:tc>
          <w:tcPr>
            <w:tcW w:w="816" w:type="dxa"/>
            <w:noWrap/>
            <w:hideMark/>
          </w:tcPr>
          <w:p w14:paraId="090A9A4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76CD72A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Sea-ice retreat</w:t>
            </w:r>
          </w:p>
        </w:tc>
        <w:tc>
          <w:tcPr>
            <w:tcW w:w="1560" w:type="dxa"/>
            <w:hideMark/>
          </w:tcPr>
          <w:p w14:paraId="42B3665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Above pycnocline</w:t>
            </w:r>
          </w:p>
        </w:tc>
        <w:tc>
          <w:tcPr>
            <w:tcW w:w="3123" w:type="dxa"/>
            <w:hideMark/>
          </w:tcPr>
          <w:p w14:paraId="776A58D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Chemeotaxonomic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analysis of pigment ratios to determine selective sinking by degradation products.</w:t>
            </w:r>
          </w:p>
        </w:tc>
      </w:tr>
      <w:tr w:rsidR="009425AB" w:rsidRPr="00541701" w14:paraId="1E948341" w14:textId="77777777" w:rsidTr="00453118">
        <w:trPr>
          <w:trHeight w:val="1350"/>
        </w:trPr>
        <w:tc>
          <w:tcPr>
            <w:tcW w:w="1407" w:type="dxa"/>
            <w:hideMark/>
          </w:tcPr>
          <w:p w14:paraId="20E51AA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Cailliau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(1999)</w:t>
            </w:r>
          </w:p>
        </w:tc>
        <w:tc>
          <w:tcPr>
            <w:tcW w:w="872" w:type="dxa"/>
            <w:noWrap/>
            <w:hideMark/>
          </w:tcPr>
          <w:p w14:paraId="103C1A6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Feb-March </w:t>
            </w:r>
          </w:p>
        </w:tc>
        <w:tc>
          <w:tcPr>
            <w:tcW w:w="883" w:type="dxa"/>
            <w:hideMark/>
          </w:tcPr>
          <w:p w14:paraId="6CCD17C3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1994</w:t>
            </w:r>
          </w:p>
        </w:tc>
        <w:tc>
          <w:tcPr>
            <w:tcW w:w="816" w:type="dxa"/>
            <w:noWrap/>
            <w:hideMark/>
          </w:tcPr>
          <w:p w14:paraId="13157ED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3AAFC04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036FD97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74F60E6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Chemeotaxonomic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analysis of pigment ratios to determine selective sinking by degradation products.</w:t>
            </w:r>
          </w:p>
        </w:tc>
      </w:tr>
      <w:tr w:rsidR="009425AB" w:rsidRPr="00541701" w14:paraId="7CEAA436" w14:textId="77777777" w:rsidTr="00453118">
        <w:trPr>
          <w:trHeight w:val="1120"/>
        </w:trPr>
        <w:tc>
          <w:tcPr>
            <w:tcW w:w="1407" w:type="dxa"/>
            <w:hideMark/>
          </w:tcPr>
          <w:p w14:paraId="427C20A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Gomi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(2007)</w:t>
            </w:r>
          </w:p>
        </w:tc>
        <w:tc>
          <w:tcPr>
            <w:tcW w:w="872" w:type="dxa"/>
            <w:noWrap/>
            <w:hideMark/>
          </w:tcPr>
          <w:p w14:paraId="2EFE019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Nov-March </w:t>
            </w:r>
          </w:p>
        </w:tc>
        <w:tc>
          <w:tcPr>
            <w:tcW w:w="883" w:type="dxa"/>
            <w:hideMark/>
          </w:tcPr>
          <w:p w14:paraId="61908E11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2001</w:t>
            </w:r>
          </w:p>
        </w:tc>
        <w:tc>
          <w:tcPr>
            <w:tcW w:w="816" w:type="dxa"/>
            <w:noWrap/>
            <w:hideMark/>
          </w:tcPr>
          <w:p w14:paraId="01A71E9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034C1B83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19C80F9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2B0BC0A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Microscopic analysis revealed diatom dominance at the SCM</w:t>
            </w:r>
          </w:p>
        </w:tc>
      </w:tr>
      <w:tr w:rsidR="009425AB" w:rsidRPr="00541701" w14:paraId="772CAD8C" w14:textId="77777777" w:rsidTr="00453118">
        <w:trPr>
          <w:trHeight w:val="900"/>
        </w:trPr>
        <w:tc>
          <w:tcPr>
            <w:tcW w:w="1407" w:type="dxa"/>
            <w:hideMark/>
          </w:tcPr>
          <w:p w14:paraId="50AAB67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Wright and Van Eden (2001)</w:t>
            </w:r>
          </w:p>
        </w:tc>
        <w:tc>
          <w:tcPr>
            <w:tcW w:w="872" w:type="dxa"/>
            <w:noWrap/>
            <w:hideMark/>
          </w:tcPr>
          <w:p w14:paraId="4028069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Jan-Mar</w:t>
            </w:r>
          </w:p>
        </w:tc>
        <w:tc>
          <w:tcPr>
            <w:tcW w:w="883" w:type="dxa"/>
            <w:hideMark/>
          </w:tcPr>
          <w:p w14:paraId="5A90E01C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1996</w:t>
            </w:r>
          </w:p>
        </w:tc>
        <w:tc>
          <w:tcPr>
            <w:tcW w:w="816" w:type="dxa"/>
            <w:noWrap/>
            <w:hideMark/>
          </w:tcPr>
          <w:p w14:paraId="02F2808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SIZ</w:t>
            </w:r>
          </w:p>
        </w:tc>
        <w:tc>
          <w:tcPr>
            <w:tcW w:w="1687" w:type="dxa"/>
            <w:hideMark/>
          </w:tcPr>
          <w:p w14:paraId="2C3A1D54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4C83E84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7B729E37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CHEMTAX analysis</w:t>
            </w:r>
          </w:p>
        </w:tc>
      </w:tr>
      <w:tr w:rsidR="009425AB" w:rsidRPr="00541701" w14:paraId="316DA304" w14:textId="77777777" w:rsidTr="00453118">
        <w:trPr>
          <w:trHeight w:val="1000"/>
        </w:trPr>
        <w:tc>
          <w:tcPr>
            <w:tcW w:w="1407" w:type="dxa"/>
            <w:hideMark/>
          </w:tcPr>
          <w:p w14:paraId="080AC09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Fiala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(1998)</w:t>
            </w:r>
          </w:p>
        </w:tc>
        <w:tc>
          <w:tcPr>
            <w:tcW w:w="872" w:type="dxa"/>
            <w:noWrap/>
            <w:hideMark/>
          </w:tcPr>
          <w:p w14:paraId="1F8ADD3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Feb-March </w:t>
            </w:r>
          </w:p>
        </w:tc>
        <w:tc>
          <w:tcPr>
            <w:tcW w:w="883" w:type="dxa"/>
            <w:hideMark/>
          </w:tcPr>
          <w:p w14:paraId="2D5431BC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1994</w:t>
            </w:r>
          </w:p>
        </w:tc>
        <w:tc>
          <w:tcPr>
            <w:tcW w:w="816" w:type="dxa"/>
            <w:noWrap/>
            <w:hideMark/>
          </w:tcPr>
          <w:p w14:paraId="1204D51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ACZ</w:t>
            </w:r>
          </w:p>
        </w:tc>
        <w:tc>
          <w:tcPr>
            <w:tcW w:w="1687" w:type="dxa"/>
            <w:hideMark/>
          </w:tcPr>
          <w:p w14:paraId="5E6F7406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74C2EB8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74D1D88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Microscopic analysis revealed diatom dominance at the SCM</w:t>
            </w:r>
          </w:p>
        </w:tc>
      </w:tr>
      <w:tr w:rsidR="009425AB" w:rsidRPr="00541701" w14:paraId="00D3CD19" w14:textId="77777777" w:rsidTr="00453118">
        <w:trPr>
          <w:trHeight w:val="1070"/>
        </w:trPr>
        <w:tc>
          <w:tcPr>
            <w:tcW w:w="1407" w:type="dxa"/>
            <w:hideMark/>
          </w:tcPr>
          <w:p w14:paraId="5613ABCA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Quilty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et al. (1985)</w:t>
            </w:r>
          </w:p>
        </w:tc>
        <w:tc>
          <w:tcPr>
            <w:tcW w:w="872" w:type="dxa"/>
            <w:noWrap/>
            <w:hideMark/>
          </w:tcPr>
          <w:p w14:paraId="4BB24E55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Feb</w:t>
            </w:r>
          </w:p>
        </w:tc>
        <w:tc>
          <w:tcPr>
            <w:tcW w:w="883" w:type="dxa"/>
            <w:hideMark/>
          </w:tcPr>
          <w:p w14:paraId="1273E694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1982</w:t>
            </w:r>
          </w:p>
        </w:tc>
        <w:tc>
          <w:tcPr>
            <w:tcW w:w="816" w:type="dxa"/>
            <w:noWrap/>
            <w:hideMark/>
          </w:tcPr>
          <w:p w14:paraId="03616B2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ACZ</w:t>
            </w:r>
          </w:p>
        </w:tc>
        <w:tc>
          <w:tcPr>
            <w:tcW w:w="1687" w:type="dxa"/>
            <w:hideMark/>
          </w:tcPr>
          <w:p w14:paraId="4B57564F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Deep diatom-dominated communities</w:t>
            </w:r>
          </w:p>
        </w:tc>
        <w:tc>
          <w:tcPr>
            <w:tcW w:w="1560" w:type="dxa"/>
            <w:hideMark/>
          </w:tcPr>
          <w:p w14:paraId="7096EA90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Below pycnocline</w:t>
            </w:r>
          </w:p>
        </w:tc>
        <w:tc>
          <w:tcPr>
            <w:tcW w:w="3123" w:type="dxa"/>
            <w:hideMark/>
          </w:tcPr>
          <w:p w14:paraId="68B19CA8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Echogram and microscopic analysis revealed the aggregation was diatom dominated</w:t>
            </w:r>
          </w:p>
        </w:tc>
      </w:tr>
      <w:tr w:rsidR="009425AB" w:rsidRPr="00541701" w14:paraId="56C19498" w14:textId="77777777" w:rsidTr="00453118">
        <w:trPr>
          <w:trHeight w:val="1150"/>
        </w:trPr>
        <w:tc>
          <w:tcPr>
            <w:tcW w:w="1407" w:type="dxa"/>
            <w:hideMark/>
          </w:tcPr>
          <w:p w14:paraId="586FF96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Westwood et al. (2011)</w:t>
            </w:r>
          </w:p>
        </w:tc>
        <w:tc>
          <w:tcPr>
            <w:tcW w:w="872" w:type="dxa"/>
            <w:noWrap/>
            <w:hideMark/>
          </w:tcPr>
          <w:p w14:paraId="5AC066B2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Jan-Feb</w:t>
            </w:r>
          </w:p>
        </w:tc>
        <w:tc>
          <w:tcPr>
            <w:tcW w:w="883" w:type="dxa"/>
            <w:hideMark/>
          </w:tcPr>
          <w:p w14:paraId="2230A464" w14:textId="77777777" w:rsidR="009425AB" w:rsidRPr="00541701" w:rsidRDefault="009425AB" w:rsidP="00541701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2007</w:t>
            </w:r>
          </w:p>
        </w:tc>
        <w:tc>
          <w:tcPr>
            <w:tcW w:w="816" w:type="dxa"/>
            <w:noWrap/>
            <w:hideMark/>
          </w:tcPr>
          <w:p w14:paraId="3F1F4F1E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SAZ</w:t>
            </w:r>
          </w:p>
        </w:tc>
        <w:tc>
          <w:tcPr>
            <w:tcW w:w="1687" w:type="dxa"/>
            <w:hideMark/>
          </w:tcPr>
          <w:p w14:paraId="2F2B13FB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Eddies</w:t>
            </w:r>
          </w:p>
        </w:tc>
        <w:tc>
          <w:tcPr>
            <w:tcW w:w="1560" w:type="dxa"/>
            <w:hideMark/>
          </w:tcPr>
          <w:p w14:paraId="22AA551C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Above pycnocline</w:t>
            </w:r>
          </w:p>
        </w:tc>
        <w:tc>
          <w:tcPr>
            <w:tcW w:w="3123" w:type="dxa"/>
            <w:hideMark/>
          </w:tcPr>
          <w:p w14:paraId="7B8FCD3D" w14:textId="77777777" w:rsidR="009425AB" w:rsidRPr="00541701" w:rsidRDefault="009425AB" w:rsidP="0054170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SCM in </w:t>
            </w:r>
            <w:proofErr w:type="spellStart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center</w:t>
            </w:r>
            <w:proofErr w:type="spellEnd"/>
            <w:r w:rsidRPr="005417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 xml:space="preserve"> of eddy above the pycnocline. Iron concentrations were elevated within the eddy.</w:t>
            </w:r>
          </w:p>
        </w:tc>
      </w:tr>
    </w:tbl>
    <w:p w14:paraId="38411E6E" w14:textId="42A73C77" w:rsidR="009425AB" w:rsidRPr="00541701" w:rsidRDefault="009425AB" w:rsidP="00541701">
      <w:pPr>
        <w:pStyle w:val="Heading1"/>
        <w:numPr>
          <w:ilvl w:val="0"/>
          <w:numId w:val="0"/>
        </w:numPr>
        <w:spacing w:line="480" w:lineRule="auto"/>
        <w:jc w:val="both"/>
        <w:rPr>
          <w:lang w:val="en-AU"/>
        </w:rPr>
      </w:pPr>
    </w:p>
    <w:p w14:paraId="3539227A" w14:textId="77777777" w:rsidR="009425AB" w:rsidRPr="0089193C" w:rsidRDefault="009425AB" w:rsidP="009425AB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Supplementary Text</w:t>
      </w:r>
    </w:p>
    <w:p w14:paraId="6BEC64DB" w14:textId="77777777" w:rsidR="009425AB" w:rsidRDefault="009425AB" w:rsidP="00541701">
      <w:r w:rsidRPr="008E5710">
        <w:rPr>
          <w:b/>
          <w:bCs/>
        </w:rPr>
        <w:t>Text S1</w:t>
      </w:r>
      <w:r>
        <w:t>: Derivatives of “subsurface chlorophyll-a maxima” used in the literature search</w:t>
      </w:r>
    </w:p>
    <w:p w14:paraId="66E60AC9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Subsurface chlorophyll maximum</w:t>
      </w:r>
    </w:p>
    <w:p w14:paraId="2238AA25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Subsurface chlorophyll-a maxima</w:t>
      </w:r>
    </w:p>
    <w:p w14:paraId="72E42135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Subsurface chlorophyll-a maximum</w:t>
      </w:r>
    </w:p>
    <w:p w14:paraId="34DAF14E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Deep chlorophyll maxima</w:t>
      </w:r>
    </w:p>
    <w:p w14:paraId="4E680B56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Deep chlorophyll maximum</w:t>
      </w:r>
    </w:p>
    <w:p w14:paraId="0887BF75" w14:textId="77777777" w:rsidR="009425AB" w:rsidRDefault="009425AB" w:rsidP="009425AB">
      <w:pPr>
        <w:pStyle w:val="ListParagraph"/>
        <w:numPr>
          <w:ilvl w:val="0"/>
          <w:numId w:val="9"/>
        </w:numPr>
        <w:spacing w:before="0" w:after="160" w:line="259" w:lineRule="auto"/>
      </w:pPr>
      <w:r>
        <w:t>Deep chlorophyll-a maxima</w:t>
      </w:r>
    </w:p>
    <w:p w14:paraId="224D05C9" w14:textId="1441643F" w:rsidR="00252C6B" w:rsidRDefault="009425AB" w:rsidP="00DC0E0F">
      <w:pPr>
        <w:pStyle w:val="ListParagraph"/>
        <w:numPr>
          <w:ilvl w:val="0"/>
          <w:numId w:val="9"/>
        </w:numPr>
        <w:spacing w:before="0" w:after="160" w:line="259" w:lineRule="auto"/>
      </w:pPr>
      <w:r>
        <w:t>Deep chlorophyll-a maximu</w:t>
      </w:r>
      <w:r w:rsidR="00DC0E0F">
        <w:t>m</w:t>
      </w:r>
    </w:p>
    <w:sectPr w:rsidR="00252C6B" w:rsidSect="001820D2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E5C6" w14:textId="77777777" w:rsidR="00000000" w:rsidRDefault="00683B33">
      <w:pPr>
        <w:spacing w:before="0" w:after="0"/>
      </w:pPr>
      <w:r>
        <w:separator/>
      </w:r>
    </w:p>
  </w:endnote>
  <w:endnote w:type="continuationSeparator" w:id="0">
    <w:p w14:paraId="2BFF1762" w14:textId="77777777" w:rsidR="00000000" w:rsidRDefault="00683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AEB0" w14:textId="77777777" w:rsidR="00995F6A" w:rsidRPr="00577C4C" w:rsidRDefault="00DC0E0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1140E" wp14:editId="1BCB63B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6AFBD5" w14:textId="77777777" w:rsidR="00995F6A" w:rsidRPr="00577C4C" w:rsidRDefault="00DC0E0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11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7C6AFBD5" w14:textId="77777777" w:rsidR="00995F6A" w:rsidRPr="00577C4C" w:rsidRDefault="00DC0E0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C52B" w14:textId="77777777" w:rsidR="00995F6A" w:rsidRPr="00577C4C" w:rsidRDefault="00DC0E0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DE681" wp14:editId="6440E07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C18205" w14:textId="77777777" w:rsidR="00995F6A" w:rsidRPr="00577C4C" w:rsidRDefault="00DC0E0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DE68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14C18205" w14:textId="77777777" w:rsidR="00995F6A" w:rsidRPr="00577C4C" w:rsidRDefault="00DC0E0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F7BB" w14:textId="77777777" w:rsidR="00000000" w:rsidRDefault="00683B33">
      <w:pPr>
        <w:spacing w:before="0" w:after="0"/>
      </w:pPr>
      <w:r>
        <w:separator/>
      </w:r>
    </w:p>
  </w:footnote>
  <w:footnote w:type="continuationSeparator" w:id="0">
    <w:p w14:paraId="6417661C" w14:textId="77777777" w:rsidR="00000000" w:rsidRDefault="00683B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882A" w14:textId="77777777" w:rsidR="00995F6A" w:rsidRPr="009151AA" w:rsidRDefault="00DC0E0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2B13" w14:textId="77777777" w:rsidR="00995F6A" w:rsidRDefault="00DC0E0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7EF3960" wp14:editId="1F78E80D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A00"/>
    <w:multiLevelType w:val="hybridMultilevel"/>
    <w:tmpl w:val="35683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14923"/>
    <w:multiLevelType w:val="hybridMultilevel"/>
    <w:tmpl w:val="8A3A7B90"/>
    <w:lvl w:ilvl="0" w:tplc="9EE077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1&lt;/ScanChanges&gt;&lt;Suspended&gt;1&lt;/Suspended&gt;&lt;/ENInstantFormat&gt;"/>
  </w:docVars>
  <w:rsids>
    <w:rsidRoot w:val="009425AB"/>
    <w:rsid w:val="000E6030"/>
    <w:rsid w:val="00415CF7"/>
    <w:rsid w:val="004816C4"/>
    <w:rsid w:val="005937BB"/>
    <w:rsid w:val="00664896"/>
    <w:rsid w:val="00683B33"/>
    <w:rsid w:val="00713CDD"/>
    <w:rsid w:val="009425AB"/>
    <w:rsid w:val="00C52EB2"/>
    <w:rsid w:val="00D60639"/>
    <w:rsid w:val="00D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977"/>
  <w15:chartTrackingRefBased/>
  <w15:docId w15:val="{E3AF57A6-690D-4A1D-8339-C5153606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AB"/>
    <w:pPr>
      <w:spacing w:before="120" w:after="24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9425AB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425A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425AB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425A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425A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425AB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425AB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425AB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425AB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425AB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9425AB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25AB"/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425AB"/>
  </w:style>
  <w:style w:type="paragraph" w:styleId="BalloonText">
    <w:name w:val="Balloon Text"/>
    <w:basedOn w:val="Normal"/>
    <w:link w:val="BalloonTextChar"/>
    <w:uiPriority w:val="99"/>
    <w:semiHidden/>
    <w:unhideWhenUsed/>
    <w:rsid w:val="009425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A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425AB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9425AB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9425A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AB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AB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9425AB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25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5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5AB"/>
    <w:rPr>
      <w:rFonts w:ascii="Times New Roman" w:eastAsiaTheme="minorHAnsi" w:hAnsi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5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25A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5AB"/>
    <w:rPr>
      <w:rFonts w:ascii="Times New Roman" w:eastAsiaTheme="minorHAnsi" w:hAnsi="Times New Roman"/>
      <w:sz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2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5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5AB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25AB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425AB"/>
    <w:rPr>
      <w:rFonts w:ascii="Times New Roman" w:eastAsiaTheme="minorHAnsi" w:hAnsi="Times New Roman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25AB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9425AB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9425AB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9425AB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9425AB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9425AB"/>
  </w:style>
  <w:style w:type="paragraph" w:styleId="NormalWeb">
    <w:name w:val="Normal (Web)"/>
    <w:basedOn w:val="Normal"/>
    <w:uiPriority w:val="99"/>
    <w:unhideWhenUsed/>
    <w:rsid w:val="009425A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425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5AB"/>
    <w:rPr>
      <w:rFonts w:ascii="Times New Roman" w:eastAsiaTheme="minorHAnsi" w:hAnsi="Times New Roman"/>
      <w:i/>
      <w:iCs/>
      <w:color w:val="404040" w:themeColor="text1" w:themeTint="BF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425AB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9425AB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425AB"/>
    <w:pPr>
      <w:spacing w:after="0" w:line="240" w:lineRule="auto"/>
    </w:pPr>
    <w:rPr>
      <w:rFonts w:asciiTheme="majorHAnsi" w:eastAsiaTheme="minorHAnsi" w:hAnsiTheme="maj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425A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425AB"/>
    <w:rPr>
      <w:rFonts w:ascii="Times New Roman" w:eastAsiaTheme="minorHAnsi" w:hAnsi="Times New Roman" w:cs="Times New Roman"/>
      <w:b/>
      <w:sz w:val="32"/>
      <w:szCs w:val="32"/>
      <w:lang w:val="en-US" w:eastAsia="en-US"/>
    </w:rPr>
  </w:style>
  <w:style w:type="paragraph" w:customStyle="1" w:styleId="SupplementaryMaterial">
    <w:name w:val="Supplementary Material"/>
    <w:basedOn w:val="Title"/>
    <w:next w:val="Title"/>
    <w:qFormat/>
    <w:rsid w:val="009425AB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9425A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25AB"/>
    <w:rPr>
      <w:rFonts w:ascii="Times New Roman" w:eastAsiaTheme="minorHAnsi" w:hAnsi="Times New Roman" w:cs="Times New Roman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9425AB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25AB"/>
    <w:rPr>
      <w:rFonts w:ascii="Times New Roman" w:eastAsiaTheme="minorHAnsi" w:hAnsi="Times New Roman" w:cs="Times New Roman"/>
      <w:noProof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8FA597F3714429FB28B155BE7FB40" ma:contentTypeVersion="9" ma:contentTypeDescription="Create a new document." ma:contentTypeScope="" ma:versionID="072d965ee4144b7352b1b9fa85ddc208">
  <xsd:schema xmlns:xsd="http://www.w3.org/2001/XMLSchema" xmlns:xs="http://www.w3.org/2001/XMLSchema" xmlns:p="http://schemas.microsoft.com/office/2006/metadata/properties" xmlns:ns3="e20472b3-c705-44f8-bba6-767e7adb5a1e" targetNamespace="http://schemas.microsoft.com/office/2006/metadata/properties" ma:root="true" ma:fieldsID="f4055c15dc2c3ab7669828420f152f0b" ns3:_="">
    <xsd:import namespace="e20472b3-c705-44f8-bba6-767e7adb5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472b3-c705-44f8-bba6-767e7adb5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E9F7B-2AFB-4702-8748-BFE9D8B6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472b3-c705-44f8-bba6-767e7adb5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7AD1F-EA05-43EA-99F7-5A5B625A7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E8297-004E-4D9F-A885-13E8B68F7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Baldry</dc:creator>
  <cp:keywords/>
  <dc:description/>
  <cp:lastModifiedBy>Kimberlee Baldry</cp:lastModifiedBy>
  <cp:revision>2</cp:revision>
  <dcterms:created xsi:type="dcterms:W3CDTF">2020-08-03T22:55:00Z</dcterms:created>
  <dcterms:modified xsi:type="dcterms:W3CDTF">2020-08-03T22:55:00Z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0x010100F628FA597F3714429FB28B155BE7FB40</vt:lpwstr>
  </property>
</Properties>
</file>