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98" w:rsidRPr="00A517AC" w:rsidRDefault="00A517AC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 w:themeColor="text1"/>
          <w:kern w:val="0"/>
          <w:sz w:val="36"/>
          <w:szCs w:val="36"/>
        </w:rPr>
      </w:pPr>
      <w:bookmarkStart w:id="0" w:name="_GoBack"/>
      <w:r w:rsidRPr="00A517AC">
        <w:rPr>
          <w:rFonts w:ascii="Times New Roman" w:eastAsia="CIDFont+F2" w:hAnsi="Times New Roman" w:cs="Times New Roman"/>
          <w:color w:val="000000" w:themeColor="text1"/>
          <w:kern w:val="0"/>
          <w:sz w:val="36"/>
          <w:szCs w:val="36"/>
        </w:rPr>
        <w:t>Rehabilitation with nutrition management for cancer in outpatients</w:t>
      </w:r>
      <w:r w:rsidRPr="00A517AC">
        <w:rPr>
          <w:rFonts w:ascii="Times New Roman" w:eastAsia="CIDFont+F2" w:hAnsi="Times New Roman" w:cs="Times New Roman" w:hint="eastAsia"/>
          <w:color w:val="000000" w:themeColor="text1"/>
          <w:kern w:val="0"/>
          <w:sz w:val="36"/>
          <w:szCs w:val="36"/>
        </w:rPr>
        <w:t>:</w:t>
      </w:r>
      <w:r w:rsidRPr="00A517AC">
        <w:rPr>
          <w:rFonts w:ascii="Times New Roman" w:eastAsia="CIDFont+F2" w:hAnsi="Times New Roman" w:cs="Times New Roman"/>
          <w:color w:val="000000" w:themeColor="text1"/>
          <w:kern w:val="0"/>
          <w:sz w:val="36"/>
          <w:szCs w:val="36"/>
        </w:rPr>
        <w:t xml:space="preserve"> </w:t>
      </w:r>
      <w:r w:rsidR="00811F98" w:rsidRPr="00A517AC">
        <w:rPr>
          <w:rFonts w:ascii="Times New Roman" w:eastAsia="CIDFont+F2" w:hAnsi="Times New Roman" w:cs="Times New Roman"/>
          <w:color w:val="000000" w:themeColor="text1"/>
          <w:kern w:val="0"/>
          <w:sz w:val="36"/>
          <w:szCs w:val="36"/>
        </w:rPr>
        <w:t>Systematic review protocol</w:t>
      </w:r>
    </w:p>
    <w:bookmarkEnd w:id="0"/>
    <w:p w:rsidR="00A517AC" w:rsidRPr="00A517AC" w:rsidRDefault="00A517AC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 w:themeColor="text1"/>
          <w:kern w:val="0"/>
          <w:sz w:val="24"/>
          <w:szCs w:val="24"/>
        </w:rPr>
      </w:pP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Review title.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Rehabilitation with nutrition management for cancer in outpatients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Anticipated or actual start date.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12/07/2020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Anticipated completion date.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31/09/2020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Named contact.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Ryo Momosaki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Named contact email.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momosakiryo@gmail.com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 xml:space="preserve">Review team members and their </w:t>
      </w:r>
      <w:proofErr w:type="spellStart"/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organisational</w:t>
      </w:r>
      <w:proofErr w:type="spellEnd"/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 xml:space="preserve"> affiliations.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Dr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Yuu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Tanaka. Nara Medical University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Dr Mika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Sonoi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. Okayama university Hospital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Dr Ryo Momosaki. Mie University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Mr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Eiji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Kose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Teikyo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University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Yuya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Suzuki. Steel Memorial Yahata Hospital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Chieko Suzuki.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Ajisu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Kyoritsu Hospital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Mariko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Nakamichi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Haradoi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Hospital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Tatsuro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Inoue. Niigata University of Health and Welfare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Funding sources/sponsors.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Each members receive salary from their affiliation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Conflicts of interest.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None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Collaborators.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Professor Masahiko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Kawavguchi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. Department of Anesthesiology of Nara Medical University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Ms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Takaaki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Suzuki. Nara Medical University Library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Review question.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Does rehabilitation with nutrition management give effect of improving QoL or ADL of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out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patients with</w:t>
      </w:r>
      <w:r w:rsidR="00D636E9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cancer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Searches.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lastRenderedPageBreak/>
        <w:t>We will search MEDLINE, the Cochrane Central Register of Controlled Trials (CENTRAL), EMBASE, and the</w:t>
      </w:r>
      <w:r w:rsidR="0065306E"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Ichushi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-Web (covering January 1980 to May 2020)</w:t>
      </w:r>
    </w:p>
    <w:p w:rsidR="00811F98" w:rsidRPr="00A517AC" w:rsidRDefault="0065306E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S</w:t>
      </w:r>
      <w:r w:rsidR="00811F98"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earch strategy.</w:t>
      </w: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7545"/>
      </w:tblGrid>
      <w:tr w:rsidR="0065306E" w:rsidRPr="00A517AC" w:rsidTr="006530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Embase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306E" w:rsidRPr="00A517AC" w:rsidTr="0065306E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Set#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Searched for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((TI,AB(cancer) OR TI,AB(cancers) OR TI,AB(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oncolog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*)))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EMB.EXACT.EXPLODE("neoplasm")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(S1 OR S2)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(TI,AB(ambulatory) OR TI,AB(outpatient*) OR TI,AB(home))</w:t>
            </w:r>
          </w:p>
        </w:tc>
      </w:tr>
      <w:tr w:rsidR="0065306E" w:rsidRPr="00A517AC" w:rsidTr="0065306E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(EMB.EXACT.EXPLODE("ambulatory care") OR EMB.EXACT.EXPLODE("outpatient") OR EMB.EXACT.EXPLODE("outpatient care") OR EMB.EXACT.EXPLODE("home care"))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(S4 OR S5)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(TI,AB(patient) OR TI,AB(patients))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S8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EMB.EXACT.EXPLODE("patient")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S9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(S7 OR S8)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S10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(S3 AND S6 AND S9)</w:t>
            </w:r>
          </w:p>
        </w:tc>
      </w:tr>
      <w:tr w:rsidR="0065306E" w:rsidRPr="00A517AC" w:rsidTr="0065306E">
        <w:trPr>
          <w:trHeight w:val="31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S11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((EMB.EXACT.EXPLODE("artificial feeding") OR EMB.EXACT.EXPLODE("diet therapy") OR EMB.EXACT.EXPLODE("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enterostomy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") OR EMB.EXACT.EXPLODE("lipid emulsion") OR EMB.EXACT.EXPLODE("elemental diet") OR EMB.EXACT.EXPLODE("gastrostomy") OR EMB.EXACT.EXPLODE("nutritional disorder") OR EMB.EXACT.EXPLODE("protein hydrolysate") OR EMB.EXACT.EXPLODE("nutritional support") OR EMB.EXACT.EXPLODE("nutritional requirement") OR EMB.EXACT.EXPLODE("dietary intake") OR EMB.EXACT.EXPLODE("diet supplementation")))</w:t>
            </w:r>
          </w:p>
        </w:tc>
      </w:tr>
      <w:tr w:rsidR="0065306E" w:rsidRPr="00A517AC" w:rsidTr="0065306E">
        <w:trPr>
          <w:trHeight w:val="55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S12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((TI,AB(alimentation) OR TI,AB(branched chain amino acids) OR TI,AB(BCAA) OR TI,AB(dietary NEAR disorder*) OR TI,AB(dietary NEAR protein*) OR TI,AB(dietary NEAR supplement*) OR TI,AB(energy NEAR intake) OR TI,AB(enteral NEAR nutrition) OR TI,AB(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enterostom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*) OR TI,AB(fat NEAR emulsion) OR TI,AB(formulated NEAR food*) OR TI,AB(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gastrostom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*) OR TI,AB(hyperalimentation*) OR TI,AB(hypocaloric NEAR alimentation*) OR TI,AB(hypocaloric NEAR  nutrition) OR TI,AB(intragastric NEAR feed*) OR TI,AB(intragastric NEAR nutrition) OR TI,AB(nutrition) OR TI,AB(nutrition NEAR diseases) OR TI,AB(nutrition NEAR disorders) OR (nutritional NEAR intervention*) OR TI,AB(nutritional NEAR requirement*) OR TI,AB(nutrition NEAR supplement*) OR TI,AB(nutritional NEAR support) OR TI,AB(parenteral NEAR nutrition) OR TI,AB(percutaneous NEAR endoscopic NEAR 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gastrostom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*) OR TI,AB(peripheral parenteral nutrition) OR TI,AB(permissive NEAR underfeeding) OR TI,AB(post-pyloric NEAR feeding) OR TI,AB(post-pyloric NEAR nutrition) OR TI,AB(protein NEAR hydrolysate) OR TI,AB(supplemental NEAR feed*) OR TI,AB(total parenteral nutrition)))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S13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(S11 OR S12)</w:t>
            </w:r>
          </w:p>
        </w:tc>
      </w:tr>
      <w:tr w:rsidR="0065306E" w:rsidRPr="00A517AC" w:rsidTr="0065306E">
        <w:trPr>
          <w:trHeight w:val="15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S14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(EMB.EXACT.EXPLODE("rehabilitation") OR EMB.EXACT.EXPLODE("exercise") OR EMB.EXACT.EXPLODE("physiotherapy") OR EMB.EXACT.EXPLODE("mobilization") OR EMB.EXACT.EXPLODE("walking") OR EMB.EXACT.EXPLODE("nursing care"))</w:t>
            </w:r>
          </w:p>
        </w:tc>
      </w:tr>
      <w:tr w:rsidR="0065306E" w:rsidRPr="00A517AC" w:rsidTr="0065306E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S15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(TI,AB(rehabilitation) OR TI,AB(exercise*) OR TI,AB(training) OR TI,AB(physical NEAR therapy) OR TI,AB(kinesiotherapy) OR TI,AB(mobilization) OR TI,AB(walking) OR TI,AB(ambulation) OR TI,AB(nursing NEAR care) OR TI,AB(workout))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S16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(S14 OR S15)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S17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(S10 AND S13 AND S16)</w:t>
            </w:r>
          </w:p>
        </w:tc>
      </w:tr>
      <w:tr w:rsidR="0065306E" w:rsidRPr="00A517AC" w:rsidTr="0065306E">
        <w:trPr>
          <w:trHeight w:val="15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S18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(EMB.EXACT.EXPLODE("randomized controlled trial (topic)") OR EMB.EXACT.EXPLODE("randomized controlled trial") OR EMB.EXACT.EXPLODE("controlled clinical trial (topic)") OR EMB.EXACT.EXPLODE("controlled clinical trial")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TI,AB(randomized) OR TI,AB(placebo) OR QU(DT) OR TI,AB(randomly) OR TI,AB(trial) OR TI,AB(groups))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S19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(S17 AND S18)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S20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(ANIMAL(YES) NOT HUMAN(YES))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S21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(S19 NOT S20)</w:t>
            </w:r>
          </w:p>
        </w:tc>
      </w:tr>
      <w:tr w:rsidR="0065306E" w:rsidRPr="00A517AC" w:rsidTr="0065306E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S22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(EMB.EXACT.EXPLODE("child") NOT EMB.EXACT.EXPLODE("adult"))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S23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(S21 NOT S22)</w:t>
            </w:r>
          </w:p>
        </w:tc>
      </w:tr>
    </w:tbl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666666"/>
          <w:kern w:val="0"/>
          <w:sz w:val="24"/>
          <w:szCs w:val="24"/>
        </w:rPr>
      </w:pP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7545"/>
      </w:tblGrid>
      <w:tr w:rsidR="0065306E" w:rsidRPr="00A517AC" w:rsidTr="0065306E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Pubmed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306E" w:rsidRPr="00A517AC" w:rsidTr="0065306E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Search cancer[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cancers[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] OR 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oncolog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"Neoplasms"[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65306E" w:rsidRPr="00A517AC" w:rsidTr="0065306E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Search ambulatory[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outpatient*[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home[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"Outpatients"[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"Ambulatory Care"[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"Home Nursing"[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Search patient[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patients[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"Patients"[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Search #1 and #2 and #3</w:t>
            </w:r>
          </w:p>
        </w:tc>
      </w:tr>
      <w:tr w:rsidR="0065306E" w:rsidRPr="00A517AC" w:rsidTr="0065306E">
        <w:trPr>
          <w:trHeight w:val="21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Search ("Rehabilitation"[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("Exercise"[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("Physical Therapy Modalities"[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("Early Ambulation"[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("Walking"[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("Nursing Care"[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rehabilitation[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exercise*[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training[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(physical therapy[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kinesiotherapy[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mobilization[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walking[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ambulation[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(nursing care[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workout[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65306E" w:rsidRPr="00A517AC" w:rsidTr="0065306E">
        <w:trPr>
          <w:trHeight w:val="6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#6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Search ("Feeding Methods"[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("Nutrition Therapy"[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Enterostomy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("Fat Emulsions, Intravenous"[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("Food, Formulated"[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("Gastrostomy"[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("Nutrition Disorders"[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("Protein Hydrolysates"[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("Nutritional Support"[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("Nutritional Requirements"[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("Energy Intake"[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("Dietary Proteins"[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("Dietary Supplements"[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alimentation[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"branched chain amino acids"[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BCAA[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(dietary disorder*[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(dietary protein*[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(dietary supplement*[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(energy intake[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(enteral nutrition[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]) OR 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enterostom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(fat emulsion[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(formulated food*[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]) OR 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gastrostom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hyperalimentation*[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(hypocaloric alimentation*[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(hypocaloric nutrition[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(intragastric feed*[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(intragastric nutrition[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nutrition[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(nutrition diseases[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(nutrition disorders[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(nutritional intervention*[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(nutritional requirement*[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(nutrition supplement*[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(nutritional support[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(parenteral nutrition[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]) OR (percutaneous endoscopic 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gastrostom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(peripheral parenteral nutrition[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(permissive underfeeding[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(post-pyloric feeding[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(post-pyloric nutrition[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(protein hydrolysate[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(supplemental feed*[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OR (total parenteral nutrition[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</w:t>
            </w:r>
          </w:p>
        </w:tc>
      </w:tr>
      <w:tr w:rsidR="0065306E" w:rsidRPr="00A517AC" w:rsidTr="0065306E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Search ("Randomized Controlled Trial"[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pt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"Controlled Clinical Trial"[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pt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randomized[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placebo[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"Drug Therapy"[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randomly[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trial[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groups[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 NOT ("Animals"[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NOT "Humans"[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])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#8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Search #4 and #5 and #6 and #7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#9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Search "Child"[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NOT "Adult"[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Search #8 not #9</w:t>
            </w:r>
          </w:p>
        </w:tc>
      </w:tr>
    </w:tbl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666666"/>
          <w:kern w:val="0"/>
          <w:sz w:val="24"/>
          <w:szCs w:val="24"/>
        </w:rPr>
      </w:pPr>
    </w:p>
    <w:p w:rsidR="0065306E" w:rsidRPr="00A517AC" w:rsidRDefault="0065306E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666666"/>
          <w:kern w:val="0"/>
          <w:sz w:val="24"/>
          <w:szCs w:val="24"/>
        </w:rPr>
      </w:pP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5"/>
        <w:gridCol w:w="7545"/>
      </w:tblGrid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CENTRAL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306E" w:rsidRPr="00A517AC" w:rsidTr="0065306E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(cancer or cancers or 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oncolog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 or neoplasms):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ti,ab,kw</w:t>
            </w:r>
            <w:proofErr w:type="spellEnd"/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neoplasms]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 or #2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(ambulatory or outpatient* or home):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ti,ab,kw</w:t>
            </w:r>
            <w:proofErr w:type="spellEnd"/>
          </w:p>
        </w:tc>
      </w:tr>
      <w:tr w:rsidR="0065306E" w:rsidRPr="00A517AC" w:rsidTr="0065306E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#5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"Ambulatory Care"]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Outpatients]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"Home Nursing"]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#4 or #5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(patient or patients):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ti,ab,kw</w:t>
            </w:r>
            <w:proofErr w:type="spellEnd"/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#8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Patients]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#9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#7 or #8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#3 and #6 and #9</w:t>
            </w:r>
          </w:p>
        </w:tc>
      </w:tr>
      <w:tr w:rsidR="0065306E" w:rsidRPr="00A517AC" w:rsidTr="0065306E">
        <w:trPr>
          <w:trHeight w:val="23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"Feeding Methods"]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"Nutrition Therapy"]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Enterostomy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"Fat Emulsions, Intravenous"]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"Food, Formulated"]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Gastrostomy]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"Nutrition Disorders"]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"Protein Hydrolysates"]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"Nutritional Support"]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"Nutritional Requirements"]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"Energy Intake"]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"Dietary Proteins"]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"Dietary Supplements"]</w:t>
            </w:r>
          </w:p>
        </w:tc>
      </w:tr>
      <w:tr w:rsidR="0065306E" w:rsidRPr="00A517AC" w:rsidTr="0065306E">
        <w:trPr>
          <w:trHeight w:val="4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(alimentation or "branched chain amino acids" or BCAA or (dietary NEXT (disorder* or protein* or supplement*)) or "energy intake" or "enteral nutrition" or 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enterostom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* or "fat emulsion" or (formulated NEXT food*) or 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gastrostom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* or hyperalimentation* or (hypocaloric NEXT (alimentation* or nutrition)) or (intragastric NEXT (feed* or nutrition)) or nutrition or (nutrition NEXT (diseases or disorders)) or (nutritional NEXT (intervention* or requirement*)) or (nutrition NEXT supplement*) or "nutritional support" or "parenteral nutrition" or ("percutaneous endoscopic" NEXT 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gastrostom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*) or "peripheral parenteral nutrition" or "permissive underfeeding" or ("post-pyloric" NEXT (feeding or nutrition)) or "protein hydrolysate" or (supplemental  NEXT feed*) or "total parenteral nutrition"):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ti,ab,kw</w:t>
            </w:r>
            <w:proofErr w:type="spellEnd"/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#11 or #12</w:t>
            </w:r>
          </w:p>
        </w:tc>
      </w:tr>
      <w:tr w:rsidR="0065306E" w:rsidRPr="00A517AC" w:rsidTr="0065306E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Rehabilitation]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Exercise]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"Physical Therapy Modalities"]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"Early Ambulation"]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Walking] or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"Nursing Care"]</w:t>
            </w:r>
          </w:p>
        </w:tc>
      </w:tr>
      <w:tr w:rsidR="0065306E" w:rsidRPr="00A517AC" w:rsidTr="0065306E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(rehabilitation or exercise* or training or "physical therapy" or kinesiotherapy or mobilization or walking or ambulation or "nursing care"):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ti,ab,kw</w:t>
            </w:r>
            <w:proofErr w:type="spellEnd"/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#14 or #15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#10 and #13 and #16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#18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Child] not [</w:t>
            </w:r>
            <w:proofErr w:type="spellStart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mh</w:t>
            </w:r>
            <w:proofErr w:type="spellEnd"/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Adult]</w:t>
            </w:r>
          </w:p>
        </w:tc>
      </w:tr>
      <w:tr w:rsidR="0065306E" w:rsidRPr="00A517AC" w:rsidTr="0065306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#19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#17 not #18</w:t>
            </w:r>
          </w:p>
        </w:tc>
      </w:tr>
      <w:tr w:rsidR="0065306E" w:rsidRPr="00A517AC" w:rsidTr="0065306E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#20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#17 not #18 with Publication Year from 2016 to 2020, in Trials</w:t>
            </w:r>
          </w:p>
        </w:tc>
      </w:tr>
    </w:tbl>
    <w:p w:rsidR="0065306E" w:rsidRPr="00A517AC" w:rsidRDefault="0065306E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666666"/>
          <w:kern w:val="0"/>
          <w:sz w:val="24"/>
          <w:szCs w:val="24"/>
        </w:rPr>
      </w:pP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7087"/>
      </w:tblGrid>
      <w:tr w:rsidR="0065306E" w:rsidRPr="00A517AC" w:rsidTr="0065306E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517AC">
              <w:rPr>
                <w:rFonts w:ascii="Times New Roman" w:eastAsia="CIDFont+F2" w:hAnsi="Times New Roman" w:cs="Times New Roman"/>
                <w:color w:val="000000"/>
                <w:kern w:val="0"/>
                <w:sz w:val="24"/>
                <w:szCs w:val="24"/>
              </w:rPr>
              <w:t>Ichushi</w:t>
            </w:r>
            <w:proofErr w:type="spellEnd"/>
            <w:r w:rsidRPr="00A517AC">
              <w:rPr>
                <w:rFonts w:ascii="Times New Roman" w:eastAsia="CIDFont+F2" w:hAnsi="Times New Roman" w:cs="Times New Roman"/>
                <w:color w:val="000000"/>
                <w:kern w:val="0"/>
                <w:sz w:val="24"/>
                <w:szCs w:val="24"/>
              </w:rPr>
              <w:t>-Web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5306E" w:rsidRPr="00A517AC" w:rsidTr="0065306E">
        <w:trPr>
          <w:trHeight w:val="7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癌患者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癌患者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がん患者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腫瘍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癌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がん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and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患者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患者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/AL))</w:t>
            </w:r>
          </w:p>
        </w:tc>
      </w:tr>
      <w:tr w:rsidR="0065306E" w:rsidRPr="00A517AC" w:rsidTr="0065306E">
        <w:trPr>
          <w:trHeight w:val="5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在宅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外来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通院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ライフスタイル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ライフスタイル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/AL)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生活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</w:t>
            </w:r>
          </w:p>
        </w:tc>
      </w:tr>
      <w:tr w:rsidR="0065306E" w:rsidRPr="00A517AC" w:rsidTr="0065306E">
        <w:trPr>
          <w:trHeight w:val="50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栄養投与方法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栄養管理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栄養療法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静脈栄養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静脈栄養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経腸栄養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経腸栄養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胃造瘻術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胃瘻造設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/AL)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経皮内視鏡胃瘻造設術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栄養障害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栄養障害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栄養補助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栄養サポート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/AL) or NST/AL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必要エネルギー量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エネルギー摂取量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エネルギー摂取量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栄養補助食品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栄養補助食品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/AL)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補助栄養食品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補助食品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食支援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("Branched-Chain Amino Acids"/TH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分枝鎖アミノ酸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and BCAA/AL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タンパク質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タンパク質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/AL)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脂肪乳剤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過栄養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過栄養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栄養失調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栄養失調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低栄養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栄養生理学的現象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/AL)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栄養介入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経口栄養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摂食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経口摂取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体重減少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ダイエット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食事療法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食事療法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栄養飲料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栄養飲料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栄養指導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栄養指導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</w:t>
            </w:r>
          </w:p>
        </w:tc>
      </w:tr>
      <w:tr w:rsidR="0065306E" w:rsidRPr="00A517AC" w:rsidTr="0065306E">
        <w:trPr>
          <w:trHeight w:val="21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リハビリテーション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リハビリテーション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体育とトレーニング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訓練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理学療法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理学療法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作業療法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作業療法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身体運動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エクササイズ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フィットネス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動作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運動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/AL)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離床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歩行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歩行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実技演習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トレーニング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運動活性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身体活動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スポーツ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スポーツ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</w:t>
            </w:r>
          </w:p>
        </w:tc>
      </w:tr>
      <w:tr w:rsidR="0065306E" w:rsidRPr="00A517AC" w:rsidTr="0065306E">
        <w:trPr>
          <w:trHeight w:val="26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#5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臨床試験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臨床試験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/AL)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比較試験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ランダム化比較試験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ランダム化比較試験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無作為化比較試験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準ランダム化比較試験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準ランダム化比較試験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相試験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相試験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相試験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相試験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相試験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相試験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相試験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相試験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/AL)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盲検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ランダム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プラセボ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プラセボ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/AL) or (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対照群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/TH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対照群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/AL) or 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コントロール群</w:t>
            </w: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/AL</w:t>
            </w:r>
          </w:p>
        </w:tc>
      </w:tr>
      <w:tr w:rsidR="0065306E" w:rsidRPr="00A517AC" w:rsidTr="0065306E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6E" w:rsidRPr="00A517AC" w:rsidRDefault="0065306E" w:rsidP="0065306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7AC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#1 and #2 and #3 and #4 and #5</w:t>
            </w:r>
          </w:p>
        </w:tc>
      </w:tr>
    </w:tbl>
    <w:p w:rsidR="0065306E" w:rsidRPr="00A517AC" w:rsidRDefault="0065306E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666666"/>
          <w:kern w:val="0"/>
          <w:sz w:val="24"/>
          <w:szCs w:val="24"/>
        </w:rPr>
      </w:pP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Condition or domain being studied.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Adult patients with cancer receive rehabilitation with nutrition management.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Participants/population.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Out adult patients with cancer receive rehabilitation with nutrition management without refractory cachexia</w:t>
      </w:r>
      <w:r w:rsidR="00D636E9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(ECOG: Performance Status3,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Karnofsy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Performance Scale40)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Exclusion: Hospitalized patients, Children, Patients with cachexia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Intervention(s), exposure(s).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Rehabilitation with management of nutrition, counseling, educations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Comparator(s)/control.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Alternative or sham nutritional supplement or standard meal provision or no intervention or only rehabilitation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Types of study to be included.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Randomized controlled trials quasi-randomized and cluster randomized trials will also be included whereas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crossover trials will be excluded.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Context.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Rehabilitation therapy refers to comprehensive or individualized intervention program provided by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specialist(s) for certain period of time to recover any sort of disabilities, regardless of duration per day and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frequency.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Main outcome(s).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Quality of life: Quality of life should be assessed using validated measurement tools such as SF36, Eurp5D</w:t>
      </w:r>
    </w:p>
    <w:p w:rsidR="00811F98" w:rsidRPr="00A517AC" w:rsidRDefault="00811F98" w:rsidP="00811F98">
      <w:pPr>
        <w:autoSpaceDE w:val="0"/>
        <w:autoSpaceDN w:val="0"/>
        <w:adjustRightInd w:val="0"/>
        <w:ind w:firstLineChars="150" w:firstLine="360"/>
        <w:jc w:val="left"/>
        <w:rPr>
          <w:rFonts w:ascii="Times New Roman" w:eastAsia="CIDFont+F2" w:hAnsi="Times New Roman" w:cs="Times New Roman"/>
          <w:color w:val="0D7F25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D7F25"/>
          <w:kern w:val="0"/>
          <w:sz w:val="24"/>
          <w:szCs w:val="24"/>
        </w:rPr>
        <w:t>Measures of effect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Timing may be limited in home or out department of Hospitals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Additional outcome(s).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Activities of daily living (ADL)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ADL should be assessed using validated scale such as Barthel Index, Functional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lastRenderedPageBreak/>
        <w:t>Independence Measure,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Kats Index, and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Frenchay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Activities Index at end of each intervention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period.Activities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of daily living (ADL)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ADL should be assessed using validated scale such as Barthel Index, Functional Independence Measure,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Kats Index, and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Frenchay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Activities Index at end of each intervention period.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Adverse event.</w:t>
      </w:r>
    </w:p>
    <w:p w:rsidR="00811F98" w:rsidRPr="00A517AC" w:rsidRDefault="00811F98" w:rsidP="00811F98">
      <w:pPr>
        <w:autoSpaceDE w:val="0"/>
        <w:autoSpaceDN w:val="0"/>
        <w:adjustRightInd w:val="0"/>
        <w:ind w:firstLineChars="150" w:firstLine="360"/>
        <w:jc w:val="left"/>
        <w:rPr>
          <w:rFonts w:ascii="Times New Roman" w:eastAsia="CIDFont+F2" w:hAnsi="Times New Roman" w:cs="Times New Roman"/>
          <w:color w:val="0D7F25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D7F25"/>
          <w:kern w:val="0"/>
          <w:sz w:val="24"/>
          <w:szCs w:val="24"/>
        </w:rPr>
        <w:t>Measures of effect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Timing may be limited in home or out department of Hospitals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Data extraction (selection and coding).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The procedure for selecting studies for the review are done by three researchers (YT, MS, IT). The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procedure for extracting data are done by seven researchers (YT, MS, EK, YS, CS, MN, IT). Any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discrepancy in selecting studies and data extraction will be resolved by discussion and decision of third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researcher (RM).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Risk of bias (quality) assessment.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Two authors will independently assess risk of bias using the Cochrane 'Risk of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bias'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tool. We will use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GRADE approach to assess the quality of the body of evidence. Any disagreements over the risk of bias and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the quality of the body of evidence of included studies between the two authors will be resolved with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discussion.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Strategy for data synthesis.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We will provide a quantitative synthesis of the findings from the included studies and</w:t>
      </w:r>
      <w:r w:rsidR="0065306E"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summaries of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intervention effects for each study by calculating risk ratios (for dichotomous outcomes) or </w:t>
      </w:r>
      <w:r w:rsidR="0065306E"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standardized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mean differences (for continuous outcomes).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We anticipate that there will be limited scope for meta-analysis because of the range of different outcomes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measured across the small number of existing trials. However, where studies have used the same type of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intervention and comparator, with the same outcome measure, we will pool the results using a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randomeffects</w:t>
      </w:r>
      <w:proofErr w:type="spellEnd"/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meta-analysis, with </w:t>
      </w:r>
      <w:proofErr w:type="spellStart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standardised</w:t>
      </w:r>
      <w:proofErr w:type="spellEnd"/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 xml:space="preserve"> mean differences for continuous outcomes and risk ratios for binary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outcomes, and calculate 95% confidence intervals and two sided P values for each outcomes. Heterogeneity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between the studies in effect measures will be assessed using both the Chi-squared test and the I-squared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statistic. We will consider an I-squared value greater than 60% indicative of substantial heterogeneity.</w:t>
      </w:r>
    </w:p>
    <w:p w:rsidR="00811F98" w:rsidRPr="00A517AC" w:rsidRDefault="00811F98" w:rsidP="006530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8100"/>
          <w:kern w:val="0"/>
          <w:sz w:val="24"/>
          <w:szCs w:val="24"/>
        </w:rPr>
        <w:t>Analysis of subgroups or subsets.</w:t>
      </w:r>
    </w:p>
    <w:p w:rsidR="00811F98" w:rsidRPr="00A517AC" w:rsidRDefault="00811F98" w:rsidP="00811F98">
      <w:pPr>
        <w:autoSpaceDE w:val="0"/>
        <w:autoSpaceDN w:val="0"/>
        <w:adjustRightInd w:val="0"/>
        <w:jc w:val="left"/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</w:pP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If the necessary data are available, subgroup analyses of age (stage of cancer and age) will be done for</w:t>
      </w:r>
      <w:r w:rsidR="0065306E" w:rsidRPr="00A517AC">
        <w:rPr>
          <w:rFonts w:ascii="Times New Roman" w:eastAsia="CIDFont+F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A517AC">
        <w:rPr>
          <w:rFonts w:ascii="Times New Roman" w:eastAsia="CIDFont+F2" w:hAnsi="Times New Roman" w:cs="Times New Roman"/>
          <w:color w:val="000000"/>
          <w:kern w:val="0"/>
          <w:sz w:val="24"/>
          <w:szCs w:val="24"/>
        </w:rPr>
        <w:t>people with different settings separately.</w:t>
      </w:r>
    </w:p>
    <w:p w:rsidR="00F50241" w:rsidRPr="00A517AC" w:rsidRDefault="00F50241" w:rsidP="00811F98">
      <w:pPr>
        <w:rPr>
          <w:rFonts w:ascii="Times New Roman" w:hAnsi="Times New Roman" w:cs="Times New Roman"/>
          <w:sz w:val="24"/>
          <w:szCs w:val="24"/>
        </w:rPr>
      </w:pPr>
    </w:p>
    <w:sectPr w:rsidR="00F50241" w:rsidRPr="00A51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5524"/>
    <w:multiLevelType w:val="hybridMultilevel"/>
    <w:tmpl w:val="6B0AF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98"/>
    <w:rsid w:val="0065306E"/>
    <w:rsid w:val="00811F98"/>
    <w:rsid w:val="00A517AC"/>
    <w:rsid w:val="00D636E9"/>
    <w:rsid w:val="00F5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1150F"/>
  <w15:chartTrackingRefBased/>
  <w15:docId w15:val="{36F951C7-7955-4E66-A925-52EB9B3B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百崎　良</dc:creator>
  <cp:keywords/>
  <dc:description/>
  <cp:lastModifiedBy>百崎　良</cp:lastModifiedBy>
  <cp:revision>3</cp:revision>
  <dcterms:created xsi:type="dcterms:W3CDTF">2020-07-11T10:58:00Z</dcterms:created>
  <dcterms:modified xsi:type="dcterms:W3CDTF">2020-07-11T11:23:00Z</dcterms:modified>
</cp:coreProperties>
</file>