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AC0C49" w14:textId="77777777" w:rsidR="00654E8F" w:rsidRPr="001549D3" w:rsidRDefault="00654E8F" w:rsidP="0001436A">
      <w:pPr>
        <w:pStyle w:val="SupplementaryMaterial"/>
        <w:rPr>
          <w:b w:val="0"/>
        </w:rPr>
      </w:pPr>
      <w:r w:rsidRPr="001549D3">
        <w:t>Supplementary Material</w:t>
      </w:r>
    </w:p>
    <w:p w14:paraId="17602B75" w14:textId="77777777" w:rsidR="00EA3D3C" w:rsidRPr="00994A3D" w:rsidRDefault="00654E8F" w:rsidP="0001436A">
      <w:pPr>
        <w:pStyle w:val="Ttulo1"/>
      </w:pPr>
      <w:r w:rsidRPr="00994A3D">
        <w:t>Supplementary Data</w:t>
      </w:r>
    </w:p>
    <w:p w14:paraId="5F6FE04C" w14:textId="77777777" w:rsidR="00994A3D" w:rsidRPr="001549D3" w:rsidRDefault="00994A3D" w:rsidP="0001436A">
      <w:pPr>
        <w:pStyle w:val="Ttulo2"/>
      </w:pPr>
      <w:r w:rsidRPr="0001436A">
        <w:t>Supplementary</w:t>
      </w:r>
      <w:r w:rsidRPr="001549D3">
        <w:t xml:space="preserve"> Figures</w:t>
      </w:r>
    </w:p>
    <w:p w14:paraId="61FCB7AC" w14:textId="77777777" w:rsidR="002C65D0" w:rsidRDefault="00176927" w:rsidP="00176927">
      <w:pPr>
        <w:keepNext/>
        <w:jc w:val="center"/>
        <w:rPr>
          <w:rFonts w:cs="Times New Roman"/>
          <w:szCs w:val="24"/>
        </w:rPr>
      </w:pPr>
      <w:r w:rsidRPr="00176927">
        <w:rPr>
          <w:rFonts w:cs="Times New Roman"/>
          <w:noProof/>
          <w:szCs w:val="24"/>
          <w:lang w:val="es-ES" w:eastAsia="es-ES"/>
        </w:rPr>
        <w:drawing>
          <wp:inline distT="0" distB="0" distL="0" distR="0" wp14:anchorId="564BA72E" wp14:editId="2F598400">
            <wp:extent cx="3833533" cy="6266180"/>
            <wp:effectExtent l="0" t="0" r="0" b="1270"/>
            <wp:docPr id="2" name="Imagen 2" descr="C:\Users\Edu\Google Drive\CERES_Eduardo\Drafts\Frontiers\FINALES\SI\SI1 S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u\Google Drive\CERES_Eduardo\Drafts\Frontiers\FINALES\SI\SI1 SS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38206" cy="6273818"/>
                    </a:xfrm>
                    <a:prstGeom prst="rect">
                      <a:avLst/>
                    </a:prstGeom>
                    <a:noFill/>
                    <a:ln>
                      <a:noFill/>
                    </a:ln>
                  </pic:spPr>
                </pic:pic>
              </a:graphicData>
            </a:graphic>
          </wp:inline>
        </w:drawing>
      </w:r>
    </w:p>
    <w:p w14:paraId="371F2930" w14:textId="1AA8CB0A" w:rsidR="002C65D0" w:rsidRPr="0001627A" w:rsidRDefault="00176927" w:rsidP="002C65D0">
      <w:pPr>
        <w:rPr>
          <w:rFonts w:cs="Times New Roman"/>
        </w:rPr>
      </w:pPr>
      <w:r w:rsidRPr="0001436A">
        <w:rPr>
          <w:rFonts w:cs="Times New Roman"/>
          <w:b/>
          <w:szCs w:val="24"/>
        </w:rPr>
        <w:t xml:space="preserve">Supplementary </w:t>
      </w:r>
      <w:r w:rsidR="00BF7F45">
        <w:rPr>
          <w:rFonts w:cs="Times New Roman"/>
          <w:b/>
          <w:szCs w:val="24"/>
        </w:rPr>
        <w:t>Image</w:t>
      </w:r>
      <w:r>
        <w:rPr>
          <w:rFonts w:cs="Times New Roman"/>
          <w:b/>
          <w:szCs w:val="24"/>
        </w:rPr>
        <w:t>1</w:t>
      </w:r>
      <w:r w:rsidR="002C65D0" w:rsidRPr="0001627A">
        <w:rPr>
          <w:rFonts w:cs="Times New Roman"/>
        </w:rPr>
        <w:t xml:space="preserve">. Average seasonal sea surface temperature (ºC) from satellite and from the four </w:t>
      </w:r>
      <w:r w:rsidR="007C5FF9">
        <w:rPr>
          <w:rFonts w:cs="Times New Roman"/>
        </w:rPr>
        <w:t>runs</w:t>
      </w:r>
      <w:r w:rsidR="002C65D0" w:rsidRPr="0001627A">
        <w:rPr>
          <w:rFonts w:cs="Times New Roman"/>
        </w:rPr>
        <w:t>.</w:t>
      </w:r>
    </w:p>
    <w:p w14:paraId="417BD8E6" w14:textId="77777777" w:rsidR="00176927" w:rsidRDefault="00176927" w:rsidP="00176927">
      <w:pPr>
        <w:jc w:val="center"/>
        <w:rPr>
          <w:rFonts w:cs="Times New Roman"/>
          <w:b/>
          <w:szCs w:val="24"/>
        </w:rPr>
      </w:pPr>
      <w:r w:rsidRPr="00176927">
        <w:rPr>
          <w:rFonts w:cs="Times New Roman"/>
          <w:b/>
          <w:noProof/>
          <w:szCs w:val="24"/>
          <w:lang w:val="es-ES" w:eastAsia="es-ES"/>
        </w:rPr>
        <w:lastRenderedPageBreak/>
        <w:drawing>
          <wp:inline distT="0" distB="0" distL="0" distR="0" wp14:anchorId="1829CA3F" wp14:editId="164088FD">
            <wp:extent cx="6208395" cy="6233777"/>
            <wp:effectExtent l="0" t="0" r="1905" b="0"/>
            <wp:docPr id="3" name="Imagen 3" descr="C:\Users\Edu\Google Drive\CERES_Eduardo\Drafts\Frontiers\FINALES\SI\SI2 SST_Tay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u\Google Drive\CERES_Eduardo\Drafts\Frontiers\FINALES\SI\SI2 SST_Taylo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08395" cy="6233777"/>
                    </a:xfrm>
                    <a:prstGeom prst="rect">
                      <a:avLst/>
                    </a:prstGeom>
                    <a:noFill/>
                    <a:ln>
                      <a:noFill/>
                    </a:ln>
                  </pic:spPr>
                </pic:pic>
              </a:graphicData>
            </a:graphic>
          </wp:inline>
        </w:drawing>
      </w:r>
    </w:p>
    <w:p w14:paraId="473CCDD0" w14:textId="77777777" w:rsidR="00176927" w:rsidRDefault="00176927" w:rsidP="002C65D0">
      <w:pPr>
        <w:rPr>
          <w:rFonts w:cs="Times New Roman"/>
        </w:rPr>
      </w:pPr>
      <w:r w:rsidRPr="0001436A">
        <w:rPr>
          <w:rFonts w:cs="Times New Roman"/>
          <w:b/>
          <w:szCs w:val="24"/>
        </w:rPr>
        <w:t xml:space="preserve">Supplementary </w:t>
      </w:r>
      <w:r w:rsidR="00BF7F45">
        <w:rPr>
          <w:rFonts w:cs="Times New Roman"/>
          <w:b/>
          <w:szCs w:val="24"/>
        </w:rPr>
        <w:t>Image</w:t>
      </w:r>
      <w:r>
        <w:rPr>
          <w:rFonts w:cs="Times New Roman"/>
          <w:b/>
          <w:szCs w:val="24"/>
        </w:rPr>
        <w:t>2</w:t>
      </w:r>
      <w:r w:rsidR="002C65D0" w:rsidRPr="0001627A">
        <w:rPr>
          <w:rFonts w:cs="Times New Roman"/>
        </w:rPr>
        <w:t xml:space="preserve">. Taylor diagram for the SST and different seasons. Red, satellite observations. Blue, NEMO-BFM; green, NEMO-PISCES; Grey, POLCOM-ERSEM; light blue, GETM-MedERGOM. </w:t>
      </w:r>
    </w:p>
    <w:p w14:paraId="02B091BD" w14:textId="77777777" w:rsidR="00176927" w:rsidRDefault="00176927">
      <w:pPr>
        <w:spacing w:before="0" w:after="200" w:line="276" w:lineRule="auto"/>
        <w:rPr>
          <w:rFonts w:cs="Times New Roman"/>
        </w:rPr>
      </w:pPr>
      <w:r>
        <w:rPr>
          <w:rFonts w:cs="Times New Roman"/>
        </w:rPr>
        <w:br w:type="page"/>
      </w:r>
    </w:p>
    <w:p w14:paraId="4AD3A5B9" w14:textId="77777777" w:rsidR="002C65D0" w:rsidRPr="0001627A" w:rsidRDefault="00176927" w:rsidP="00176927">
      <w:pPr>
        <w:jc w:val="center"/>
        <w:rPr>
          <w:rFonts w:cs="Times New Roman"/>
        </w:rPr>
      </w:pPr>
      <w:r w:rsidRPr="00176927">
        <w:rPr>
          <w:rFonts w:cs="Times New Roman"/>
          <w:noProof/>
          <w:lang w:val="es-ES" w:eastAsia="es-ES"/>
        </w:rPr>
        <w:lastRenderedPageBreak/>
        <w:drawing>
          <wp:inline distT="0" distB="0" distL="0" distR="0" wp14:anchorId="44D40AEE" wp14:editId="15B42F12">
            <wp:extent cx="6208395" cy="6213471"/>
            <wp:effectExtent l="0" t="0" r="1905" b="0"/>
            <wp:docPr id="4" name="Imagen 4" descr="C:\Users\Edu\Google Drive\CERES_Eduardo\Drafts\Frontiers\FINALES\SI\SI3 taylor_CH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u\Google Drive\CERES_Eduardo\Drafts\Frontiers\FINALES\SI\SI3 taylor_CH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08395" cy="6213471"/>
                    </a:xfrm>
                    <a:prstGeom prst="rect">
                      <a:avLst/>
                    </a:prstGeom>
                    <a:noFill/>
                    <a:ln>
                      <a:noFill/>
                    </a:ln>
                  </pic:spPr>
                </pic:pic>
              </a:graphicData>
            </a:graphic>
          </wp:inline>
        </w:drawing>
      </w:r>
    </w:p>
    <w:p w14:paraId="34898E8A" w14:textId="0620872B" w:rsidR="00611D25" w:rsidRDefault="00176927" w:rsidP="002C65D0">
      <w:pPr>
        <w:rPr>
          <w:rFonts w:cs="Times New Roman"/>
        </w:rPr>
      </w:pPr>
      <w:r w:rsidRPr="0001436A">
        <w:rPr>
          <w:rFonts w:cs="Times New Roman"/>
          <w:b/>
          <w:szCs w:val="24"/>
        </w:rPr>
        <w:t xml:space="preserve">Supplementary </w:t>
      </w:r>
      <w:r w:rsidR="00BF7F45">
        <w:rPr>
          <w:rFonts w:cs="Times New Roman"/>
          <w:b/>
          <w:szCs w:val="24"/>
        </w:rPr>
        <w:t>Image</w:t>
      </w:r>
      <w:r>
        <w:rPr>
          <w:rFonts w:cs="Times New Roman"/>
          <w:b/>
          <w:szCs w:val="24"/>
        </w:rPr>
        <w:t>3</w:t>
      </w:r>
      <w:r w:rsidRPr="0001627A">
        <w:rPr>
          <w:rFonts w:cs="Times New Roman"/>
        </w:rPr>
        <w:t xml:space="preserve">. </w:t>
      </w:r>
      <w:r w:rsidR="002C65D0" w:rsidRPr="0001627A">
        <w:rPr>
          <w:rFonts w:cs="Times New Roman"/>
        </w:rPr>
        <w:t>Taylor diagram</w:t>
      </w:r>
      <w:r w:rsidR="005602C3">
        <w:rPr>
          <w:rFonts w:cs="Times New Roman"/>
        </w:rPr>
        <w:t>s</w:t>
      </w:r>
      <w:r w:rsidR="002C65D0" w:rsidRPr="0001627A">
        <w:rPr>
          <w:rFonts w:cs="Times New Roman"/>
        </w:rPr>
        <w:t xml:space="preserve"> for the surface </w:t>
      </w:r>
      <w:r w:rsidR="005602C3" w:rsidRPr="0001627A">
        <w:rPr>
          <w:rFonts w:cs="Times New Roman"/>
        </w:rPr>
        <w:t>chlorophyll</w:t>
      </w:r>
      <w:r w:rsidR="005602C3">
        <w:rPr>
          <w:rFonts w:cs="Times New Roman"/>
        </w:rPr>
        <w:t>-</w:t>
      </w:r>
      <w:r w:rsidR="00597288" w:rsidRPr="00337A5E">
        <w:rPr>
          <w:rFonts w:cs="Times New Roman"/>
          <w:i/>
        </w:rPr>
        <w:t>a</w:t>
      </w:r>
      <w:r w:rsidR="002C65D0" w:rsidRPr="0001627A">
        <w:rPr>
          <w:rFonts w:cs="Times New Roman"/>
        </w:rPr>
        <w:t xml:space="preserve"> and different seasons. Red, satellite observations. Blue, NEMO-BFM; green, NEMO-PISCES; Grey, POLCOM-ERSEM; light blue, GETM-MedERGOM. </w:t>
      </w:r>
    </w:p>
    <w:p w14:paraId="1C2E16EE" w14:textId="77777777" w:rsidR="00611D25" w:rsidRDefault="00611D25">
      <w:pPr>
        <w:spacing w:before="0" w:after="200" w:line="276" w:lineRule="auto"/>
        <w:rPr>
          <w:rFonts w:cs="Times New Roman"/>
        </w:rPr>
      </w:pPr>
      <w:r>
        <w:rPr>
          <w:rFonts w:cs="Times New Roman"/>
        </w:rPr>
        <w:br w:type="page"/>
      </w:r>
    </w:p>
    <w:p w14:paraId="2F327749" w14:textId="77777777" w:rsidR="002C65D0" w:rsidRPr="0001627A" w:rsidRDefault="00611D25" w:rsidP="00611D25">
      <w:pPr>
        <w:jc w:val="center"/>
        <w:rPr>
          <w:rFonts w:cs="Times New Roman"/>
        </w:rPr>
      </w:pPr>
      <w:r w:rsidRPr="00611D25">
        <w:rPr>
          <w:rFonts w:cs="Times New Roman"/>
          <w:noProof/>
          <w:lang w:val="es-ES" w:eastAsia="es-ES"/>
        </w:rPr>
        <w:lastRenderedPageBreak/>
        <w:drawing>
          <wp:inline distT="0" distB="0" distL="0" distR="0" wp14:anchorId="3C7E7A84" wp14:editId="5B2EDD8A">
            <wp:extent cx="4640870" cy="6791325"/>
            <wp:effectExtent l="0" t="0" r="7620" b="0"/>
            <wp:docPr id="5" name="Imagen 5" descr="C:\Users\Edu\Google Drive\CERES_Eduardo\Drafts\Frontiers\FINALES\SI\SI4 ch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du\Google Drive\CERES_Eduardo\Drafts\Frontiers\FINALES\SI\SI4 ch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2730" cy="6794047"/>
                    </a:xfrm>
                    <a:prstGeom prst="rect">
                      <a:avLst/>
                    </a:prstGeom>
                    <a:noFill/>
                    <a:ln>
                      <a:noFill/>
                    </a:ln>
                  </pic:spPr>
                </pic:pic>
              </a:graphicData>
            </a:graphic>
          </wp:inline>
        </w:drawing>
      </w:r>
    </w:p>
    <w:p w14:paraId="3E1708A8" w14:textId="77777777" w:rsidR="00611D25" w:rsidRDefault="00611D25" w:rsidP="002C65D0">
      <w:pPr>
        <w:rPr>
          <w:rFonts w:cs="Times New Roman"/>
        </w:rPr>
      </w:pPr>
      <w:r w:rsidRPr="0001436A">
        <w:rPr>
          <w:rFonts w:cs="Times New Roman"/>
          <w:b/>
          <w:szCs w:val="24"/>
        </w:rPr>
        <w:t xml:space="preserve">Supplementary </w:t>
      </w:r>
      <w:r w:rsidR="00BF7F45">
        <w:rPr>
          <w:rFonts w:cs="Times New Roman"/>
          <w:b/>
          <w:szCs w:val="24"/>
        </w:rPr>
        <w:t>Image</w:t>
      </w:r>
      <w:r>
        <w:rPr>
          <w:rFonts w:cs="Times New Roman"/>
          <w:b/>
          <w:szCs w:val="24"/>
        </w:rPr>
        <w:t>4</w:t>
      </w:r>
      <w:r w:rsidR="002C65D0" w:rsidRPr="0001627A">
        <w:rPr>
          <w:rFonts w:cs="Times New Roman"/>
        </w:rPr>
        <w:t>. Average seasonal surface chlorop</w:t>
      </w:r>
      <w:r>
        <w:rPr>
          <w:rFonts w:cs="Times New Roman"/>
        </w:rPr>
        <w:t>h</w:t>
      </w:r>
      <w:r w:rsidR="002C65D0" w:rsidRPr="0001627A">
        <w:rPr>
          <w:rFonts w:cs="Times New Roman"/>
        </w:rPr>
        <w:t>yll (mg m</w:t>
      </w:r>
      <w:r w:rsidR="002C65D0" w:rsidRPr="0001627A">
        <w:rPr>
          <w:rFonts w:cs="Times New Roman"/>
          <w:vertAlign w:val="superscript"/>
        </w:rPr>
        <w:t>-3</w:t>
      </w:r>
      <w:r w:rsidR="002C65D0" w:rsidRPr="0001627A">
        <w:rPr>
          <w:rFonts w:cs="Times New Roman"/>
        </w:rPr>
        <w:t>) from satellite and from the four models.</w:t>
      </w:r>
    </w:p>
    <w:p w14:paraId="14B3E668" w14:textId="77777777" w:rsidR="00611D25" w:rsidRDefault="00611D25">
      <w:pPr>
        <w:spacing w:before="0" w:after="200" w:line="276" w:lineRule="auto"/>
        <w:rPr>
          <w:rFonts w:cs="Times New Roman"/>
        </w:rPr>
      </w:pPr>
      <w:r>
        <w:rPr>
          <w:rFonts w:cs="Times New Roman"/>
        </w:rPr>
        <w:br w:type="page"/>
      </w:r>
    </w:p>
    <w:p w14:paraId="549AE14C" w14:textId="77777777" w:rsidR="002C65D0" w:rsidRDefault="00611D25" w:rsidP="00611D25">
      <w:pPr>
        <w:jc w:val="center"/>
        <w:rPr>
          <w:rFonts w:cs="Times New Roman"/>
        </w:rPr>
      </w:pPr>
      <w:r w:rsidRPr="00611D25">
        <w:rPr>
          <w:rFonts w:cs="Times New Roman"/>
          <w:noProof/>
          <w:lang w:val="es-ES" w:eastAsia="es-ES"/>
        </w:rPr>
        <w:lastRenderedPageBreak/>
        <w:drawing>
          <wp:inline distT="0" distB="0" distL="0" distR="0" wp14:anchorId="2FF5CAD4" wp14:editId="0372FCBD">
            <wp:extent cx="6208395" cy="6287099"/>
            <wp:effectExtent l="0" t="0" r="1905" b="0"/>
            <wp:docPr id="8" name="Imagen 8" descr="C:\Users\Edu\Google Drive\CERES_Eduardo\Drafts\Frontiers\FINALES\SI\SI5 M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du\Google Drive\CERES_Eduardo\Drafts\Frontiers\FINALES\SI\SI5 MC.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08395" cy="6287099"/>
                    </a:xfrm>
                    <a:prstGeom prst="rect">
                      <a:avLst/>
                    </a:prstGeom>
                    <a:noFill/>
                    <a:ln>
                      <a:noFill/>
                    </a:ln>
                  </pic:spPr>
                </pic:pic>
              </a:graphicData>
            </a:graphic>
          </wp:inline>
        </w:drawing>
      </w:r>
    </w:p>
    <w:p w14:paraId="54C1FF51" w14:textId="16272928" w:rsidR="00611D25" w:rsidRDefault="00611D25" w:rsidP="002C65D0">
      <w:pPr>
        <w:rPr>
          <w:rFonts w:cs="Times New Roman"/>
        </w:rPr>
      </w:pPr>
      <w:r w:rsidRPr="0001436A">
        <w:rPr>
          <w:rFonts w:cs="Times New Roman"/>
          <w:b/>
          <w:szCs w:val="24"/>
        </w:rPr>
        <w:t xml:space="preserve">Supplementary </w:t>
      </w:r>
      <w:r w:rsidR="00BF7F45">
        <w:rPr>
          <w:rFonts w:cs="Times New Roman"/>
          <w:b/>
          <w:szCs w:val="24"/>
        </w:rPr>
        <w:t>Image</w:t>
      </w:r>
      <w:r>
        <w:rPr>
          <w:rFonts w:cs="Times New Roman"/>
          <w:b/>
          <w:szCs w:val="24"/>
        </w:rPr>
        <w:t>5</w:t>
      </w:r>
      <w:r w:rsidRPr="0001627A">
        <w:rPr>
          <w:rFonts w:cs="Times New Roman"/>
        </w:rPr>
        <w:t xml:space="preserve">. </w:t>
      </w:r>
      <w:r w:rsidR="002C65D0" w:rsidRPr="009C4774">
        <w:rPr>
          <w:rFonts w:cs="Times New Roman"/>
        </w:rPr>
        <w:t>z-t plots of simulated density and  chlorophyll</w:t>
      </w:r>
      <w:r w:rsidR="008270E7">
        <w:rPr>
          <w:rFonts w:cs="Times New Roman"/>
        </w:rPr>
        <w:t>-</w:t>
      </w:r>
      <w:r w:rsidR="00597288" w:rsidRPr="00337A5E">
        <w:rPr>
          <w:rFonts w:cs="Times New Roman"/>
        </w:rPr>
        <w:t>a</w:t>
      </w:r>
      <w:r w:rsidR="002C65D0" w:rsidRPr="009C4774">
        <w:rPr>
          <w:rFonts w:cs="Times New Roman"/>
        </w:rPr>
        <w:t xml:space="preserve"> at Mallorca Channel from gliders and models. White dots are Mixed Layer Depth estimates</w:t>
      </w:r>
      <w:r w:rsidR="002C65D0">
        <w:rPr>
          <w:rFonts w:cs="Times New Roman"/>
        </w:rPr>
        <w:t>.</w:t>
      </w:r>
      <w:r w:rsidR="00337A5E">
        <w:rPr>
          <w:rFonts w:cs="Times New Roman"/>
        </w:rPr>
        <w:t xml:space="preserve"> </w:t>
      </w:r>
      <w:r w:rsidR="00337A5E" w:rsidRPr="00337A5E">
        <w:rPr>
          <w:rFonts w:cs="Times New Roman"/>
        </w:rPr>
        <w:t>Vertical axes Depth (m)</w:t>
      </w:r>
    </w:p>
    <w:p w14:paraId="316CB70B" w14:textId="77777777" w:rsidR="00611D25" w:rsidRDefault="00611D25">
      <w:pPr>
        <w:spacing w:before="0" w:after="200" w:line="276" w:lineRule="auto"/>
        <w:rPr>
          <w:rFonts w:cs="Times New Roman"/>
        </w:rPr>
      </w:pPr>
      <w:r>
        <w:rPr>
          <w:rFonts w:cs="Times New Roman"/>
        </w:rPr>
        <w:br w:type="page"/>
      </w:r>
    </w:p>
    <w:p w14:paraId="31E97F14" w14:textId="21633750" w:rsidR="002B645E" w:rsidRPr="003D5F33" w:rsidRDefault="00465DA9" w:rsidP="003D5F33">
      <w:pPr>
        <w:jc w:val="center"/>
        <w:rPr>
          <w:rFonts w:cs="Times New Roman"/>
        </w:rPr>
      </w:pPr>
      <w:r w:rsidRPr="00465DA9">
        <w:rPr>
          <w:rFonts w:cs="Times New Roman"/>
          <w:noProof/>
          <w:lang w:val="es-ES" w:eastAsia="es-ES"/>
        </w:rPr>
        <w:lastRenderedPageBreak/>
        <w:drawing>
          <wp:inline distT="0" distB="0" distL="0" distR="0" wp14:anchorId="6D568A57" wp14:editId="2C0627D7">
            <wp:extent cx="6208395" cy="4572827"/>
            <wp:effectExtent l="0" t="0" r="1905" b="0"/>
            <wp:docPr id="9" name="Imagen 9" descr="C:\Users\Edu\Google Drive\CERES_Eduardo\Drafts\Frontiers\FINALES\SI\SI6 dens 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du\Google Drive\CERES_Eduardo\Drafts\Frontiers\FINALES\SI\SI6 dens BC.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08395" cy="4572827"/>
                    </a:xfrm>
                    <a:prstGeom prst="rect">
                      <a:avLst/>
                    </a:prstGeom>
                    <a:noFill/>
                    <a:ln>
                      <a:noFill/>
                    </a:ln>
                  </pic:spPr>
                </pic:pic>
              </a:graphicData>
            </a:graphic>
          </wp:inline>
        </w:drawing>
      </w:r>
      <w:r w:rsidR="002B645E">
        <w:rPr>
          <w:rFonts w:cs="Times New Roman"/>
          <w:b/>
          <w:noProof/>
          <w:szCs w:val="24"/>
          <w:lang w:val="es-ES" w:eastAsia="es-ES"/>
        </w:rPr>
        <w:drawing>
          <wp:inline distT="0" distB="0" distL="0" distR="0" wp14:anchorId="27545187" wp14:editId="4058B964">
            <wp:extent cx="5018568" cy="27608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76072" cy="295755"/>
                    </a:xfrm>
                    <a:prstGeom prst="rect">
                      <a:avLst/>
                    </a:prstGeom>
                    <a:noFill/>
                  </pic:spPr>
                </pic:pic>
              </a:graphicData>
            </a:graphic>
          </wp:inline>
        </w:drawing>
      </w:r>
    </w:p>
    <w:p w14:paraId="30CA5507" w14:textId="45BE55AC" w:rsidR="00465DA9" w:rsidRDefault="00611D25" w:rsidP="002C65D0">
      <w:pPr>
        <w:rPr>
          <w:rFonts w:cs="Times New Roman"/>
        </w:rPr>
      </w:pPr>
      <w:r w:rsidRPr="0001436A">
        <w:rPr>
          <w:rFonts w:cs="Times New Roman"/>
          <w:b/>
          <w:szCs w:val="24"/>
        </w:rPr>
        <w:t xml:space="preserve">Supplementary </w:t>
      </w:r>
      <w:r w:rsidR="00BF7F45">
        <w:rPr>
          <w:rFonts w:cs="Times New Roman"/>
          <w:b/>
          <w:szCs w:val="24"/>
        </w:rPr>
        <w:t>Image</w:t>
      </w:r>
      <w:r>
        <w:rPr>
          <w:rFonts w:cs="Times New Roman"/>
          <w:b/>
          <w:szCs w:val="24"/>
        </w:rPr>
        <w:t>6</w:t>
      </w:r>
      <w:r w:rsidR="002C65D0" w:rsidRPr="009C4774">
        <w:rPr>
          <w:rFonts w:cs="Times New Roman"/>
        </w:rPr>
        <w:t>. Seasonal vertical profile</w:t>
      </w:r>
      <w:r w:rsidR="003F7347">
        <w:rPr>
          <w:rFonts w:cs="Times New Roman"/>
        </w:rPr>
        <w:t>s</w:t>
      </w:r>
      <w:r w:rsidR="002C65D0" w:rsidRPr="009C4774">
        <w:rPr>
          <w:rFonts w:cs="Times New Roman"/>
        </w:rPr>
        <w:t xml:space="preserve"> of density (Kg m</w:t>
      </w:r>
      <w:r w:rsidR="002C65D0" w:rsidRPr="009C4774">
        <w:rPr>
          <w:rFonts w:cs="Times New Roman"/>
          <w:vertAlign w:val="superscript"/>
        </w:rPr>
        <w:t>-3</w:t>
      </w:r>
      <w:r w:rsidR="002C65D0" w:rsidRPr="009C4774">
        <w:rPr>
          <w:rFonts w:cs="Times New Roman"/>
        </w:rPr>
        <w:t>) for both observations and model outputs.</w:t>
      </w:r>
      <w:r w:rsidR="00337A5E" w:rsidRPr="00337A5E">
        <w:t xml:space="preserve"> </w:t>
      </w:r>
      <w:r w:rsidR="00337A5E">
        <w:t>Vertical axes Depth (m).</w:t>
      </w:r>
      <w:r w:rsidR="002C65D0" w:rsidRPr="009C4774">
        <w:rPr>
          <w:rFonts w:cs="Times New Roman"/>
        </w:rPr>
        <w:t xml:space="preserve"> Boxplots represent 25 and 75th percentiles. When N&lt;5, only dots are shown. Red, in situ data. Blue, NEMO-BFM; green, NEMO-PISCES; Grey, POLCOM-ERSEM; light blue, GETM-MedERGOM. IC, Ibiz</w:t>
      </w:r>
      <w:r w:rsidR="00465DA9">
        <w:rPr>
          <w:rFonts w:cs="Times New Roman"/>
        </w:rPr>
        <w:t>a Channel; MC, Mallorca Channel.</w:t>
      </w:r>
    </w:p>
    <w:p w14:paraId="5D2CBA91" w14:textId="77777777" w:rsidR="00465DA9" w:rsidRDefault="00465DA9">
      <w:pPr>
        <w:spacing w:before="0" w:after="200" w:line="276" w:lineRule="auto"/>
        <w:rPr>
          <w:rFonts w:cs="Times New Roman"/>
        </w:rPr>
      </w:pPr>
      <w:r>
        <w:rPr>
          <w:rFonts w:cs="Times New Roman"/>
        </w:rPr>
        <w:br w:type="page"/>
      </w:r>
    </w:p>
    <w:p w14:paraId="78DD8B7A" w14:textId="77421344" w:rsidR="002B645E" w:rsidRPr="003D5F33" w:rsidRDefault="004E4A95" w:rsidP="003D5F33">
      <w:pPr>
        <w:jc w:val="center"/>
        <w:rPr>
          <w:rFonts w:cs="Times New Roman"/>
        </w:rPr>
      </w:pPr>
      <w:r w:rsidRPr="004E4A95">
        <w:rPr>
          <w:rFonts w:cs="Times New Roman"/>
          <w:noProof/>
          <w:lang w:val="es-ES" w:eastAsia="es-ES"/>
        </w:rPr>
        <w:lastRenderedPageBreak/>
        <w:drawing>
          <wp:inline distT="0" distB="0" distL="0" distR="0" wp14:anchorId="6A6559E8" wp14:editId="6363C4A6">
            <wp:extent cx="6208395" cy="4620360"/>
            <wp:effectExtent l="0" t="0" r="0" b="0"/>
            <wp:docPr id="11" name="Imagen 11" descr="C:\Users\Edu\Desktop\den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u\Desktop\dens_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08395" cy="4620360"/>
                    </a:xfrm>
                    <a:prstGeom prst="rect">
                      <a:avLst/>
                    </a:prstGeom>
                    <a:noFill/>
                    <a:ln>
                      <a:noFill/>
                    </a:ln>
                  </pic:spPr>
                </pic:pic>
              </a:graphicData>
            </a:graphic>
          </wp:inline>
        </w:drawing>
      </w:r>
      <w:r w:rsidR="002B645E">
        <w:rPr>
          <w:rFonts w:cs="Times New Roman"/>
          <w:b/>
          <w:noProof/>
          <w:szCs w:val="24"/>
          <w:lang w:val="es-ES" w:eastAsia="es-ES"/>
        </w:rPr>
        <w:drawing>
          <wp:inline distT="0" distB="0" distL="0" distR="0" wp14:anchorId="12F81F9F" wp14:editId="53E1D759">
            <wp:extent cx="5018568" cy="27608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76072" cy="295755"/>
                    </a:xfrm>
                    <a:prstGeom prst="rect">
                      <a:avLst/>
                    </a:prstGeom>
                    <a:noFill/>
                  </pic:spPr>
                </pic:pic>
              </a:graphicData>
            </a:graphic>
          </wp:inline>
        </w:drawing>
      </w:r>
    </w:p>
    <w:p w14:paraId="1045B785" w14:textId="3B103C13" w:rsidR="002E1944" w:rsidRDefault="00465DA9" w:rsidP="002C65D0">
      <w:pPr>
        <w:rPr>
          <w:rFonts w:cs="Times New Roman"/>
        </w:rPr>
      </w:pPr>
      <w:r w:rsidRPr="0001436A">
        <w:rPr>
          <w:rFonts w:cs="Times New Roman"/>
          <w:b/>
          <w:szCs w:val="24"/>
        </w:rPr>
        <w:t xml:space="preserve">Supplementary </w:t>
      </w:r>
      <w:r w:rsidR="00BF7F45">
        <w:rPr>
          <w:rFonts w:cs="Times New Roman"/>
          <w:b/>
          <w:szCs w:val="24"/>
        </w:rPr>
        <w:t>Image</w:t>
      </w:r>
      <w:r>
        <w:rPr>
          <w:rFonts w:cs="Times New Roman"/>
          <w:b/>
          <w:szCs w:val="24"/>
        </w:rPr>
        <w:t>7</w:t>
      </w:r>
      <w:r w:rsidRPr="009C4774">
        <w:rPr>
          <w:rFonts w:cs="Times New Roman"/>
        </w:rPr>
        <w:t>.</w:t>
      </w:r>
      <w:r w:rsidR="002C65D0" w:rsidRPr="009C4774">
        <w:rPr>
          <w:rFonts w:cs="Times New Roman"/>
        </w:rPr>
        <w:t>Seasonal vertical profile</w:t>
      </w:r>
      <w:r w:rsidR="003F7347">
        <w:rPr>
          <w:rFonts w:cs="Times New Roman"/>
        </w:rPr>
        <w:t>s</w:t>
      </w:r>
      <w:r w:rsidR="002C65D0" w:rsidRPr="009C4774">
        <w:rPr>
          <w:rFonts w:cs="Times New Roman"/>
        </w:rPr>
        <w:t xml:space="preserve"> of density (Kg m</w:t>
      </w:r>
      <w:r w:rsidR="002C65D0" w:rsidRPr="009C4774">
        <w:rPr>
          <w:rFonts w:cs="Times New Roman"/>
          <w:vertAlign w:val="superscript"/>
        </w:rPr>
        <w:t>-3</w:t>
      </w:r>
      <w:r w:rsidR="002C65D0" w:rsidRPr="009C4774">
        <w:rPr>
          <w:rFonts w:cs="Times New Roman"/>
        </w:rPr>
        <w:t xml:space="preserve">) for both observations and model outputs. </w:t>
      </w:r>
      <w:r w:rsidR="00337A5E">
        <w:t xml:space="preserve">Vertical axes Depth (m). </w:t>
      </w:r>
      <w:r w:rsidR="002C65D0" w:rsidRPr="009C4774">
        <w:rPr>
          <w:rFonts w:cs="Times New Roman"/>
        </w:rPr>
        <w:t>Boxplots represent 25 and 75th percentiles. When N&lt;5, only dots are shown. Red, in situ data. Blue, NEMO-BFM; green, NEMO-PISCES; Grey, POLCOM-ERSEM; light blue, GETM-MedERGOM. CS, Catalan Shelf, ED, Ebro Delta.</w:t>
      </w:r>
    </w:p>
    <w:p w14:paraId="5D9E1DD7" w14:textId="77777777" w:rsidR="002E1944" w:rsidRDefault="002E1944">
      <w:pPr>
        <w:spacing w:before="0" w:after="200" w:line="276" w:lineRule="auto"/>
        <w:rPr>
          <w:rFonts w:cs="Times New Roman"/>
        </w:rPr>
      </w:pPr>
      <w:r>
        <w:rPr>
          <w:rFonts w:cs="Times New Roman"/>
        </w:rPr>
        <w:br w:type="page"/>
      </w:r>
    </w:p>
    <w:p w14:paraId="1805BCF4" w14:textId="226D4F8E" w:rsidR="002B645E" w:rsidRDefault="00F2750C" w:rsidP="003D5F33">
      <w:pPr>
        <w:jc w:val="center"/>
        <w:rPr>
          <w:rFonts w:cs="Times New Roman"/>
          <w:b/>
          <w:szCs w:val="24"/>
        </w:rPr>
      </w:pPr>
      <w:r w:rsidRPr="00F2750C">
        <w:rPr>
          <w:rFonts w:cs="Times New Roman"/>
          <w:b/>
          <w:noProof/>
          <w:szCs w:val="24"/>
          <w:lang w:val="es-ES" w:eastAsia="es-ES"/>
        </w:rPr>
        <w:lastRenderedPageBreak/>
        <w:drawing>
          <wp:inline distT="0" distB="0" distL="0" distR="0" wp14:anchorId="01E307AF" wp14:editId="7DAA7C8B">
            <wp:extent cx="6208395" cy="4730823"/>
            <wp:effectExtent l="0" t="0" r="1905" b="0"/>
            <wp:docPr id="6" name="Imagen 6" descr="C:\Users\Edu\Google Drive\CERES_Eduardo\Drafts\Frontiers\REVISION\figures\SI\SI8 nit 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u\Google Drive\CERES_Eduardo\Drafts\Frontiers\REVISION\figures\SI\SI8 nit BC.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08395" cy="4730823"/>
                    </a:xfrm>
                    <a:prstGeom prst="rect">
                      <a:avLst/>
                    </a:prstGeom>
                    <a:noFill/>
                    <a:ln>
                      <a:noFill/>
                    </a:ln>
                  </pic:spPr>
                </pic:pic>
              </a:graphicData>
            </a:graphic>
          </wp:inline>
        </w:drawing>
      </w:r>
      <w:r w:rsidR="002B645E">
        <w:rPr>
          <w:rFonts w:cs="Times New Roman"/>
          <w:b/>
          <w:noProof/>
          <w:szCs w:val="24"/>
          <w:lang w:val="es-ES" w:eastAsia="es-ES"/>
        </w:rPr>
        <w:drawing>
          <wp:inline distT="0" distB="0" distL="0" distR="0" wp14:anchorId="20D9C9B4" wp14:editId="5E1BB550">
            <wp:extent cx="5018568" cy="276088"/>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76072" cy="295755"/>
                    </a:xfrm>
                    <a:prstGeom prst="rect">
                      <a:avLst/>
                    </a:prstGeom>
                    <a:noFill/>
                  </pic:spPr>
                </pic:pic>
              </a:graphicData>
            </a:graphic>
          </wp:inline>
        </w:drawing>
      </w:r>
    </w:p>
    <w:p w14:paraId="0C89D1BC" w14:textId="7FB6847D" w:rsidR="00545AE8" w:rsidRDefault="00545AE8" w:rsidP="00545AE8">
      <w:pPr>
        <w:rPr>
          <w:rFonts w:cs="Times New Roman"/>
        </w:rPr>
      </w:pPr>
      <w:r w:rsidRPr="0001436A">
        <w:rPr>
          <w:rFonts w:cs="Times New Roman"/>
          <w:b/>
          <w:szCs w:val="24"/>
        </w:rPr>
        <w:t xml:space="preserve">Supplementary </w:t>
      </w:r>
      <w:r>
        <w:rPr>
          <w:rFonts w:cs="Times New Roman"/>
          <w:b/>
          <w:szCs w:val="24"/>
        </w:rPr>
        <w:t>Image8</w:t>
      </w:r>
      <w:r w:rsidRPr="009C4774">
        <w:rPr>
          <w:rFonts w:cs="Times New Roman"/>
        </w:rPr>
        <w:t>.</w:t>
      </w:r>
      <w:r w:rsidR="00F2750C" w:rsidRPr="009C4774">
        <w:rPr>
          <w:rFonts w:cs="Times New Roman"/>
        </w:rPr>
        <w:t>Seasonal vertical profile</w:t>
      </w:r>
      <w:r w:rsidR="003F7347">
        <w:rPr>
          <w:rFonts w:cs="Times New Roman"/>
        </w:rPr>
        <w:t>s</w:t>
      </w:r>
      <w:r w:rsidR="00F2750C" w:rsidRPr="009C4774">
        <w:rPr>
          <w:rFonts w:cs="Times New Roman"/>
        </w:rPr>
        <w:t xml:space="preserve"> of nitrate (µM) for both data and model outputs. </w:t>
      </w:r>
      <w:r w:rsidR="0004674B">
        <w:t xml:space="preserve">Vertical axes Depth (m). </w:t>
      </w:r>
      <w:r w:rsidR="00F2750C" w:rsidRPr="009C4774">
        <w:rPr>
          <w:rFonts w:cs="Times New Roman"/>
        </w:rPr>
        <w:t>Boxplots represent 25 and 75th percentiles. When N&lt;5, only dots are shown. Red, in situ data. Blue, NEMO-BFM; green, NEMO-PISCES; Grey, POLCOM-ERSEM; light blue, GETM-MedERGOM. IC, Ibiza Channel; MC, Mallorca Channel.</w:t>
      </w:r>
    </w:p>
    <w:p w14:paraId="1642D2A8" w14:textId="703D2680" w:rsidR="002B645E" w:rsidRPr="003D5F33" w:rsidRDefault="00B46A93" w:rsidP="003D5F33">
      <w:pPr>
        <w:jc w:val="center"/>
        <w:rPr>
          <w:rFonts w:cs="Times New Roman"/>
        </w:rPr>
      </w:pPr>
      <w:r w:rsidRPr="007A502C">
        <w:rPr>
          <w:rFonts w:cs="Times New Roman"/>
          <w:noProof/>
          <w:lang w:val="es-ES" w:eastAsia="es-ES"/>
        </w:rPr>
        <w:lastRenderedPageBreak/>
        <w:drawing>
          <wp:inline distT="0" distB="0" distL="0" distR="0" wp14:anchorId="1078D4A4" wp14:editId="0682509A">
            <wp:extent cx="6208395" cy="4711000"/>
            <wp:effectExtent l="0" t="0" r="1905" b="0"/>
            <wp:docPr id="14" name="Imagen 14" descr="C:\Users\Edu\Google Drive\CERES_Eduardo\Drafts\Frontiers\REVISION\figures\SI\SI9 fos 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u\Google Drive\CERES_Eduardo\Drafts\Frontiers\REVISION\figures\SI\SI9 fos BC.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08395" cy="4711000"/>
                    </a:xfrm>
                    <a:prstGeom prst="rect">
                      <a:avLst/>
                    </a:prstGeom>
                    <a:noFill/>
                    <a:ln>
                      <a:noFill/>
                    </a:ln>
                  </pic:spPr>
                </pic:pic>
              </a:graphicData>
            </a:graphic>
          </wp:inline>
        </w:drawing>
      </w:r>
      <w:r w:rsidR="002B645E">
        <w:rPr>
          <w:rFonts w:cs="Times New Roman"/>
          <w:b/>
          <w:noProof/>
          <w:szCs w:val="24"/>
          <w:lang w:val="es-ES" w:eastAsia="es-ES"/>
        </w:rPr>
        <w:drawing>
          <wp:inline distT="0" distB="0" distL="0" distR="0" wp14:anchorId="5D003FC1" wp14:editId="6D9AB9A9">
            <wp:extent cx="5018568" cy="276088"/>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76072" cy="295755"/>
                    </a:xfrm>
                    <a:prstGeom prst="rect">
                      <a:avLst/>
                    </a:prstGeom>
                    <a:noFill/>
                  </pic:spPr>
                </pic:pic>
              </a:graphicData>
            </a:graphic>
          </wp:inline>
        </w:drawing>
      </w:r>
    </w:p>
    <w:p w14:paraId="0FAB4499" w14:textId="3FCF7EDE" w:rsidR="00B46A93" w:rsidRDefault="00B46A93" w:rsidP="00B46A93">
      <w:pPr>
        <w:rPr>
          <w:rFonts w:cs="Times New Roman"/>
        </w:rPr>
      </w:pPr>
      <w:r w:rsidRPr="0001436A">
        <w:rPr>
          <w:rFonts w:cs="Times New Roman"/>
          <w:b/>
          <w:szCs w:val="24"/>
        </w:rPr>
        <w:t xml:space="preserve">Supplementary </w:t>
      </w:r>
      <w:r>
        <w:rPr>
          <w:rFonts w:cs="Times New Roman"/>
          <w:b/>
          <w:szCs w:val="24"/>
        </w:rPr>
        <w:t>Image9</w:t>
      </w:r>
      <w:r w:rsidRPr="0013150F">
        <w:rPr>
          <w:rFonts w:cs="Times New Roman"/>
          <w:b/>
        </w:rPr>
        <w:t>.</w:t>
      </w:r>
      <w:r w:rsidRPr="009C4774">
        <w:rPr>
          <w:rFonts w:cs="Times New Roman"/>
        </w:rPr>
        <w:t xml:space="preserve"> Seasonal vertical profile</w:t>
      </w:r>
      <w:r w:rsidR="003F7347">
        <w:rPr>
          <w:rFonts w:cs="Times New Roman"/>
        </w:rPr>
        <w:t>s</w:t>
      </w:r>
      <w:r w:rsidRPr="009C4774">
        <w:rPr>
          <w:rFonts w:cs="Times New Roman"/>
        </w:rPr>
        <w:t xml:space="preserve"> of phosphate (µM) for both data and model outputs. </w:t>
      </w:r>
      <w:r w:rsidR="0004674B">
        <w:t xml:space="preserve">Vertical axes Depth (m). </w:t>
      </w:r>
      <w:r w:rsidRPr="009C4774">
        <w:rPr>
          <w:rFonts w:cs="Times New Roman"/>
        </w:rPr>
        <w:t>Boxplots represent 25 and 75th percentiles. When N&lt;5, only dots are shown. Red, in situ data. Blue, NEMO-BFM; green, NEMO-PISCES; Grey, POLCOM-ERSEM; light blue, GETM-MedERGOM. IC, Ibiza Channel; MC, Mallorca Channel.</w:t>
      </w:r>
    </w:p>
    <w:p w14:paraId="387359A1" w14:textId="77777777" w:rsidR="00B46A93" w:rsidRDefault="00B46A93" w:rsidP="00545AE8">
      <w:pPr>
        <w:rPr>
          <w:rFonts w:cs="Times New Roman"/>
        </w:rPr>
      </w:pPr>
    </w:p>
    <w:p w14:paraId="3C424A3C" w14:textId="77777777" w:rsidR="00F2750C" w:rsidRDefault="00F2750C">
      <w:pPr>
        <w:spacing w:before="0" w:after="200" w:line="276" w:lineRule="auto"/>
        <w:rPr>
          <w:rFonts w:cs="Times New Roman"/>
        </w:rPr>
      </w:pPr>
      <w:r>
        <w:rPr>
          <w:rFonts w:cs="Times New Roman"/>
        </w:rPr>
        <w:br w:type="page"/>
      </w:r>
    </w:p>
    <w:p w14:paraId="66BF7D86" w14:textId="2E6605FF" w:rsidR="0017328B" w:rsidRPr="003D5F33" w:rsidRDefault="007A502C" w:rsidP="003D5F33">
      <w:pPr>
        <w:jc w:val="center"/>
        <w:rPr>
          <w:rFonts w:cs="Times New Roman"/>
          <w:b/>
        </w:rPr>
      </w:pPr>
      <w:r w:rsidRPr="007A502C">
        <w:rPr>
          <w:rFonts w:cs="Times New Roman"/>
          <w:b/>
          <w:noProof/>
          <w:lang w:val="es-ES" w:eastAsia="es-ES"/>
        </w:rPr>
        <w:lastRenderedPageBreak/>
        <w:drawing>
          <wp:inline distT="0" distB="0" distL="0" distR="0" wp14:anchorId="505AE030" wp14:editId="49576CC6">
            <wp:extent cx="6208395" cy="4602178"/>
            <wp:effectExtent l="0" t="0" r="1905" b="8255"/>
            <wp:docPr id="13" name="Imagen 13" descr="C:\Users\Edu\Google Drive\CERES_Eduardo\Drafts\Frontiers\REVISION\figures\SI\SI10 nit c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u\Google Drive\CERES_Eduardo\Drafts\Frontiers\REVISION\figures\SI\SI10 nit cat.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08395" cy="4602178"/>
                    </a:xfrm>
                    <a:prstGeom prst="rect">
                      <a:avLst/>
                    </a:prstGeom>
                    <a:noFill/>
                    <a:ln>
                      <a:noFill/>
                    </a:ln>
                  </pic:spPr>
                </pic:pic>
              </a:graphicData>
            </a:graphic>
          </wp:inline>
        </w:drawing>
      </w:r>
      <w:r w:rsidR="0017328B">
        <w:rPr>
          <w:rFonts w:cs="Times New Roman"/>
          <w:b/>
          <w:noProof/>
          <w:szCs w:val="24"/>
          <w:lang w:val="es-ES" w:eastAsia="es-ES"/>
        </w:rPr>
        <w:drawing>
          <wp:inline distT="0" distB="0" distL="0" distR="0" wp14:anchorId="3912A468" wp14:editId="1B39F217">
            <wp:extent cx="5018568" cy="276088"/>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76072" cy="295755"/>
                    </a:xfrm>
                    <a:prstGeom prst="rect">
                      <a:avLst/>
                    </a:prstGeom>
                    <a:noFill/>
                  </pic:spPr>
                </pic:pic>
              </a:graphicData>
            </a:graphic>
          </wp:inline>
        </w:drawing>
      </w:r>
    </w:p>
    <w:p w14:paraId="236DB944" w14:textId="5357B4CA" w:rsidR="00F2750C" w:rsidRPr="009C4774" w:rsidRDefault="00F2750C" w:rsidP="00F2750C">
      <w:pPr>
        <w:rPr>
          <w:rFonts w:cs="Times New Roman"/>
        </w:rPr>
      </w:pPr>
      <w:r w:rsidRPr="0001436A">
        <w:rPr>
          <w:rFonts w:cs="Times New Roman"/>
          <w:b/>
          <w:szCs w:val="24"/>
        </w:rPr>
        <w:t xml:space="preserve">Supplementary </w:t>
      </w:r>
      <w:r>
        <w:rPr>
          <w:rFonts w:cs="Times New Roman"/>
          <w:b/>
          <w:szCs w:val="24"/>
        </w:rPr>
        <w:t>Image</w:t>
      </w:r>
      <w:r w:rsidR="005C150C">
        <w:rPr>
          <w:rFonts w:cs="Times New Roman"/>
          <w:b/>
          <w:szCs w:val="24"/>
        </w:rPr>
        <w:t>10</w:t>
      </w:r>
      <w:r w:rsidRPr="009C4774">
        <w:rPr>
          <w:rFonts w:cs="Times New Roman"/>
        </w:rPr>
        <w:t>.Seasonal vertical profile</w:t>
      </w:r>
      <w:r w:rsidR="003F7347">
        <w:rPr>
          <w:rFonts w:cs="Times New Roman"/>
        </w:rPr>
        <w:t>s</w:t>
      </w:r>
      <w:r w:rsidRPr="009C4774">
        <w:rPr>
          <w:rFonts w:cs="Times New Roman"/>
        </w:rPr>
        <w:t xml:space="preserve"> of nitrate (µM) for both data and model outputs.</w:t>
      </w:r>
      <w:r w:rsidR="0004674B">
        <w:rPr>
          <w:rFonts w:cs="Times New Roman"/>
        </w:rPr>
        <w:t xml:space="preserve"> </w:t>
      </w:r>
      <w:r w:rsidR="0004674B">
        <w:t>Vertical axes Depth (m)</w:t>
      </w:r>
      <w:r w:rsidRPr="009C4774">
        <w:rPr>
          <w:rFonts w:cs="Times New Roman"/>
        </w:rPr>
        <w:t xml:space="preserve"> Boxplots represent 25 and 75th percentiles. When N&lt;5, only dots are shown. Red, in situ data. Blue, NEMO-BFM; green, NEMO-PISCES; Grey, POLCOM-ERSEM; light blue, GETM-MedERGOM. CS, Catalan Shelf, ED, Ebro Delta.</w:t>
      </w:r>
    </w:p>
    <w:p w14:paraId="43691A74" w14:textId="77777777" w:rsidR="007A502C" w:rsidRDefault="007A502C">
      <w:pPr>
        <w:spacing w:before="0" w:after="200" w:line="276" w:lineRule="auto"/>
        <w:rPr>
          <w:rFonts w:cs="Times New Roman"/>
        </w:rPr>
      </w:pPr>
      <w:r>
        <w:rPr>
          <w:rFonts w:cs="Times New Roman"/>
        </w:rPr>
        <w:br w:type="page"/>
      </w:r>
    </w:p>
    <w:p w14:paraId="0C2A8D55" w14:textId="684E4BA1" w:rsidR="0017328B" w:rsidRPr="003D5F33" w:rsidRDefault="004021AC" w:rsidP="003D5F33">
      <w:pPr>
        <w:jc w:val="center"/>
        <w:rPr>
          <w:rFonts w:cs="Times New Roman"/>
        </w:rPr>
      </w:pPr>
      <w:r w:rsidRPr="004021AC">
        <w:rPr>
          <w:rFonts w:cs="Times New Roman"/>
          <w:noProof/>
          <w:lang w:val="es-ES" w:eastAsia="es-ES"/>
        </w:rPr>
        <w:lastRenderedPageBreak/>
        <w:drawing>
          <wp:inline distT="0" distB="0" distL="0" distR="0" wp14:anchorId="39F4D1E1" wp14:editId="00247870">
            <wp:extent cx="6208395" cy="4708033"/>
            <wp:effectExtent l="0" t="0" r="1905" b="0"/>
            <wp:docPr id="15" name="Imagen 15" descr="C:\Users\Edu\Google Drive\CERES_Eduardo\Drafts\Frontiers\REVISION\figures\SI\SI11 fos c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du\Google Drive\CERES_Eduardo\Drafts\Frontiers\REVISION\figures\SI\SI11 fos cat.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08395" cy="4708033"/>
                    </a:xfrm>
                    <a:prstGeom prst="rect">
                      <a:avLst/>
                    </a:prstGeom>
                    <a:noFill/>
                    <a:ln>
                      <a:noFill/>
                    </a:ln>
                  </pic:spPr>
                </pic:pic>
              </a:graphicData>
            </a:graphic>
          </wp:inline>
        </w:drawing>
      </w:r>
      <w:r w:rsidR="0017328B">
        <w:rPr>
          <w:rFonts w:cs="Times New Roman"/>
          <w:b/>
          <w:noProof/>
          <w:szCs w:val="24"/>
          <w:lang w:val="es-ES" w:eastAsia="es-ES"/>
        </w:rPr>
        <w:drawing>
          <wp:inline distT="0" distB="0" distL="0" distR="0" wp14:anchorId="35E20A6A" wp14:editId="3BB65A9A">
            <wp:extent cx="5018568" cy="276088"/>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76072" cy="295755"/>
                    </a:xfrm>
                    <a:prstGeom prst="rect">
                      <a:avLst/>
                    </a:prstGeom>
                    <a:noFill/>
                  </pic:spPr>
                </pic:pic>
              </a:graphicData>
            </a:graphic>
          </wp:inline>
        </w:drawing>
      </w:r>
    </w:p>
    <w:p w14:paraId="5CEF5021" w14:textId="6576731A" w:rsidR="004021AC" w:rsidRPr="009C4774" w:rsidRDefault="004021AC" w:rsidP="004021AC">
      <w:pPr>
        <w:rPr>
          <w:rFonts w:cs="Times New Roman"/>
        </w:rPr>
      </w:pPr>
      <w:r w:rsidRPr="0001436A">
        <w:rPr>
          <w:rFonts w:cs="Times New Roman"/>
          <w:b/>
          <w:szCs w:val="24"/>
        </w:rPr>
        <w:t xml:space="preserve">Supplementary </w:t>
      </w:r>
      <w:r>
        <w:rPr>
          <w:rFonts w:cs="Times New Roman"/>
          <w:b/>
          <w:szCs w:val="24"/>
        </w:rPr>
        <w:t>Image11</w:t>
      </w:r>
      <w:r w:rsidRPr="0013150F">
        <w:rPr>
          <w:rFonts w:cs="Times New Roman"/>
          <w:b/>
        </w:rPr>
        <w:t>.</w:t>
      </w:r>
      <w:r w:rsidRPr="009C4774">
        <w:rPr>
          <w:rFonts w:cs="Times New Roman"/>
        </w:rPr>
        <w:t>Seasonal vertical profile</w:t>
      </w:r>
      <w:r w:rsidR="003F7347">
        <w:rPr>
          <w:rFonts w:cs="Times New Roman"/>
        </w:rPr>
        <w:t>s</w:t>
      </w:r>
      <w:r w:rsidRPr="009C4774">
        <w:rPr>
          <w:rFonts w:cs="Times New Roman"/>
        </w:rPr>
        <w:t xml:space="preserve"> of phosphate (µM) for both data and model outputs. </w:t>
      </w:r>
      <w:r w:rsidR="0004674B">
        <w:t xml:space="preserve">Vertical axes Depth (m). </w:t>
      </w:r>
      <w:r w:rsidRPr="009C4774">
        <w:rPr>
          <w:rFonts w:cs="Times New Roman"/>
        </w:rPr>
        <w:t>Boxplots represent 25 and 75th percentiles. When N&lt;5, only dots are shown. Red, in situ data. Blue, NEMO-BFM; green, NEMO-PISCES; Grey, POLCOM-ERSEM; light blue, GETM-MedERGOM. CS, Catalan Shelf, ED, Ebro Delta.</w:t>
      </w:r>
    </w:p>
    <w:p w14:paraId="63E1FCF2" w14:textId="77777777" w:rsidR="004021AC" w:rsidRPr="009C4774" w:rsidRDefault="004021AC" w:rsidP="007A502C">
      <w:pPr>
        <w:rPr>
          <w:rFonts w:cs="Times New Roman"/>
        </w:rPr>
      </w:pPr>
    </w:p>
    <w:p w14:paraId="6FB1AC86" w14:textId="77777777" w:rsidR="007A502C" w:rsidRDefault="007A502C" w:rsidP="00545AE8">
      <w:pPr>
        <w:rPr>
          <w:rFonts w:cs="Times New Roman"/>
        </w:rPr>
      </w:pPr>
    </w:p>
    <w:p w14:paraId="0E347E01" w14:textId="77777777" w:rsidR="002E1944" w:rsidRDefault="002E1944">
      <w:pPr>
        <w:spacing w:before="0" w:after="200" w:line="276" w:lineRule="auto"/>
        <w:rPr>
          <w:rFonts w:cs="Times New Roman"/>
        </w:rPr>
      </w:pPr>
      <w:r>
        <w:rPr>
          <w:rFonts w:cs="Times New Roman"/>
        </w:rPr>
        <w:br w:type="page"/>
      </w:r>
    </w:p>
    <w:p w14:paraId="6D8F08CA" w14:textId="47F86687" w:rsidR="0060259F" w:rsidRDefault="00BE5DC9" w:rsidP="003D5F33">
      <w:pPr>
        <w:jc w:val="center"/>
        <w:rPr>
          <w:rFonts w:cs="Times New Roman"/>
          <w:b/>
          <w:szCs w:val="24"/>
        </w:rPr>
      </w:pPr>
      <w:r w:rsidRPr="00BE5DC9">
        <w:rPr>
          <w:rFonts w:cs="Times New Roman"/>
          <w:b/>
          <w:noProof/>
          <w:szCs w:val="24"/>
          <w:lang w:val="es-ES" w:eastAsia="es-ES"/>
        </w:rPr>
        <w:lastRenderedPageBreak/>
        <w:drawing>
          <wp:inline distT="0" distB="0" distL="0" distR="0" wp14:anchorId="122D100C" wp14:editId="65CD480B">
            <wp:extent cx="6208395" cy="4592571"/>
            <wp:effectExtent l="0" t="0" r="1905" b="0"/>
            <wp:docPr id="16" name="Imagen 16" descr="C:\Users\Edu\Google Drive\CERES_Eduardo\Drafts\Frontiers\REVISION\figures\SI\SI12 cla 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du\Google Drive\CERES_Eduardo\Drafts\Frontiers\REVISION\figures\SI\SI12 cla BC.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08395" cy="4592571"/>
                    </a:xfrm>
                    <a:prstGeom prst="rect">
                      <a:avLst/>
                    </a:prstGeom>
                    <a:noFill/>
                    <a:ln>
                      <a:noFill/>
                    </a:ln>
                  </pic:spPr>
                </pic:pic>
              </a:graphicData>
            </a:graphic>
          </wp:inline>
        </w:drawing>
      </w:r>
      <w:r w:rsidR="0060259F">
        <w:rPr>
          <w:rFonts w:cs="Times New Roman"/>
          <w:b/>
          <w:noProof/>
          <w:szCs w:val="24"/>
          <w:lang w:val="es-ES" w:eastAsia="es-ES"/>
        </w:rPr>
        <w:drawing>
          <wp:inline distT="0" distB="0" distL="0" distR="0" wp14:anchorId="01870A10" wp14:editId="3499C03C">
            <wp:extent cx="5018568" cy="276088"/>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76072" cy="295755"/>
                    </a:xfrm>
                    <a:prstGeom prst="rect">
                      <a:avLst/>
                    </a:prstGeom>
                    <a:noFill/>
                  </pic:spPr>
                </pic:pic>
              </a:graphicData>
            </a:graphic>
          </wp:inline>
        </w:drawing>
      </w:r>
    </w:p>
    <w:p w14:paraId="4161CBBE" w14:textId="7A7B76F2" w:rsidR="0024522A" w:rsidRPr="009C4774" w:rsidRDefault="0024522A" w:rsidP="0024522A">
      <w:pPr>
        <w:rPr>
          <w:rFonts w:cs="Times New Roman"/>
        </w:rPr>
      </w:pPr>
      <w:r w:rsidRPr="0001436A">
        <w:rPr>
          <w:rFonts w:cs="Times New Roman"/>
          <w:b/>
          <w:szCs w:val="24"/>
        </w:rPr>
        <w:t xml:space="preserve">Supplementary </w:t>
      </w:r>
      <w:r>
        <w:rPr>
          <w:rFonts w:cs="Times New Roman"/>
          <w:b/>
          <w:szCs w:val="24"/>
        </w:rPr>
        <w:t>Image12.</w:t>
      </w:r>
      <w:r w:rsidRPr="009C4774">
        <w:rPr>
          <w:rFonts w:cs="Times New Roman"/>
        </w:rPr>
        <w:t xml:space="preserve"> Seasonal vertical profile</w:t>
      </w:r>
      <w:r w:rsidR="007D085A">
        <w:rPr>
          <w:rFonts w:cs="Times New Roman"/>
        </w:rPr>
        <w:t>s</w:t>
      </w:r>
      <w:r w:rsidRPr="009C4774">
        <w:rPr>
          <w:rFonts w:cs="Times New Roman"/>
        </w:rPr>
        <w:t xml:space="preserve"> of chlorophyll</w:t>
      </w:r>
      <w:r w:rsidR="007D085A">
        <w:rPr>
          <w:rFonts w:cs="Times New Roman"/>
        </w:rPr>
        <w:t>-</w:t>
      </w:r>
      <w:r w:rsidRPr="009C4774">
        <w:rPr>
          <w:rFonts w:cs="Times New Roman"/>
        </w:rPr>
        <w:t>a (mg m</w:t>
      </w:r>
      <w:r w:rsidRPr="009C4774">
        <w:rPr>
          <w:rFonts w:cs="Times New Roman"/>
          <w:vertAlign w:val="superscript"/>
        </w:rPr>
        <w:t>-3</w:t>
      </w:r>
      <w:r w:rsidRPr="009C4774">
        <w:rPr>
          <w:rFonts w:cs="Times New Roman"/>
        </w:rPr>
        <w:t xml:space="preserve">) for both data and model outputs. </w:t>
      </w:r>
      <w:r w:rsidR="0004674B">
        <w:t xml:space="preserve">Vertical axes Depth (m). </w:t>
      </w:r>
      <w:r w:rsidRPr="009C4774">
        <w:rPr>
          <w:rFonts w:cs="Times New Roman"/>
        </w:rPr>
        <w:t xml:space="preserve">Boxplots represent 25 and 75th percentiles. When N&lt;5, only dots are shown. Red, </w:t>
      </w:r>
      <w:r w:rsidRPr="0004674B">
        <w:rPr>
          <w:rFonts w:cs="Times New Roman"/>
          <w:i/>
        </w:rPr>
        <w:t xml:space="preserve">in situ </w:t>
      </w:r>
      <w:r w:rsidRPr="009C4774">
        <w:rPr>
          <w:rFonts w:cs="Times New Roman"/>
        </w:rPr>
        <w:t>data. Blue, NEMO-BFM; green, NEMO-PISCES; Grey, POLCOM-ERSEM; light blue, GETM-MedERGOM. IC, Ibiza Channel; MC, Mallorca Channel.</w:t>
      </w:r>
    </w:p>
    <w:p w14:paraId="5FD216CE" w14:textId="77777777" w:rsidR="002C65D0" w:rsidRPr="00654208" w:rsidRDefault="002C65D0" w:rsidP="002C65D0">
      <w:pPr>
        <w:rPr>
          <w:rFonts w:cs="Times New Roman"/>
        </w:rPr>
      </w:pPr>
    </w:p>
    <w:p w14:paraId="19C1D46D" w14:textId="77777777" w:rsidR="00340496" w:rsidRDefault="00340496">
      <w:pPr>
        <w:spacing w:before="0" w:after="200" w:line="276" w:lineRule="auto"/>
        <w:rPr>
          <w:rStyle w:val="Ttulo2Car"/>
        </w:rPr>
      </w:pPr>
      <w:r>
        <w:rPr>
          <w:rStyle w:val="Ttulo2Car"/>
        </w:rPr>
        <w:br w:type="page"/>
      </w:r>
      <w:r w:rsidR="00BE5DC9" w:rsidRPr="00BE5DC9">
        <w:rPr>
          <w:rStyle w:val="Ttulo2Car"/>
          <w:noProof/>
          <w:lang w:val="es-ES" w:eastAsia="es-ES"/>
        </w:rPr>
        <w:lastRenderedPageBreak/>
        <w:drawing>
          <wp:inline distT="0" distB="0" distL="0" distR="0" wp14:anchorId="0F51B23C" wp14:editId="4C2F647D">
            <wp:extent cx="6208395" cy="4779649"/>
            <wp:effectExtent l="0" t="0" r="1905" b="1905"/>
            <wp:docPr id="17" name="Imagen 17" descr="C:\Users\Edu\Google Drive\CERES_Eduardo\Drafts\Frontiers\REVISION\figures\SI\SI13 Cña C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du\Google Drive\CERES_Eduardo\Drafts\Frontiers\REVISION\figures\SI\SI13 Cña CAT.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08395" cy="4779649"/>
                    </a:xfrm>
                    <a:prstGeom prst="rect">
                      <a:avLst/>
                    </a:prstGeom>
                    <a:noFill/>
                    <a:ln>
                      <a:noFill/>
                    </a:ln>
                  </pic:spPr>
                </pic:pic>
              </a:graphicData>
            </a:graphic>
          </wp:inline>
        </w:drawing>
      </w:r>
    </w:p>
    <w:p w14:paraId="131E444A" w14:textId="75E48864" w:rsidR="00BC1E28" w:rsidRDefault="00BC1E28" w:rsidP="00BC1E28">
      <w:pPr>
        <w:jc w:val="center"/>
        <w:rPr>
          <w:rFonts w:cs="Times New Roman"/>
          <w:b/>
        </w:rPr>
      </w:pPr>
      <w:r>
        <w:rPr>
          <w:rFonts w:cs="Times New Roman"/>
          <w:b/>
          <w:noProof/>
          <w:szCs w:val="24"/>
          <w:lang w:val="es-ES" w:eastAsia="es-ES"/>
        </w:rPr>
        <w:drawing>
          <wp:inline distT="0" distB="0" distL="0" distR="0" wp14:anchorId="5B5163C8" wp14:editId="5C6DC872">
            <wp:extent cx="5018568" cy="276088"/>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76072" cy="295755"/>
                    </a:xfrm>
                    <a:prstGeom prst="rect">
                      <a:avLst/>
                    </a:prstGeom>
                    <a:noFill/>
                  </pic:spPr>
                </pic:pic>
              </a:graphicData>
            </a:graphic>
          </wp:inline>
        </w:drawing>
      </w:r>
    </w:p>
    <w:p w14:paraId="3BFF092D" w14:textId="333854E9" w:rsidR="00BE5DC9" w:rsidRPr="009C4774" w:rsidRDefault="00BE5DC9" w:rsidP="00BE5DC9">
      <w:pPr>
        <w:rPr>
          <w:rFonts w:cs="Times New Roman"/>
        </w:rPr>
      </w:pPr>
      <w:r>
        <w:rPr>
          <w:rFonts w:cs="Times New Roman"/>
          <w:b/>
        </w:rPr>
        <w:t>Supplementary Image 13</w:t>
      </w:r>
      <w:r w:rsidRPr="0013150F">
        <w:rPr>
          <w:rFonts w:cs="Times New Roman"/>
          <w:b/>
        </w:rPr>
        <w:t>.</w:t>
      </w:r>
      <w:r w:rsidRPr="009C4774">
        <w:rPr>
          <w:rFonts w:cs="Times New Roman"/>
        </w:rPr>
        <w:t xml:space="preserve"> Seasonal vertical profile of chlorophyll a (mg m</w:t>
      </w:r>
      <w:r w:rsidRPr="009C4774">
        <w:rPr>
          <w:rFonts w:cs="Times New Roman"/>
          <w:vertAlign w:val="superscript"/>
        </w:rPr>
        <w:t>-3</w:t>
      </w:r>
      <w:r w:rsidRPr="009C4774">
        <w:rPr>
          <w:rFonts w:cs="Times New Roman"/>
        </w:rPr>
        <w:t xml:space="preserve">) for both data and model outputs. </w:t>
      </w:r>
      <w:r w:rsidR="0004674B">
        <w:t xml:space="preserve">Vertical axes Depth (m). </w:t>
      </w:r>
      <w:r w:rsidRPr="009C4774">
        <w:rPr>
          <w:rFonts w:cs="Times New Roman"/>
        </w:rPr>
        <w:t xml:space="preserve">Boxplots represent 25 and 75th percentiles. When N&lt;5, only dots are shown. Red, </w:t>
      </w:r>
      <w:r w:rsidRPr="0004674B">
        <w:rPr>
          <w:rFonts w:cs="Times New Roman"/>
          <w:i/>
        </w:rPr>
        <w:t xml:space="preserve">in situ </w:t>
      </w:r>
      <w:r w:rsidRPr="009C4774">
        <w:rPr>
          <w:rFonts w:cs="Times New Roman"/>
        </w:rPr>
        <w:t>data. Blue, NEMO-BFM; green, NEMO-PISCES; Grey, POLCOM-ERSEM; light blue, GETM-MedERGOM. CS, Catalan Shelf, ED, Ebro Delta.</w:t>
      </w:r>
    </w:p>
    <w:p w14:paraId="420FEA4D" w14:textId="77777777" w:rsidR="00BE5DC9" w:rsidRDefault="005E22DD" w:rsidP="005E22DD">
      <w:pPr>
        <w:spacing w:before="0" w:after="200" w:line="276" w:lineRule="auto"/>
        <w:rPr>
          <w:rStyle w:val="Ttulo2Car"/>
        </w:rPr>
      </w:pPr>
      <w:r>
        <w:rPr>
          <w:rStyle w:val="Ttulo2Car"/>
        </w:rPr>
        <w:br w:type="page"/>
      </w:r>
    </w:p>
    <w:p w14:paraId="779C5579" w14:textId="77777777" w:rsidR="00340496" w:rsidRDefault="00FE79CB" w:rsidP="00340496">
      <w:pPr>
        <w:rPr>
          <w:rStyle w:val="Ttulo2Car"/>
        </w:rPr>
      </w:pPr>
      <w:r w:rsidRPr="00340496">
        <w:rPr>
          <w:rStyle w:val="Ttulo2Car"/>
        </w:rPr>
        <w:lastRenderedPageBreak/>
        <w:t>Supplementary T</w:t>
      </w:r>
      <w:r w:rsidR="00340496" w:rsidRPr="00340496">
        <w:rPr>
          <w:rStyle w:val="Ttulo2Car"/>
        </w:rPr>
        <w:t>able</w:t>
      </w:r>
      <w:r w:rsidR="0077369F">
        <w:rPr>
          <w:rStyle w:val="Ttulo2Car"/>
        </w:rPr>
        <w:t>s</w:t>
      </w:r>
    </w:p>
    <w:p w14:paraId="43880A6D" w14:textId="77777777" w:rsidR="0077369F" w:rsidRDefault="0077369F" w:rsidP="0077369F">
      <w:pPr>
        <w:rPr>
          <w:rFonts w:cs="Times New Roman"/>
          <w:szCs w:val="24"/>
        </w:rPr>
      </w:pPr>
      <w:r w:rsidRPr="00494897">
        <w:rPr>
          <w:rFonts w:cs="Times New Roman"/>
          <w:b/>
          <w:szCs w:val="24"/>
        </w:rPr>
        <w:t>Table S1.</w:t>
      </w:r>
      <w:r w:rsidRPr="00A56EA0">
        <w:rPr>
          <w:rFonts w:cs="Times New Roman"/>
          <w:szCs w:val="24"/>
        </w:rPr>
        <w:t xml:space="preserve"> Main characteristics of the physical and </w:t>
      </w:r>
      <w:r>
        <w:rPr>
          <w:rFonts w:cs="Times New Roman"/>
          <w:szCs w:val="24"/>
        </w:rPr>
        <w:t>biogeochemical</w:t>
      </w:r>
      <w:r w:rsidRPr="00A56EA0">
        <w:rPr>
          <w:rFonts w:cs="Times New Roman"/>
          <w:szCs w:val="24"/>
        </w:rPr>
        <w:t xml:space="preserve"> components of the </w:t>
      </w:r>
      <w:r>
        <w:rPr>
          <w:rFonts w:cs="Times New Roman"/>
          <w:szCs w:val="24"/>
        </w:rPr>
        <w:t>reanalyses and hindcasts</w:t>
      </w:r>
      <w:r w:rsidRPr="00A56EA0">
        <w:rPr>
          <w:rFonts w:cs="Times New Roman"/>
          <w:szCs w:val="24"/>
        </w:rPr>
        <w:t>.</w:t>
      </w:r>
    </w:p>
    <w:p w14:paraId="5504E105" w14:textId="77777777" w:rsidR="0077369F" w:rsidRPr="00A56EA0" w:rsidRDefault="0077369F" w:rsidP="0077369F">
      <w:pPr>
        <w:rPr>
          <w:rFonts w:cs="Times New Roman"/>
          <w:szCs w:val="24"/>
        </w:rPr>
      </w:pPr>
      <w:r>
        <w:rPr>
          <w:rFonts w:cs="Times New Roman"/>
          <w:szCs w:val="24"/>
        </w:rPr>
        <w:t>(a) Physical component</w:t>
      </w:r>
    </w:p>
    <w:tbl>
      <w:tblPr>
        <w:tblStyle w:val="Tablaconcuadrcula"/>
        <w:tblW w:w="8738" w:type="dxa"/>
        <w:tblLayout w:type="fixed"/>
        <w:tblLook w:val="04A0" w:firstRow="1" w:lastRow="0" w:firstColumn="1" w:lastColumn="0" w:noHBand="0" w:noVBand="1"/>
      </w:tblPr>
      <w:tblGrid>
        <w:gridCol w:w="1747"/>
        <w:gridCol w:w="1748"/>
        <w:gridCol w:w="1747"/>
        <w:gridCol w:w="1748"/>
        <w:gridCol w:w="1748"/>
      </w:tblGrid>
      <w:tr w:rsidR="0077369F" w:rsidRPr="007B6E15" w14:paraId="73829C4F" w14:textId="77777777" w:rsidTr="00D82CF2">
        <w:tc>
          <w:tcPr>
            <w:tcW w:w="1747" w:type="dxa"/>
          </w:tcPr>
          <w:p w14:paraId="37396C76" w14:textId="77777777" w:rsidR="0077369F" w:rsidRPr="007B6E15" w:rsidRDefault="0077369F" w:rsidP="00D82CF2">
            <w:pPr>
              <w:rPr>
                <w:rFonts w:cs="Times New Roman"/>
                <w:b/>
                <w:noProof/>
              </w:rPr>
            </w:pPr>
            <w:r w:rsidRPr="007B6E15">
              <w:rPr>
                <w:rFonts w:cs="Times New Roman"/>
                <w:b/>
                <w:noProof/>
              </w:rPr>
              <w:t>Reanalysis/ hindcast</w:t>
            </w:r>
          </w:p>
        </w:tc>
        <w:tc>
          <w:tcPr>
            <w:tcW w:w="1748" w:type="dxa"/>
          </w:tcPr>
          <w:p w14:paraId="3102B712" w14:textId="77777777" w:rsidR="0077369F" w:rsidRPr="007B6E15" w:rsidRDefault="0077369F" w:rsidP="00D82CF2">
            <w:pPr>
              <w:rPr>
                <w:rFonts w:cs="Times New Roman"/>
                <w:b/>
                <w:noProof/>
              </w:rPr>
            </w:pPr>
            <w:r w:rsidRPr="007B6E15">
              <w:rPr>
                <w:rFonts w:cs="Times New Roman"/>
                <w:b/>
                <w:noProof/>
              </w:rPr>
              <w:t>NEMO-BFM</w:t>
            </w:r>
          </w:p>
        </w:tc>
        <w:tc>
          <w:tcPr>
            <w:tcW w:w="1747" w:type="dxa"/>
          </w:tcPr>
          <w:p w14:paraId="5035FCF6" w14:textId="77777777" w:rsidR="0077369F" w:rsidRPr="007B6E15" w:rsidRDefault="0077369F" w:rsidP="00D82CF2">
            <w:pPr>
              <w:rPr>
                <w:rFonts w:cs="Times New Roman"/>
                <w:b/>
                <w:noProof/>
              </w:rPr>
            </w:pPr>
            <w:r w:rsidRPr="007B6E15">
              <w:rPr>
                <w:rFonts w:cs="Times New Roman"/>
                <w:b/>
                <w:noProof/>
              </w:rPr>
              <w:t>NEMO-PISCES</w:t>
            </w:r>
          </w:p>
        </w:tc>
        <w:tc>
          <w:tcPr>
            <w:tcW w:w="1748" w:type="dxa"/>
          </w:tcPr>
          <w:p w14:paraId="423657E3" w14:textId="77777777" w:rsidR="0077369F" w:rsidRPr="007B6E15" w:rsidRDefault="0077369F" w:rsidP="00D82CF2">
            <w:pPr>
              <w:rPr>
                <w:rFonts w:cs="Times New Roman"/>
                <w:b/>
                <w:noProof/>
              </w:rPr>
            </w:pPr>
            <w:r w:rsidRPr="007B6E15">
              <w:rPr>
                <w:rFonts w:cs="Times New Roman"/>
                <w:b/>
                <w:noProof/>
              </w:rPr>
              <w:t>POLCOMS-ERSEM</w:t>
            </w:r>
          </w:p>
        </w:tc>
        <w:tc>
          <w:tcPr>
            <w:tcW w:w="1748" w:type="dxa"/>
          </w:tcPr>
          <w:p w14:paraId="39D6763C" w14:textId="77777777" w:rsidR="0077369F" w:rsidRPr="007B6E15" w:rsidRDefault="0077369F" w:rsidP="00D82CF2">
            <w:pPr>
              <w:rPr>
                <w:rFonts w:cs="Times New Roman"/>
                <w:b/>
                <w:noProof/>
              </w:rPr>
            </w:pPr>
            <w:r w:rsidRPr="007B6E15">
              <w:rPr>
                <w:rFonts w:cs="Times New Roman"/>
                <w:b/>
                <w:noProof/>
              </w:rPr>
              <w:t>GETM-MedERGOM</w:t>
            </w:r>
          </w:p>
        </w:tc>
      </w:tr>
      <w:tr w:rsidR="0077369F" w:rsidRPr="0004674B" w14:paraId="26EB94BC" w14:textId="77777777" w:rsidTr="00D82CF2">
        <w:tc>
          <w:tcPr>
            <w:tcW w:w="1747" w:type="dxa"/>
          </w:tcPr>
          <w:p w14:paraId="74B36B99" w14:textId="77777777" w:rsidR="0077369F" w:rsidRPr="007B6E15" w:rsidRDefault="0077369F" w:rsidP="00D82CF2">
            <w:pPr>
              <w:rPr>
                <w:rFonts w:cs="Times New Roman"/>
                <w:noProof/>
              </w:rPr>
            </w:pPr>
            <w:r w:rsidRPr="007B6E15">
              <w:rPr>
                <w:rFonts w:cs="Times New Roman"/>
                <w:noProof/>
              </w:rPr>
              <w:t>Physical model equations/ scheme and main reference</w:t>
            </w:r>
          </w:p>
        </w:tc>
        <w:tc>
          <w:tcPr>
            <w:tcW w:w="1748" w:type="dxa"/>
          </w:tcPr>
          <w:p w14:paraId="2233B1D0" w14:textId="597E675C" w:rsidR="0077369F" w:rsidRPr="007B6E15" w:rsidRDefault="0077369F" w:rsidP="00145A89">
            <w:pPr>
              <w:rPr>
                <w:rFonts w:cs="Times New Roman"/>
                <w:lang w:val="es-ES"/>
              </w:rPr>
            </w:pPr>
            <w:r w:rsidRPr="007B6E15">
              <w:rPr>
                <w:rFonts w:cs="Times New Roman"/>
                <w:lang w:val="en-GB"/>
              </w:rPr>
              <w:t xml:space="preserve">Nucleus for European Modelling of the Ocean. </w:t>
            </w:r>
            <w:r w:rsidRPr="007B6E15">
              <w:rPr>
                <w:rFonts w:cs="Times New Roman"/>
                <w:lang w:val="es-ES"/>
              </w:rPr>
              <w:t xml:space="preserve">NEMO-OPA v3.2 and 3.4 </w:t>
            </w:r>
            <w:r w:rsidR="00597288" w:rsidRPr="007B6E15">
              <w:rPr>
                <w:rFonts w:cs="Times New Roman"/>
              </w:rPr>
              <w:fldChar w:fldCharType="begin" w:fldLock="1"/>
            </w:r>
            <w:r w:rsidR="00D53E97">
              <w:rPr>
                <w:rFonts w:cs="Times New Roman"/>
                <w:lang w:val="es-ES"/>
              </w:rPr>
              <w:instrText>ADDIN CSL_CITATION {"citationItems":[{"id":"ITEM-1","itemData":{"DOI":"https://doi.org/10.25423/medsea_reanalysis_phys_006_004","author":[{"dropping-particle":"","family":"Simoncelli","given":"S.","non-dropping-particle":"","parse-names":false,"suffix":""},{"dropping-particle":"","family":"Fratianni","given":"C.","non-dropping-particle":"","parse-names":false,"suffix":""},{"dropping-particle":"","family":"Pinardi","given":"N.","non-dropping-particle":"","parse-names":false,"suffix":""},{"dropping-particle":"","family":"Grandi","given":"A.","non-dropping-particle":"","parse-names":false,"suffix":""},{"dropping-particle":"","family":"Drudi","given":"M.","non-dropping-particle":"","parse-names":false,"suffix":""},{"dropping-particle":"","family":"Oddo","given":"P.","non-dropping-particle":"","parse-names":false,"suffix":""},{"dropping-particle":"","family":"Dobricic","given":"S.","non-dropping-particle":"","parse-names":false,"suffix":""}],"container-title":"E.U. Copernicus Marine Service Information","id":"ITEM-1","issued":{"date-parts":[["2014"]]},"title":"Mediterranean Sea physical reanalysis (MEDREA 1987-2015) (Version 1)","type":"article-journal"},"uris":["http://www.mendeley.com/documents/?uuid=fa7c0d02-9236-43e5-9b99-dec1d997a941"]}],"mendeley":{"formattedCitation":"(Simoncelli et al., 2014)","plainTextFormattedCitation":"(Simoncelli et al., 2014)","previouslyFormattedCitation":"(Simoncelli et al., 2014)"},"properties":{"noteIndex":0},"schema":"https://github.com/citation-style-language/schema/raw/master/csl-citation.json"}</w:instrText>
            </w:r>
            <w:r w:rsidR="00597288" w:rsidRPr="007B6E15">
              <w:rPr>
                <w:rFonts w:cs="Times New Roman"/>
              </w:rPr>
              <w:fldChar w:fldCharType="separate"/>
            </w:r>
            <w:r w:rsidR="00145A89" w:rsidRPr="00145A89">
              <w:rPr>
                <w:rFonts w:cs="Times New Roman"/>
                <w:noProof/>
                <w:lang w:val="es-ES"/>
              </w:rPr>
              <w:t>(Simoncelli et al., 2014)</w:t>
            </w:r>
            <w:r w:rsidR="00597288" w:rsidRPr="007B6E15">
              <w:rPr>
                <w:rFonts w:cs="Times New Roman"/>
              </w:rPr>
              <w:fldChar w:fldCharType="end"/>
            </w:r>
          </w:p>
        </w:tc>
        <w:tc>
          <w:tcPr>
            <w:tcW w:w="1747" w:type="dxa"/>
          </w:tcPr>
          <w:p w14:paraId="34393B53" w14:textId="77777777" w:rsidR="0077369F" w:rsidRPr="007B6E15" w:rsidRDefault="0077369F" w:rsidP="00D82CF2">
            <w:pPr>
              <w:rPr>
                <w:rFonts w:cs="Times New Roman"/>
                <w:noProof/>
                <w:lang w:val="es-ES"/>
              </w:rPr>
            </w:pPr>
            <w:r w:rsidRPr="007B6E15">
              <w:rPr>
                <w:rFonts w:cs="Times New Roman"/>
                <w:noProof/>
                <w:lang w:val="es-ES"/>
              </w:rPr>
              <w:t xml:space="preserve">NEMO-v3.4 </w:t>
            </w:r>
          </w:p>
          <w:p w14:paraId="12A5B2ED" w14:textId="4FAB8AA7" w:rsidR="0077369F" w:rsidRPr="007B6E15" w:rsidRDefault="00597288" w:rsidP="00145A89">
            <w:pPr>
              <w:rPr>
                <w:rFonts w:cs="Times New Roman"/>
                <w:noProof/>
              </w:rPr>
            </w:pPr>
            <w:r w:rsidRPr="007B6E15">
              <w:rPr>
                <w:rFonts w:cs="Times New Roman"/>
                <w:noProof/>
              </w:rPr>
              <w:fldChar w:fldCharType="begin" w:fldLock="1"/>
            </w:r>
            <w:r w:rsidR="00D53E97">
              <w:rPr>
                <w:rFonts w:cs="Times New Roman"/>
                <w:noProof/>
                <w:lang w:val="es-ES"/>
              </w:rPr>
              <w:instrText>ADDIN CSL_CITATION {"citationItems":[{"id":"ITEM-1","itemData":{"DOI":"10.1080/1755876X.2015.1014663","ISBN":"1755-876X","ISSN":"17558778","abstract":"The MyOcean IBI-MFC (Monitoring &amp; Forecasting Centre) has been providing continuous daily ocean model estimates and forecasts for the Iberia–Biscay–Ireland (IBI) regional seas since 2011. The operational IBI Ocean Forecast Service is based on a NEMO model application that includes high-frequency processes required to characterize regional scale marine processes. Since June 2014, a new IBI reanalysis, comprising both physical and biogeochemical components, covering the time period 2002–2012 has also been available. This paper provides an end-to-end description of these IBI model systems and presents a summary of the scientific validation assessments carried out with the derived operational products. The validation statistics suggest that the systems capture major synoptic and mesoscale ocean circulation features observed in the IBI region. Finally, an IBI roadmap towards the future EU Copernicus Service is outlined, providing a look ahead to future IBI model and data-assimilation developments and operation...","author":[{"dropping-particle":"","family":"Sotillo","given":"M. G.","non-dropping-particle":"","parse-names":false,"suffix":""},{"dropping-particle":"","family":"Cailleau","given":"S.","non-dropping-particle":"","parse-names":false,"suffix":""},{"dropping-particle":"","family":"Lorente","given":"P.","non-dropping-particle":"","parse-names":false,"suffix":""},{"dropping-particle":"","family":"Levier","given":"B.","non-dropping-particle":"","parse-names":false,"suffix":""},{"dropping-particle":"","family":"Aznar","given":"R.","non-dropping-particle":"","parse-names":false,"suffix":""},{"dropping-particle":"","family":"Reffray","given":"G.","non-dropping-particle":"","parse-names":false,"suffix":""},{"dropping-particle":"","family":"Amo-Baladrón","given":"A.","non-dropping-particle":"","parse-names":false,"suffix":""},{"dropping-particle":"","family":"Chanut","g</w:instrText>
            </w:r>
            <w:r w:rsidR="00D53E97" w:rsidRPr="00D53E97">
              <w:rPr>
                <w:rFonts w:cs="Times New Roman"/>
                <w:noProof/>
                <w:lang w:val="en-GB"/>
              </w:rPr>
              <w:instrText>iven":"J.","non-dropping-particle":"","parse-names":false,"suffix":""},{"dropping-particle":"","family":"Benkiran","given":"M.","non-dropping-particle":"","parse-names":false,"suffix":""},{"dropping-particle":"","family":"Alvarez-Fanjul","given":"E.","non-dropping-particle":"","parse-names":false,"suffix":""},{"dropping-particle":"","family":"Amo-Baladrï¿½n","given":"A.","non-dropping-particle":"","parse-names":false,"suffix":""},{"dropping-particle":"","family":"Chanut","given":"J.","non-dropping-particle":"","parse-names":false,"suffix":""},{"dropping-particle":"","family":"Benkiran","given":"M.","non-dropping-particle":"","parse-names":false,"suffix":""},{"dropping-particle":"","family":"Alvarez-Fanjul","given":"E.","non-dropping-particle":"","parse-names":false,"suffix":""}],"container-title":"Journal of Operational Oceanography","id":"ITEM-1","issue":"1","issued":{"date-parts":[["2015"]]},"page":"63-79","publisher":"Taylor &amp; Francis","title":"The myocean IBI ocean forecast and reanalysis systems: Operational products and roadmap to the future copernicus service","type":"article-journal","volume":"8"},"uris":["http://www.mendeley.com/documents/?uuid=23b51b9e-20bb-4a31-97eb-760e1706405a"]}],"mendeley":{"formattedCitation":"(Sotillo et al., 2015)","plainTextFormattedCitation":"(Sotillo et al., 2015)","previouslyFormattedCitation":"(Sotillo et al., 2015)"},"properties":{"noteIndex":0},"schema":"https://github.com/citation-style-language/schema/raw/master/csl-citation.json"}</w:instrText>
            </w:r>
            <w:r w:rsidRPr="007B6E15">
              <w:rPr>
                <w:rFonts w:cs="Times New Roman"/>
                <w:noProof/>
              </w:rPr>
              <w:fldChar w:fldCharType="separate"/>
            </w:r>
            <w:r w:rsidR="00145A89" w:rsidRPr="00145A89">
              <w:rPr>
                <w:rFonts w:cs="Times New Roman"/>
                <w:noProof/>
              </w:rPr>
              <w:t>(Sotillo et al., 2015)</w:t>
            </w:r>
            <w:r w:rsidRPr="007B6E15">
              <w:rPr>
                <w:rFonts w:cs="Times New Roman"/>
                <w:noProof/>
              </w:rPr>
              <w:fldChar w:fldCharType="end"/>
            </w:r>
          </w:p>
        </w:tc>
        <w:tc>
          <w:tcPr>
            <w:tcW w:w="1748" w:type="dxa"/>
          </w:tcPr>
          <w:p w14:paraId="79CDE46B" w14:textId="3405FBBF" w:rsidR="0077369F" w:rsidRPr="007E3854" w:rsidRDefault="0077369F" w:rsidP="00145A89">
            <w:pPr>
              <w:rPr>
                <w:rFonts w:cs="Times New Roman"/>
                <w:noProof/>
                <w:lang w:val="en-GB"/>
              </w:rPr>
            </w:pPr>
            <w:r w:rsidRPr="007B6E15">
              <w:rPr>
                <w:rFonts w:cs="Times New Roman"/>
                <w:noProof/>
                <w:lang w:val="en-GB"/>
              </w:rPr>
              <w:t xml:space="preserve">Proudman Oceanographic Laboratory Coastal Ocean Modelling System. POLCOMS </w:t>
            </w:r>
            <w:r w:rsidR="00597288" w:rsidRPr="007B6E15">
              <w:rPr>
                <w:rFonts w:cs="Times New Roman"/>
                <w:noProof/>
              </w:rPr>
              <w:fldChar w:fldCharType="begin" w:fldLock="1"/>
            </w:r>
            <w:r w:rsidR="00D53E97">
              <w:rPr>
                <w:rFonts w:cs="Times New Roman"/>
                <w:noProof/>
              </w:rPr>
              <w:instrText>ADDIN CSL_CITATION {"citationItems":[{"id":"ITEM-1","itemData":{"DOI":"10.1029/2000JC000304","ISSN":"01480227","abstract":"The Proudman Oceanographic Laboratory Three-Dimensional Baroclinic B grid model (POL3DB) has been developed to incorporate features suitable for the modeling of baroclinic processes on the shelf, at the shelf slope, and in ocean regions to allow long-term coupled ocean-shelf simulations. We test the model on the northwest European continental shelf in the period November 1988 to October 1989 against satellite sea surface temperature measurements, against CTD sections both on and off the shelf, and (in summary) against the whole of the North Sea Project CTD data set. The model accurately reproduces the seasonal cycle in the shelf-wide spatial temperature structure seen in the observations. Spatial correlations range from r = 0.92 in December to 0.79 in July, and the overall rms errors range from 0.8°C in April to 1.6°C in July. We demonstrate that the increase in the errors during the summer is due to uncertainties in modeling the vertical temperature structure. Compared with a climatology, the large-scale sea surface salinity structure is also well modeled (r = 0.80), but there is a tendency for the model to overestimate the salinity in the Norwegian Trench and underestimate it in the Kattegat. The s coordinates (a modified sigma-coordinate system) allow the formation of a seasonal mixed layer across the shelf break and into the northeast Atlantic with a modest vertical resolution. The accuracy to which this deep water region is modeled is limited by the initial and boundary conditions and by the extent of the model domain.","author":[{"dropping-particle":"","family":"Holt","given":"Jason T.","non-dropping-particle":"","parse-names":false,"suffix":""},{"dropping-particle":"","family":"James","given":"Ian D.","non-dropping-particle":"","parse-names":false,"suffix":""}],"container-title":"Journal of Geophysical Research: Oceans","id":"ITEM-1","issue":"C7","issued":{"date-parts":[["2001"]]},"page":"14015-14034","title":"An &lt;i&gt;s&lt;/i&gt; coordinate density evolving model of the northwest European continental shelf: 1. Model description and density structure","type":"article-journal","volume":"106"},"uris":["http://www.mendeley.com/documents/?uuid=d1542546-0d92-48dc-bccd-ab700afed22d"]},{"id":"ITEM-2","itemData":{"DOI":"10.4324/9781315757254","author":[{"dropping-particle":"","family":"Kay","given":"Susan","non-dropping-particle":"","parse-names":false,"suffix":""},{"dropping-particle":"","family":"Helén","given":"Andersson","non-dropping-particle":"","parse-names":false,"suffix":""},{"dropping-particle":"","family":"Catalan","given":"Ignacio","non-dropping-particle":"","parse-names":false,"suffix":""},{"dropping-particle":"","family":"Eilola","given":"Kari","non-dropping-particle":"","parse-names":false,"suffix":""},{"dropping-particle":"","family":"Jordà","given":"Gabriel","non-dropping-particle":"","parse-names":false,"suffix":""},{"dropping-particle":"","family":"Ramírez-Romero","given":"Eduardo","non-dropping-particle":"","parse-names":false,"suffix":""},{"dropping-particle":"","family":"Wehde","given":"Henning","non-dropping-particle":"","parse-names":false,"suffix":""}],"id":"ITEM-2","issued":{"date-parts":[["2018"]]},"title":"Projections of physical and biogeochemical parameters and habitat indicators for European seas, including synthesis of Sea Level Rise and storminess. H2020 Ceres project deriverable D1.3.","type":"report"},"uris":["http://www.mendeley.com/documents/?uuid=6b9486c8-da8f-4232-abbe-5d28268849b6"]}],"mendeley":{"formattedCitation":"(Holt and James, 2001; Kay et al., 2018)","plainTextFormattedCitation":"(Holt and James, 2001; Kay et al., 2018)","previouslyFormattedCitation":"(Holt and James, 2001; Kay et al., 2018)"},"properties":{"noteIndex":0},"schema":"https://github.com/citation-style-language/schema/raw/master/csl-citation.json"}</w:instrText>
            </w:r>
            <w:r w:rsidR="00597288" w:rsidRPr="007B6E15">
              <w:rPr>
                <w:rFonts w:cs="Times New Roman"/>
                <w:noProof/>
              </w:rPr>
              <w:fldChar w:fldCharType="separate"/>
            </w:r>
            <w:r w:rsidR="00145A89" w:rsidRPr="00145A89">
              <w:rPr>
                <w:rFonts w:cs="Times New Roman"/>
                <w:noProof/>
              </w:rPr>
              <w:t>(Holt and James, 2001; Kay et al., 2018)</w:t>
            </w:r>
            <w:r w:rsidR="00597288" w:rsidRPr="007B6E15">
              <w:rPr>
                <w:rFonts w:cs="Times New Roman"/>
                <w:noProof/>
              </w:rPr>
              <w:fldChar w:fldCharType="end"/>
            </w:r>
          </w:p>
        </w:tc>
        <w:tc>
          <w:tcPr>
            <w:tcW w:w="1748" w:type="dxa"/>
          </w:tcPr>
          <w:p w14:paraId="6AC0D128" w14:textId="0130B04A" w:rsidR="0077369F" w:rsidRPr="0004674B" w:rsidRDefault="0077369F" w:rsidP="00D82CF2">
            <w:pPr>
              <w:rPr>
                <w:rFonts w:cs="Times New Roman"/>
                <w:noProof/>
                <w:lang w:val="en-GB"/>
              </w:rPr>
            </w:pPr>
            <w:r w:rsidRPr="007B6E15">
              <w:rPr>
                <w:rFonts w:cs="Times New Roman"/>
                <w:noProof/>
                <w:lang w:val="en-GB"/>
              </w:rPr>
              <w:t xml:space="preserve">General Estuarine Transport Model. </w:t>
            </w:r>
            <w:r w:rsidR="00597288" w:rsidRPr="007B6E15">
              <w:rPr>
                <w:rFonts w:cs="Times New Roman"/>
                <w:noProof/>
              </w:rPr>
              <w:fldChar w:fldCharType="begin" w:fldLock="1"/>
            </w:r>
            <w:r w:rsidR="00012AF9">
              <w:rPr>
                <w:rFonts w:cs="Times New Roman"/>
                <w:noProof/>
                <w:lang w:val="en-GB"/>
              </w:rPr>
              <w:instrText>ADDIN CSL_CITATION {"citationItems":[{"id":"ITEM-1","itemData":{"DOI":"10.1002/2014GB004846","ISBN":"9780121476854","ISSN":"19449224","PMID":"26180286","abstract":"The temporal dynamics of biogeochemical variables derived from a coupled 3-D model of the Mediterranean Sea are evaluated for the last 50 years (1960-2010) against independent data on fisheries catch per unit effort (CPUE) for the same time period. Concordant patterns are found in the time series of all of the biological variables (from the model and from fisheries statistics), with low values at the beginning of the series, a later increase, with maximum levels reached at the end of the 1990s, and a posterior stabilization. Spectral analysis of the annual biological time series reveals coincident low-frequency signals in all of them. The first, more energetic signal peaks around the year 2000, while the second, less energetic signal peaks near 1982. Almost identical low-frequency signals are found in the nutrient loads of the rivers and in the integrated nutrient levels in the surface marine ecosystem. Nitrate concentration shows a maximum level in 1998, with a later stabilization to present-day values, coincident with the first low-frequency signal found in the biological series. Phosphate shows maximum concentrations around 1982 and a posterior sharp decline, in concordance with the second low-frequency signal observed in the biological series. That result seems to indicate that the control of marine productivity (plankton to fish) in the Mediterranean is principally mediated through bottom-up processes that could be traced back to the characteristics of riverine discharges. The high sensitivity of CPUE time series to environmental conditions might be another indicator of the overexploitation of this marine ecosystem. KEY POINTS: Biogeochemical evolution of the Mediterranean over the past 50 yearsRiver nutrient loads drive primary and secondary productionsStrong link between low trophic levels and fisheries.","author":[{"dropping-particle":"","family":"Macias","given":"Diego","non-dropping-particle":"","parse-names":false,"suffix":""},{"dropping-particle":"","family":"Garcia-Gorriz","given":"Elisa","non-dropping-particle":"","parse-names":false,"suffix":""},{"dropping-particle":"","family":"Piroddi","given":"Chiara","non-dropping-particle":"","parse-names":false,"suffix":""},{"dropping-particle":"","family":"Stips","given":"Adolf","non-dropping-particle":"","parse-names":false,"suffix":""}],"container-title":"Global Biogeochemical Cycles","id":"ITEM-1","issue":"8","issued":{"date-parts":[["2014"]]},"page":"897-907","title":"Biogeochemical control of marine productivity in the Mediterranean Sea during the last 50 years","type":"article-journal","volume":"28"},"uris":["http://www.mendeley.com/documents/?uuid=6897390b-6ded-4fda-b7fb-985874a0abce"]}],"mendeley":{"formattedCitation":"(Macias et al., 2014b)","plainTextFormattedCitation":"(Macias et al., 2014b)","previouslyFormattedCitation":"(Macias et al., 2014b)"},"properties":{"noteIndex":0},"schema":"https://github.com/citation-style-language/schema/raw/master/csl-citation.json"}</w:instrText>
            </w:r>
            <w:r w:rsidR="00597288" w:rsidRPr="007B6E15">
              <w:rPr>
                <w:rFonts w:cs="Times New Roman"/>
                <w:noProof/>
              </w:rPr>
              <w:fldChar w:fldCharType="separate"/>
            </w:r>
            <w:r w:rsidR="00D53E97" w:rsidRPr="00D53E97">
              <w:rPr>
                <w:rFonts w:cs="Times New Roman"/>
                <w:noProof/>
                <w:lang w:val="en-GB"/>
              </w:rPr>
              <w:t>(Macias et al., 2014b)</w:t>
            </w:r>
            <w:r w:rsidR="00597288" w:rsidRPr="007B6E15">
              <w:rPr>
                <w:rFonts w:cs="Times New Roman"/>
                <w:noProof/>
              </w:rPr>
              <w:fldChar w:fldCharType="end"/>
            </w:r>
          </w:p>
          <w:p w14:paraId="0224E824" w14:textId="77777777" w:rsidR="0077369F" w:rsidRPr="0004674B" w:rsidRDefault="0077369F" w:rsidP="00D82CF2">
            <w:pPr>
              <w:rPr>
                <w:rFonts w:cs="Times New Roman"/>
                <w:noProof/>
                <w:lang w:val="en-GB"/>
              </w:rPr>
            </w:pPr>
          </w:p>
          <w:p w14:paraId="5CEA632D" w14:textId="77777777" w:rsidR="0077369F" w:rsidRPr="0004674B" w:rsidRDefault="0077369F" w:rsidP="00D82CF2">
            <w:pPr>
              <w:rPr>
                <w:rFonts w:cs="Times New Roman"/>
                <w:noProof/>
                <w:lang w:val="en-GB"/>
              </w:rPr>
            </w:pPr>
          </w:p>
        </w:tc>
      </w:tr>
      <w:tr w:rsidR="0077369F" w:rsidRPr="0004674B" w14:paraId="56033588" w14:textId="77777777" w:rsidTr="00D82CF2">
        <w:tc>
          <w:tcPr>
            <w:tcW w:w="1747" w:type="dxa"/>
          </w:tcPr>
          <w:p w14:paraId="36B5C38B" w14:textId="77777777" w:rsidR="0077369F" w:rsidRPr="0004674B" w:rsidRDefault="0077369F" w:rsidP="00D82CF2">
            <w:pPr>
              <w:rPr>
                <w:rFonts w:cs="Times New Roman"/>
                <w:noProof/>
                <w:lang w:val="en-GB"/>
              </w:rPr>
            </w:pPr>
            <w:r w:rsidRPr="0004674B">
              <w:rPr>
                <w:rFonts w:cs="Times New Roman"/>
                <w:noProof/>
                <w:lang w:val="en-GB"/>
              </w:rPr>
              <w:t>Domain</w:t>
            </w:r>
          </w:p>
        </w:tc>
        <w:tc>
          <w:tcPr>
            <w:tcW w:w="1748" w:type="dxa"/>
          </w:tcPr>
          <w:p w14:paraId="761B7DC4" w14:textId="77777777" w:rsidR="0077369F" w:rsidRPr="0004674B" w:rsidRDefault="0077369F" w:rsidP="00D82CF2">
            <w:pPr>
              <w:rPr>
                <w:rFonts w:cs="Times New Roman"/>
                <w:noProof/>
                <w:lang w:val="en-GB"/>
              </w:rPr>
            </w:pPr>
            <w:r w:rsidRPr="0004674B">
              <w:rPr>
                <w:rFonts w:cs="Times New Roman"/>
                <w:noProof/>
                <w:lang w:val="en-GB"/>
              </w:rPr>
              <w:t>Mediterranean Sea</w:t>
            </w:r>
          </w:p>
        </w:tc>
        <w:tc>
          <w:tcPr>
            <w:tcW w:w="1747" w:type="dxa"/>
          </w:tcPr>
          <w:p w14:paraId="17B4B2FB" w14:textId="77777777" w:rsidR="0077369F" w:rsidRPr="00145A89" w:rsidRDefault="001A6E3C" w:rsidP="00D82CF2">
            <w:pPr>
              <w:rPr>
                <w:rFonts w:cs="Times New Roman"/>
                <w:noProof/>
                <w:lang w:val="en-GB"/>
              </w:rPr>
            </w:pPr>
            <w:r>
              <w:rPr>
                <w:rFonts w:cs="Times New Roman"/>
                <w:noProof/>
                <w:lang w:val="en-GB"/>
              </w:rPr>
              <w:t>Ireland-Biscay-Iberia (IBI)-</w:t>
            </w:r>
            <w:r w:rsidR="0077369F" w:rsidRPr="00145A89">
              <w:rPr>
                <w:rFonts w:cs="Times New Roman"/>
                <w:noProof/>
                <w:lang w:val="en-GB"/>
              </w:rPr>
              <w:t>Mediterranean</w:t>
            </w:r>
          </w:p>
        </w:tc>
        <w:tc>
          <w:tcPr>
            <w:tcW w:w="1748" w:type="dxa"/>
          </w:tcPr>
          <w:p w14:paraId="0A42F485" w14:textId="77777777" w:rsidR="0077369F" w:rsidRPr="0004674B" w:rsidRDefault="0077369F" w:rsidP="00D82CF2">
            <w:pPr>
              <w:rPr>
                <w:rFonts w:cs="Times New Roman"/>
                <w:noProof/>
                <w:lang w:val="en-GB"/>
              </w:rPr>
            </w:pPr>
            <w:r w:rsidRPr="0004674B">
              <w:rPr>
                <w:rFonts w:cs="Times New Roman"/>
                <w:noProof/>
                <w:lang w:val="en-GB"/>
              </w:rPr>
              <w:t>IBI-Mediterranean</w:t>
            </w:r>
          </w:p>
        </w:tc>
        <w:tc>
          <w:tcPr>
            <w:tcW w:w="1748" w:type="dxa"/>
          </w:tcPr>
          <w:p w14:paraId="45AB41AC" w14:textId="77777777" w:rsidR="0077369F" w:rsidRPr="0004674B" w:rsidRDefault="0077369F" w:rsidP="00D82CF2">
            <w:pPr>
              <w:rPr>
                <w:rFonts w:cs="Times New Roman"/>
                <w:noProof/>
                <w:lang w:val="en-GB"/>
              </w:rPr>
            </w:pPr>
            <w:r w:rsidRPr="0004674B">
              <w:rPr>
                <w:rFonts w:cs="Times New Roman"/>
                <w:noProof/>
                <w:lang w:val="en-GB"/>
              </w:rPr>
              <w:t>Mediterranean Sea</w:t>
            </w:r>
          </w:p>
        </w:tc>
      </w:tr>
      <w:tr w:rsidR="0077369F" w:rsidRPr="007B6E15" w14:paraId="5E429236" w14:textId="77777777" w:rsidTr="00D82CF2">
        <w:tc>
          <w:tcPr>
            <w:tcW w:w="1747" w:type="dxa"/>
          </w:tcPr>
          <w:p w14:paraId="54297846" w14:textId="77777777" w:rsidR="0077369F" w:rsidRPr="0004674B" w:rsidRDefault="0077369F" w:rsidP="00D82CF2">
            <w:pPr>
              <w:rPr>
                <w:rFonts w:cs="Times New Roman"/>
                <w:noProof/>
                <w:lang w:val="en-GB"/>
              </w:rPr>
            </w:pPr>
            <w:r w:rsidRPr="0004674B">
              <w:rPr>
                <w:rFonts w:cs="Times New Roman"/>
                <w:noProof/>
                <w:lang w:val="en-GB"/>
              </w:rPr>
              <w:t>Horizontal Resolution. Vertical levels</w:t>
            </w:r>
          </w:p>
        </w:tc>
        <w:tc>
          <w:tcPr>
            <w:tcW w:w="1748" w:type="dxa"/>
          </w:tcPr>
          <w:p w14:paraId="55F7F569" w14:textId="367F85D5" w:rsidR="0077369F" w:rsidRPr="007B6E15" w:rsidRDefault="0077369F" w:rsidP="00145A89">
            <w:pPr>
              <w:rPr>
                <w:rFonts w:cs="Times New Roman"/>
              </w:rPr>
            </w:pPr>
            <w:r w:rsidRPr="0004674B">
              <w:rPr>
                <w:rFonts w:cs="Times New Roman"/>
                <w:lang w:val="en-GB"/>
              </w:rPr>
              <w:t xml:space="preserve">1/16º. 72 unevenly spaced vertical levels </w:t>
            </w:r>
            <w:r w:rsidR="00597288" w:rsidRPr="007B6E15">
              <w:rPr>
                <w:rFonts w:cs="Times New Roman"/>
              </w:rPr>
              <w:fldChar w:fldCharType="begin" w:fldLock="1"/>
            </w:r>
            <w:r w:rsidR="00D53E97">
              <w:rPr>
                <w:rFonts w:cs="Times New Roman"/>
                <w:lang w:val="en-GB"/>
              </w:rPr>
              <w:instrText>ADDIN CSL_CITATION {"citationItems":[{"id":"ITEM-1","itemData":{"DOI":"10.5194/os-5-461-2009","ISBN":"1812-0792","ISSN":"1812-0792","abstract":"A new numerical general circulation ocean model for the Mediterranean Sea has been implemented nested within an Atlantic general circulation model within the framework of the Marine Environment and Security for the European Area project (MERSEA, Desaubies, 2006). A 4-year twin experiment was carried out from January 2004 to December 2007 with two different models to evaluate the impact on the Mediterranean Sea circulation of open lateral boundary conditions in the Atlantic Ocean. One model considers a closed lateral boundary in a large Atlantic box and the other is nested in the same box in a global ocean circulation model. Impact was observed comparing the two simulations with independent observations: ARGO for temperature and salinity profiles and tide gauges and along-track satellite observations for the sea surface height. The improvement in the nested Atlantic-Mediterranean model with respect to the closed one is particularly evident in the salinity characteristics of the Modified Atlantic Water and in the Mediterranean sea level seasonal variability.","author":[{"dropping-particle":"","family":"Oddo","given":"P.","non-dropping-particle":"","parse-names":false,"suffix":""},{"dropping-particle":"","family":"Adani","given":"M.","non-dropping-particle":"","parse-names":false,"suffix":""},{"dropping-particle":"","family":"Pinardi","given":"N.","non-dropping-particle":"","parse-names":false,"suffix":""},{"dropping-particle":"","family":"Fratianni","given":"C.","non-dropping-particle":"","parse-names":false,"suffix":""},{"dropping-particle":"","family":"Tonani","given":"M.","non-dropping-particle":"","parse-names":false,"suffix":""},{"dropping-particle":"","family":"Pettenuzzo","given":"D.","non-dropping-particle":"","parse-names":false,"suffix":""}],"container-title":"Ocean Science","id":"ITEM-1","issue":"4","issued":{"date-parts":[["2009"]]},"page":"461-473","title":"A nested Atlantic-Mediterranean Sea general circulation model for operational forecasting","type":"article-journal","volume":"5"},"uris":["http://www.mendeley.com/documents/?uuid=f953e0e2-e56a-4c8a-939b-cd17fa6bb168"]}],"mendeley":{"formattedCitation":"(Oddo et al., 2009)","plainTextFormattedCitation":"(Oddo et al., 2009)","previouslyFormattedCitation":"(Oddo et al., 2009)"},"properties":{"noteIndex":0},"schema":"https://github.com/citation-style-language/schema/raw/master/csl-citation.json"}</w:instrText>
            </w:r>
            <w:r w:rsidR="00597288" w:rsidRPr="007B6E15">
              <w:rPr>
                <w:rFonts w:cs="Times New Roman"/>
              </w:rPr>
              <w:fldChar w:fldCharType="separate"/>
            </w:r>
            <w:r w:rsidR="00145A89" w:rsidRPr="00145A89">
              <w:rPr>
                <w:rFonts w:cs="Times New Roman"/>
                <w:noProof/>
              </w:rPr>
              <w:t>(Oddo et al., 2009)</w:t>
            </w:r>
            <w:r w:rsidR="00597288" w:rsidRPr="007B6E15">
              <w:rPr>
                <w:rFonts w:cs="Times New Roman"/>
              </w:rPr>
              <w:fldChar w:fldCharType="end"/>
            </w:r>
          </w:p>
        </w:tc>
        <w:tc>
          <w:tcPr>
            <w:tcW w:w="1747" w:type="dxa"/>
          </w:tcPr>
          <w:p w14:paraId="112E4616" w14:textId="1422D242" w:rsidR="0077369F" w:rsidRPr="007B6E15" w:rsidRDefault="0077369F" w:rsidP="00D82CF2">
            <w:pPr>
              <w:rPr>
                <w:rFonts w:cs="Times New Roman"/>
                <w:noProof/>
              </w:rPr>
            </w:pPr>
            <w:r w:rsidRPr="007B6E15">
              <w:rPr>
                <w:rFonts w:cs="Times New Roman"/>
                <w:noProof/>
              </w:rPr>
              <w:t>1/12º. 75 z-levels</w:t>
            </w:r>
            <w:r w:rsidR="0004674B">
              <w:rPr>
                <w:rFonts w:cs="Times New Roman"/>
                <w:noProof/>
              </w:rPr>
              <w:t xml:space="preserve">, </w:t>
            </w:r>
            <w:r w:rsidRPr="007B6E15">
              <w:rPr>
                <w:rFonts w:cs="Times New Roman"/>
                <w:noProof/>
              </w:rPr>
              <w:t>geopotential vertical levels (z coordinate)</w:t>
            </w:r>
          </w:p>
        </w:tc>
        <w:tc>
          <w:tcPr>
            <w:tcW w:w="1748" w:type="dxa"/>
          </w:tcPr>
          <w:p w14:paraId="37438093" w14:textId="77777777" w:rsidR="0077369F" w:rsidRPr="007B6E15" w:rsidRDefault="0077369F" w:rsidP="00D82CF2">
            <w:pPr>
              <w:rPr>
                <w:rFonts w:cs="Times New Roman"/>
                <w:noProof/>
              </w:rPr>
            </w:pPr>
            <w:r w:rsidRPr="007B6E15">
              <w:rPr>
                <w:rFonts w:cs="Times New Roman"/>
                <w:noProof/>
              </w:rPr>
              <w:t>1/10º . 40 sigma levels</w:t>
            </w:r>
          </w:p>
        </w:tc>
        <w:tc>
          <w:tcPr>
            <w:tcW w:w="1748" w:type="dxa"/>
          </w:tcPr>
          <w:p w14:paraId="33A8654A" w14:textId="77777777" w:rsidR="0077369F" w:rsidRPr="007B6E15" w:rsidRDefault="0077369F" w:rsidP="00D82CF2">
            <w:pPr>
              <w:rPr>
                <w:rFonts w:cs="Times New Roman"/>
                <w:noProof/>
              </w:rPr>
            </w:pPr>
            <w:r w:rsidRPr="007B6E15">
              <w:rPr>
                <w:rFonts w:cs="Times New Roman"/>
                <w:noProof/>
              </w:rPr>
              <w:t>1/12º</w:t>
            </w:r>
            <w:r w:rsidRPr="007B6E15">
              <w:rPr>
                <w:rFonts w:cs="Times New Roman"/>
              </w:rPr>
              <w:t>. 25 vertical sigma layers</w:t>
            </w:r>
          </w:p>
        </w:tc>
      </w:tr>
      <w:tr w:rsidR="0077369F" w:rsidRPr="007B6E15" w14:paraId="7125955E" w14:textId="77777777" w:rsidTr="00D82CF2">
        <w:tc>
          <w:tcPr>
            <w:tcW w:w="1747" w:type="dxa"/>
          </w:tcPr>
          <w:p w14:paraId="3AF002A6" w14:textId="77777777" w:rsidR="0077369F" w:rsidRPr="007B6E15" w:rsidRDefault="0077369F" w:rsidP="00D82CF2">
            <w:pPr>
              <w:rPr>
                <w:rFonts w:cs="Times New Roman"/>
                <w:noProof/>
              </w:rPr>
            </w:pPr>
            <w:r w:rsidRPr="007B6E15">
              <w:rPr>
                <w:rFonts w:cs="Times New Roman"/>
                <w:noProof/>
              </w:rPr>
              <w:t>Atmospheric forcing</w:t>
            </w:r>
          </w:p>
          <w:p w14:paraId="24A27CC3" w14:textId="77777777" w:rsidR="0077369F" w:rsidRPr="007B6E15" w:rsidRDefault="0077369F" w:rsidP="00D82CF2">
            <w:pPr>
              <w:rPr>
                <w:rFonts w:cs="Times New Roman"/>
                <w:noProof/>
              </w:rPr>
            </w:pPr>
          </w:p>
        </w:tc>
        <w:tc>
          <w:tcPr>
            <w:tcW w:w="1748" w:type="dxa"/>
          </w:tcPr>
          <w:p w14:paraId="0899123F" w14:textId="55C3ECAD" w:rsidR="0077369F" w:rsidRPr="007B6E15" w:rsidRDefault="0077369F" w:rsidP="00145A89">
            <w:pPr>
              <w:rPr>
                <w:rFonts w:cs="Times New Roman"/>
                <w:noProof/>
              </w:rPr>
            </w:pPr>
            <w:r w:rsidRPr="007B6E15">
              <w:rPr>
                <w:rFonts w:cs="Times New Roman"/>
              </w:rPr>
              <w:t xml:space="preserve">6-h ERA Interim ECMWF atmospheric data </w:t>
            </w:r>
            <w:r w:rsidR="00597288" w:rsidRPr="007B6E15">
              <w:rPr>
                <w:rFonts w:cs="Times New Roman"/>
              </w:rPr>
              <w:fldChar w:fldCharType="begin" w:fldLock="1"/>
            </w:r>
            <w:r w:rsidR="00D53E97">
              <w:rPr>
                <w:rFonts w:cs="Times New Roman"/>
              </w:rPr>
              <w:instrText>ADDIN CSL_CITATION {"citationItems":[{"id":"ITEM-1","itemData":{"DOI":"10.1002/qj.828","ISBN":"1477-870X","ISSN":"00359009","abstract":"ERA-Interim is the latest global atmospheric reanalysis produced by the European Centre for Medium-Range Weather Forecasts (ECMWF). The ERA-Interim project was conducted in part to prepare for a new atmospheric reanalysis to replace ERA-40, which will extend back to the early part of the twentieth century. This article describes the forecast model, data assimilation method, and input datasets used to produce ERA-Interim, and discusses the performance of the system. Special emphasis is placed on various difficulties encountered in the production of ERA-40, including the representation of the hydrological cycle, the quality of the stratospheric circulation, and the consistency in time of the reanalysed fields. We provide evidence for substantial improvements in each of these aspects. We also identify areas where further work is needed and describe opportunities and objectives for future reanalysis projects at ECMWF","author":[{"dropping-particle":"","family":"Dee","given":"D. P.","non-dropping-particle":"","parse-names":false,"suffix":""},{"dropping-particle":"","family":"Uppala","given":"S. M.","non-dropping-particle":"","parse-names":false,"suffix":""},{"dropping-particle":"","family":"Simmons","given":"A. J.","non-dropping-particle":"","parse-names":false,"suffix":""},{"dropping-particle":"","family":"Berrisford","given":"P.","non-dropping-particle":"","parse-names":false,"suffix":""},{"dropping-particle":"","family":"Poli","given":"P.","non-dropping-particle":"","parse-names":false,"suffix":""},{"dropping-particle":"","family":"Kobayashi","given":"S.","non-dropping-particle":"","parse-names":false,"suffix":""},{"dropping-particle":"","family":"Andrae","given":"U.","non-dropping-particle":"","parse-names":false,"suffix":""},{"dropping-particle":"","family":"Balmaseda","given":"M. A.","non-dropping-particle":"","parse-names":false,"suffix":""},{"dropping-particle":"","family":"Balsamo","given":"G.","non-dropping-particle":"","parse-names":false,"suffix":""},{"dropping-particle":"","family":"Bauer","given":"P.","non-dropping-particle":"","parse-names":false,"suffix":""},{"dropping-particle":"","family":"Bechtold","given":"P.","non-dropping-particle":"","parse-names":false,"suffix":""},{"dropping-particle":"","family":"Beljaars","given":"A. C.M.","non-dropping-particle":"","parse-names":false,"suffix":""},{"dropping-particle":"","family":"Berg","given":"L.","non-dropping-particle":"van de","parse-names":false,"suffix":""},{"dropping-particle":"","family":"Bidlot","given":"J.","non-dropping-particle":"","parse-names":false,"suffix":""},{"dropping-particle":"","family":"Bormann","given":"N.","non-dropping-particle":"","parse-names":false,"suffix":""},{"dropping-particle":"","family":"Delsol","given":"C.","non-dropping-particle":"","parse-names":false,"suffix":""},{"dropping-particle":"","family":"Dragani","given":"R.","non-dropping-particle":"","parse-names":false,"suffix":""},{"dropping-particle":"","family":"Fuentes","given":"M.","non-dropping-particle":"","parse-names":false,"suffix":""},{"dropping-particle":"","family":"Geer","given":"A. J.","non-dropping-particle":"","parse-names":false,"suffix":""},{"dropping-particle":"","family":"Haimberger","given":"L.","non-dropping-particle":"","parse-names":false,"suffix":""},{"dropping-particle":"","family":"Healy","given":"S. B.","non-dropping-particle":"","parse-names":false,"suffix":""},{"dropping-particle":"","family":"Hersbach","given":"H.","non-dropping-particle":"","parse-names":false,"suffix":""},{"dropping-particle":"V.","family":"Hólm","given":"E.","non-dropping-particle":"","parse-names":false,"suffix":""},{"dropping-particle":"","family":"Isaksen","given":"L.","non-dropping-particle":"","parse-names":false,"suffix":""},{"dropping-particle":"","family":"Kållberg","given":"P.","non-dropping-particle":"","parse-names":false,"suffix":""},{"dropping-particle":"","family":"Köhler","given":"M.","non-dropping-particle":"","parse-names":false,"suffix":""},{"dropping-particle":"","family":"Matricardi","given":"M.","non-dropping-particle":"","parse-names":false,"suffix":""},{"dropping-particle":"","family":"Mcnally","given":"A. P.","non-dropping-particle":"","parse-names":false,"suffix":""},{"dropping-particle":"","family":"Monge-Sanz","given":"B. M.","non-dropping-particle":"","parse-names":false,"suffix":""},{"dropping-particle":"","family":"Morcrette","given":"J. J.","non-dropping-particle":"","parse-names":false,"suffix":""},{"dropping-particle":"","family":"Park","given":"B. K.","non-dropping-particle":"","parse-names":false,"suffix":""},{"dropping-particle":"","family":"Peubey","given":"C.","non-dropping-particle":"","parse-names":false,"suffix":""},{"dropping-particle":"","family":"Rosnay","given":"P.","non-dropping-particle":"de","parse-names":false,"suffix":""},{"dropping-particle":"","family":"Tavolato","given":"C.","non-dropping-particle":"","parse-names":false,"suffix":""},{"dropping-particle":"","family":"Thépaut","given":"J. N.","non-dropping-particle":"","parse-names":false,"suffix":""},{"dropping-particle":"","family":"Vitart","given":"F.","non-dropping-particle":"","parse-names":false,"suffix":""}],"container-title":"Quarterly Journal of the Royal Meteorological Society","id":"ITEM-1","issue":"656","issued":{"date-parts":[["2011"]]},"page":"553-597","title":"The ERA-Interim reanalysis: Configuration and performance of the data assimilation system","type":"article-journal","volume":"137"},"uris":["http://www.mendeley.com/documents/?uuid=7c59693a-6e75-4e4c-abc8-0657aeb92a09"]}],"mendeley":{"formattedCitation":"(Dee et al., 2011)","plainTextFormattedCitation":"(Dee et al., 2011)","previouslyFormattedCitation":"(Dee et al., 2011)"},"properties":{"noteIndex":0},"schema":"https://github.com/citation-style-language/schema/raw/master/csl-citation.json"}</w:instrText>
            </w:r>
            <w:r w:rsidR="00597288" w:rsidRPr="007B6E15">
              <w:rPr>
                <w:rFonts w:cs="Times New Roman"/>
              </w:rPr>
              <w:fldChar w:fldCharType="separate"/>
            </w:r>
            <w:r w:rsidR="00145A89" w:rsidRPr="00145A89">
              <w:rPr>
                <w:rFonts w:cs="Times New Roman"/>
                <w:noProof/>
              </w:rPr>
              <w:t>(Dee et al., 2011)</w:t>
            </w:r>
            <w:r w:rsidR="00597288" w:rsidRPr="007B6E15">
              <w:rPr>
                <w:rFonts w:cs="Times New Roman"/>
              </w:rPr>
              <w:fldChar w:fldCharType="end"/>
            </w:r>
          </w:p>
        </w:tc>
        <w:tc>
          <w:tcPr>
            <w:tcW w:w="1747" w:type="dxa"/>
          </w:tcPr>
          <w:p w14:paraId="735DA059" w14:textId="77777777" w:rsidR="0077369F" w:rsidRPr="007B6E15" w:rsidRDefault="0077369F" w:rsidP="00D82CF2">
            <w:pPr>
              <w:rPr>
                <w:rFonts w:cs="Times New Roman"/>
                <w:noProof/>
              </w:rPr>
            </w:pPr>
            <w:r w:rsidRPr="007B6E15">
              <w:rPr>
                <w:rFonts w:cs="Times New Roman"/>
              </w:rPr>
              <w:t>3-h ERA Interim ECMWF atmospheric data</w:t>
            </w:r>
          </w:p>
        </w:tc>
        <w:tc>
          <w:tcPr>
            <w:tcW w:w="1748" w:type="dxa"/>
          </w:tcPr>
          <w:p w14:paraId="69DD6FA4" w14:textId="77777777" w:rsidR="0077369F" w:rsidRPr="007B6E15" w:rsidRDefault="0077369F" w:rsidP="00D82CF2">
            <w:pPr>
              <w:rPr>
                <w:rFonts w:cs="Times New Roman"/>
              </w:rPr>
            </w:pPr>
            <w:r w:rsidRPr="007B6E15">
              <w:rPr>
                <w:rFonts w:cs="Times New Roman"/>
              </w:rPr>
              <w:t>6-h ERA Interim ECMWF atmospheric data</w:t>
            </w:r>
          </w:p>
        </w:tc>
        <w:tc>
          <w:tcPr>
            <w:tcW w:w="1748" w:type="dxa"/>
          </w:tcPr>
          <w:p w14:paraId="6F10C369" w14:textId="77777777" w:rsidR="0077369F" w:rsidRPr="007B6E15" w:rsidRDefault="0077369F" w:rsidP="00D82CF2">
            <w:pPr>
              <w:rPr>
                <w:rFonts w:cs="Times New Roman"/>
              </w:rPr>
            </w:pPr>
            <w:r w:rsidRPr="007B6E15">
              <w:rPr>
                <w:rFonts w:cs="Times New Roman"/>
              </w:rPr>
              <w:t>6-h ERA Interim ECMWF atmospheric data</w:t>
            </w:r>
          </w:p>
        </w:tc>
      </w:tr>
      <w:tr w:rsidR="0077369F" w:rsidRPr="007B6E15" w14:paraId="5134BAD8" w14:textId="77777777" w:rsidTr="00D82CF2">
        <w:tc>
          <w:tcPr>
            <w:tcW w:w="1747" w:type="dxa"/>
          </w:tcPr>
          <w:p w14:paraId="49E02BA9" w14:textId="77777777" w:rsidR="0077369F" w:rsidRPr="007B6E15" w:rsidRDefault="0077369F" w:rsidP="00D82CF2">
            <w:pPr>
              <w:rPr>
                <w:rFonts w:cs="Times New Roman"/>
                <w:noProof/>
              </w:rPr>
            </w:pPr>
            <w:r w:rsidRPr="007B6E15">
              <w:rPr>
                <w:rFonts w:cs="Times New Roman"/>
                <w:noProof/>
              </w:rPr>
              <w:t>Rivers runoff dataset</w:t>
            </w:r>
          </w:p>
        </w:tc>
        <w:tc>
          <w:tcPr>
            <w:tcW w:w="1748" w:type="dxa"/>
          </w:tcPr>
          <w:p w14:paraId="37F7DD9E" w14:textId="347E3EFF" w:rsidR="0077369F" w:rsidRPr="007B6E15" w:rsidRDefault="0077369F" w:rsidP="00145A89">
            <w:pPr>
              <w:rPr>
                <w:rFonts w:cs="Times New Roman"/>
              </w:rPr>
            </w:pPr>
            <w:r w:rsidRPr="007B6E15">
              <w:rPr>
                <w:rFonts w:cs="Times New Roman"/>
              </w:rPr>
              <w:t xml:space="preserve">monthly mean from CMAP </w:t>
            </w:r>
            <w:r w:rsidR="00597288" w:rsidRPr="007B6E15">
              <w:rPr>
                <w:rFonts w:cs="Times New Roman"/>
              </w:rPr>
              <w:fldChar w:fldCharType="begin" w:fldLock="1"/>
            </w:r>
            <w:r w:rsidR="00D53E97">
              <w:rPr>
                <w:rFonts w:cs="Times New Roman"/>
              </w:rPr>
              <w:instrText>ADDIN CSL_CITATION {"citationItems":[{"id":"ITEM-1","itemData":{"DOI":"10.1175/1520-0477(1997)078&lt;2539:GPAYMA&gt;2.0.CO;2","ISBN":"0003-0007","ISSN":"00030007","PMID":"16039815","abstract":"Gridded fields (analyses) of global monthly precipitation have been constructed on a 2.5° latitude–longitude grid for the 17-yr period from 1979 to 1995 by merging several kinds of information sources with different characteristics, in- cluding gauge observations, estimates inferred from a variety of satellite observations, and the NCEP–NCAR reanaly- sis. This new dataset, which the authors have named the CPC Merged Analysis of Precipitation (CMAP), contains pre- cipitation distributions with full global coverage and improved quality compared to the individual data sources. Exami- nations showed no discontinuity during the 17-yr period, despite the different data sources used for the different subperiods. Comparisons of the CMAP with the merged analysis of Huffman et al. revealed remarkable agreements over the global land areas and over tropical and subtropical oceanic areas, with differences observed over extratropical oceanic areas. The 17-yr CMAP dataset is used to investigate the annual and interannual variability in large-scale precipitation. The mean distribution and the annual cycle in the 17-yr dataset exhibit reasonable agreement with existing long-term means except over the eastern tropical Pacific. The interannual variability associated with the El Niño–Southern Oscillation phenomenon resembles that found in previous studies, but with substantial additional details, particularly over the oceans. With complete global coverage, extended period and improved quality, the 17-yr dataset of the CMAP provides very useful information for climate analysis, numerical model validation, hydrological research, and many other applications. Further work is under way to improve the quality, extend the temporal coverage, and to refine the resolution of the merged analysis.","author":[{"dropping-particle":"","family":"Xie","given":"Pingping","non-dropping-particle":"","parse-names":false,"suffix":""},{"dropping-particle":"","family":"Arkin","given":"Phillip A.","non-dropping-particle":"","parse-names":false,"suffix":""}],"container-title":"Bulletin of the American Meteorological Society","id":"ITEM-1","issue":"11","issued":{"date-parts":[["1997"]]},"page":"2539-2558","title":"Global Precipitation: A 17-Year Monthly Analysis Based on Gauge Observations, Satellite Estimates, and Numerical Model Outputs","type":"article-journal","volume":"78"},"uris":["http://www.mendeley.com/documents/?uuid=565ad9ef-a442-4449-982c-698c205c3119"]}],"mendeley":{"formattedCitation":"(Xie and Arkin, 1997)","plainTextFormattedCitation":"(Xie and Arkin, 1997)","previouslyFormattedCitation":"(Xie and Arkin, 1997)"},"properties":{"noteIndex":0},"schema":"https://github.com/citation-style-language/schema/raw/master/csl-citation.json"}</w:instrText>
            </w:r>
            <w:r w:rsidR="00597288" w:rsidRPr="007B6E15">
              <w:rPr>
                <w:rFonts w:cs="Times New Roman"/>
              </w:rPr>
              <w:fldChar w:fldCharType="separate"/>
            </w:r>
            <w:r w:rsidR="00145A89" w:rsidRPr="00145A89">
              <w:rPr>
                <w:rFonts w:cs="Times New Roman"/>
                <w:noProof/>
              </w:rPr>
              <w:t>(Xie and Arkin, 1997)</w:t>
            </w:r>
            <w:r w:rsidR="00597288" w:rsidRPr="007B6E15">
              <w:rPr>
                <w:rFonts w:cs="Times New Roman"/>
              </w:rPr>
              <w:fldChar w:fldCharType="end"/>
            </w:r>
            <w:r w:rsidRPr="007B6E15">
              <w:rPr>
                <w:rFonts w:cs="Times New Roman"/>
              </w:rPr>
              <w:t xml:space="preserve">. Ebro, Nile and Rhone for which the Global Runoff Data Centre </w:t>
            </w:r>
            <w:r w:rsidR="00597288" w:rsidRPr="007B6E15">
              <w:rPr>
                <w:rFonts w:cs="Times New Roman"/>
              </w:rPr>
              <w:fldChar w:fldCharType="begin" w:fldLock="1"/>
            </w:r>
            <w:r w:rsidR="00D53E97">
              <w:rPr>
                <w:rFonts w:cs="Times New Roman"/>
              </w:rPr>
              <w:instrText>ADDIN CSL_CITATION {"citationItems":[{"id":"ITEM-1","itemData":{"DOI":"10.1038/nrn1178","ISBN":"9788578110796","ISSN":"1471-003X","PMID":"12894239","author":[{"dropping-particle":"","family":"Fekete","given":"Balázs M.","non-dropping-particle":"","parse-names":false,"suffix":""},{"dropping-particle":"","family":"Vörösmarty","given":"Charles J.","non-dropping-particle":"","parse-names":false,"suffix":""},{"dropping-particle":"","family":"Grabs","given":"Wolfgang","non-dropping-particle":"","parse-names":false,"suffix":""}],"container-title":"Federal Institute of Hydrology (BfG)","id":"ITEM-1","issued":{"date-parts":[["2002"]]},"title":"Global, composite runoff field based on observed river discharge and simulated water balance","type":"article-journal"},"uris":["http://www.mendeley.com/documents/?uuid=6b47adcd-eb68-4530-ac01-f0540ee33d23"]}],"mendeley":{"formattedCitation":"(Fekete et al., 2002)","plainTextFormattedCitation":"(Fekete et al., 2002)","previouslyFormattedCitation":"(Fekete et al., 2002)"},"properties":{"noteIndex":0},"schema":"https://github.com/citation-style-language/schema/raw/master/csl-citation.json"}</w:instrText>
            </w:r>
            <w:r w:rsidR="00597288" w:rsidRPr="007B6E15">
              <w:rPr>
                <w:rFonts w:cs="Times New Roman"/>
              </w:rPr>
              <w:fldChar w:fldCharType="separate"/>
            </w:r>
            <w:r w:rsidR="00145A89" w:rsidRPr="00145A89">
              <w:rPr>
                <w:rFonts w:cs="Times New Roman"/>
                <w:noProof/>
              </w:rPr>
              <w:t>(Fekete et al., 2002)</w:t>
            </w:r>
            <w:r w:rsidR="00597288" w:rsidRPr="007B6E15">
              <w:rPr>
                <w:rFonts w:cs="Times New Roman"/>
              </w:rPr>
              <w:fldChar w:fldCharType="end"/>
            </w:r>
          </w:p>
        </w:tc>
        <w:tc>
          <w:tcPr>
            <w:tcW w:w="1747" w:type="dxa"/>
          </w:tcPr>
          <w:p w14:paraId="3AFDCD77" w14:textId="77777777" w:rsidR="0077369F" w:rsidRPr="007B6E15" w:rsidRDefault="0077369F" w:rsidP="00D82CF2">
            <w:pPr>
              <w:rPr>
                <w:rFonts w:cs="Times New Roman"/>
              </w:rPr>
            </w:pPr>
            <w:r w:rsidRPr="007B6E15">
              <w:rPr>
                <w:rFonts w:cs="Times New Roman"/>
              </w:rPr>
              <w:t>Daily SMHI &amp; PREVIMER &amp; Monthly climatology (GRDC)</w:t>
            </w:r>
          </w:p>
          <w:p w14:paraId="35C02A9E" w14:textId="77777777" w:rsidR="0077369F" w:rsidRPr="007B6E15" w:rsidRDefault="0077369F" w:rsidP="00D82CF2">
            <w:pPr>
              <w:rPr>
                <w:rFonts w:cs="Times New Roman"/>
                <w:noProof/>
              </w:rPr>
            </w:pPr>
          </w:p>
        </w:tc>
        <w:tc>
          <w:tcPr>
            <w:tcW w:w="1748" w:type="dxa"/>
          </w:tcPr>
          <w:p w14:paraId="282FC7D1" w14:textId="33D328B5" w:rsidR="0077369F" w:rsidRPr="007B6E15" w:rsidRDefault="0077369F" w:rsidP="00145A89">
            <w:pPr>
              <w:rPr>
                <w:rFonts w:cs="Times New Roman"/>
                <w:noProof/>
              </w:rPr>
            </w:pPr>
            <w:r w:rsidRPr="007B6E15">
              <w:rPr>
                <w:rFonts w:cs="Times New Roman"/>
              </w:rPr>
              <w:t>2</w:t>
            </w:r>
            <w:r w:rsidRPr="007B6E15">
              <w:rPr>
                <w:rFonts w:cs="Times New Roman"/>
                <w:vertAlign w:val="superscript"/>
              </w:rPr>
              <w:t>nd</w:t>
            </w:r>
            <w:r w:rsidRPr="007B6E15">
              <w:rPr>
                <w:rFonts w:cs="Times New Roman"/>
              </w:rPr>
              <w:t xml:space="preserve"> Global NEWS </w:t>
            </w:r>
            <w:r w:rsidR="00597288" w:rsidRPr="007B6E15">
              <w:rPr>
                <w:rFonts w:cs="Times New Roman"/>
              </w:rPr>
              <w:fldChar w:fldCharType="begin" w:fldLock="1"/>
            </w:r>
            <w:r w:rsidR="00D53E97">
              <w:rPr>
                <w:rFonts w:cs="Times New Roman"/>
              </w:rPr>
              <w:instrText>ADDIN CSL_CITATION {"citationItems":[{"id":"ITEM-1","itemData":{"DOI":"10.1016/j.envsoft.2010.01.007","ISBN":"1364-8152","ISSN":"13648152","abstract":"Global NEWS is a global, spatially explicit, multi-element and multi-form model of nutrient exports by rivers. Here we present NEWS 2, the new version of Global NEWS developed as part of a Millennium Ecosystem Assessment scenario implementation from hindcast (1970) to contemporary (2000) and future scenario trajectories (2030 &amp; 2050). We provide a detailed model description and present an overview of enhancements to input datasets, emphasizing an integrated view of nutrient form sub-models and contrasts with previous NEWS models (NEWS 1). An important difference with NEWS 1 is our unified model framework (multi-element, multi-form) that facilitates detailed watershed comparisons regionally and by element or form. NEWS 2 performs approximately as well as NEWS 1 while incorporating previously uncharacterized factors. Although contemporary global river export estimates for dissolved inorganic nitrogen (DIN) and particulates show notable reductions, they are within the range of previous studies; global exports for other nutrient forms are comparable to NEWS 1. NEWS 2 can be used as an effective tool to examine the impact of polices to reduce coastal eutrophication at regional to global scales. Continued enhancements will focus on the incorporation of other forms and sub-basin spatial variability in drivers and retention processes. © 2010 Elsevier Ltd. All rights reserved.","author":[{"dropping-particle":"","family":"Mayorga","given":"Emilio","non-dropping-particle":"","parse-names":false,"suffix":""},{"dropping-particle":"","family":"Seitzinger","given":"Sybil P.","non-dropping-particle":"","parse-names":false,"suffix":""},{"dropping-particle":"","family":"Harrison","given":"John A.","non-dropping-particle":"","parse-names":false,"suffix":""},{"dropping-particle":"","family":"Dumont","given":"Egon","non-dropping-particle":"","parse-names":false,"suffix":""},{"dropping-particle":"","family":"Beusen","given":"Arthur H.W.","non-dropping-particle":"","parse-names":false,"suffix":""},{"dropping-particle":"","family":"Bouwman","given":"A. F.","non-dropping-particle":"","parse-names":false,"suffix":""},{"dropping-particle":"","family":"Fekete","given":"Balazs M.","non-dropping-particle":"","parse-names":false,"suffix":""},{"dropping-particle":"","family":"Kroeze","given":"Carolien","non-dropping-particle":"","parse-names":false,"suffix":""},{"dropping-particle":"","family":"Drecht","given":"Gerard","non-dropping-particle":"Van","parse-names":false,"suffix":""}],"container-title":"Environmental Modelling and Software","id":"ITEM-1","issue":"7","issued":{"date-parts":[["2010"]]},"page":"837-853","title":"Global Nutrient Export from WaterSheds 2 (NEWS 2): Model development and implementation","type":"article-journal","volume":"25"},"uris":["http://www.mendeley.com/documents/?uuid=695ed794-b970-4e74-ad19-305fe45cdcce"]}],"mendeley":{"formattedCitation":"(Mayorga et al., 2010)","plainTextFormattedCitation":"(Mayorga et al., 2010)","previouslyFormattedCitation":"(Mayorga et al., 2010)"},"properties":{"noteIndex":0},"schema":"https://github.com/citation-style-language/schema/raw/master/csl-citation.json"}</w:instrText>
            </w:r>
            <w:r w:rsidR="00597288" w:rsidRPr="007B6E15">
              <w:rPr>
                <w:rFonts w:cs="Times New Roman"/>
              </w:rPr>
              <w:fldChar w:fldCharType="separate"/>
            </w:r>
            <w:r w:rsidR="00145A89" w:rsidRPr="00145A89">
              <w:rPr>
                <w:rFonts w:cs="Times New Roman"/>
                <w:noProof/>
              </w:rPr>
              <w:t>(Mayorga et al., 2010)</w:t>
            </w:r>
            <w:r w:rsidR="00597288" w:rsidRPr="007B6E15">
              <w:rPr>
                <w:rFonts w:cs="Times New Roman"/>
              </w:rPr>
              <w:fldChar w:fldCharType="end"/>
            </w:r>
            <w:r w:rsidRPr="007B6E15">
              <w:rPr>
                <w:rFonts w:cs="Times New Roman"/>
              </w:rPr>
              <w:t xml:space="preserve">, with monthly variation based on </w:t>
            </w:r>
            <w:r w:rsidR="00597288" w:rsidRPr="007B6E15">
              <w:rPr>
                <w:rFonts w:cs="Times New Roman"/>
              </w:rPr>
              <w:fldChar w:fldCharType="begin" w:fldLock="1"/>
            </w:r>
            <w:r w:rsidR="00D53E97">
              <w:rPr>
                <w:rFonts w:cs="Times New Roman"/>
              </w:rPr>
              <w:instrText>ADDIN CSL_CITATION {"citationItems":[{"id":"ITEM-1","itemData":{"DOI":"10.1175/1525-7541(2002)003&lt;0660:EOFDFC&gt;2.0.CO;2","ISBN":"1525-755X","ISSN":"1525-755X","abstract":"Annual and monthly mean values of continental freshwater discharge into the oceans are estimated at 18 resolution using several methods. The most accurate estimate is based on streamflow data from the world's largest 921 rivers, supplemented with estimates of discharge from unmonitored areas based on the ratios of runoff and drainage area between the unmonitored and monitored regions. Simulations using a river transport model (RTM) forced by a runoff field were used to derive the river mouth outflow from the farthest downstream gauge records. Separate estimates are also made using RTM simulations forced by three different runoff fields: 1) based on observed streamflow and a water balance model, and from estimates of precipitation P minus evaporation E computed as residuals from the atmospheric moisture budget using atmospheric reanalyses from 2) the National Centers for Environmental Prediction-National Center for Atmospheric Research (NCEP-NCAR) and 3) the European Centre for Medium-Range Weather Forecasts (ECMWF). Compared with previous estimates, improvements are made in extending observed discharge downstream to the river mouth, in accounting for the unmonitored streamflow, in discharging runoff at correct locations, and in providing an annual cycle of continental discharge. The use of river mouth outflow increases the global continental discharge by similar to19% compared with unadjusted streamflow from the farthest downstream stations. The river-based estimate of global continental discharge presented here is 37 288 +/- 662 km(3) yr(-1), which is similar to7.6% of global P or 35% of terrestrial P. While this number is comparable to earlier estimates, its partitioning into individual oceans and its latitudinal distribution differ from earlier studies. The peak discharges into the Arctic, the Pacific, and global oceans occur in June, versus May for the Atlantic and August for the Indian Oceans. Snow accumulation and melt are shown to have large effects on the annual cycle of discharge into all ocean basins except for the Indian Ocean and the Mediterranean and Black Seas. The discharge and its latitudinal distribution implied by the observation-based runoff and the ECMWF reanalysis-based P-E agree well with the river-based estimates, whereas the discharge implied by the NCEP-NCAR reanalysis-based P-E has a negative bias.","author":[{"dropping-particle":"","family":"Dai","given":"Aiguo","non-dropping-particle":"","parse-names":false,"suffix":""},{"dropping-particle":"","family":"Trenberth","given":"Kevin E.","non-dropping-particle":"","parse-names":false,"suffix":""}],"container-title":"Journal of Hydrometeorology","id":"ITEM-1","issue":"6","issued":{"date-parts":[["2002"]]},"page":"660-687","title":"Estimates of Freshwater Discharge from Continents: Latitudinal and Seasonal Variations","type":"article-journal","volume":"3"},"uris":["http://www.mendeley.com/documents/?uuid=190edd61-a609-4498-88ed-ef64fecf6ca0"]}],"mendeley":{"formattedCitation":"(Dai and Trenberth, 2002)","manualFormatting":"Dai and Trenberth (2002)","plainTextFormattedCitation":"(Dai and Trenberth, 2002)","previouslyFormattedCitation":"(Dai and Trenberth, 2002)"},"properties":{"noteIndex":0},"schema":"https://github.com/citation-style-language/schema/raw/master/csl-citation.json"}</w:instrText>
            </w:r>
            <w:r w:rsidR="00597288" w:rsidRPr="007B6E15">
              <w:rPr>
                <w:rFonts w:cs="Times New Roman"/>
              </w:rPr>
              <w:fldChar w:fldCharType="separate"/>
            </w:r>
            <w:r w:rsidRPr="007B6E15">
              <w:rPr>
                <w:rFonts w:cs="Times New Roman"/>
                <w:noProof/>
              </w:rPr>
              <w:t>Dai and Trenberth (2002)</w:t>
            </w:r>
            <w:r w:rsidR="00597288" w:rsidRPr="007B6E15">
              <w:rPr>
                <w:rFonts w:cs="Times New Roman"/>
              </w:rPr>
              <w:fldChar w:fldCharType="end"/>
            </w:r>
          </w:p>
        </w:tc>
        <w:tc>
          <w:tcPr>
            <w:tcW w:w="1748" w:type="dxa"/>
          </w:tcPr>
          <w:p w14:paraId="4C115D4A" w14:textId="77777777" w:rsidR="0077369F" w:rsidRPr="007B6E15" w:rsidRDefault="0077369F" w:rsidP="00D82CF2">
            <w:pPr>
              <w:rPr>
                <w:rFonts w:cs="Times New Roman"/>
              </w:rPr>
            </w:pPr>
            <w:r w:rsidRPr="007B6E15">
              <w:rPr>
                <w:rFonts w:cs="Times New Roman"/>
              </w:rPr>
              <w:t>Monthly Global River Data Center (GRDC, Germany)</w:t>
            </w:r>
          </w:p>
        </w:tc>
      </w:tr>
      <w:tr w:rsidR="0077369F" w:rsidRPr="007B6E15" w14:paraId="50F08AA1" w14:textId="77777777" w:rsidTr="00D82CF2">
        <w:tc>
          <w:tcPr>
            <w:tcW w:w="1747" w:type="dxa"/>
          </w:tcPr>
          <w:p w14:paraId="6EF0DDF0" w14:textId="77777777" w:rsidR="0077369F" w:rsidRPr="007B6E15" w:rsidRDefault="0077369F" w:rsidP="00D82CF2">
            <w:pPr>
              <w:rPr>
                <w:rFonts w:cs="Times New Roman"/>
                <w:noProof/>
              </w:rPr>
            </w:pPr>
            <w:r w:rsidRPr="007B6E15">
              <w:rPr>
                <w:rFonts w:cs="Times New Roman"/>
                <w:noProof/>
              </w:rPr>
              <w:lastRenderedPageBreak/>
              <w:t>Assimilation data and scheme</w:t>
            </w:r>
          </w:p>
        </w:tc>
        <w:tc>
          <w:tcPr>
            <w:tcW w:w="1748" w:type="dxa"/>
          </w:tcPr>
          <w:p w14:paraId="297F287D" w14:textId="77777777" w:rsidR="0077369F" w:rsidRPr="007B6E15" w:rsidRDefault="0077369F" w:rsidP="00D82CF2">
            <w:pPr>
              <w:rPr>
                <w:rFonts w:cs="Times New Roman"/>
              </w:rPr>
            </w:pPr>
            <w:r w:rsidRPr="007B6E15">
              <w:rPr>
                <w:rFonts w:cs="Times New Roman"/>
              </w:rPr>
              <w:t>Satellite: SSH,SST.</w:t>
            </w:r>
          </w:p>
          <w:p w14:paraId="0E411742" w14:textId="439C39AB" w:rsidR="0077369F" w:rsidRPr="007B6E15" w:rsidRDefault="0077369F" w:rsidP="00145A89">
            <w:pPr>
              <w:rPr>
                <w:rFonts w:cs="Times New Roman"/>
                <w:noProof/>
              </w:rPr>
            </w:pPr>
            <w:r w:rsidRPr="007B6E15">
              <w:rPr>
                <w:rFonts w:cs="Times New Roman"/>
                <w:i/>
              </w:rPr>
              <w:t xml:space="preserve">in situ </w:t>
            </w:r>
            <w:r w:rsidRPr="007B6E15">
              <w:rPr>
                <w:rFonts w:cs="Times New Roman"/>
              </w:rPr>
              <w:t xml:space="preserve">observations: temperature and salinity profiles. OCEANVAR scheme developed </w:t>
            </w:r>
            <w:r w:rsidR="00597288" w:rsidRPr="007B6E15">
              <w:rPr>
                <w:rFonts w:cs="Times New Roman"/>
              </w:rPr>
              <w:fldChar w:fldCharType="begin" w:fldLock="1"/>
            </w:r>
            <w:r w:rsidR="00D53E97">
              <w:rPr>
                <w:rFonts w:cs="Times New Roman"/>
              </w:rPr>
              <w:instrText>ADDIN CSL_CITATION {"citationItems":[{"id":"ITEM-1","itemData":{"DOI":"10.1016/j.ocemod.2008.01.004","ISBN":"14635003","ISSN":"14635003","abstract":"This study describes the development and evaluation of an oceanographic three-dimensional variational (3D-VAR) data assimilation scheme based on a novel specification of the background error covariances. The new 3D-VAR scheme allows for regional variability of the background error covariance matrix, complex coastal boundary conditions and variable bottom topography. The error covariance matrix is formed by the successive application of linear operators that can consider vertical EOFs, horizontal covariance functions that consider coastlines, sea level corrections that vary from shallow to deep regions and divergence dumping of velocity corrections near the coasts. The scheme is applied to the Mediterranean Sea and the quality of analysis is assessed by comparing background estimates with observations in the period October 2005-October 2006. © 2008 Elsevier Ltd. All rights reserved.","author":[{"dropping-particle":"","family":"Dobricic","given":"Srdjan","non-dropping-particle":"","parse-names":false,"suffix":""},{"dropping-particle":"","family":"Pinardi","given":"Nadia","non-dropping-particle":"","parse-names":false,"suffix":""}],"container-title":"Ocean Modelling","id":"ITEM-1","issue":"3-4","issued":{"date-parts":[["2008"]]},"page":"89-105","title":"An oceanographic three-dimensional variational data assimilation scheme","type":"article-journal","volume":"22"},"uris":["http://www.mendeley.com/documents/?uuid=4449b1dd-6160-4ca0-9e6d-f22806cacfb4"]}],"mendeley":{"formattedCitation":"(Dobricic and Pinardi, 2008)","plainTextFormattedCitation":"(Dobricic and Pinardi, 2008)","previouslyFormattedCitation":"(Dobricic and Pinardi, 2008)"},"properties":{"noteIndex":0},"schema":"https://github.com/citation-style-language/schema/raw/master/csl-citation.json"}</w:instrText>
            </w:r>
            <w:r w:rsidR="00597288" w:rsidRPr="007B6E15">
              <w:rPr>
                <w:rFonts w:cs="Times New Roman"/>
              </w:rPr>
              <w:fldChar w:fldCharType="separate"/>
            </w:r>
            <w:r w:rsidR="00145A89" w:rsidRPr="00145A89">
              <w:rPr>
                <w:rFonts w:cs="Times New Roman"/>
                <w:noProof/>
              </w:rPr>
              <w:t>(Dobricic and Pinardi, 2008)</w:t>
            </w:r>
            <w:r w:rsidR="00597288" w:rsidRPr="007B6E15">
              <w:rPr>
                <w:rFonts w:cs="Times New Roman"/>
              </w:rPr>
              <w:fldChar w:fldCharType="end"/>
            </w:r>
          </w:p>
        </w:tc>
        <w:tc>
          <w:tcPr>
            <w:tcW w:w="1747" w:type="dxa"/>
          </w:tcPr>
          <w:p w14:paraId="7225FC44" w14:textId="77777777" w:rsidR="0077369F" w:rsidRPr="007B6E15" w:rsidRDefault="0077369F" w:rsidP="00D82CF2">
            <w:pPr>
              <w:rPr>
                <w:rFonts w:cs="Times New Roman"/>
              </w:rPr>
            </w:pPr>
            <w:r w:rsidRPr="007B6E15">
              <w:rPr>
                <w:rFonts w:cs="Times New Roman"/>
              </w:rPr>
              <w:t>Satellite: SSH,SST.</w:t>
            </w:r>
          </w:p>
          <w:p w14:paraId="364BACDF" w14:textId="3E6283B1" w:rsidR="0077369F" w:rsidRPr="007B6E15" w:rsidRDefault="0077369F" w:rsidP="00145A89">
            <w:pPr>
              <w:rPr>
                <w:rFonts w:cs="Times New Roman"/>
              </w:rPr>
            </w:pPr>
            <w:r w:rsidRPr="007B6E15">
              <w:rPr>
                <w:rFonts w:cs="Times New Roman"/>
                <w:i/>
              </w:rPr>
              <w:t xml:space="preserve">in situ </w:t>
            </w:r>
            <w:r w:rsidRPr="007B6E15">
              <w:rPr>
                <w:rFonts w:cs="Times New Roman"/>
              </w:rPr>
              <w:t xml:space="preserve">observations: temperature and salinity profiles SAM2 (Mercator Ocean assimilation system </w:t>
            </w:r>
            <w:r w:rsidR="00597288" w:rsidRPr="007B6E15">
              <w:rPr>
                <w:rFonts w:cs="Times New Roman"/>
              </w:rPr>
              <w:fldChar w:fldCharType="begin" w:fldLock="1"/>
            </w:r>
            <w:r w:rsidR="00D53E97">
              <w:rPr>
                <w:rFonts w:cs="Times New Roman"/>
              </w:rPr>
              <w:instrText>ADDIN CSL_CITATION {"citationItems":[{"id":"ITEM-1","itemData":{"DOI":"10.5194/os-9-57-2013","ISBN":"0022-3670","ISSN":"18120784","PMID":"1089","abstract":"The effect of breaking waves on ocean surface temperatures and surface boundary layer deepening is investigated. The modification of the Mellor–Yamada turbulence closure model by Craig and Banner and others to include surface wave breaking energetics reduces summertime surface temperatures when the surface layer is relatively shallow. The effect of the Charnock constant in the relevant drag coefficient relation is also studied.","author":[{"dropping-particle":"","family":"Lellouche","given":"J. M.","non-dropping-particle":"","parse-names":false,"suffix":""},{"dropping-particle":"","family":"Galloudec","given":"O.","non-dropping-particle":"Le","parse-names":false,"suffix":""},{"dropping-particle":"","family":"Drévillon","given":"M.","non-dropping-particle":"","parse-names":false,"suffix":""},{"dropping-particle":"","family":"Régnier","given":"C.","non-dropping-particle":"","parse-names":false,"suffix":""},{"dropping-particle":"","family":"Greiner","given":"E.","non-dropping-particle":"","parse-names":false,"suffix":""},{"dropping-particle":"","family":"Garric","given":"G.","non-dropping-particle":"","parse-names":false,"suffix":""},{"dropping-particle":"","family":"Ferry","given":"N.","non-dropping-particle":"","parse-names":false,"suffix":""},{"dropping-particle":"","family":"Desportes","given":"C.","non-dropping-particle":"","parse-names":false,"suffix":""},{"dropping-particle":"","family":"Testut","given":"C. E.","non-dropping-particle":"","parse-names":false,"suffix":""},{"dropping-particle":"","family":"Bricaud","given":"C.","non-dropping-particle":"","parse-names":false,"suffix":""},{"dropping-particle":"","family":"Bourdallé-Badie","given":"R.","non-dropping-particle":"","parse-names":false,"suffix":""},{"dropping-particle":"","family":"Tranchant","given":"B.","non-dropping-particle":"","parse-names":false,"suffix":""},{"dropping-particle":"","family":"Benkiran","given":"M.","non-dropping-particle":"","parse-names":false,"suffix":""},{"dropping-particle":"","family":"Drillet","given":"Y.","non-dropping-particle":"","parse-names":false,"suffix":""},{"dropping-particle":"","family":"Daudin","given":"A.","non-dropping-particle":"","parse-names":false,"suffix":""},{"dropping-particle":"","family":"Nicola","given":"C.","non-dropping-particle":"De","parse-names":false,"suffix":""}],"container-title":"Ocean Science","id":"ITEM-1","issue":"1","issued":{"date-parts":[["2013"]]},"page":"57-81","title":"Evaluation of global monitoring and forecasting systems at Mercator Océan","type":"article-journal","volume":"9"},"uris":["http://www.mendeley.com/documents/?uuid=41e6d0c6-ff1b-4a95-b664-cb66fc21644b"]}],"mendeley":{"formattedCitation":"(Lellouche et al., 2013)","plainTextFormattedCitation":"(Lellouche et al., 2013)","previouslyFormattedCitation":"(Lellouche et al., 2013)"},"properties":{"noteIndex":0},"schema":"https://github.com/citation-style-language/schema/raw/master/csl-citation.json"}</w:instrText>
            </w:r>
            <w:r w:rsidR="00597288" w:rsidRPr="007B6E15">
              <w:rPr>
                <w:rFonts w:cs="Times New Roman"/>
              </w:rPr>
              <w:fldChar w:fldCharType="separate"/>
            </w:r>
            <w:r w:rsidR="00145A89" w:rsidRPr="00145A89">
              <w:rPr>
                <w:rFonts w:cs="Times New Roman"/>
                <w:noProof/>
              </w:rPr>
              <w:t>(Lellouche et al., 2013)</w:t>
            </w:r>
            <w:r w:rsidR="00597288" w:rsidRPr="007B6E15">
              <w:rPr>
                <w:rFonts w:cs="Times New Roman"/>
              </w:rPr>
              <w:fldChar w:fldCharType="end"/>
            </w:r>
          </w:p>
        </w:tc>
        <w:tc>
          <w:tcPr>
            <w:tcW w:w="1748" w:type="dxa"/>
          </w:tcPr>
          <w:p w14:paraId="1033BDB5" w14:textId="77777777" w:rsidR="0077369F" w:rsidRPr="007B6E15" w:rsidRDefault="0077369F" w:rsidP="00D82CF2">
            <w:pPr>
              <w:rPr>
                <w:rFonts w:cs="Times New Roman"/>
                <w:noProof/>
              </w:rPr>
            </w:pPr>
            <w:r w:rsidRPr="007B6E15">
              <w:rPr>
                <w:rFonts w:cs="Times New Roman"/>
                <w:noProof/>
              </w:rPr>
              <w:t>-</w:t>
            </w:r>
          </w:p>
        </w:tc>
        <w:tc>
          <w:tcPr>
            <w:tcW w:w="1748" w:type="dxa"/>
          </w:tcPr>
          <w:p w14:paraId="2C01824D" w14:textId="77777777" w:rsidR="0077369F" w:rsidRPr="007B6E15" w:rsidRDefault="0077369F" w:rsidP="00D82CF2">
            <w:pPr>
              <w:rPr>
                <w:rFonts w:cs="Times New Roman"/>
                <w:noProof/>
              </w:rPr>
            </w:pPr>
            <w:r w:rsidRPr="007B6E15">
              <w:rPr>
                <w:rFonts w:cs="Times New Roman"/>
                <w:noProof/>
              </w:rPr>
              <w:t>-</w:t>
            </w:r>
          </w:p>
        </w:tc>
      </w:tr>
    </w:tbl>
    <w:p w14:paraId="37032758" w14:textId="77777777" w:rsidR="00145A89" w:rsidRDefault="00145A89" w:rsidP="00145A89">
      <w:pPr>
        <w:jc w:val="both"/>
        <w:rPr>
          <w:rFonts w:cs="Times New Roman"/>
          <w:szCs w:val="24"/>
          <w:lang w:val="en-GB"/>
        </w:rPr>
      </w:pPr>
    </w:p>
    <w:p w14:paraId="0F09212E" w14:textId="77777777" w:rsidR="00145A89" w:rsidRDefault="00145A89">
      <w:pPr>
        <w:spacing w:before="0" w:after="200" w:line="276" w:lineRule="auto"/>
        <w:rPr>
          <w:rFonts w:cs="Times New Roman"/>
          <w:szCs w:val="24"/>
          <w:lang w:val="en-GB"/>
        </w:rPr>
      </w:pPr>
      <w:r>
        <w:rPr>
          <w:rFonts w:cs="Times New Roman"/>
          <w:szCs w:val="24"/>
          <w:lang w:val="en-GB"/>
        </w:rPr>
        <w:br w:type="page"/>
      </w:r>
    </w:p>
    <w:p w14:paraId="6C4A9CC1" w14:textId="77777777" w:rsidR="0077369F" w:rsidRDefault="0077369F" w:rsidP="00145A89">
      <w:pPr>
        <w:jc w:val="both"/>
        <w:rPr>
          <w:rFonts w:cs="Times New Roman"/>
          <w:szCs w:val="24"/>
        </w:rPr>
      </w:pPr>
    </w:p>
    <w:p w14:paraId="056C770D" w14:textId="77777777" w:rsidR="0077369F" w:rsidRPr="00A56EA0" w:rsidRDefault="0077369F" w:rsidP="0077369F">
      <w:pPr>
        <w:ind w:left="720" w:hanging="720"/>
        <w:jc w:val="both"/>
        <w:rPr>
          <w:rFonts w:cs="Times New Roman"/>
          <w:szCs w:val="24"/>
        </w:rPr>
      </w:pPr>
      <w:r>
        <w:rPr>
          <w:rFonts w:cs="Times New Roman"/>
          <w:szCs w:val="24"/>
        </w:rPr>
        <w:t>(b) Biogeochemical component</w:t>
      </w:r>
    </w:p>
    <w:tbl>
      <w:tblPr>
        <w:tblStyle w:val="Tablaconcuadrcula"/>
        <w:tblW w:w="8720" w:type="dxa"/>
        <w:tblLayout w:type="fixed"/>
        <w:tblLook w:val="04A0" w:firstRow="1" w:lastRow="0" w:firstColumn="1" w:lastColumn="0" w:noHBand="0" w:noVBand="1"/>
      </w:tblPr>
      <w:tblGrid>
        <w:gridCol w:w="1744"/>
        <w:gridCol w:w="1744"/>
        <w:gridCol w:w="1744"/>
        <w:gridCol w:w="1744"/>
        <w:gridCol w:w="1744"/>
      </w:tblGrid>
      <w:tr w:rsidR="0077369F" w:rsidRPr="007B6E15" w14:paraId="6DADB67B" w14:textId="77777777" w:rsidTr="00D82CF2">
        <w:tc>
          <w:tcPr>
            <w:tcW w:w="1744" w:type="dxa"/>
          </w:tcPr>
          <w:p w14:paraId="2D1FE698" w14:textId="77777777" w:rsidR="0077369F" w:rsidRPr="007B6E15" w:rsidRDefault="0077369F" w:rsidP="00D82CF2">
            <w:pPr>
              <w:rPr>
                <w:rFonts w:cs="Times New Roman"/>
                <w:b/>
                <w:noProof/>
              </w:rPr>
            </w:pPr>
            <w:r w:rsidRPr="007B6E15">
              <w:rPr>
                <w:rFonts w:cs="Times New Roman"/>
                <w:b/>
                <w:noProof/>
              </w:rPr>
              <w:t>Reanalysis/ hindcast</w:t>
            </w:r>
          </w:p>
        </w:tc>
        <w:tc>
          <w:tcPr>
            <w:tcW w:w="1744" w:type="dxa"/>
          </w:tcPr>
          <w:p w14:paraId="3BDE29E3" w14:textId="77777777" w:rsidR="0077369F" w:rsidRPr="007B6E15" w:rsidRDefault="0077369F" w:rsidP="00D82CF2">
            <w:pPr>
              <w:rPr>
                <w:rFonts w:cs="Times New Roman"/>
                <w:b/>
                <w:noProof/>
              </w:rPr>
            </w:pPr>
            <w:r w:rsidRPr="007B6E15">
              <w:rPr>
                <w:rFonts w:cs="Times New Roman"/>
                <w:b/>
                <w:noProof/>
              </w:rPr>
              <w:t>NEMO-BFM</w:t>
            </w:r>
          </w:p>
        </w:tc>
        <w:tc>
          <w:tcPr>
            <w:tcW w:w="1744" w:type="dxa"/>
          </w:tcPr>
          <w:p w14:paraId="54F9CD0B" w14:textId="77777777" w:rsidR="0077369F" w:rsidRPr="007B6E15" w:rsidRDefault="0077369F" w:rsidP="00D82CF2">
            <w:pPr>
              <w:rPr>
                <w:rFonts w:cs="Times New Roman"/>
                <w:b/>
                <w:noProof/>
              </w:rPr>
            </w:pPr>
            <w:r w:rsidRPr="007B6E15">
              <w:rPr>
                <w:rFonts w:cs="Times New Roman"/>
                <w:b/>
                <w:noProof/>
              </w:rPr>
              <w:t>NEMO-PISCES</w:t>
            </w:r>
          </w:p>
        </w:tc>
        <w:tc>
          <w:tcPr>
            <w:tcW w:w="1744" w:type="dxa"/>
          </w:tcPr>
          <w:p w14:paraId="0E3C0833" w14:textId="77777777" w:rsidR="0077369F" w:rsidRPr="007B6E15" w:rsidRDefault="0077369F" w:rsidP="00D82CF2">
            <w:pPr>
              <w:rPr>
                <w:rFonts w:cs="Times New Roman"/>
                <w:b/>
                <w:noProof/>
              </w:rPr>
            </w:pPr>
            <w:r w:rsidRPr="007B6E15">
              <w:rPr>
                <w:rFonts w:cs="Times New Roman"/>
                <w:b/>
                <w:noProof/>
              </w:rPr>
              <w:t>POLCOMS-ERSEM</w:t>
            </w:r>
          </w:p>
        </w:tc>
        <w:tc>
          <w:tcPr>
            <w:tcW w:w="1744" w:type="dxa"/>
          </w:tcPr>
          <w:p w14:paraId="301340E7" w14:textId="77777777" w:rsidR="0077369F" w:rsidRPr="007B6E15" w:rsidRDefault="0077369F" w:rsidP="00D82CF2">
            <w:pPr>
              <w:rPr>
                <w:rFonts w:cs="Times New Roman"/>
                <w:b/>
                <w:noProof/>
              </w:rPr>
            </w:pPr>
            <w:r w:rsidRPr="007B6E15">
              <w:rPr>
                <w:rFonts w:cs="Times New Roman"/>
                <w:b/>
                <w:noProof/>
              </w:rPr>
              <w:t>GETM-MedERGOM</w:t>
            </w:r>
          </w:p>
        </w:tc>
      </w:tr>
      <w:tr w:rsidR="0077369F" w:rsidRPr="007B6E15" w14:paraId="38B28306" w14:textId="77777777" w:rsidTr="00D82CF2">
        <w:tc>
          <w:tcPr>
            <w:tcW w:w="1744" w:type="dxa"/>
          </w:tcPr>
          <w:p w14:paraId="3C3E8159" w14:textId="77777777" w:rsidR="0077369F" w:rsidRPr="007B6E15" w:rsidRDefault="0077369F" w:rsidP="00D82CF2">
            <w:pPr>
              <w:rPr>
                <w:rFonts w:cs="Times New Roman"/>
                <w:noProof/>
              </w:rPr>
            </w:pPr>
            <w:r w:rsidRPr="007B6E15">
              <w:rPr>
                <w:rFonts w:cs="Times New Roman"/>
                <w:noProof/>
              </w:rPr>
              <w:t>Biogeochemical model equations and parameterization</w:t>
            </w:r>
          </w:p>
        </w:tc>
        <w:tc>
          <w:tcPr>
            <w:tcW w:w="1744" w:type="dxa"/>
          </w:tcPr>
          <w:p w14:paraId="06F8EED1" w14:textId="26E89E99" w:rsidR="0077369F" w:rsidRPr="007B6E15" w:rsidRDefault="00EE6BD0" w:rsidP="00EE6BD0">
            <w:pPr>
              <w:rPr>
                <w:rFonts w:cs="Times New Roman"/>
                <w:noProof/>
              </w:rPr>
            </w:pPr>
            <w:r>
              <w:rPr>
                <w:rFonts w:cs="Times New Roman"/>
                <w:noProof/>
              </w:rPr>
              <w:t xml:space="preserve">Biogeochemical Fluxes Model. </w:t>
            </w:r>
            <w:r>
              <w:rPr>
                <w:rFonts w:cs="Times New Roman"/>
                <w:noProof/>
              </w:rPr>
              <w:fldChar w:fldCharType="begin" w:fldLock="1"/>
            </w:r>
            <w:r>
              <w:rPr>
                <w:rFonts w:cs="Times New Roman"/>
                <w:noProof/>
              </w:rPr>
              <w:instrText>ADDIN CSL_CITATION {"citationItems":[{"id":"ITEM-1","itemData":{"DOI":"10.1016/j.jmarsys.2006.03.006","ISSN":"09247963","author":[{"dropping-particle":"","family":"Vichi","given":"M","non-dropping-particle":"","parse-names":false,"suffix":""},{"dropping-particle":"","family":"Pinardi","given":"N","non-dropping-particle":"","parse-names":false,"suffix":""},{"dropping-particle":"","family":"Masina","given":"S","non-dropping-particle":"","parse-names":false,"suffix":""}],"container-title":"Journal of Marine Systems","id":"ITEM-1","issue":"1-4","issued":{"date-parts":[["2007","1"]]},"page":"89-109","title":"A generalized model of pelagic biogeochemistry for the global ocean ecosystem. Part I: Theory","type":"article-journal","volume":"64"},"uris":["http://www.mendeley.com/documents/?uuid=405dc4ed-ee24-47f8-acf1-7d3fbea4ac04"]}],"mendeley":{"formattedCitation":"(Vichi et al., 2007)","plainTextFormattedCitation":"(Vichi et al., 2007)","previouslyFormattedCitation":"(Vichi et al., 2007a)"},"properties":{"noteIndex":0},"schema":"https://github.com/citation-style-language/schema/raw/master/csl-citation.json"}</w:instrText>
            </w:r>
            <w:r>
              <w:rPr>
                <w:rFonts w:cs="Times New Roman"/>
                <w:noProof/>
              </w:rPr>
              <w:fldChar w:fldCharType="separate"/>
            </w:r>
            <w:r w:rsidRPr="00EE6BD0">
              <w:rPr>
                <w:rFonts w:cs="Times New Roman"/>
                <w:noProof/>
              </w:rPr>
              <w:t>(Vichi et al., 2007)</w:t>
            </w:r>
            <w:r>
              <w:rPr>
                <w:rFonts w:cs="Times New Roman"/>
                <w:noProof/>
              </w:rPr>
              <w:fldChar w:fldCharType="end"/>
            </w:r>
          </w:p>
        </w:tc>
        <w:tc>
          <w:tcPr>
            <w:tcW w:w="1744" w:type="dxa"/>
          </w:tcPr>
          <w:p w14:paraId="16EE7EB4" w14:textId="627F3F08" w:rsidR="0077369F" w:rsidRPr="007B6E15" w:rsidRDefault="0077369F" w:rsidP="00EE6BD0">
            <w:pPr>
              <w:rPr>
                <w:rFonts w:cs="Times New Roman"/>
              </w:rPr>
            </w:pPr>
            <w:r w:rsidRPr="007B6E15">
              <w:rPr>
                <w:rFonts w:cs="Times New Roman"/>
              </w:rPr>
              <w:t xml:space="preserve">Pelagic Interactions Scheme for Carbon and Ecosystem Studies. </w:t>
            </w:r>
            <w:r w:rsidR="00597288" w:rsidRPr="007B6E15">
              <w:rPr>
                <w:rFonts w:cs="Times New Roman"/>
              </w:rPr>
              <w:fldChar w:fldCharType="begin" w:fldLock="1"/>
            </w:r>
            <w:r w:rsidR="00EE6BD0">
              <w:rPr>
                <w:rFonts w:cs="Times New Roman"/>
              </w:rPr>
              <w:instrText>ADDIN CSL_CITATION {"citationItems":[{"id":"ITEM-1","itemData":{"DOI":"10.5194/gmd-8-2465-2015","ISBN":"1991-959X","ISSN":"19919603","abstract":"PISCES-v2 is a biogeochemical model which simulates the lower trophic levels of marine ecosystem (phytoplankton, microzooplankton and mesozooplankton) and the biogeochemical cycles of carbon and of the main nutrients (P, N, Fe, and Si). The model is intended to be used for both regional and global configurations at high or low spatial resolutions as well as for short-term (seasonal, interannual) and long-term (climate change, paleoceanography) analyses. There are twenty-four prognostic variables (tracers) including two phytoplankton compartments (diatoms and nanophytoplankton), two zooplankton size-classes (microzooplankton and mesozooplankton) and a description of the carbonate chemistry. Formulations in PISCES-v2 are based on a mixed Monod–Quota formalism: on one hand, stoichiometry of C/N/P is fixed and growth rate of phytoplankton is limited by the external availability in N, P and Si. On the other hand, the iron and silicium quotas are variable and growth rate of phytoplankton is limited by the internal availability in Fe. Various parameterizations can be activated in PISCES-v2, setting for instance the complexity of iron chemistry or the description of particulate organic materials. So far, PISCES-v2 has been coupled to the NEMO and ROMS systems. A full description of PISCES-v2 and of its optional functionalities is provided here. The results of a quasi-steady state simulation are presented and evaluated against diverse observational and satellite-derived data. Finally, some of the new functionalities of PISCES-v2 are tested in a series of sensitivity experiments.","author":[{"dropping-particle":"","family":"Aumont","given":"O","non-dropping-particle":"","parse-names":false,"suffix":""},{"dropping-particle":"","family":"Ethé","given":"C.","non-dropping-particle":"","parse-names":false,"suffix":""},{"dropping-particle":"","family":"Tagliabue","given":"A","non-dropping-particle":"","parse-names":false,"suffix":""},{"dropping-particle":"","family":"Bopp","given":"L","non-dropping-particle":"","parse-names":false,"suffix":""},{"dropping-particle":"","family":"Gehlen","given":"M","non-dropping-particle":"","parse-names":false,"suffix":""}],"container-title":"Geoscientific Model Development","id":"ITEM-1","issue":"8","issued":{"date-parts":[["2015"]]},"page":"2465-2513","title":"PISCES-v2: An ocean biogeochemical model for carbon and ecosystem studies","type":"article-journal","volume":"8"},"uris":["http://www.mendeley.com/documents/?uuid=5009406f-e1ee-404f-a7b1-53b75ba4c630"]}],"mendeley":{"formattedCitation":"(Aumont et al., 2015)","plainTextFormattedCitation":"(Aumont et al., 2015)","previouslyFormattedCitation":"(Aumont et al., 2015)"},"properties":{"noteIndex":0},"schema":"https://github.com/citation-style-language/schema/raw/master/csl-citation.json"}</w:instrText>
            </w:r>
            <w:r w:rsidR="00597288" w:rsidRPr="007B6E15">
              <w:rPr>
                <w:rFonts w:cs="Times New Roman"/>
              </w:rPr>
              <w:fldChar w:fldCharType="separate"/>
            </w:r>
            <w:r w:rsidR="00EE6BD0" w:rsidRPr="00EE6BD0">
              <w:rPr>
                <w:rFonts w:cs="Times New Roman"/>
                <w:noProof/>
              </w:rPr>
              <w:t>(Aumont et al., 2015)</w:t>
            </w:r>
            <w:r w:rsidR="00597288" w:rsidRPr="007B6E15">
              <w:rPr>
                <w:rFonts w:cs="Times New Roman"/>
              </w:rPr>
              <w:fldChar w:fldCharType="end"/>
            </w:r>
          </w:p>
        </w:tc>
        <w:tc>
          <w:tcPr>
            <w:tcW w:w="1744" w:type="dxa"/>
          </w:tcPr>
          <w:p w14:paraId="567F6A66" w14:textId="60087953" w:rsidR="0077369F" w:rsidRPr="007B6E15" w:rsidRDefault="0077369F" w:rsidP="00145A89">
            <w:pPr>
              <w:rPr>
                <w:rFonts w:cs="Times New Roman"/>
                <w:highlight w:val="yellow"/>
                <w:lang w:val="en-GB"/>
              </w:rPr>
            </w:pPr>
            <w:r w:rsidRPr="007B6E15">
              <w:rPr>
                <w:rFonts w:cs="Times New Roman"/>
                <w:lang w:val="en-GB"/>
              </w:rPr>
              <w:t xml:space="preserve">European Regional Seas Ecosystem Model v15.06. </w:t>
            </w:r>
            <w:r w:rsidR="00597288" w:rsidRPr="007B6E15">
              <w:rPr>
                <w:rFonts w:cs="Times New Roman"/>
                <w:lang w:val="en-GB"/>
              </w:rPr>
              <w:fldChar w:fldCharType="begin" w:fldLock="1"/>
            </w:r>
            <w:r w:rsidR="00D53E97">
              <w:rPr>
                <w:rFonts w:cs="Times New Roman"/>
                <w:lang w:val="en-GB"/>
              </w:rPr>
              <w:instrText>ADDIN CSL_CITATION {"citationItems":[{"id":"ITEM-1","itemData":{"DOI":"10.5194/gmd-9-1293-2016","ISSN":"19919603","abstract":"&lt;p&gt;The ERSEM model is one of the most established ecosystem models for the lower trophic levels of the marine food-web in the scientific literature. Since its original development in the early nineties it has evolved significantly from a coastal ecosystem model for the North-Sea to a generic tool for ecosystem simulations from shelf seas to the global ocean. The current model release contains all essential elements for the pelagic and benthic part of the marine ecosystem, including the microbial food-web, the carbonate system and calcification. Its distribution is accompanied by a testing framework enabling the analysis of individual parts of the model. Here we provide a detailed mathematical description of all ERSEM components along with case-studies of mesocosm type simulations, water column implementations and a brief example of a full-scale application for the North-West European shelf. Validation against in situ data demonstrates the capability of the model to represent the marine ecosystem in contrasting environments.&lt;/p&gt;","author":[{"dropping-particle":"","family":"Butenschön","given":"Momme","non-dropping-particle":"","parse-names":false,"suffix":""},{"dropping-particle":"","family":"Clark","given":"James","non-dropping-particle":"","parse-names":false,"suffix":""},{"dropping-particle":"","family":"Aldridge","given":"John N.","non-dropping-particle":"","parse-names":false,"suffix":""},{"dropping-particle":"","family":"Icarus Allen","given":"Julian","non-dropping-particle":"","parse-names":false,"suffix":""},{"dropping-particle":"","family":"Artioli","given":"Yuri","non-dropping-particle":"","parse-names":false,"suffix":""},{"dropping-particle":"","family":"Blackford","given":"Jeremy","non-dropping-particle":"","parse-names":false,"suffix":""},{"dropping-particle":"","family":"Bruggeman","given":"Jorn","non-dropping-particle":"","parse-names":false,"suffix":""},{"dropping-particle":"","family":"Cazenave","given":"Pierre","non-dropping-particle":"","parse-names":false,"suffix":""},{"dropping-particle":"","family":"Ciavatta","given":"Stefano","non-dropping-particle":"","parse-names":false,"suffix":""},{"dropping-particle":"","family":"Kay","given":"Susan","non-dropping-particle":"","parse-names":false,"suffix":""},{"dropping-particle":"","family":"Lessin","given":"Gennadi","non-dropping-particle":"","parse-names":false,"suffix":""},{"dropping-particle":"","family":"Leeuwen","given":"Sonja","non-dropping-particle":"Van","parse-names":false,"suffix":""},{"dropping-particle":"","family":"Molen","given":"Johan","non-dropping-particle":"Van Der","parse-names":false,"suffix":""},{"dropping-particle":"","family":"Mora","given":"Lee","non-dropping-particle":"De","parse-names":false,"suffix":""},{"dropping-particle":"","family":"Polimene","given":"Luca","non-dropping-particle":"","parse-names":false,"suffix":""},{"dropping-particle":"","family":"Sailley","given":"Sevrine","non-dropping-particle":"","parse-names":false,"suffix":""},{"dropping-particle":"","family":"Stephens","given":"Nicholas","non-dropping-particle":"","parse-names":false,"suffix":""},{"dropping-particle":"","family":"Torres","given":"Ricardo","non-dropping-particle":"","parse-names":false,"suffix":""}],"container-title":"Geoscientific Model Development","id":"ITEM-1","issue":"4","issued":{"date-parts":[["2016"]]},"page":"1293-1339","title":"ERSEM 15.06: A generic model for marine biogeochemistry and the ecosystem dynamics of the lower trophic levels","type":"article-journal","volume":"9"},"uris":["http://www.mendeley.com/documents/?uuid=50fc62a8-85d8-46ff-9dc6-57049e8d9b1e"]}],"mendeley":{"formattedCitation":"(Butenschön et al., 2016)","plainTextFormattedCitation":"(Butenschön et al., 2016)","previouslyFormattedCitation":"(Butenschön et al., 2016)"},"properties":{"noteIndex":0},"schema":"https://github.com/citation-style-language/schema/raw/master/csl-citation.json"}</w:instrText>
            </w:r>
            <w:r w:rsidR="00597288" w:rsidRPr="007B6E15">
              <w:rPr>
                <w:rFonts w:cs="Times New Roman"/>
                <w:lang w:val="en-GB"/>
              </w:rPr>
              <w:fldChar w:fldCharType="separate"/>
            </w:r>
            <w:r w:rsidR="00145A89" w:rsidRPr="00145A89">
              <w:rPr>
                <w:rFonts w:cs="Times New Roman"/>
                <w:noProof/>
                <w:lang w:val="en-GB"/>
              </w:rPr>
              <w:t>(Butenschön et al., 2016)</w:t>
            </w:r>
            <w:r w:rsidR="00597288" w:rsidRPr="007B6E15">
              <w:rPr>
                <w:rFonts w:cs="Times New Roman"/>
                <w:lang w:val="en-GB"/>
              </w:rPr>
              <w:fldChar w:fldCharType="end"/>
            </w:r>
          </w:p>
        </w:tc>
        <w:tc>
          <w:tcPr>
            <w:tcW w:w="1744" w:type="dxa"/>
          </w:tcPr>
          <w:p w14:paraId="7121AEEE" w14:textId="77777777" w:rsidR="0077369F" w:rsidRPr="007B6E15" w:rsidRDefault="0077369F" w:rsidP="00D82CF2">
            <w:pPr>
              <w:rPr>
                <w:rFonts w:cs="Times New Roman"/>
                <w:highlight w:val="yellow"/>
                <w:lang w:val="en-GB"/>
              </w:rPr>
            </w:pPr>
            <w:r w:rsidRPr="007B6E15">
              <w:rPr>
                <w:rFonts w:cs="Times New Roman"/>
                <w:lang w:val="en-GB"/>
              </w:rPr>
              <w:t>Mediterranean version of Ecological Regional Ocean Model</w:t>
            </w:r>
          </w:p>
          <w:p w14:paraId="3440E589" w14:textId="5ED211F0" w:rsidR="0077369F" w:rsidRPr="007B6E15" w:rsidRDefault="00597288" w:rsidP="00145A89">
            <w:pPr>
              <w:rPr>
                <w:rFonts w:cs="Times New Roman"/>
                <w:highlight w:val="yellow"/>
                <w:lang w:val="en-GB"/>
              </w:rPr>
            </w:pPr>
            <w:r w:rsidRPr="007B6E15">
              <w:rPr>
                <w:rFonts w:cs="Times New Roman"/>
                <w:lang w:val="en-GB"/>
              </w:rPr>
              <w:fldChar w:fldCharType="begin" w:fldLock="1"/>
            </w:r>
            <w:r w:rsidR="00D53E97">
              <w:rPr>
                <w:rFonts w:cs="Times New Roman"/>
                <w:lang w:val="en-GB"/>
              </w:rPr>
              <w:instrText>ADDIN CSL_CITATION {"citationItems":[{"id":"ITEM-1","itemData":{"DOI":"10.1016/j.pocean.2019.02.005","ISSN":"00796611","abstract":"The relative abundance of nitrate (N) over phosphate (P) measured as a molar ratio (N:P) is typically considered to determine the macronutrient limiting marine primary production. In low-complexity biogeochemical models, a simple threshold value is usually applied based on the canonical Redfield ratio (N:P = 16). However, the N:P ratio is not constant in many oceanic areas, especially marginal, semi-enclosed seas, such as the Mediterranean basin. In this work, a flexible definition of the N:P ratio based on the capacity of phytoplankton to modulate phosphate uptake according to its availability in seawater, the so-called Line of Frugality, is incorporated into the biogeochemical model MedERGOM. This modification allows the acquisition of a more realistic representation of the stoichiometry of nutrients in the Mediterranean basin and allows to better reproduce the observed phytoplankton biomass in productive areas such as the Gulf of Gabes and the Adriatic Sea. This approach is, thus, especially suitable for coastal areas in which basin-scale biogeochemical models fail to reproduce patterns observed by remote sensing or in situ measurements. Our results show that implementation of the stoichiometric flexibility of phytoplankton in a low-complexity biogeochemical model enhances the reproducibility of ecosystem dynamics without increasing the computational demand, representing a simple approximation easily implemented in models aiming to describe regions with a Non-Redfieldian stoichiometry.","author":[{"dropping-particle":"","family":"Macias","given":"Diego","non-dropping-particle":"","parse-names":false,"suffix":""},{"dropping-particle":"","family":"Huertas","given":"I. Emma","non-dropping-particle":"","parse-names":false,"suffix":""},{"dropping-particle":"","family":"Garcia-Gorriz","given":"Elisa","non-dropping-particle":"","parse-names":false,"suffix":""},{"dropping-particle":"","family":"Stips","given":"Adolf","non-dropping-particle":"","parse-names":false,"suffix":""}],"container-title":"Progress in Oceanography","id":"ITEM-1","issued":{"date-parts":[["2019"]]},"page":"37-50","title":"Non-Redfieldian dynamics driven by phytoplankton phosphate frugality explain nutrient and chlorophyll patterns in model simulations for the Mediterranean Sea","type":"article-journal","volume":"173"},"uris":["http://www.mendeley.com/documents/?uuid=6dcf4955-eea4-4044-858f-c5c92d0d700d"]}],"mendeley":{"formattedCitation":"(Macias et al., 2019)","plainTextFormattedCitation":"(Macias et al., 2019)","previouslyFormattedCitation":"(Macias et al., 2019)"},"properties":{"noteIndex":0},"schema":"https://github.com/citation-style-language/schema/raw/master/csl-citation.json"}</w:instrText>
            </w:r>
            <w:r w:rsidRPr="007B6E15">
              <w:rPr>
                <w:rFonts w:cs="Times New Roman"/>
                <w:lang w:val="en-GB"/>
              </w:rPr>
              <w:fldChar w:fldCharType="separate"/>
            </w:r>
            <w:r w:rsidR="00145A89" w:rsidRPr="00145A89">
              <w:rPr>
                <w:rFonts w:cs="Times New Roman"/>
                <w:noProof/>
                <w:lang w:val="en-GB"/>
              </w:rPr>
              <w:t>(Macias et al., 2019)</w:t>
            </w:r>
            <w:r w:rsidRPr="007B6E15">
              <w:rPr>
                <w:rFonts w:cs="Times New Roman"/>
                <w:lang w:val="en-GB"/>
              </w:rPr>
              <w:fldChar w:fldCharType="end"/>
            </w:r>
          </w:p>
        </w:tc>
      </w:tr>
      <w:tr w:rsidR="0077369F" w:rsidRPr="007B6E15" w14:paraId="575E423D" w14:textId="77777777" w:rsidTr="00D82CF2">
        <w:tc>
          <w:tcPr>
            <w:tcW w:w="1744" w:type="dxa"/>
          </w:tcPr>
          <w:p w14:paraId="3359573F" w14:textId="77777777" w:rsidR="0077369F" w:rsidRPr="007B6E15" w:rsidRDefault="0077369F" w:rsidP="00D82CF2">
            <w:pPr>
              <w:rPr>
                <w:rFonts w:cs="Times New Roman"/>
                <w:noProof/>
              </w:rPr>
            </w:pPr>
            <w:r w:rsidRPr="007B6E15">
              <w:rPr>
                <w:rFonts w:cs="Times New Roman"/>
                <w:noProof/>
              </w:rPr>
              <w:t>Validated run</w:t>
            </w:r>
          </w:p>
        </w:tc>
        <w:tc>
          <w:tcPr>
            <w:tcW w:w="1744" w:type="dxa"/>
          </w:tcPr>
          <w:p w14:paraId="0574CC1B" w14:textId="785BE1E3" w:rsidR="0077369F" w:rsidRPr="007B6E15" w:rsidRDefault="0077369F" w:rsidP="00145A89">
            <w:pPr>
              <w:rPr>
                <w:rFonts w:cs="Times New Roman"/>
                <w:noProof/>
                <w:lang w:val="en-GB"/>
              </w:rPr>
            </w:pPr>
            <w:r w:rsidRPr="007B6E15">
              <w:rPr>
                <w:rFonts w:cs="Times New Roman"/>
                <w:noProof/>
                <w:lang w:val="en-GB"/>
              </w:rPr>
              <w:t xml:space="preserve">CMEMS </w:t>
            </w:r>
            <w:r w:rsidR="00597288" w:rsidRPr="007B6E15">
              <w:rPr>
                <w:rFonts w:cs="Times New Roman"/>
                <w:noProof/>
                <w:lang w:val="en-GB"/>
              </w:rPr>
              <w:fldChar w:fldCharType="begin" w:fldLock="1"/>
            </w:r>
            <w:r w:rsidR="00D53E97">
              <w:rPr>
                <w:rFonts w:cs="Times New Roman"/>
                <w:noProof/>
                <w:lang w:val="en-GB"/>
              </w:rPr>
              <w:instrText>ADDIN CSL_CITATION {"citationItems":[{"id":"ITEM-1","itemData":{"DOI":"https://doi.org/10.25423","author":[{"dropping-particle":"","family":"Teruzzi","given":"A.","non-dropping-particle":"","parse-names":false,"suffix":""},{"dropping-particle":"","family":"Cossarini","given":"G.","non-dropping-particle":"","parse-names":false,"suffix":""},{"dropping-particle":"","family":"Lazzari","given":"P.","non-dropping-particle":"","parse-names":false,"suffix":""},{"dropping-particle":"","family":"Salon","given":"S.","non-dropping-particle":"","parse-names":false,"suffix":""},{"dropping-particle":"","family":"Bolzon","given":"G.","non-dropping-particle":"","parse-names":false,"suffix":""},{"dropping-particle":"","family":"Crise","given":"A.","non-dropping-particle":"","parse-names":false,"suffix":""},{"dropping-particle":"","family":"Solidoro","given":"C.","non-dropping-particle":"","parse-names":false,"suffix":""}],"container-title":"Copernicus Monitoring Environment Marine Service","id":"ITEM-1","issued":{"date-parts":[["2016"]]},"title":"Mediterranean Sea biogeochemical reanalysis (CMEMS MED REA-Biogeochemistry 1999-2015)","type":"article-journal"},"uris":["http://www.mendeley.com/documents/?uuid=593d4189-73f9-47e6-8f0f-d94e7dd61ca5"]}],"mendeley":{"formattedCitation":"(Teruzzi et al., 2016)","plainTextFormattedCitation":"(Teruzzi et al., 2016)","previouslyFormattedCitation":"(Teruzzi et al., 2016)"},"properties":{"noteIndex":0},"schema":"https://github.com/citation-style-language/schema/raw/master/csl-citation.json"}</w:instrText>
            </w:r>
            <w:r w:rsidR="00597288" w:rsidRPr="007B6E15">
              <w:rPr>
                <w:rFonts w:cs="Times New Roman"/>
                <w:noProof/>
                <w:lang w:val="en-GB"/>
              </w:rPr>
              <w:fldChar w:fldCharType="separate"/>
            </w:r>
            <w:r w:rsidR="00145A89" w:rsidRPr="00145A89">
              <w:rPr>
                <w:rFonts w:cs="Times New Roman"/>
                <w:noProof/>
                <w:lang w:val="en-GB"/>
              </w:rPr>
              <w:t>(Teruzzi et al., 2016)</w:t>
            </w:r>
            <w:r w:rsidR="00597288" w:rsidRPr="007B6E15">
              <w:rPr>
                <w:rFonts w:cs="Times New Roman"/>
                <w:noProof/>
                <w:lang w:val="en-GB"/>
              </w:rPr>
              <w:fldChar w:fldCharType="end"/>
            </w:r>
          </w:p>
        </w:tc>
        <w:tc>
          <w:tcPr>
            <w:tcW w:w="1744" w:type="dxa"/>
          </w:tcPr>
          <w:p w14:paraId="6CC6CE78" w14:textId="5E048A7D" w:rsidR="0077369F" w:rsidRPr="007B6E15" w:rsidRDefault="0077369F" w:rsidP="00145A89">
            <w:pPr>
              <w:rPr>
                <w:rFonts w:cs="Times New Roman"/>
                <w:noProof/>
                <w:lang w:val="en-GB"/>
              </w:rPr>
            </w:pPr>
            <w:r w:rsidRPr="007B6E15">
              <w:rPr>
                <w:rFonts w:cs="Times New Roman"/>
              </w:rPr>
              <w:t xml:space="preserve">CMEMS (IBI_REANALYSIS_BIO_005_003) </w:t>
            </w:r>
            <w:r w:rsidR="00597288" w:rsidRPr="007B6E15">
              <w:rPr>
                <w:rFonts w:cs="Times New Roman"/>
              </w:rPr>
              <w:fldChar w:fldCharType="begin" w:fldLock="1"/>
            </w:r>
            <w:r w:rsidR="00D53E97">
              <w:rPr>
                <w:rFonts w:cs="Times New Roman"/>
              </w:rPr>
              <w:instrText>ADDIN CSL_CITATION {"citationItems":[{"id":"ITEM-1","itemData":{"DOI":"10.1080/1755876X.2015.1014663","ISBN":"1755-876X","ISSN":"17558778","abstract":"The MyOcean IBI-MFC (Monitoring &amp; Forecasting Centre) has been providing continuous daily ocean model estimates and forecasts for the Iberia–Biscay–Ireland (IBI) regional seas since 2011. The operational IBI Ocean Forecast Service is based on a NEMO model application that includes high-frequency processes required to characterize regional scale marine processes. Since June 2014, a new IBI reanalysis, comprising both physical and biogeochemical components, covering the time period 2002–2012 has also been available. This paper provides an end-to-end description of these IBI model systems and presents a summary of the scientific validation assessments carried out with the derived operational products. The validation statistics suggest that the systems capture major synoptic and mesoscale ocean circulation features observed in the IBI region. Finally, an IBI roadmap towards the future EU Copernicus Service is outlined, providing a look ahead to future IBI model and data-assimilation developments and operation...","author":[{"dropping-particle":"","family":"Sotillo","given":"M. G.","non-dropping-particle":"","parse-names":false,"suffix":""},{"dropping-particle":"","family":"Cailleau","given":"S.","non-dropping-particle":"","parse-names":false,"suffix":""},{"dropping-particle":"","family":"Lorente","given":"P.","non-dropping-particle":"","parse-names":false,"suffix":""},{"dropping-particle":"","family":"Levier","given":"B.","non-dropping-particle":"","parse-names":false,"suffix":""},{"dropping-particle":"","family":"Aznar","given":"R.","non-dropping-particle":"","parse-names":false,"suffix":""},{"dropping-particle":"","family":"Reffray","given":"G.","non-dropping-particle":"","parse-names":false,"suffix":""},{"dropping-particle":"","family":"Amo-Baladrón","given":"A.","non-dropping-particle":"","parse-names":false,"suffix":""},{"dropping-particle":"","family":"Chanut","given":"J.","non-dropping-particle":"","parse-names":false,"suffix":""},{"dropping-particle":"","family":"Benkiran","given":"M.","non-dropping-particle":"","parse-names":false,"suffix":""},{"dropping-particle":"","family":"Alvarez-Fanjul","given":"E.","non-dropping-particle":"","parse-names":false,"suffix":""},{"dropping-particle":"","family":"Amo-Baladrï¿½n","given":"A.","non-dropping-particle":"","parse-names":false,"suffix":""},{"dropping-particle":"","family":"Chanut","given":"J.","non-dropping-particle":"","parse-names":false,"suffix":""},{"dropping-particle":"","family":"Benkiran","given":"M.","non-dropping-particle":"","parse-names":false,"suffix":""},{"dropping-particle":"","family":"Alvarez-Fanjul","given":"E.","non-dropping-particle":"","parse-names":false,"suffix":""}],"container-title":"Journal of Operational Oceanography","id":"ITEM-1","issue":"1","issued":{"date-parts":[["2015"]]},"page":"63-79","publisher":"Taylor &amp; Francis","title":"The myocean IBI ocean forecast and reanalysis systems: Operational products and roadmap to the future copernicus service","type":"article-journal","volume":"8"},"uris":["http://www.mendeley.com/documents/?uuid=23b51b9e-20bb-4a31-97eb-760e1706405a"]}],"mendeley":{"formattedCitation":"(Sotillo et al., 2015)","plainTextFormattedCitation":"(Sotillo et al., 2015)","previouslyFormattedCitation":"(Sotillo et al., 2015)"},"properties":{"noteIndex":0},"schema":"https://github.com/citation-style-language/schema/raw/master/csl-citation.json"}</w:instrText>
            </w:r>
            <w:r w:rsidR="00597288" w:rsidRPr="007B6E15">
              <w:rPr>
                <w:rFonts w:cs="Times New Roman"/>
              </w:rPr>
              <w:fldChar w:fldCharType="separate"/>
            </w:r>
            <w:r w:rsidR="00145A89" w:rsidRPr="00145A89">
              <w:rPr>
                <w:rFonts w:cs="Times New Roman"/>
                <w:noProof/>
              </w:rPr>
              <w:t>(Sotillo et al., 2015)</w:t>
            </w:r>
            <w:r w:rsidR="00597288" w:rsidRPr="007B6E15">
              <w:rPr>
                <w:rFonts w:cs="Times New Roman"/>
              </w:rPr>
              <w:fldChar w:fldCharType="end"/>
            </w:r>
          </w:p>
        </w:tc>
        <w:tc>
          <w:tcPr>
            <w:tcW w:w="1744" w:type="dxa"/>
          </w:tcPr>
          <w:p w14:paraId="21EBC74F" w14:textId="59DB6930" w:rsidR="0077369F" w:rsidRPr="007B6E15" w:rsidRDefault="0077369F" w:rsidP="00D82CF2">
            <w:pPr>
              <w:rPr>
                <w:rFonts w:cs="Times New Roman"/>
                <w:lang w:val="en-GB"/>
              </w:rPr>
            </w:pPr>
            <w:r w:rsidRPr="007B6E15">
              <w:rPr>
                <w:rFonts w:cs="Times New Roman"/>
                <w:lang w:val="en-GB"/>
              </w:rPr>
              <w:t xml:space="preserve">CERES project hindcast. </w:t>
            </w:r>
            <w:r w:rsidR="00597288" w:rsidRPr="007B6E15">
              <w:rPr>
                <w:rFonts w:cs="Times New Roman"/>
                <w:lang w:val="en-GB"/>
              </w:rPr>
              <w:fldChar w:fldCharType="begin" w:fldLock="1"/>
            </w:r>
            <w:r w:rsidR="00D53E97">
              <w:rPr>
                <w:rFonts w:cs="Times New Roman"/>
                <w:lang w:val="en-GB"/>
              </w:rPr>
              <w:instrText>ADDIN CSL_CITATION {"citationItems":[{"id":"ITEM-1","itemData":{"DOI":"10.4324/9781315757254","author":[{"dropping-particle":"","family":"Kay","given":"Susan","non-dropping-particle":"","parse-names":false,"suffix":""},{"dropping-particle":"","family":"Helén","given":"Andersson","non-dropping-particle":"","parse-names":false,"suffix":""},{"dropping-particle":"","family":"Catalan","given":"Ignacio","non-dropping-particle":"","parse-names":false,"suffix":""},{"dropping-particle":"","family":"Eilola","given":"Kari","non-dropping-particle":"","parse-names":false,"suffix":""},{"dropping-particle":"","family":"Jordà","given":"Gabriel","non-dropping-particle":"","parse-names":false,"suffix":""},{"dropping-particle":"","family":"Ramírez-Romero","given":"Eduardo","non-dropping-particle":"","parse-names":false,"suffix":""},{"dropping-particle":"","family":"Wehde","given":"Henning","non-dropping-particle":"","parse-names":false,"suffix":""}],"id":"ITEM-1","issued":{"date-parts":[["2018"]]},"title":"Projections of physical and biogeochemical parameters and habitat indicators for European seas, including synthesis of Sea Level Rise and storminess. H2020 Ceres project deriverable D1.3.","type":"report"},"uris":["http://www.mendeley.com/documents/?uuid=6b9486c8-da8f-4232-abbe-5d28268849b6"]}],"mendeley":{"formattedCitation":"(Kay et al., 2018)","plainTextFormattedCitation":"(Kay et al., 2018)","previouslyFormattedCitation":"(Kay et al., 2018)"},"properties":{"noteIndex":0},"schema":"https://github.com/citation-style-language/schema/raw/master/csl-citation.json"}</w:instrText>
            </w:r>
            <w:r w:rsidR="00597288" w:rsidRPr="007B6E15">
              <w:rPr>
                <w:rFonts w:cs="Times New Roman"/>
                <w:lang w:val="en-GB"/>
              </w:rPr>
              <w:fldChar w:fldCharType="separate"/>
            </w:r>
            <w:r w:rsidR="00145A89" w:rsidRPr="00145A89">
              <w:rPr>
                <w:rFonts w:cs="Times New Roman"/>
                <w:noProof/>
                <w:lang w:val="en-GB"/>
              </w:rPr>
              <w:t>(Kay et al., 2018)</w:t>
            </w:r>
            <w:r w:rsidR="00597288" w:rsidRPr="007B6E15">
              <w:rPr>
                <w:rFonts w:cs="Times New Roman"/>
                <w:lang w:val="en-GB"/>
              </w:rPr>
              <w:fldChar w:fldCharType="end"/>
            </w:r>
          </w:p>
          <w:p w14:paraId="6D49E2F6" w14:textId="77777777" w:rsidR="0077369F" w:rsidRPr="007B6E15" w:rsidRDefault="0077369F" w:rsidP="00D82CF2">
            <w:pPr>
              <w:rPr>
                <w:rFonts w:cs="Times New Roman"/>
                <w:lang w:val="en-GB"/>
              </w:rPr>
            </w:pPr>
          </w:p>
        </w:tc>
        <w:tc>
          <w:tcPr>
            <w:tcW w:w="1744" w:type="dxa"/>
          </w:tcPr>
          <w:p w14:paraId="4694D939" w14:textId="1C361F05" w:rsidR="0077369F" w:rsidRPr="007B6E15" w:rsidRDefault="00597288" w:rsidP="00D82CF2">
            <w:pPr>
              <w:rPr>
                <w:rFonts w:cs="Times New Roman"/>
                <w:lang w:val="es-ES"/>
              </w:rPr>
            </w:pPr>
            <w:r w:rsidRPr="007B6E15">
              <w:rPr>
                <w:rFonts w:cs="Times New Roman"/>
                <w:lang w:val="en-GB"/>
              </w:rPr>
              <w:fldChar w:fldCharType="begin" w:fldLock="1"/>
            </w:r>
            <w:r w:rsidR="00D53E97">
              <w:rPr>
                <w:rFonts w:cs="Times New Roman"/>
                <w:lang w:val="es-ES"/>
              </w:rPr>
              <w:instrText>ADDIN CSL_CITATION {"citationItems":[{"id":"ITEM-1","itemData":{"DOI":"10.1016/j.pocean.2019.02.005","ISSN":"00796611","abstract":"The relative abundance of nitrate (N) over phosphate (P) measured as a molar ratio (N:P) is typically considered to determine the macronutrient limiting marine primary production. In low-complexity biogeochemical models, a simple threshold value is usually applied based on the canonical Redfield ratio (N:P = 16). However, the N:P ratio is not constant in many oceanic areas, especially marginal, semi-enclosed seas, such as the Mediterranean basin. In this work, a flexible definition of the N:P ratio based on the capacity of phytoplankton to modulate phosphate uptake according to its availability in seawater, the so-called Line of Frugality, is incorporated into the biogeochemical model MedERGOM. This modification allows the acquisition of a more realistic representation of the stoichiometry of nutrients in the Mediterranean basin and allows to better reproduce the observed phytoplankton biomass in productive areas such as the Gulf of Gabes and the Adriatic Sea. This approach is, thus, especially suitable for coastal areas in which basin-scale biogeochemical models fail to reproduce patterns observed by remote sensing or in situ measurements. Our results show that implementation of the stoichiometric flexibility of phytoplankton in a low-complexity biogeochemical model enhances the reproducibility of ecosystem dynamics without increasing the computational demand, representing a simple approximation easily implemented in models aiming to describe regions with a Non-Redfieldian stoichiometry.","author":[{"dropping-particle":"","family":"Macias","given":"Diego","non-dropping-particle":"","parse-names":false,"suffix":""},{"dropping-particle":"","family":"Huertas","given":"I. Emma","non-dropping-particle":"","parse-names":false,"suffix":""},{"dropping-particle":"","family":"Garcia-Gorriz","given":"Elisa","non-dropping-particle":"","parse-names":false,"suffix":""},{"dropping-particle":"","family":"Stips","given":"Adolf","non-dropping-particle":"","parse-names":false,"suffix":""}],"container-title":"Progress in Oceanography","id":"ITEM-1","issued":{"date-parts":[["2019"]]},"page":"37-50","title":"Non-Redfieldian dynamics driven by phytoplankton phosphate frugality explain nutrient and chlorophyll patterns in model simulations for the Mediterranean Sea","type":"article-journal","volume":"173"},"uris":["http://www.mendeley.com/documents/?uuid=6dcf4955-eea4-4044-858f-c5c92d0d700d"]}],"mendeley":{"formattedCitation":"(Macias et al., 2019)","manualFormatting":"Macias et al. (2019)","plainTextFormattedCitation":"(Macias et al., 2019)","previouslyFormattedCitation":"(Macias et al., 2019)"},"properties":{"noteIndex":0},"schema":"https://github.com/citation-style-language/schema/raw/master/csl-citation.json"}</w:instrText>
            </w:r>
            <w:r w:rsidRPr="007B6E15">
              <w:rPr>
                <w:rFonts w:cs="Times New Roman"/>
                <w:lang w:val="en-GB"/>
              </w:rPr>
              <w:fldChar w:fldCharType="separate"/>
            </w:r>
            <w:r w:rsidR="0077369F" w:rsidRPr="007B6E15">
              <w:rPr>
                <w:rFonts w:cs="Times New Roman"/>
                <w:noProof/>
                <w:lang w:val="es-ES"/>
              </w:rPr>
              <w:t>Macias et al. (2019)</w:t>
            </w:r>
            <w:r w:rsidRPr="007B6E15">
              <w:rPr>
                <w:rFonts w:cs="Times New Roman"/>
                <w:lang w:val="en-GB"/>
              </w:rPr>
              <w:fldChar w:fldCharType="end"/>
            </w:r>
          </w:p>
        </w:tc>
      </w:tr>
      <w:tr w:rsidR="0077369F" w:rsidRPr="007B6E15" w14:paraId="4D8D34B6" w14:textId="77777777" w:rsidTr="00D82CF2">
        <w:tc>
          <w:tcPr>
            <w:tcW w:w="1744" w:type="dxa"/>
          </w:tcPr>
          <w:p w14:paraId="561FF287" w14:textId="77777777" w:rsidR="0077369F" w:rsidRPr="007B6E15" w:rsidRDefault="0077369F" w:rsidP="00D82CF2">
            <w:pPr>
              <w:rPr>
                <w:rFonts w:cs="Times New Roman"/>
                <w:noProof/>
                <w:lang w:val="es-ES"/>
              </w:rPr>
            </w:pPr>
            <w:r w:rsidRPr="007B6E15">
              <w:rPr>
                <w:rFonts w:cs="Times New Roman"/>
                <w:noProof/>
                <w:lang w:val="es-ES"/>
              </w:rPr>
              <w:t xml:space="preserve">Elements and phytoplankton variables </w:t>
            </w:r>
          </w:p>
        </w:tc>
        <w:tc>
          <w:tcPr>
            <w:tcW w:w="1744" w:type="dxa"/>
          </w:tcPr>
          <w:p w14:paraId="22A8131D" w14:textId="77777777" w:rsidR="0077369F" w:rsidRPr="007B6E15" w:rsidRDefault="0077369F" w:rsidP="00D82CF2">
            <w:pPr>
              <w:rPr>
                <w:rFonts w:cs="Times New Roman"/>
                <w:noProof/>
                <w:lang w:val="es-ES"/>
              </w:rPr>
            </w:pPr>
            <w:r w:rsidRPr="007B6E15">
              <w:rPr>
                <w:rFonts w:cs="Times New Roman"/>
                <w:noProof/>
                <w:lang w:val="es-ES"/>
              </w:rPr>
              <w:t>C,N,P,Si (diatoms), Chl, Fe</w:t>
            </w:r>
          </w:p>
        </w:tc>
        <w:tc>
          <w:tcPr>
            <w:tcW w:w="1744" w:type="dxa"/>
          </w:tcPr>
          <w:p w14:paraId="24F212DB" w14:textId="77777777" w:rsidR="0077369F" w:rsidRPr="007B6E15" w:rsidRDefault="0077369F" w:rsidP="00D82CF2">
            <w:pPr>
              <w:rPr>
                <w:rFonts w:cs="Times New Roman"/>
                <w:noProof/>
                <w:lang w:val="es-ES"/>
              </w:rPr>
            </w:pPr>
            <w:r w:rsidRPr="007B6E15">
              <w:rPr>
                <w:rFonts w:cs="Times New Roman"/>
                <w:noProof/>
                <w:lang w:val="es-ES"/>
              </w:rPr>
              <w:t>C,N,P,Si (diatoms), Chl, Fe</w:t>
            </w:r>
          </w:p>
        </w:tc>
        <w:tc>
          <w:tcPr>
            <w:tcW w:w="1744" w:type="dxa"/>
          </w:tcPr>
          <w:p w14:paraId="75CA34CC" w14:textId="77777777" w:rsidR="0077369F" w:rsidRPr="007B6E15" w:rsidRDefault="0077369F" w:rsidP="00D82CF2">
            <w:pPr>
              <w:rPr>
                <w:rFonts w:cs="Times New Roman"/>
                <w:noProof/>
                <w:lang w:val="es-ES"/>
              </w:rPr>
            </w:pPr>
            <w:r w:rsidRPr="007B6E15">
              <w:rPr>
                <w:rFonts w:cs="Times New Roman"/>
                <w:noProof/>
                <w:lang w:val="es-ES"/>
              </w:rPr>
              <w:t>C,N,P,Si (diatoms), Chl</w:t>
            </w:r>
          </w:p>
          <w:p w14:paraId="69585CC2" w14:textId="77777777" w:rsidR="0077369F" w:rsidRPr="007B6E15" w:rsidRDefault="0077369F" w:rsidP="00D82CF2">
            <w:pPr>
              <w:rPr>
                <w:rFonts w:cs="Times New Roman"/>
                <w:noProof/>
                <w:lang w:val="es-ES"/>
              </w:rPr>
            </w:pPr>
          </w:p>
        </w:tc>
        <w:tc>
          <w:tcPr>
            <w:tcW w:w="1744" w:type="dxa"/>
          </w:tcPr>
          <w:p w14:paraId="7DEB78FB" w14:textId="77777777" w:rsidR="0077369F" w:rsidRPr="007B6E15" w:rsidRDefault="0077369F" w:rsidP="00D82CF2">
            <w:pPr>
              <w:rPr>
                <w:rFonts w:cs="Times New Roman"/>
                <w:noProof/>
                <w:lang w:val="es-ES"/>
              </w:rPr>
            </w:pPr>
            <w:r w:rsidRPr="007B6E15">
              <w:rPr>
                <w:rFonts w:cs="Times New Roman"/>
                <w:noProof/>
                <w:lang w:val="es-ES"/>
              </w:rPr>
              <w:t>Chl, N,P</w:t>
            </w:r>
          </w:p>
        </w:tc>
      </w:tr>
      <w:tr w:rsidR="0077369F" w:rsidRPr="007B6E15" w14:paraId="577E7356" w14:textId="77777777" w:rsidTr="00D82CF2">
        <w:tc>
          <w:tcPr>
            <w:tcW w:w="1744" w:type="dxa"/>
          </w:tcPr>
          <w:p w14:paraId="3D2C09F3" w14:textId="77777777" w:rsidR="0077369F" w:rsidRPr="007B6E15" w:rsidRDefault="0077369F" w:rsidP="00D82CF2">
            <w:pPr>
              <w:rPr>
                <w:rFonts w:cs="Times New Roman"/>
                <w:strike/>
                <w:noProof/>
              </w:rPr>
            </w:pPr>
            <w:r w:rsidRPr="007B6E15">
              <w:rPr>
                <w:rFonts w:cs="Times New Roman"/>
                <w:noProof/>
              </w:rPr>
              <w:t>Assimilation</w:t>
            </w:r>
          </w:p>
        </w:tc>
        <w:tc>
          <w:tcPr>
            <w:tcW w:w="1744" w:type="dxa"/>
          </w:tcPr>
          <w:p w14:paraId="5D869554" w14:textId="545B8FFB" w:rsidR="0077369F" w:rsidRPr="007B6E15" w:rsidRDefault="0077369F" w:rsidP="00145A89">
            <w:pPr>
              <w:rPr>
                <w:rFonts w:cs="Times New Roman"/>
                <w:strike/>
                <w:noProof/>
              </w:rPr>
            </w:pPr>
            <w:r w:rsidRPr="007B6E15">
              <w:rPr>
                <w:rFonts w:cs="Times New Roman"/>
                <w:noProof/>
              </w:rPr>
              <w:t xml:space="preserve">Chlorophyll from satellite </w:t>
            </w:r>
            <w:r w:rsidR="00597288" w:rsidRPr="007B6E15">
              <w:rPr>
                <w:rFonts w:cs="Times New Roman"/>
                <w:noProof/>
              </w:rPr>
              <w:fldChar w:fldCharType="begin" w:fldLock="1"/>
            </w:r>
            <w:r w:rsidR="00D53E97">
              <w:rPr>
                <w:rFonts w:cs="Times New Roman"/>
                <w:noProof/>
              </w:rPr>
              <w:instrText>ADDIN CSL_CITATION {"citationItems":[{"id":"ITEM-1","itemData":{"DOI":"10.1002/2013JC009277","ISBN":"21699275","ISSN":"21699291","PMID":"26213670","abstract":"Increasing attention is dedicated to the implementation of suitable marine forecast systems for the estimate of the state of the ocean. Within the framework of the European MyOcean infrastructure, the pre-existing short-term Mediterranean Sea biogeochemistry operational forecast system has been upgraded by assimilating remotely sensed ocean color data in the coupled transport-biogeochemical model OPATM-BFM using a 3-D variational data assimilation (3D-VAR) procedure. In the present work, the 3D-VAR scheme is used to correct the four phytoplankton functional groups included in the OPATM-BFM in the period July 2007 to September 2008. The 3D-VAR scheme decomposes the error covariance matrix using a sequence of different operators that account separately for vertical covariance, horizontal covariance, and covariance among biogeochemical variables. The assimilation solution is found in a reduced dimensional space, and the innovation for the biogeochemical variables is obtained by the sequential application of the covariance operators. Results show a general improvement in the forecast skill, providing a correction of the basin-scale bias of surface chlorophyll concentration and of the local-scale spatial and temporal dynamics of typical bloom events. Further, analysis of the assimilation skill provides insights into the functioning of the model. The computational costs of the assimilation scheme adopted are low compared to other assimilation techniques, and its modular structure facilitates further developments. The 3D-VAR scheme results especially suitable for implementation within a biogeochemistry operational forecast system.","author":[{"dropping-particle":"","family":"Teruzzi","given":"Anna","non-dropping-particle":"","parse-names":false,"suffix":""},{"dropping-particle":"","family":"Dobricic","given":"Srdjan","non-dropping-particle":"","parse-names":false,"suffix":""},{"dropping-particle":"","family":"Solidoro","given":"Cosimo","non-dropping-particle":"","parse-names":false,"suffix":""},{"dropping-particle":"","family":"Cossarini","given":"Gianpiero","non-dropping-particle":"","parse-names":false,"suffix":""}],"container-title":"Journal of Geophysical Research: Oceans","id":"ITEM-1","issue":"1","issued":{"date-parts":[["2014"]]},"page":"200-217","title":"A 3-D variational assimilation scheme in coupled transport-biogeochemical models: Forecast of Mediterranean biogeochemical properties","type":"article-journal","volume":"119"},"uris":["http://www.mendeley.com/documents/?uuid=d045ac53-234e-4b38-8204-1a724522861d"]}],"mendeley":{"formattedCitation":"(Teruzzi et al., 2014)","plainTextFormattedCitation":"(Teruzzi et al., 2014)","previouslyFormattedCitation":"(Teruzzi et al., 2014)"},"properties":{"noteIndex":0},"schema":"https://github.com/citation-style-language/schema/raw/master/csl-citation.json"}</w:instrText>
            </w:r>
            <w:r w:rsidR="00597288" w:rsidRPr="007B6E15">
              <w:rPr>
                <w:rFonts w:cs="Times New Roman"/>
                <w:noProof/>
              </w:rPr>
              <w:fldChar w:fldCharType="separate"/>
            </w:r>
            <w:r w:rsidR="00145A89" w:rsidRPr="00145A89">
              <w:rPr>
                <w:rFonts w:cs="Times New Roman"/>
                <w:noProof/>
              </w:rPr>
              <w:t>(Teruzzi et al., 2014)</w:t>
            </w:r>
            <w:r w:rsidR="00597288" w:rsidRPr="007B6E15">
              <w:rPr>
                <w:rFonts w:cs="Times New Roman"/>
                <w:noProof/>
              </w:rPr>
              <w:fldChar w:fldCharType="end"/>
            </w:r>
          </w:p>
        </w:tc>
        <w:tc>
          <w:tcPr>
            <w:tcW w:w="1744" w:type="dxa"/>
          </w:tcPr>
          <w:p w14:paraId="0F1BA07E" w14:textId="77777777" w:rsidR="0077369F" w:rsidRPr="007B6E15" w:rsidRDefault="0077369F" w:rsidP="00D82CF2">
            <w:pPr>
              <w:rPr>
                <w:rFonts w:cs="Times New Roman"/>
                <w:noProof/>
              </w:rPr>
            </w:pPr>
            <w:r w:rsidRPr="007B6E15">
              <w:rPr>
                <w:rFonts w:cs="Times New Roman"/>
                <w:noProof/>
              </w:rPr>
              <w:t>-</w:t>
            </w:r>
          </w:p>
        </w:tc>
        <w:tc>
          <w:tcPr>
            <w:tcW w:w="1744" w:type="dxa"/>
          </w:tcPr>
          <w:p w14:paraId="31E8C79C" w14:textId="77777777" w:rsidR="0077369F" w:rsidRPr="007B6E15" w:rsidRDefault="0077369F" w:rsidP="00D82CF2">
            <w:pPr>
              <w:rPr>
                <w:rFonts w:cs="Times New Roman"/>
                <w:noProof/>
              </w:rPr>
            </w:pPr>
            <w:r w:rsidRPr="007B6E15">
              <w:rPr>
                <w:rFonts w:cs="Times New Roman"/>
                <w:noProof/>
              </w:rPr>
              <w:t>-</w:t>
            </w:r>
          </w:p>
        </w:tc>
        <w:tc>
          <w:tcPr>
            <w:tcW w:w="1744" w:type="dxa"/>
          </w:tcPr>
          <w:p w14:paraId="4A3E6A3D" w14:textId="77777777" w:rsidR="0077369F" w:rsidRPr="007B6E15" w:rsidRDefault="0077369F" w:rsidP="00D82CF2">
            <w:pPr>
              <w:rPr>
                <w:rFonts w:cs="Times New Roman"/>
                <w:noProof/>
              </w:rPr>
            </w:pPr>
            <w:r w:rsidRPr="007B6E15">
              <w:rPr>
                <w:rFonts w:cs="Times New Roman"/>
                <w:noProof/>
              </w:rPr>
              <w:t>-</w:t>
            </w:r>
          </w:p>
        </w:tc>
      </w:tr>
      <w:tr w:rsidR="0077369F" w:rsidRPr="007B6E15" w14:paraId="3E7AAE25" w14:textId="77777777" w:rsidTr="00D82CF2">
        <w:tc>
          <w:tcPr>
            <w:tcW w:w="1744" w:type="dxa"/>
          </w:tcPr>
          <w:p w14:paraId="291B8788" w14:textId="77777777" w:rsidR="0077369F" w:rsidRPr="007B6E15" w:rsidRDefault="0077369F" w:rsidP="00D82CF2">
            <w:pPr>
              <w:rPr>
                <w:rFonts w:cs="Times New Roman"/>
                <w:noProof/>
              </w:rPr>
            </w:pPr>
            <w:r w:rsidRPr="007B6E15">
              <w:rPr>
                <w:rFonts w:cs="Times New Roman"/>
                <w:noProof/>
              </w:rPr>
              <w:t xml:space="preserve">Phyto. groups (PFT) </w:t>
            </w:r>
          </w:p>
        </w:tc>
        <w:tc>
          <w:tcPr>
            <w:tcW w:w="1744" w:type="dxa"/>
          </w:tcPr>
          <w:p w14:paraId="202B255B" w14:textId="77777777" w:rsidR="0077369F" w:rsidRPr="007B6E15" w:rsidRDefault="0077369F" w:rsidP="00D82CF2">
            <w:pPr>
              <w:rPr>
                <w:rFonts w:cs="Times New Roman"/>
                <w:noProof/>
              </w:rPr>
            </w:pPr>
            <w:r w:rsidRPr="007B6E15">
              <w:rPr>
                <w:rFonts w:cs="Times New Roman"/>
              </w:rPr>
              <w:t>diatoms, flagellates, picophyto. and dinoflagellates</w:t>
            </w:r>
          </w:p>
        </w:tc>
        <w:tc>
          <w:tcPr>
            <w:tcW w:w="1744" w:type="dxa"/>
          </w:tcPr>
          <w:p w14:paraId="3244C955" w14:textId="77777777" w:rsidR="0077369F" w:rsidRPr="007B6E15" w:rsidRDefault="0077369F" w:rsidP="00D82CF2">
            <w:pPr>
              <w:rPr>
                <w:rFonts w:cs="Times New Roman"/>
                <w:noProof/>
              </w:rPr>
            </w:pPr>
            <w:r w:rsidRPr="007B6E15">
              <w:rPr>
                <w:rFonts w:cs="Times New Roman"/>
                <w:noProof/>
              </w:rPr>
              <w:t>Nanoflagellate, diatoms</w:t>
            </w:r>
          </w:p>
        </w:tc>
        <w:tc>
          <w:tcPr>
            <w:tcW w:w="1744" w:type="dxa"/>
          </w:tcPr>
          <w:p w14:paraId="13ECA157" w14:textId="77777777" w:rsidR="0077369F" w:rsidRPr="007B6E15" w:rsidRDefault="0077369F" w:rsidP="00D82CF2">
            <w:pPr>
              <w:rPr>
                <w:rFonts w:cs="Times New Roman"/>
                <w:noProof/>
              </w:rPr>
            </w:pPr>
            <w:r w:rsidRPr="007B6E15">
              <w:rPr>
                <w:rFonts w:cs="Times New Roman"/>
              </w:rPr>
              <w:t>Diatoms, nano., picophytoplankton and dinoflagellates</w:t>
            </w:r>
          </w:p>
        </w:tc>
        <w:tc>
          <w:tcPr>
            <w:tcW w:w="1744" w:type="dxa"/>
          </w:tcPr>
          <w:p w14:paraId="77F649D0" w14:textId="77777777" w:rsidR="0077369F" w:rsidRPr="007B6E15" w:rsidRDefault="0077369F" w:rsidP="00D82CF2">
            <w:pPr>
              <w:rPr>
                <w:rFonts w:cs="Times New Roman"/>
              </w:rPr>
            </w:pPr>
            <w:r w:rsidRPr="007B6E15">
              <w:rPr>
                <w:rFonts w:cs="Times New Roman"/>
              </w:rPr>
              <w:t>Macro, micro-, nanophyto.</w:t>
            </w:r>
          </w:p>
        </w:tc>
      </w:tr>
      <w:tr w:rsidR="0077369F" w:rsidRPr="007B6E15" w14:paraId="596B650B" w14:textId="77777777" w:rsidTr="00D82CF2">
        <w:trPr>
          <w:trHeight w:val="961"/>
        </w:trPr>
        <w:tc>
          <w:tcPr>
            <w:tcW w:w="1744" w:type="dxa"/>
          </w:tcPr>
          <w:p w14:paraId="03778568" w14:textId="77777777" w:rsidR="0077369F" w:rsidRPr="007B6E15" w:rsidRDefault="0077369F" w:rsidP="00D82CF2">
            <w:pPr>
              <w:rPr>
                <w:rFonts w:cs="Times New Roman"/>
                <w:noProof/>
              </w:rPr>
            </w:pPr>
            <w:r w:rsidRPr="007B6E15">
              <w:rPr>
                <w:rFonts w:cs="Times New Roman"/>
                <w:noProof/>
              </w:rPr>
              <w:t>Nutrient  uptake/ assimilation</w:t>
            </w:r>
          </w:p>
        </w:tc>
        <w:tc>
          <w:tcPr>
            <w:tcW w:w="1744" w:type="dxa"/>
          </w:tcPr>
          <w:p w14:paraId="1B459098" w14:textId="77777777" w:rsidR="0077369F" w:rsidRPr="007B6E15" w:rsidRDefault="0077369F" w:rsidP="00D82CF2">
            <w:pPr>
              <w:rPr>
                <w:rFonts w:cs="Times New Roman"/>
                <w:noProof/>
              </w:rPr>
            </w:pPr>
            <w:r w:rsidRPr="007B6E15">
              <w:rPr>
                <w:rFonts w:cs="Times New Roman"/>
                <w:noProof/>
              </w:rPr>
              <w:t>Monod/Droop</w:t>
            </w:r>
          </w:p>
          <w:p w14:paraId="56C8D855" w14:textId="77777777" w:rsidR="0077369F" w:rsidRPr="007B6E15" w:rsidRDefault="0077369F" w:rsidP="00D82CF2">
            <w:pPr>
              <w:rPr>
                <w:rFonts w:cs="Times New Roman"/>
                <w:noProof/>
              </w:rPr>
            </w:pPr>
          </w:p>
        </w:tc>
        <w:tc>
          <w:tcPr>
            <w:tcW w:w="1744" w:type="dxa"/>
          </w:tcPr>
          <w:p w14:paraId="722008CC" w14:textId="77777777" w:rsidR="0077369F" w:rsidRPr="007B6E15" w:rsidRDefault="0077369F" w:rsidP="00D82CF2">
            <w:pPr>
              <w:rPr>
                <w:rFonts w:cs="Times New Roman"/>
                <w:noProof/>
              </w:rPr>
            </w:pPr>
            <w:r w:rsidRPr="007B6E15">
              <w:rPr>
                <w:rFonts w:cs="Times New Roman"/>
                <w:noProof/>
              </w:rPr>
              <w:t>Monod</w:t>
            </w:r>
          </w:p>
        </w:tc>
        <w:tc>
          <w:tcPr>
            <w:tcW w:w="1744" w:type="dxa"/>
          </w:tcPr>
          <w:p w14:paraId="51FE64BB" w14:textId="77777777" w:rsidR="0077369F" w:rsidRPr="007B6E15" w:rsidRDefault="0077369F" w:rsidP="00D82CF2">
            <w:pPr>
              <w:rPr>
                <w:rFonts w:cs="Times New Roman"/>
                <w:noProof/>
              </w:rPr>
            </w:pPr>
            <w:r w:rsidRPr="007B6E15">
              <w:rPr>
                <w:rFonts w:cs="Times New Roman"/>
                <w:noProof/>
              </w:rPr>
              <w:t>Linear/Droop</w:t>
            </w:r>
          </w:p>
        </w:tc>
        <w:tc>
          <w:tcPr>
            <w:tcW w:w="1744" w:type="dxa"/>
          </w:tcPr>
          <w:p w14:paraId="276B460F" w14:textId="77777777" w:rsidR="0077369F" w:rsidRPr="007B6E15" w:rsidRDefault="0077369F" w:rsidP="00D82CF2">
            <w:pPr>
              <w:rPr>
                <w:rFonts w:cs="Times New Roman"/>
                <w:noProof/>
                <w:highlight w:val="yellow"/>
              </w:rPr>
            </w:pPr>
            <w:r w:rsidRPr="007B6E15">
              <w:rPr>
                <w:rFonts w:cs="Times New Roman"/>
                <w:noProof/>
              </w:rPr>
              <w:t>Monod</w:t>
            </w:r>
          </w:p>
        </w:tc>
      </w:tr>
      <w:tr w:rsidR="0077369F" w:rsidRPr="007B6E15" w14:paraId="3CECC1C7" w14:textId="77777777" w:rsidTr="00D82CF2">
        <w:trPr>
          <w:trHeight w:val="961"/>
        </w:trPr>
        <w:tc>
          <w:tcPr>
            <w:tcW w:w="1744" w:type="dxa"/>
          </w:tcPr>
          <w:p w14:paraId="08104EA9" w14:textId="77777777" w:rsidR="0077369F" w:rsidRPr="007B6E15" w:rsidRDefault="0077369F" w:rsidP="00D82CF2">
            <w:pPr>
              <w:rPr>
                <w:rFonts w:cs="Times New Roman"/>
                <w:noProof/>
              </w:rPr>
            </w:pPr>
            <w:r w:rsidRPr="007B6E15">
              <w:rPr>
                <w:rFonts w:cs="Times New Roman"/>
                <w:noProof/>
              </w:rPr>
              <w:t>Carbon:chlorophyll ratio</w:t>
            </w:r>
          </w:p>
        </w:tc>
        <w:tc>
          <w:tcPr>
            <w:tcW w:w="1744" w:type="dxa"/>
          </w:tcPr>
          <w:p w14:paraId="74A65FF0" w14:textId="58388511" w:rsidR="0077369F" w:rsidRPr="007B6E15" w:rsidRDefault="0077369F" w:rsidP="00145A89">
            <w:pPr>
              <w:rPr>
                <w:rFonts w:cs="Times New Roman"/>
                <w:noProof/>
              </w:rPr>
            </w:pPr>
            <w:r w:rsidRPr="007B6E15">
              <w:rPr>
                <w:rFonts w:cs="Times New Roman"/>
              </w:rPr>
              <w:t xml:space="preserve">Flexible </w:t>
            </w:r>
            <w:r w:rsidR="00597288" w:rsidRPr="007B6E15">
              <w:rPr>
                <w:rFonts w:cs="Times New Roman"/>
              </w:rPr>
              <w:fldChar w:fldCharType="begin" w:fldLock="1"/>
            </w:r>
            <w:r w:rsidR="00D53E97">
              <w:rPr>
                <w:rFonts w:cs="Times New Roman"/>
              </w:rPr>
              <w:instrText>ADDIN CSL_CITATION {"citationItems":[{"id":"ITEM-1","itemData":{"author":[{"dropping-particle":"","family":"Geider","given":"Richard J","non-dropping-particle":"","parse-names":false,"suffix":""},{"dropping-particle":"","family":"Maclntyre","given":"Hugh L","non-dropping-particle":"","parse-names":false,"suffix":""},{"dropping-particle":"","family":"Kana","given":"Todd M","non-dropping-particle":"","parse-names":false,"suffix":""}],"container-title":"Limnology and Oceanography","id":"ITEM-1","issue":"4","issued":{"date-parts":[["1998"]]},"page":"679-694","title":"A dynamic regulatory model of phytoplanktonic temperature acclimation to light , nutrients and temperature","type":"article-journal","volume":"43"},"uris":["http://www.mendeley.com/documents/?uuid=da12041b-a2df-44d4-b217-15d0861dd6c2"]},{"id":"ITEM-2","itemData":{"DOI":"10.1016/S0079-6611(03)00006-5","ISSN":"00796611","author":[{"dropping-particle":"","family":"Flynn","given":"Kevin J","non-dropping-particle":"","parse-names":false,"suffix":""}],"container-title":"Progress In Oceanography","id":"ITEM-2","issue":"2","issued":{"date-parts":[["2003","2"]]},"page":"249-279","title":"Modelling multi-nutrient interactions in phytoplankton; balancing simplicity and realism","type":"article-journal","volume":"56"},"uris":["http://www.mendeley.com/documents/?uuid=5446c4f3-3afe-4031-9706-b804d18f4e3c"]}],"mendeley":{"formattedCitation":"(Geider et al., 1998; Flynn, 2003)","plainTextFormattedCitation":"(Geider et al., 1998; Flynn, 2003)","previouslyFormattedCitation":"(Geider et al., 1998; Flynn, 2003)"},"properties":{"noteIndex":0},"schema":"https://github.com/citation-style-language/schema/raw/master/csl-citation.json"}</w:instrText>
            </w:r>
            <w:r w:rsidR="00597288" w:rsidRPr="007B6E15">
              <w:rPr>
                <w:rFonts w:cs="Times New Roman"/>
              </w:rPr>
              <w:fldChar w:fldCharType="separate"/>
            </w:r>
            <w:bookmarkStart w:id="0" w:name="__Fieldmark__661_415638846"/>
            <w:bookmarkStart w:id="1" w:name="__Fieldmark__1161_1364531424"/>
            <w:r w:rsidR="00145A89" w:rsidRPr="00145A89">
              <w:rPr>
                <w:rFonts w:cs="Times New Roman"/>
                <w:noProof/>
              </w:rPr>
              <w:t>(Geider et al., 1998; Flynn, 2003)</w:t>
            </w:r>
            <w:r w:rsidR="00597288" w:rsidRPr="007B6E15">
              <w:rPr>
                <w:rFonts w:cs="Times New Roman"/>
              </w:rPr>
              <w:fldChar w:fldCharType="end"/>
            </w:r>
            <w:bookmarkEnd w:id="0"/>
            <w:bookmarkEnd w:id="1"/>
          </w:p>
        </w:tc>
        <w:tc>
          <w:tcPr>
            <w:tcW w:w="1744" w:type="dxa"/>
          </w:tcPr>
          <w:p w14:paraId="2DBB8362" w14:textId="6A34EA83" w:rsidR="0077369F" w:rsidRPr="007B6E15" w:rsidRDefault="0077369F" w:rsidP="00145A89">
            <w:pPr>
              <w:rPr>
                <w:rFonts w:cs="Times New Roman"/>
                <w:noProof/>
              </w:rPr>
            </w:pPr>
            <w:r w:rsidRPr="007B6E15">
              <w:rPr>
                <w:rFonts w:cs="Times New Roman"/>
                <w:noProof/>
              </w:rPr>
              <w:t xml:space="preserve">Flexible </w:t>
            </w:r>
            <w:r w:rsidR="00597288" w:rsidRPr="007B6E15">
              <w:rPr>
                <w:rFonts w:cs="Times New Roman"/>
                <w:noProof/>
              </w:rPr>
              <w:fldChar w:fldCharType="begin" w:fldLock="1"/>
            </w:r>
            <w:r w:rsidR="00D53E97">
              <w:rPr>
                <w:rFonts w:cs="Times New Roman"/>
                <w:noProof/>
              </w:rPr>
              <w:instrText>ADDIN CSL_CITATION {"citationItems":[{"id":"ITEM-1","itemData":{"author":[{"dropping-particle":"","family":"Geider","given":"R J","non-dropping-particle":"","parse-names":false,"suffix":""},{"dropping-particle":"","family":"Intyre","given":"H L","non-dropping-particle":"Mac","parse-names":false,"suffix":""},{"dropping-particle":"","family":"Kana","given":"T M","non-dropping-particle":"","parse-names":false,"suffix":""}],"container-title":"Mar. Ecol. Prog. Ser.","id":"ITEM-1","issued":{"date-parts":[["1997"]]},"page":"187-200","title":"A dynamic growth model of phytoplankton growth and acclimation: responses of the balanced growth rate and chlorophyll-a:carbon ratio to light limitation and temperature","type":"article-journal","volume":"148"},"uris":["http://www.mendeley.com/documents/?uuid=9ccb46e9-a73b-4eef-8b9b-7aa1f4761453"]}],"mendeley":{"formattedCitation":"(Geider et al., 1997)","plainTextFormattedCitation":"(Geider et al., 1997)","previouslyFormattedCitation":"(Geider et al., 1997)"},"properties":{"noteIndex":0},"schema":"https://github.com/citation-style-language/schema/raw/master/csl-citation.json"}</w:instrText>
            </w:r>
            <w:r w:rsidR="00597288" w:rsidRPr="007B6E15">
              <w:rPr>
                <w:rFonts w:cs="Times New Roman"/>
                <w:noProof/>
              </w:rPr>
              <w:fldChar w:fldCharType="separate"/>
            </w:r>
            <w:r w:rsidR="00145A89" w:rsidRPr="00145A89">
              <w:rPr>
                <w:rFonts w:cs="Times New Roman"/>
                <w:noProof/>
              </w:rPr>
              <w:t>(Geider et al., 1997)</w:t>
            </w:r>
            <w:r w:rsidR="00597288" w:rsidRPr="007B6E15">
              <w:rPr>
                <w:rFonts w:cs="Times New Roman"/>
                <w:noProof/>
              </w:rPr>
              <w:fldChar w:fldCharType="end"/>
            </w:r>
          </w:p>
        </w:tc>
        <w:tc>
          <w:tcPr>
            <w:tcW w:w="1744" w:type="dxa"/>
          </w:tcPr>
          <w:p w14:paraId="0DAC108F" w14:textId="3653159A" w:rsidR="0077369F" w:rsidRPr="007B6E15" w:rsidRDefault="0077369F" w:rsidP="00145A89">
            <w:pPr>
              <w:rPr>
                <w:rFonts w:cs="Times New Roman"/>
                <w:noProof/>
              </w:rPr>
            </w:pPr>
            <w:r w:rsidRPr="007B6E15">
              <w:rPr>
                <w:rFonts w:cs="Times New Roman"/>
                <w:noProof/>
              </w:rPr>
              <w:t xml:space="preserve">Flexible </w:t>
            </w:r>
            <w:r w:rsidR="00597288" w:rsidRPr="007B6E15">
              <w:rPr>
                <w:rFonts w:cs="Times New Roman"/>
                <w:noProof/>
              </w:rPr>
              <w:fldChar w:fldCharType="begin" w:fldLock="1"/>
            </w:r>
            <w:r w:rsidR="00D53E97">
              <w:rPr>
                <w:rFonts w:cs="Times New Roman"/>
                <w:noProof/>
              </w:rPr>
              <w:instrText>ADDIN CSL_CITATION {"citationItems":[{"id":"ITEM-1","itemData":{"author":[{"dropping-particle":"","family":"Geider","given":"R J","non-dropping-particle":"","parse-names":false,"suffix":""},{"dropping-particle":"","family":"Intyre","given":"H L","non-dropping-particle":"Mac","parse-names":false,"suffix":""},{"dropping-particle":"","family":"Kana","given":"T M","non-dropping-particle":"","parse-names":false,"suffix":""}],"container-title":"Mar. Ecol. Prog. Ser.","id":"ITEM-1","issued":{"date-parts":[["1997"]]},"page":"187-200","title":"A dynamic growth model of phytoplankton growth and acclimation: responses of the balanced growth rate and chlorophyll-a:carbon ratio to light limitation and temperature","type":"article-journal","volume":"148"},"uris":["http://www.mendeley.com/documents/?uuid=9ccb46e9-a73b-4eef-8b9b-7aa1f4761453"]}],"mendeley":{"formattedCitation":"(Geider et al., 1997)","plainTextFormattedCitation":"(Geider et al., 1997)","previouslyFormattedCitation":"(Geider et al., 1997)"},"properties":{"noteIndex":0},"schema":"https://github.com/citation-style-language/schema/raw/master/csl-citation.json"}</w:instrText>
            </w:r>
            <w:r w:rsidR="00597288" w:rsidRPr="007B6E15">
              <w:rPr>
                <w:rFonts w:cs="Times New Roman"/>
                <w:noProof/>
              </w:rPr>
              <w:fldChar w:fldCharType="separate"/>
            </w:r>
            <w:r w:rsidR="00145A89" w:rsidRPr="00145A89">
              <w:rPr>
                <w:rFonts w:cs="Times New Roman"/>
                <w:noProof/>
              </w:rPr>
              <w:t>(Geider et al., 1997)</w:t>
            </w:r>
            <w:r w:rsidR="00597288" w:rsidRPr="007B6E15">
              <w:rPr>
                <w:rFonts w:cs="Times New Roman"/>
                <w:noProof/>
              </w:rPr>
              <w:fldChar w:fldCharType="end"/>
            </w:r>
          </w:p>
        </w:tc>
        <w:tc>
          <w:tcPr>
            <w:tcW w:w="1744" w:type="dxa"/>
          </w:tcPr>
          <w:p w14:paraId="1D03FC24" w14:textId="77777777" w:rsidR="0077369F" w:rsidRPr="007B6E15" w:rsidRDefault="0077369F" w:rsidP="00D82CF2">
            <w:pPr>
              <w:rPr>
                <w:rFonts w:cs="Times New Roman"/>
                <w:noProof/>
              </w:rPr>
            </w:pPr>
            <w:r w:rsidRPr="007B6E15">
              <w:rPr>
                <w:rFonts w:cs="Times New Roman"/>
                <w:noProof/>
              </w:rPr>
              <w:t xml:space="preserve">Fixed </w:t>
            </w:r>
          </w:p>
        </w:tc>
      </w:tr>
      <w:tr w:rsidR="0077369F" w:rsidRPr="007B6E15" w14:paraId="3B9F053C" w14:textId="77777777" w:rsidTr="00D82CF2">
        <w:tc>
          <w:tcPr>
            <w:tcW w:w="1744" w:type="dxa"/>
          </w:tcPr>
          <w:p w14:paraId="61D2BAD2" w14:textId="77777777" w:rsidR="0077369F" w:rsidRPr="007B6E15" w:rsidRDefault="0077369F" w:rsidP="00D82CF2">
            <w:pPr>
              <w:rPr>
                <w:rFonts w:cs="Times New Roman"/>
                <w:noProof/>
              </w:rPr>
            </w:pPr>
            <w:r w:rsidRPr="007B6E15">
              <w:rPr>
                <w:rFonts w:cs="Times New Roman"/>
                <w:noProof/>
              </w:rPr>
              <w:t xml:space="preserve">Phytoplankton </w:t>
            </w:r>
            <w:r w:rsidRPr="007B6E15">
              <w:rPr>
                <w:rFonts w:cs="Times New Roman"/>
                <w:noProof/>
              </w:rPr>
              <w:lastRenderedPageBreak/>
              <w:t xml:space="preserve">Stoichometry </w:t>
            </w:r>
          </w:p>
          <w:p w14:paraId="6C55E7B9" w14:textId="77777777" w:rsidR="0077369F" w:rsidRPr="007B6E15" w:rsidRDefault="0077369F" w:rsidP="00D82CF2">
            <w:pPr>
              <w:rPr>
                <w:rFonts w:cs="Times New Roman"/>
                <w:noProof/>
              </w:rPr>
            </w:pPr>
          </w:p>
        </w:tc>
        <w:tc>
          <w:tcPr>
            <w:tcW w:w="1744" w:type="dxa"/>
          </w:tcPr>
          <w:p w14:paraId="36A79174" w14:textId="77777777" w:rsidR="0077369F" w:rsidRPr="007B6E15" w:rsidRDefault="0077369F" w:rsidP="00D82CF2">
            <w:pPr>
              <w:rPr>
                <w:rFonts w:cs="Times New Roman"/>
                <w:noProof/>
              </w:rPr>
            </w:pPr>
            <w:r w:rsidRPr="007B6E15">
              <w:rPr>
                <w:rFonts w:cs="Times New Roman"/>
                <w:noProof/>
              </w:rPr>
              <w:lastRenderedPageBreak/>
              <w:t xml:space="preserve">Flexible. ½ to 2x Refield ratio </w:t>
            </w:r>
            <w:r w:rsidRPr="007B6E15">
              <w:rPr>
                <w:rFonts w:cs="Times New Roman"/>
                <w:noProof/>
              </w:rPr>
              <w:lastRenderedPageBreak/>
              <w:t xml:space="preserve">(N/P)  </w:t>
            </w:r>
          </w:p>
          <w:p w14:paraId="5583E2AF" w14:textId="77777777" w:rsidR="0077369F" w:rsidRPr="007B6E15" w:rsidRDefault="0077369F" w:rsidP="00D82CF2">
            <w:pPr>
              <w:rPr>
                <w:rFonts w:cs="Times New Roman"/>
                <w:noProof/>
              </w:rPr>
            </w:pPr>
          </w:p>
        </w:tc>
        <w:tc>
          <w:tcPr>
            <w:tcW w:w="1744" w:type="dxa"/>
          </w:tcPr>
          <w:p w14:paraId="3F9C41B8" w14:textId="77777777" w:rsidR="0077369F" w:rsidRPr="007B6E15" w:rsidRDefault="0077369F" w:rsidP="00D82CF2">
            <w:pPr>
              <w:rPr>
                <w:rFonts w:cs="Times New Roman"/>
              </w:rPr>
            </w:pPr>
            <w:r w:rsidRPr="007B6E15">
              <w:rPr>
                <w:rFonts w:cs="Times New Roman"/>
              </w:rPr>
              <w:lastRenderedPageBreak/>
              <w:t xml:space="preserve">Redfield fixed C/N/P = </w:t>
            </w:r>
            <w:r w:rsidRPr="007B6E15">
              <w:rPr>
                <w:rFonts w:cs="Times New Roman"/>
              </w:rPr>
              <w:lastRenderedPageBreak/>
              <w:t>122/16/1</w:t>
            </w:r>
          </w:p>
          <w:p w14:paraId="68920A21" w14:textId="77777777" w:rsidR="0077369F" w:rsidRPr="007B6E15" w:rsidRDefault="0077369F" w:rsidP="00D82CF2">
            <w:pPr>
              <w:rPr>
                <w:rFonts w:cs="Times New Roman"/>
                <w:noProof/>
              </w:rPr>
            </w:pPr>
          </w:p>
        </w:tc>
        <w:tc>
          <w:tcPr>
            <w:tcW w:w="1744" w:type="dxa"/>
          </w:tcPr>
          <w:p w14:paraId="459B8F78" w14:textId="77777777" w:rsidR="0077369F" w:rsidRPr="007B6E15" w:rsidRDefault="0077369F" w:rsidP="00D82CF2">
            <w:pPr>
              <w:rPr>
                <w:rFonts w:cs="Times New Roman"/>
                <w:noProof/>
              </w:rPr>
            </w:pPr>
            <w:r w:rsidRPr="007B6E15">
              <w:rPr>
                <w:rFonts w:cs="Times New Roman"/>
                <w:noProof/>
              </w:rPr>
              <w:lastRenderedPageBreak/>
              <w:t xml:space="preserve">Flexible. Fixed minimum, </w:t>
            </w:r>
            <w:r w:rsidRPr="007B6E15">
              <w:rPr>
                <w:rFonts w:cs="Times New Roman"/>
                <w:noProof/>
              </w:rPr>
              <w:lastRenderedPageBreak/>
              <w:t xml:space="preserve">maximum based on Redfield ratio, values depend on PFT. </w:t>
            </w:r>
          </w:p>
        </w:tc>
        <w:tc>
          <w:tcPr>
            <w:tcW w:w="1744" w:type="dxa"/>
          </w:tcPr>
          <w:p w14:paraId="7BDBD59E" w14:textId="3CB06E2E" w:rsidR="0077369F" w:rsidRPr="007B6E15" w:rsidRDefault="0077369F" w:rsidP="00145A89">
            <w:pPr>
              <w:rPr>
                <w:rFonts w:cs="Times New Roman"/>
                <w:noProof/>
                <w:highlight w:val="yellow"/>
              </w:rPr>
            </w:pPr>
            <w:r w:rsidRPr="007B6E15">
              <w:rPr>
                <w:rFonts w:cs="Times New Roman"/>
                <w:noProof/>
              </w:rPr>
              <w:lastRenderedPageBreak/>
              <w:t xml:space="preserve">Flexible N:P ratio following </w:t>
            </w:r>
            <w:r w:rsidRPr="007B6E15">
              <w:rPr>
                <w:rFonts w:cs="Times New Roman"/>
                <w:noProof/>
              </w:rPr>
              <w:lastRenderedPageBreak/>
              <w:t xml:space="preserve">the Line of Frugality concept </w:t>
            </w:r>
            <w:r w:rsidR="00597288" w:rsidRPr="007B6E15">
              <w:rPr>
                <w:rFonts w:cs="Times New Roman"/>
                <w:noProof/>
              </w:rPr>
              <w:fldChar w:fldCharType="begin" w:fldLock="1"/>
            </w:r>
            <w:r w:rsidR="00D53E97">
              <w:rPr>
                <w:rFonts w:cs="Times New Roman"/>
                <w:noProof/>
              </w:rPr>
              <w:instrText>ADDIN CSL_CITATION {"citationItems":[{"id":"ITEM-1","itemData":{"DOI":"10.1073/pnas.1423917112","ISBN":"1091-6490 (Electronic)\\r0027-8424 (Linking)","ISSN":"0027-8424","PMID":"26056296","abstract":"It is widely recognized that the stoichiometry of nutrient elements in phytoplankton varies within the ocean. However, there are many conflicting mechanistic explanations for this variability, and it is often ignored in global biogeochemical models and carbon cycle simulations. Here we show that globally distributed particulate P:C varies as a linear function of ambient phosphate concentrations, whereas the N:C varies with ambient nitrate concentrations, but only when nitrate is most scarce. This observation is consistent with the adjustment of the phytoplankton community to local nutrient availability, with greater flexibility of phytoplankton P:C because P is a less abundant cellular component than N. This simple relationship is shown to predict the large-scale, long-term average composition of surface particles throughout large parts of the ocean remarkably well. The relationship implies that most of the observed variation in N:P actually arises from a greater plasticity in the cellular P:C content, relative to N:C, such that as overall macronutrient concentrations decrease, N:P rises. Although other mechanisms are certainly also relevant, this simple relationship can be applied as a first-order basis for predicting organic matter stoichiometry in large-scale biogeochemical models, as illustrated using a simple box model. The results show that including variable P:C makes atmospheric CO2 more sensitive to changes in low latitude export and ocean circulation than a fixed-stoichiometry model. In addition, variable P:C weakens the relationship between preformed phosphate and atmospheric CO2 while implying a more important role for the nitrogen cycle.","author":[{"dropping-particle":"","family":"Galbraith","given":"Eric D.","non-dropping-particle":"","parse-names":false,"suffix":""},{"dropping-particle":"","family":"Martiny","given":"Adam C.","non-dropping-particle":"","parse-names":false,"suffix":""}],"container-title":"Proceedings of the National Academy of Sciences","id":"ITEM-1","issue":"27","issued":{"date-parts":[["2015"]]},"page":"8199-8204","title":"A simple nutrient-dependence mechanism for predicting the stoichiometry of marine ecosystems","type":"article-journal","volume":"112"},"uris":["http://www.mendeley.com/documents/?uuid=a349ca9a-b882-408f-b696-662b9ce7e4a1"]}],"mendeley":{"formattedCitation":"(Galbraith and Martiny, 2015)","plainTextFormattedCitation":"(Galbraith and Martiny, 2015)","previouslyFormattedCitation":"(Galbraith and Martiny, 2015)"},"properties":{"noteIndex":0},"schema":"https://github.com/citation-style-language/schema/raw/master/csl-citation.json"}</w:instrText>
            </w:r>
            <w:r w:rsidR="00597288" w:rsidRPr="007B6E15">
              <w:rPr>
                <w:rFonts w:cs="Times New Roman"/>
                <w:noProof/>
              </w:rPr>
              <w:fldChar w:fldCharType="separate"/>
            </w:r>
            <w:r w:rsidR="00145A89" w:rsidRPr="00145A89">
              <w:rPr>
                <w:rFonts w:cs="Times New Roman"/>
                <w:noProof/>
              </w:rPr>
              <w:t>(Galbraith and Martiny, 2015)</w:t>
            </w:r>
            <w:r w:rsidR="00597288" w:rsidRPr="007B6E15">
              <w:rPr>
                <w:rFonts w:cs="Times New Roman"/>
                <w:noProof/>
              </w:rPr>
              <w:fldChar w:fldCharType="end"/>
            </w:r>
          </w:p>
        </w:tc>
      </w:tr>
      <w:tr w:rsidR="0077369F" w:rsidRPr="007B6E15" w14:paraId="47FBB9E9" w14:textId="77777777" w:rsidTr="00D82CF2">
        <w:tc>
          <w:tcPr>
            <w:tcW w:w="1744" w:type="dxa"/>
          </w:tcPr>
          <w:p w14:paraId="5E98ABEE" w14:textId="77777777" w:rsidR="0077369F" w:rsidRPr="007B6E15" w:rsidRDefault="0077369F" w:rsidP="00D82CF2">
            <w:pPr>
              <w:rPr>
                <w:rFonts w:cs="Times New Roman"/>
                <w:noProof/>
              </w:rPr>
            </w:pPr>
            <w:r w:rsidRPr="007B6E15">
              <w:rPr>
                <w:rFonts w:cs="Times New Roman"/>
                <w:noProof/>
              </w:rPr>
              <w:lastRenderedPageBreak/>
              <w:t>Nutrient inputs: Rivers</w:t>
            </w:r>
          </w:p>
        </w:tc>
        <w:tc>
          <w:tcPr>
            <w:tcW w:w="1744" w:type="dxa"/>
          </w:tcPr>
          <w:p w14:paraId="2208C133" w14:textId="20C5E668" w:rsidR="0077369F" w:rsidRPr="007B6E15" w:rsidRDefault="0077369F" w:rsidP="00D82CF2">
            <w:pPr>
              <w:autoSpaceDE w:val="0"/>
              <w:autoSpaceDN w:val="0"/>
              <w:adjustRightInd w:val="0"/>
              <w:rPr>
                <w:rFonts w:cs="Times New Roman"/>
                <w:noProof/>
              </w:rPr>
            </w:pPr>
            <w:r w:rsidRPr="007B6E15">
              <w:rPr>
                <w:rFonts w:cs="Times New Roman"/>
              </w:rPr>
              <w:t xml:space="preserve">Monthly from observations </w:t>
            </w:r>
            <w:r w:rsidR="00597288" w:rsidRPr="007B6E15">
              <w:rPr>
                <w:rFonts w:cs="Times New Roman"/>
              </w:rPr>
              <w:fldChar w:fldCharType="begin" w:fldLock="1"/>
            </w:r>
            <w:r w:rsidR="00D53E97">
              <w:rPr>
                <w:rFonts w:cs="Times New Roman"/>
              </w:rPr>
              <w:instrText>ADDIN CSL_CITATION {"citationItems":[{"id":"ITEM-1","itemData":{"DOI":"10.1016/j.pocean.2009.02.001","ISBN":"0079-6611","ISSN":"00796611","abstract":"Rivers are important sources of freshwater and nutrients for the Mediterranean and Black Sea. We present a reconstruction of the spatial and temporal variability of these inputs since the early 1960s, based on a review of available data on water discharge, nutrient concentrations and climatic parameters. Our compilation indicates that Mediterranean rivers suffer from a significant reduction in freshwater discharge, contrary to rivers of the Black Sea, which do not have clear discharge trends. We estimate this reduction to be at least about 20% between 1960 and 2000. It mainly reflects recent climate change, and dam construction may have reduced discharge even further. A similar decrease can also be expected for the fluxes of dissolved silica (Si), strongly controlled by water discharge and potentially reduced by river damming as well. This contrasts with the fluxes of nitrogen (N) and phosphorus (P) in Mediterranean and Black Sea rivers, which were strongly enhanced by anthropogenic sources. Their total inputs to the Mediterranean Sea could have increased by a factor of &gt;5. While N still remained at elevated levels in 2000, P only increased up to the 1980-1990s, and then rapidly dropped down to about the initial values of the 1960s. With respect to the marine primary production that can be supported by the riverine nutrient inputs, Mediterranean and the Black Sea rivers were mostly phosphorus limited during the study period. Their anthropogenic nutrient enrichment could only have had a fertilizing effect before the general decline of the P loads. When also considering Si as a limiting element, which is the case for siliceous primary producers such as diatoms, silica limitation may have become a widespread phenomenon in the Mediterranean rivers since the early 1980s. For the Black Sea rivers, this already started the late 1960s. Gross primary production sustained by rivers (PPR) represents only less than 2% of the gross production (PP) in the Mediterranean, and less than 5% in the Black Sea. Possible ecological impacts of the changing river inputs should therefore be visible only in productive coastal areas, such as the Gulf of Lions, where PPR can reach more than two thirds of PP. Reported ecosystem changes both in the Adriatic Sea and the Black Sea are concomitant with major changes in the reconstructed river inputs. Further work combining modelling and data collection is needed to test whether this may also have been the case for coastal ecosystems at…","author":[{"dropping-particle":"","family":"Ludwig","given":"Wolfgang","non-dropping-particle":"","parse-names":false,"suffix":""},{"dropping-particle":"","family":"Dumont","given":"Egon","non-dropping-particle":"","parse-names":false,"suffix":""},{"dropping-particle":"","family":"Meybeck","given":"Michel","non-dropping-particle":"","parse-names":false,"suffix":""},{"dropping-particle":"","family":"Heussner","given":"Serge","non-dropping-particle":"","parse-names":false,"suffix":""}],"container-title":"Progress in Oceanography","id":"ITEM-1","issue":"3-4","issued":{"date-parts":[["2009"]]},"page":"199-217","publisher":"Elsevier Ltd","title":"River discharges of water and nutrients to the Mediterranean and Black Sea: Major drivers for ecosystem changes during past and future decades?","type":"article","volume":"80"},"uris":["http://www.mendeley.com/documents/?uuid=82357dbb-bf67-4bdc-90f8-0796da06e9e6"]}],"mendeley":{"formattedCitation":"(Ludwig et al., 2009)","plainTextFormattedCitation":"(Ludwig et al., 2009)","previouslyFormattedCitation":"(Ludwig et al., 2009)"},"properties":{"noteIndex":0},"schema":"https://github.com/citation-style-language/schema/raw/master/csl-citation.json"}</w:instrText>
            </w:r>
            <w:r w:rsidR="00597288" w:rsidRPr="007B6E15">
              <w:rPr>
                <w:rFonts w:cs="Times New Roman"/>
              </w:rPr>
              <w:fldChar w:fldCharType="separate"/>
            </w:r>
            <w:r w:rsidR="00145A89" w:rsidRPr="00145A89">
              <w:rPr>
                <w:rFonts w:cs="Times New Roman"/>
                <w:noProof/>
              </w:rPr>
              <w:t>(Ludwig et al., 2009)</w:t>
            </w:r>
            <w:r w:rsidR="00597288" w:rsidRPr="007B6E15">
              <w:rPr>
                <w:rFonts w:cs="Times New Roman"/>
              </w:rPr>
              <w:fldChar w:fldCharType="end"/>
            </w:r>
            <w:r w:rsidRPr="007B6E15">
              <w:rPr>
                <w:rFonts w:cs="Times New Roman"/>
              </w:rPr>
              <w:t xml:space="preserve">. All other inputs are treated as constants </w:t>
            </w:r>
          </w:p>
          <w:p w14:paraId="44E87F0B" w14:textId="77777777" w:rsidR="0077369F" w:rsidRPr="007B6E15" w:rsidRDefault="0077369F" w:rsidP="00D82CF2">
            <w:pPr>
              <w:rPr>
                <w:rFonts w:cs="Times New Roman"/>
                <w:noProof/>
              </w:rPr>
            </w:pPr>
          </w:p>
        </w:tc>
        <w:tc>
          <w:tcPr>
            <w:tcW w:w="1744" w:type="dxa"/>
          </w:tcPr>
          <w:p w14:paraId="51380BDB" w14:textId="591FC4F6" w:rsidR="00B554FD" w:rsidRDefault="00B554FD" w:rsidP="00D82CF2">
            <w:pPr>
              <w:rPr>
                <w:rFonts w:cs="Times New Roman"/>
              </w:rPr>
            </w:pPr>
            <w:r>
              <w:rPr>
                <w:rFonts w:cs="Times New Roman"/>
              </w:rPr>
              <w:t>DOC, DIC from Ludwig and Probst</w:t>
            </w:r>
            <w:r w:rsidR="0077369F" w:rsidRPr="007B6E15">
              <w:rPr>
                <w:rFonts w:cs="Times New Roman"/>
              </w:rPr>
              <w:t xml:space="preserve"> (1996) and transformed to N/P/Si with constant ratios </w:t>
            </w:r>
          </w:p>
          <w:p w14:paraId="18549503" w14:textId="171750AF" w:rsidR="0077369F" w:rsidRPr="007B6E15" w:rsidRDefault="00B554FD" w:rsidP="00B554FD">
            <w:pPr>
              <w:rPr>
                <w:rFonts w:cs="Times New Roman"/>
              </w:rPr>
            </w:pPr>
            <w:r>
              <w:rPr>
                <w:rFonts w:cs="Times New Roman"/>
              </w:rPr>
              <w:fldChar w:fldCharType="begin" w:fldLock="1"/>
            </w:r>
            <w:r w:rsidR="00EE6BD0">
              <w:rPr>
                <w:rFonts w:cs="Times New Roman"/>
              </w:rPr>
              <w:instrText>ADDIN CSL_CITATION {"citationItems":[{"id":"ITEM-1","itemData":{"DOI":"10.1029/95GB02925","ISBN":"0886-6236","ISSN":"19449224","abstract":"For a large set of major world rivers we established the empirical relations existing between the observed organic carbon fluxes and the climatic, biologic, and geomorphologic patterns characterizing the river basins. These characteristics were extracted from various ecological databases. The corresponding carbon fluxes were taken from the literature. Dissolved organic carbon fluxes are mainly related to drainage intensity, basin slope, and the amount of carbon stored in soils. Particulate organic carbon fluxes are calculated as a function of sediment fluxes, which depend principally upon drainage intensity, rainfall intensity, and basin slope. Although the drainage intensity is mainly related to the amount of precipitation and to mean temperature in the basin, slope is also retained as one of the controlling factors. Our empirical models result in a total organic carbon flux to the oceans of about 0.38 Gt per year globally. About 0.21 Gt carbon (Gt C) enter the oceans in dissolved form and about 0.17 Gt C in particulate form. We further regionalize fluxes with respect to major climates, different continents, and different ocean basins. About 45 % of the organic carbon is discharged from tropical wet regions. The major part of the dissolved organic carbon is discharged into the Atlantic Ocean, while the bulk of the particulate organic carbon is discharged into the Indian and Pacific Oceans.","author":[{"dropping-particle":"","family":"Ludwig","given":"Wolfgang","non-dropping-particle":"","parse-names":false,"suffix":""},{"dropping-particle":"","family":"Probst","given":"Jean Luc","non-dropping-particle":"","parse-names":false,"suffix":""}],"container-title":"Global Biogeochemical Cycles","id":"ITEM-1","issue":"1","issued":{"date-parts":[["1996"]]},"page":"23-41","title":"Predicting the oceanic input of organic carbon by continental erosion","type":"article-journal","volume":"10"},"uris":["http://www.mendeley.com/documents/?uuid=6229852e-8ab9-4798-8377-8080ce2df6d2"]}],"mendeley":{"formattedCitation":"(Ludwig and Probst, 1996)","plainTextFormattedCitation":"(Ludwig and Probst, 1996)","previouslyFormattedCitation":"(Ludwig and Probst, 1996)"},"properties":{"noteIndex":0},"schema":"https://github.com/citation-style-language/schema/raw/master/csl-citation.json"}</w:instrText>
            </w:r>
            <w:r>
              <w:rPr>
                <w:rFonts w:cs="Times New Roman"/>
              </w:rPr>
              <w:fldChar w:fldCharType="separate"/>
            </w:r>
            <w:r w:rsidRPr="00B554FD">
              <w:rPr>
                <w:rFonts w:cs="Times New Roman"/>
                <w:noProof/>
              </w:rPr>
              <w:t>(Ludwig and Probst, 1996)</w:t>
            </w:r>
            <w:r>
              <w:rPr>
                <w:rFonts w:cs="Times New Roman"/>
              </w:rPr>
              <w:fldChar w:fldCharType="end"/>
            </w:r>
            <w:r w:rsidR="0077369F" w:rsidRPr="007B6E15">
              <w:rPr>
                <w:rFonts w:cs="Times New Roman"/>
              </w:rPr>
              <w:t xml:space="preserve"> </w:t>
            </w:r>
          </w:p>
        </w:tc>
        <w:tc>
          <w:tcPr>
            <w:tcW w:w="1744" w:type="dxa"/>
          </w:tcPr>
          <w:p w14:paraId="7FE547C9" w14:textId="77777777" w:rsidR="0077369F" w:rsidRPr="007B6E15" w:rsidRDefault="0077369F" w:rsidP="00D82CF2">
            <w:pPr>
              <w:rPr>
                <w:rFonts w:cs="Times New Roman"/>
              </w:rPr>
            </w:pPr>
            <w:r w:rsidRPr="007B6E15">
              <w:rPr>
                <w:rFonts w:cs="Times New Roman"/>
              </w:rPr>
              <w:t>Global  NEWS 2</w:t>
            </w:r>
          </w:p>
          <w:p w14:paraId="19FFF6F6" w14:textId="6B2C1507" w:rsidR="0077369F" w:rsidRPr="007B6E15" w:rsidRDefault="00597288" w:rsidP="00145A89">
            <w:pPr>
              <w:rPr>
                <w:rFonts w:cs="Times New Roman"/>
              </w:rPr>
            </w:pPr>
            <w:r w:rsidRPr="007B6E15">
              <w:rPr>
                <w:rFonts w:cs="Times New Roman"/>
              </w:rPr>
              <w:fldChar w:fldCharType="begin" w:fldLock="1"/>
            </w:r>
            <w:r w:rsidR="00D53E97">
              <w:rPr>
                <w:rFonts w:cs="Times New Roman"/>
              </w:rPr>
              <w:instrText>ADDIN CSL_CITATION {"citationItems":[{"id":"ITEM-1","itemData":{"DOI":"10.1016/j.envsoft.2010.01.007","ISBN":"1364-8152","ISSN":"13648152","abstract":"Global NEWS is a global, spatially explicit, multi-element and multi-form model of nutrient exports by rivers. Here we present NEWS 2, the new version of Global NEWS developed as part of a Millennium Ecosystem Assessment scenario implementation from hindcast (1970) to contemporary (2000) and future scenario trajectories (2030 &amp; 2050). We provide a detailed model description and present an overview of enhancements to input datasets, emphasizing an integrated view of nutrient form sub-models and contrasts with previous NEWS models (NEWS 1). An important difference with NEWS 1 is our unified model framework (multi-element, multi-form) that facilitates detailed watershed comparisons regionally and by element or form. NEWS 2 performs approximately as well as NEWS 1 while incorporating previously uncharacterized factors. Although contemporary global river export estimates for dissolved inorganic nitrogen (DIN) and particulates show notable reductions, they are within the range of previous studies; global exports for other nutrient forms are comparable to NEWS 1. NEWS 2 can be used as an effective tool to examine the impact of polices to reduce coastal eutrophication at regional to global scales. Continued enhancements will focus on the incorporation of other forms and sub-basin spatial variability in drivers and retention processes. © 2010 Elsevier Ltd. All rights reserved.","author":[{"dropping-particle":"","family":"Mayorga","given":"Emilio","non-dropping-particle":"","parse-names":false,"suffix":""},{"dropping-particle":"","family":"Seitzinger","given":"Sybil P.","non-dropping-particle":"","parse-names":false,"suffix":""},{"dropping-particle":"","family":"Harrison","given":"John A.","non-dropping-particle":"","parse-names":false,"suffix":""},{"dropping-particle":"","family":"Dumont","given":"Egon","non-dropping-particle":"","parse-names":false,"suffix":""},{"dropping-particle":"","family":"Beusen","given":"Arthur H.W.","non-dropping-particle":"","parse-names":false,"suffix":""},{"dropping-particle":"","family":"Bouwman","given":"A. F.","non-dropping-particle":"","parse-names":false,"suffix":""},{"dropping-particle":"","family":"Fekete","given":"Balazs M.","non-dropping-particle":"","parse-names":false,"suffix":""},{"dropping-particle":"","family":"Kroeze","given":"Carolien","non-dropping-particle":"","parse-names":false,"suffix":""},{"dropping-particle":"","family":"Drecht","given":"Gerard","non-dropping-particle":"Van","parse-names":false,"suffix":""}],"container-title":"Environmental Modelling and Software","id":"ITEM-1","issue":"7","issued":{"date-parts":[["2010"]]},"page":"837-853","title":"Global Nutrient Export from WaterSheds 2 (NEWS 2): Model development and implementation","type":"article-journal","volume":"25"},"uris":["http://www.mendeley.com/documents/?uuid=695ed794-b970-4e74-ad19-305fe45cdcce"]}],"mendeley":{"formattedCitation":"(Mayorga et al., 2010)","plainTextFormattedCitation":"(Mayorga et al., 2010)","previouslyFormattedCitation":"(Mayorga et al., 2010)"},"properties":{"noteIndex":0},"schema":"https://github.com/citation-style-language/schema/raw/master/csl-citation.json"}</w:instrText>
            </w:r>
            <w:r w:rsidRPr="007B6E15">
              <w:rPr>
                <w:rFonts w:cs="Times New Roman"/>
              </w:rPr>
              <w:fldChar w:fldCharType="separate"/>
            </w:r>
            <w:r w:rsidR="00145A89" w:rsidRPr="00145A89">
              <w:rPr>
                <w:rFonts w:cs="Times New Roman"/>
                <w:noProof/>
              </w:rPr>
              <w:t>(Mayorga et al., 2010)</w:t>
            </w:r>
            <w:r w:rsidRPr="007B6E15">
              <w:rPr>
                <w:rFonts w:cs="Times New Roman"/>
              </w:rPr>
              <w:fldChar w:fldCharType="end"/>
            </w:r>
            <w:r w:rsidR="0077369F" w:rsidRPr="007B6E15">
              <w:rPr>
                <w:rFonts w:cs="Times New Roman"/>
              </w:rPr>
              <w:t xml:space="preserve">; GEMS-GLORI </w:t>
            </w:r>
            <w:r w:rsidRPr="007B6E15">
              <w:rPr>
                <w:rFonts w:cs="Times New Roman"/>
              </w:rPr>
              <w:fldChar w:fldCharType="begin" w:fldLock="1"/>
            </w:r>
            <w:r w:rsidR="00D53E97">
              <w:rPr>
                <w:rFonts w:cs="Times New Roman"/>
              </w:rPr>
              <w:instrText>ADDIN CSL_CITATION {"citationItems":[{"id":"ITEM-1","itemData":{"ISBN":"1-901502-20-1","ISSN":"0144-7815","abstract":"The GEMS-GLORI register, circulated by UNEP for review in 1996, lists\\n555 world major rivers discharging to oceans (Q &gt; 10 km(3) year(-1), or\\nA &gt; 10 000 km(2), or sediment discharge &gt; 5Mt year(-1), or basin\\npopulation &gt; 5M people). Up to 48 river attributes are listed, including\\nmajor ions and nutrients (C, N, P) in both dissolved, particulate,\\norganic and inorganic forms. For many rivers, two or three sets of data\\nare provided with relevant periods of records and references. Although\\nhalf of the selected rivers are not yet documented for water quality,\\nmost of the first 40 rivers are well described (Irrawady, Zambezi,\\nOgooue, Magdalena, are noted exceptions). Altogether about 10 000\\nindividual data from 500 references are listed. The global coverage in\\nterms of river discharge and/or drainage area ranges from 40 to 67% for\\nmost major water quality attributes but drops to 25% for some organic\\nand/or particulate forms of N and P. Planned development of the register\\nincludes collection of information on particulate chemistry and data on\\nendorheic rivers and selected tributaries.","author":[{"dropping-particle":"","family":"Meybeck","given":"Michel","non-dropping-particle":"","parse-names":false,"suffix":""},{"dropping-particle":"","family":"Ragu","given":"Alain","non-dropping-particle":"","parse-names":false,"suffix":""}],"container-title":"Ass. Hydrol. Sci. Publ.","id":"ITEM-1","issue":"243","issued":{"date-parts":[["1997"]]},"page":"3-14","title":"Presenting the GEMS-GLORI , a compendium of world river discharge to the oceans","type":"article-journal","volume":"243"},"uris":["http://www.mendeley.com/documents/?uuid=285f174e-5d7d-4f59-a910-67ed8e94a5e8"]}],"mendeley":{"formattedCitation":"(Meybeck and Ragu, 1997)","plainTextFormattedCitation":"(Meybeck and Ragu, 1997)","previouslyFormattedCitation":"(Meybeck and Ragu, 1997)"},"properties":{"noteIndex":0},"schema":"https://github.com/citation-style-language/schema/raw/master/csl-citation.json"}</w:instrText>
            </w:r>
            <w:r w:rsidRPr="007B6E15">
              <w:rPr>
                <w:rFonts w:cs="Times New Roman"/>
              </w:rPr>
              <w:fldChar w:fldCharType="separate"/>
            </w:r>
            <w:r w:rsidR="00145A89" w:rsidRPr="00145A89">
              <w:rPr>
                <w:rFonts w:cs="Times New Roman"/>
                <w:noProof/>
              </w:rPr>
              <w:t>(Meybeck and Ragu, 1997)</w:t>
            </w:r>
            <w:r w:rsidRPr="007B6E15">
              <w:rPr>
                <w:rFonts w:cs="Times New Roman"/>
              </w:rPr>
              <w:fldChar w:fldCharType="end"/>
            </w:r>
            <w:r w:rsidR="0077369F" w:rsidRPr="007B6E15">
              <w:rPr>
                <w:rFonts w:cs="Times New Roman"/>
              </w:rPr>
              <w:t xml:space="preserve">databases </w:t>
            </w:r>
          </w:p>
        </w:tc>
        <w:tc>
          <w:tcPr>
            <w:tcW w:w="1744" w:type="dxa"/>
          </w:tcPr>
          <w:p w14:paraId="0BB20879" w14:textId="70B61233" w:rsidR="0077369F" w:rsidRPr="007B6E15" w:rsidRDefault="0077369F" w:rsidP="00145A89">
            <w:pPr>
              <w:rPr>
                <w:rFonts w:cs="Times New Roman"/>
              </w:rPr>
            </w:pPr>
            <w:r w:rsidRPr="007B6E15">
              <w:rPr>
                <w:rFonts w:cs="Times New Roman"/>
              </w:rPr>
              <w:t xml:space="preserve">Monthly from observations </w:t>
            </w:r>
            <w:r w:rsidR="00597288" w:rsidRPr="007B6E15">
              <w:rPr>
                <w:rFonts w:cs="Times New Roman"/>
              </w:rPr>
              <w:fldChar w:fldCharType="begin" w:fldLock="1"/>
            </w:r>
            <w:r w:rsidR="00D53E97">
              <w:rPr>
                <w:rFonts w:cs="Times New Roman"/>
              </w:rPr>
              <w:instrText>ADDIN CSL_CITATION {"citationItems":[{"id":"ITEM-1","itemData":{"DOI":"10.1016/j.pocean.2009.02.001","ISBN":"0079-6611","ISSN":"00796611","abstract":"Rivers are important sources of freshwater and nutrients for the Mediterranean and Black Sea. We present a reconstruction of the spatial and temporal variability of these inputs since the early 1960s, based on a review of available data on water discharge, nutrient concentrations and climatic parameters. Our compilation indicates that Mediterranean rivers suffer from a significant reduction in freshwater discharge, contrary to rivers of the Black Sea, which do not have clear discharge trends. We estimate this reduction to be at least about 20% between 1960 and 2000. It mainly reflects recent climate change, and dam construction may have reduced discharge even further. A similar decrease can also be expected for the fluxes of dissolved silica (Si), strongly controlled by water discharge and potentially reduced by river damming as well. This contrasts with the fluxes of nitrogen (N) and phosphorus (P) in Mediterranean and Black Sea rivers, which were strongly enhanced by anthropogenic sources. Their total inputs to the Mediterranean Sea could have increased by a factor of &gt;5. While N still remained at elevated levels in 2000, P only increased up to the 1980-1990s, and then rapidly dropped down to about the initial values of the 1960s. With respect to the marine primary production that can be supported by the riverine nutrient inputs, Mediterranean and the Black Sea rivers were mostly phosphorus limited during the study period. Their anthropogenic nutrient enrichment could only have had a fertilizing effect before the general decline of the P loads. When also considering Si as a limiting element, which is the case for siliceous primary producers such as diatoms, silica limitation may have become a widespread phenomenon in the Mediterranean rivers since the early 1980s. For the Black Sea rivers, this already started the late 1960s. Gross primary production sustained by rivers (PPR) represents only less than 2% of the gross production (PP) in the Mediterranean, and less than 5% in the Black Sea. Possible ecological impacts of the changing river inputs should therefore be visible only in productive coastal areas, such as the Gulf of Lions, where PPR can reach more than two thirds of PP. Reported ecosystem changes both in the Adriatic Sea and the Black Sea are concomitant with major changes in the reconstructed river inputs. Further work combining modelling and data collection is needed to test whether this may also have been the case for coastal ecosystems at…","author":[{"dropping-particle":"","family":"Ludwig","given":"Wolfgang","non-dropping-particle":"","parse-names":false,"suffix":""},{"dropping-particle":"","family":"Dumont","given":"Egon","non-dropping-particle":"","parse-names":false,"suffix":""},{"dropping-particle":"","family":"Meybeck","given":"Michel","non-dropping-particle":"","parse-names":false,"suffix":""},{"dropping-particle":"","family":"Heussner","given":"Serge","non-dropping-particle":"","parse-names":false,"suffix":""}],"container-title":"Progress in Oceanography","id":"ITEM-1","issue":"3-4","issued":{"date-parts":[["2009"]]},"page":"199-217","publisher":"Elsevier Ltd","title":"River discharges of water and nutrients to the Mediterranean and Black Sea: Major drivers for ecosystem changes during past and future decades?","type":"article","volume":"80"},"uris":["http://www.mendeley.com/documents/?uuid=82357dbb-bf67-4bdc-90f8-0796da06e9e6"]}],"mendeley":{"formattedCitation":"(Ludwig et al., 2009)","plainTextFormattedCitation":"(Ludwig et al., 2009)","previouslyFormattedCitation":"(Ludwig et al., 2009)"},"properties":{"noteIndex":0},"schema":"https://github.com/citation-style-language/schema/raw/master/csl-citation.json"}</w:instrText>
            </w:r>
            <w:r w:rsidR="00597288" w:rsidRPr="007B6E15">
              <w:rPr>
                <w:rFonts w:cs="Times New Roman"/>
              </w:rPr>
              <w:fldChar w:fldCharType="separate"/>
            </w:r>
            <w:r w:rsidR="00145A89" w:rsidRPr="00145A89">
              <w:rPr>
                <w:rFonts w:cs="Times New Roman"/>
                <w:noProof/>
              </w:rPr>
              <w:t>(Ludwig et al., 2009)</w:t>
            </w:r>
            <w:r w:rsidR="00597288" w:rsidRPr="007B6E15">
              <w:rPr>
                <w:rFonts w:cs="Times New Roman"/>
              </w:rPr>
              <w:fldChar w:fldCharType="end"/>
            </w:r>
            <w:r w:rsidRPr="007B6E15">
              <w:rPr>
                <w:rFonts w:cs="Times New Roman"/>
              </w:rPr>
              <w:t xml:space="preserve"> and  Water base database at the European Environmental Agency (EAA)</w:t>
            </w:r>
          </w:p>
        </w:tc>
      </w:tr>
      <w:tr w:rsidR="0077369F" w:rsidRPr="007B6E15" w14:paraId="2AF78954" w14:textId="77777777" w:rsidTr="00D82CF2">
        <w:tc>
          <w:tcPr>
            <w:tcW w:w="1744" w:type="dxa"/>
          </w:tcPr>
          <w:p w14:paraId="1F180314" w14:textId="77777777" w:rsidR="0077369F" w:rsidRPr="007B6E15" w:rsidRDefault="0077369F" w:rsidP="00D82CF2">
            <w:pPr>
              <w:rPr>
                <w:rFonts w:cs="Times New Roman"/>
                <w:noProof/>
              </w:rPr>
            </w:pPr>
            <w:r w:rsidRPr="007B6E15">
              <w:rPr>
                <w:rFonts w:cs="Times New Roman"/>
                <w:noProof/>
              </w:rPr>
              <w:t>Nutrient inputs: Atmosphere</w:t>
            </w:r>
          </w:p>
        </w:tc>
        <w:tc>
          <w:tcPr>
            <w:tcW w:w="1744" w:type="dxa"/>
          </w:tcPr>
          <w:p w14:paraId="773ACB29" w14:textId="31158610" w:rsidR="0077369F" w:rsidRPr="007B6E15" w:rsidRDefault="0077369F" w:rsidP="00145A89">
            <w:pPr>
              <w:autoSpaceDE w:val="0"/>
              <w:autoSpaceDN w:val="0"/>
              <w:adjustRightInd w:val="0"/>
              <w:rPr>
                <w:rFonts w:cs="Times New Roman"/>
              </w:rPr>
            </w:pPr>
            <w:r w:rsidRPr="007B6E15">
              <w:rPr>
                <w:rFonts w:cs="Times New Roman"/>
              </w:rPr>
              <w:t xml:space="preserve">Constant in time during the year, specific value for western basin </w:t>
            </w:r>
            <w:r w:rsidR="00597288" w:rsidRPr="007B6E15">
              <w:rPr>
                <w:rFonts w:cs="Times New Roman"/>
              </w:rPr>
              <w:fldChar w:fldCharType="begin" w:fldLock="1"/>
            </w:r>
            <w:r w:rsidR="00D53E97">
              <w:rPr>
                <w:rFonts w:cs="Times New Roman"/>
              </w:rPr>
              <w:instrText>ADDIN CSL_CITATION {"citationItems":[{"id":"ITEM-1","itemData":{"DOI":"10.1029/2002JC001650","ISBN":"0148-0227","ISSN":"0148-0227","abstract":"[1] The Mediterranean is a marginal sea displaying a peculiar biogeochemistry (enhanced deep respiration, non Redfieldian nutrient ratios, etc.). Here we discuss the different processes that may contribute to the observed peculiarities, inferred from the analysis of the nutrient data generated mostly during the last decade. Both nitrate to orthophosphate (N:P) and orthosilicate to nitrate (Si:N) ratios display a decreasing east-west gradient (N:P &gt; 25 and Si:N &gt; 1.3 in the eastern Mediterranean, and N:P similar to 20 and Si:N less than or equal to 1.0 in the western Mediterranean). The analysis of the transports at the two main straits (Gibraltar and Sicily) shows that the eastern Mediterranean is likely the site where the biological pump is non Redfieldian, whereas the Si:N &gt; 1.3 in the eastern nutrient deep pool unexpectedly highlights an important role of the diatoms in the vertical export of matter. A quantitative analysis of the nutrient inputs and distributions suggests that the newly formed dense waters and the turbulent mixing transport a significant load of preformed organic and inorganic nitrogen from the surface, with the Levantine Intermediate Water being by far the most important player because of higher fraction of surface water in its mixture. Nutrient ratios and fluxes also suggests that nitrogen fixation, probably carried out by symbionts hosted by diatoms is taking place. The latter are relatively less important in the western than in the eastern basin. Those features may change in the next future if climate change or anthropogenic forcing alter the elemental fluxes at the boundaries.","author":[{"dropping-particle":"","family":"Ribera d'Alcalà","given":"M.","non-dropping-particle":"","parse-names":false,"suffix":""}],"container-title":"Journal of Geophysical Research","id":"ITEM-1","issue":"C9","issued":{"date-parts":[["2003"]]},"page":"8106","title":"Nutrient ratios and fluxes hint at overlooked processes in the Mediterranean Sea","type":"article-journal","volume":"108"},"uris":["http://www.mendeley.com/documents/?uuid=788bbaca-9539-4315-8274-b598abc8d999"]}],"mendeley":{"formattedCitation":"(Ribera d’Alcalà, 2003)","plainTextFormattedCitation":"(Ribera d’Alcalà, 2003)","previouslyFormattedCitation":"(Ribera d’Alcalà, 2003)"},"properties":{"noteIndex":0},"schema":"https://github.com/citation-style-language/schema/raw/master/csl-citation.json"}</w:instrText>
            </w:r>
            <w:r w:rsidR="00597288" w:rsidRPr="007B6E15">
              <w:rPr>
                <w:rFonts w:cs="Times New Roman"/>
              </w:rPr>
              <w:fldChar w:fldCharType="separate"/>
            </w:r>
            <w:r w:rsidR="00145A89" w:rsidRPr="00145A89">
              <w:rPr>
                <w:rFonts w:cs="Times New Roman"/>
                <w:noProof/>
              </w:rPr>
              <w:t>(Ribera d’Alcalà, 2003)</w:t>
            </w:r>
            <w:r w:rsidR="00597288" w:rsidRPr="007B6E15">
              <w:rPr>
                <w:rFonts w:cs="Times New Roman"/>
              </w:rPr>
              <w:fldChar w:fldCharType="end"/>
            </w:r>
          </w:p>
        </w:tc>
        <w:tc>
          <w:tcPr>
            <w:tcW w:w="1744" w:type="dxa"/>
          </w:tcPr>
          <w:p w14:paraId="43EA150D" w14:textId="5A7B9CBA" w:rsidR="0077369F" w:rsidRPr="007B6E15" w:rsidRDefault="0077369F" w:rsidP="00145A89">
            <w:pPr>
              <w:rPr>
                <w:rFonts w:cs="Times New Roman"/>
                <w:noProof/>
              </w:rPr>
            </w:pPr>
            <w:r w:rsidRPr="007B6E15">
              <w:rPr>
                <w:rFonts w:cs="Times New Roman"/>
                <w:noProof/>
              </w:rPr>
              <w:t>Daily input but only Fe and Si</w:t>
            </w:r>
            <w:r w:rsidR="007639AF">
              <w:rPr>
                <w:rFonts w:cs="Times New Roman"/>
                <w:noProof/>
              </w:rPr>
              <w:t xml:space="preserve"> </w:t>
            </w:r>
            <w:r w:rsidR="00597288" w:rsidRPr="007B6E15">
              <w:rPr>
                <w:rFonts w:cs="Times New Roman"/>
              </w:rPr>
              <w:fldChar w:fldCharType="begin" w:fldLock="1"/>
            </w:r>
            <w:r w:rsidR="00D53E97">
              <w:rPr>
                <w:rFonts w:cs="Times New Roman"/>
              </w:rPr>
              <w:instrText>ADDIN CSL_CITATION {"citationItems":[{"id":"ITEM-1","itemData":{"DOI":"10.1029/2007GL031131","ISBN":"0094-8276","ISSN":"00948276","abstract":"Dust deposition is extremely variable over all timescales. Yet the impact of this variability on ocean biogeochemistry is currently not known, at least on the global scale. Here, we force a global model of ocean biogeochemistry over 1996 to 2001 with daily fields of dust deposition simulated by an atmospheric aerosol model. Our model results suggest that dust deposition explains a large part of the temporal variability of surface iron in the tropical regions and in part of the subarctic Pacific. However, while dust deposition is dominated by daily events, its impact on surface iron is maximal on interannual timescales. The largest fluctuations of surface iron produced by dust occur in oligotrophic regions where phytoplankton growth is not primarily controlled by iron availability. Consequently, the variability of surface chlorophyll induced by aerosol iron is predicted to be very small everywhere, especially relative to the impact of the ocean dynamics.","author":[{"dropping-particle":"","family":"Aumont","given":"Olivier","non-dropping-particle":"","parse-names":false,"suffix":""},{"dropping-particle":"","family":"Bopp","given":"L.","non-dropping-particle":"","parse-names":false,"suffix":""},{"dropping-particle":"","family":"Schulz","given":"M.","non-dropping-particle":"","parse-names":false,"suffix":""}],"container-title":"Geophysical Research Letters","id":"ITEM-1","issue":"7","issued":{"date-parts":[["2008"]]},"page":"1-5","title":"What does temporal variability in aeolian dust deposition contribute to sea-surface iron and chlorophyll distributions?","type":"article-journal","volume":"35"},"uris":["http://www.mendeley.com/documents/?uuid=02960846-8e21-4708-a57b-e9307ef089b5"]}],"mendeley":{"formattedCitation":"(Aumont et al., 2008)","plainTextFormattedCitation":"(Aumont et al., 2008)","previouslyFormattedCitation":"(Aumont et al., 2008)"},"properties":{"noteIndex":0},"schema":"https://github.com/citation-style-language/schema/raw/master/csl-citation.json"}</w:instrText>
            </w:r>
            <w:r w:rsidR="00597288" w:rsidRPr="007B6E15">
              <w:rPr>
                <w:rFonts w:cs="Times New Roman"/>
              </w:rPr>
              <w:fldChar w:fldCharType="separate"/>
            </w:r>
            <w:r w:rsidR="00145A89" w:rsidRPr="00145A89">
              <w:rPr>
                <w:rFonts w:cs="Times New Roman"/>
                <w:noProof/>
              </w:rPr>
              <w:t>(Aumont et al., 2008)</w:t>
            </w:r>
            <w:r w:rsidR="00597288" w:rsidRPr="007B6E15">
              <w:rPr>
                <w:rFonts w:cs="Times New Roman"/>
              </w:rPr>
              <w:fldChar w:fldCharType="end"/>
            </w:r>
          </w:p>
        </w:tc>
        <w:tc>
          <w:tcPr>
            <w:tcW w:w="1744" w:type="dxa"/>
          </w:tcPr>
          <w:p w14:paraId="0636700A" w14:textId="77777777" w:rsidR="0077369F" w:rsidRPr="007B6E15" w:rsidRDefault="0077369F" w:rsidP="00D82CF2">
            <w:pPr>
              <w:rPr>
                <w:rFonts w:cs="Times New Roman"/>
              </w:rPr>
            </w:pPr>
            <w:r w:rsidRPr="007B6E15">
              <w:rPr>
                <w:rFonts w:cs="Times New Roman"/>
              </w:rPr>
              <w:t>-</w:t>
            </w:r>
          </w:p>
        </w:tc>
        <w:tc>
          <w:tcPr>
            <w:tcW w:w="1744" w:type="dxa"/>
          </w:tcPr>
          <w:p w14:paraId="7174DAB7" w14:textId="73AC7733" w:rsidR="0077369F" w:rsidRPr="007B6E15" w:rsidRDefault="0077369F" w:rsidP="00145A89">
            <w:pPr>
              <w:rPr>
                <w:rFonts w:cs="Times New Roman"/>
              </w:rPr>
            </w:pPr>
            <w:r w:rsidRPr="007B6E15">
              <w:rPr>
                <w:rFonts w:cs="Times New Roman"/>
              </w:rPr>
              <w:t xml:space="preserve">Constant in time during the year nitrate and ammonium  </w:t>
            </w:r>
            <w:r w:rsidR="00597288" w:rsidRPr="007B6E15">
              <w:rPr>
                <w:rFonts w:cs="Times New Roman"/>
              </w:rPr>
              <w:fldChar w:fldCharType="begin" w:fldLock="1"/>
            </w:r>
            <w:r w:rsidR="00D53E97">
              <w:rPr>
                <w:rFonts w:cs="Times New Roman"/>
              </w:rPr>
              <w:instrText>ADDIN CSL_CITATION {"citationItems":[{"id":"ITEM-1","itemData":{"DOI":"10.1007/s13398-014-0173-7.2","ISBN":"1726-4189","ISSN":"0717-6163","PMID":"15003161","author":[{"dropping-particle":"","family":"EMEP","given":"","non-dropping-particle":"","parse-names":false,"suffix":""}],"container-title":"EMEP Report","id":"ITEM-1","issued":{"date-parts":[["2014"]]},"page":"216","title":"Transboundary particulate matter, photo-oxidants, acidifying and eutrophying components","type":"article-journal","volume":"1"},"uris":["http://www.mendeley.com/documents/?uuid=a118d143-a769-4546-88b3-730054322849"]}],"mendeley":{"formattedCitation":"(EMEP, 2014)","plainTextFormattedCitation":"(EMEP, 2014)","previouslyFormattedCitation":"(EMEP, 2014)"},"properties":{"noteIndex":0},"schema":"https://github.com/citation-style-language/schema/raw/master/csl-citation.json"}</w:instrText>
            </w:r>
            <w:r w:rsidR="00597288" w:rsidRPr="007B6E15">
              <w:rPr>
                <w:rFonts w:cs="Times New Roman"/>
              </w:rPr>
              <w:fldChar w:fldCharType="separate"/>
            </w:r>
            <w:r w:rsidR="00145A89" w:rsidRPr="00145A89">
              <w:rPr>
                <w:rFonts w:cs="Times New Roman"/>
                <w:noProof/>
              </w:rPr>
              <w:t>(EMEP, 2014)</w:t>
            </w:r>
            <w:r w:rsidR="00597288" w:rsidRPr="007B6E15">
              <w:rPr>
                <w:rFonts w:cs="Times New Roman"/>
              </w:rPr>
              <w:fldChar w:fldCharType="end"/>
            </w:r>
            <w:r w:rsidRPr="007B6E15">
              <w:rPr>
                <w:rFonts w:cs="Times New Roman"/>
              </w:rPr>
              <w:t xml:space="preserve">; phosphate </w:t>
            </w:r>
            <w:r w:rsidR="00597288" w:rsidRPr="007B6E15">
              <w:rPr>
                <w:rFonts w:cs="Times New Roman"/>
              </w:rPr>
              <w:fldChar w:fldCharType="begin" w:fldLock="1"/>
            </w:r>
            <w:r w:rsidR="00D53E97">
              <w:rPr>
                <w:rFonts w:cs="Times New Roman"/>
              </w:rPr>
              <w:instrText>ADDIN CSL_CITATION {"citationItems":[{"id":"ITEM-1","itemData":{"DOI":"10.4319/lo.2003.48.4.1557","ISBN":"2001070101","ISSN":"00243590","abstract":"Total and dissolved inorganic phosphorus (IP) was measured in both rainwater and aerosol samples collected from two remote coastal areas: on the island of Crete (Greece) and at Erdemli (Turkey). Particle size distributions of P, as well as total deposition were also measured. Wet and dry deposition of dissolved inorganic phosphorus (DIP) from Crete are compared with simultaneously obtained dissolved inorganic nitrogen (DIN) and with produc- tivity data from the literature. Our results indicate that (1) in both wet and dry deposition, the DIN/DIP molar ratio ranges between 63 and 349, exceeding by a factor of up to 22 the N/P ratio observed in seawater (ranging from 25 to 28) and (2) atmospheric deposition of DIP could reasonably account for a significant part of the new production (up to 38%) observed during the summer and autumn period (i.e., when water stratification is at its maximum).","author":[{"dropping-particle":"","family":"Markaki","given":"Z.","non-dropping-particle":"","parse-names":false,"suffix":""},{"dropping-particle":"","family":"Oikonomou","given":"K.","non-dropping-particle":"","parse-names":false,"suffix":""},{"dropping-particle":"","family":"Kocak","given":"M.","non-dropping-particle":"","parse-names":false,"suffix":""},{"dropping-particle":"","family":"Kouvarakis","given":"G.","non-dropping-particle":"","parse-names":false,"suffix":""},{"dropping-particle":"","family":"Chaniotaki","given":"A.","non-dropping-particle":"","parse-names":false,"suffix":""},{"dropping-particle":"","family":"Kubilay","given":"N.","non-dropping-particle":"","parse-names":false,"suffix":""},{"dropping-particle":"","family":"Mihalopoulos","given":"N.","non-dropping-particle":"","parse-names":false,"suffix":""}],"container-title":"Limnology and Oceanography","id":"ITEM-1","issue":"4","issued":{"date-parts":[["2003"]]},"page":"1557-1568","title":"Atmospheric deposition of inorganic phosphorus in the Levantine Basin, eastern Mediterranean: Spatial and temporal variability and its role in seawater productivity","type":"article-journal","volume":"48"},"uris":["http://www.mendeley.com/documents/?uuid=8fbfbfc1-bab2-48b0-897e-8d157cca0010"]}],"mendeley":{"formattedCitation":"(Markaki et al., 2003)","plainTextFormattedCitation":"(Markaki et al., 2003)","previouslyFormattedCitation":"(Markaki et al., 2003)"},"properties":{"noteIndex":0},"schema":"https://github.com/citation-style-language/schema/raw/master/csl-citation.json"}</w:instrText>
            </w:r>
            <w:r w:rsidR="00597288" w:rsidRPr="007B6E15">
              <w:rPr>
                <w:rFonts w:cs="Times New Roman"/>
              </w:rPr>
              <w:fldChar w:fldCharType="separate"/>
            </w:r>
            <w:r w:rsidR="00145A89" w:rsidRPr="00145A89">
              <w:rPr>
                <w:rFonts w:cs="Times New Roman"/>
                <w:noProof/>
              </w:rPr>
              <w:t>(Markaki et al., 2003)</w:t>
            </w:r>
            <w:r w:rsidR="00597288" w:rsidRPr="007B6E15">
              <w:rPr>
                <w:rFonts w:cs="Times New Roman"/>
              </w:rPr>
              <w:fldChar w:fldCharType="end"/>
            </w:r>
          </w:p>
        </w:tc>
      </w:tr>
      <w:tr w:rsidR="0077369F" w:rsidRPr="007B6E15" w14:paraId="736C5B6C" w14:textId="77777777" w:rsidTr="00D82CF2">
        <w:tc>
          <w:tcPr>
            <w:tcW w:w="1744" w:type="dxa"/>
          </w:tcPr>
          <w:p w14:paraId="755C3640" w14:textId="77777777" w:rsidR="0077369F" w:rsidRPr="007B6E15" w:rsidRDefault="0077369F" w:rsidP="00D82CF2">
            <w:pPr>
              <w:rPr>
                <w:rFonts w:cs="Times New Roman"/>
                <w:noProof/>
              </w:rPr>
            </w:pPr>
            <w:r w:rsidRPr="007B6E15">
              <w:rPr>
                <w:rFonts w:cs="Times New Roman"/>
                <w:noProof/>
              </w:rPr>
              <w:t>Initial conditions</w:t>
            </w:r>
          </w:p>
        </w:tc>
        <w:tc>
          <w:tcPr>
            <w:tcW w:w="1744" w:type="dxa"/>
          </w:tcPr>
          <w:p w14:paraId="6D9A342D" w14:textId="23B27F92" w:rsidR="0077369F" w:rsidRPr="007B6E15" w:rsidRDefault="0077369F" w:rsidP="00145A89">
            <w:pPr>
              <w:rPr>
                <w:rFonts w:cs="Times New Roman"/>
                <w:noProof/>
              </w:rPr>
            </w:pPr>
            <w:r w:rsidRPr="007B6E15">
              <w:rPr>
                <w:rFonts w:cs="Times New Roman"/>
              </w:rPr>
              <w:t xml:space="preserve">MFSTEP project using MEDAR/ MEDATLAS 2002 </w:t>
            </w:r>
            <w:r w:rsidR="00597288" w:rsidRPr="007B6E15">
              <w:rPr>
                <w:rFonts w:cs="Times New Roman"/>
              </w:rPr>
              <w:fldChar w:fldCharType="begin" w:fldLock="1"/>
            </w:r>
            <w:r w:rsidR="00D53E97">
              <w:rPr>
                <w:rFonts w:cs="Times New Roman"/>
              </w:rPr>
              <w:instrText>ADDIN CSL_CITATION {"citationItems":[{"id":"ITEM-1","itemData":{"author":[{"dropping-particle":"","family":"Crise","given":"A.","non-dropping-particle":"","parse-names":false,"suffix":""},{"dropping-particle":"","family":"Solidoro","given":"C.","non-dropping-particle":"","parse-names":false,"suffix":""},{"dropping-particle":"","family":"Tomini","given":"I.","non-dropping-particle":"","parse-names":false,"suffix":""}],"id":"ITEM-1","issued":{"date-parts":[["2003"]]},"number-of-pages":"p. 11310","title":"Preparation of Initial Conditions for the Coupled Model OGCM and Initial Parameters Setting","type":"report"},"uris":["http://www.mendeley.com/documents/?uuid=d2df5c09-f032-4c23-8c16-7521df79bb4e"]}],"mendeley":{"formattedCitation":"(Crise et al., 2003)","plainTextFormattedCitation":"(Crise et al., 2003)","previouslyFormattedCitation":"(Crise et al., 2003)"},"properties":{"noteIndex":0},"schema":"https://github.com/citation-style-language/schema/raw/master/csl-citation.json"}</w:instrText>
            </w:r>
            <w:r w:rsidR="00597288" w:rsidRPr="007B6E15">
              <w:rPr>
                <w:rFonts w:cs="Times New Roman"/>
              </w:rPr>
              <w:fldChar w:fldCharType="separate"/>
            </w:r>
            <w:r w:rsidR="00145A89" w:rsidRPr="00145A89">
              <w:rPr>
                <w:rFonts w:cs="Times New Roman"/>
                <w:noProof/>
              </w:rPr>
              <w:t>(Crise et al., 2003)</w:t>
            </w:r>
            <w:r w:rsidR="00597288" w:rsidRPr="007B6E15">
              <w:rPr>
                <w:rFonts w:cs="Times New Roman"/>
              </w:rPr>
              <w:fldChar w:fldCharType="end"/>
            </w:r>
          </w:p>
        </w:tc>
        <w:tc>
          <w:tcPr>
            <w:tcW w:w="1744" w:type="dxa"/>
          </w:tcPr>
          <w:p w14:paraId="4FD09729" w14:textId="770CA806" w:rsidR="0077369F" w:rsidRPr="007B6E15" w:rsidRDefault="0077369F" w:rsidP="00145A89">
            <w:pPr>
              <w:rPr>
                <w:rFonts w:cs="Times New Roman"/>
                <w:noProof/>
              </w:rPr>
            </w:pPr>
            <w:r w:rsidRPr="007B6E15">
              <w:rPr>
                <w:rFonts w:cs="Times New Roman"/>
              </w:rPr>
              <w:t xml:space="preserve">World Ocean Atlas 2001 </w:t>
            </w:r>
            <w:r w:rsidR="00597288" w:rsidRPr="007B6E15">
              <w:rPr>
                <w:rFonts w:cs="Times New Roman"/>
              </w:rPr>
              <w:fldChar w:fldCharType="begin" w:fldLock="1"/>
            </w:r>
            <w:r w:rsidR="00D53E97">
              <w:rPr>
                <w:rFonts w:cs="Times New Roman"/>
              </w:rPr>
              <w:instrText>ADDIN CSL_CITATION {"citationItems":[{"id":"ITEM-1","itemData":{"ISBN":"17","abstract":"Three data CD-ROMs containing global data statistics at standard depth levels by one-degree (and five-degree) squares of several commonly measured ocean variables, as well as objectively analyzed fields of these variables. These products are in ASCII format. Three figure DVDs containing pdf figures illustrating the fields of data. Ocean variables: temperature, salinity, oxygen (dissolved, apparent oxygen utilization aou, percent oxygen saturation), dissolved inorganic nutrients (phosphate, nitrate, and silicate), and chlorophyll at standard depth levels, and plankton biomass (carbon) sampled between 0-200 m depth.","author":[{"dropping-particle":"","family":"Conkright","given":"M E","non-dropping-particle":"","parse-names":false,"suffix":""},{"dropping-particle":"","family":"Locarnini","given":"R a","non-dropping-particle":"","parse-names":false,"suffix":""},{"dropping-particle":"","family":"Garcia","given":"H E","non-dropping-particle":"","parse-names":false,"suffix":""},{"dropping-particle":"","family":"O'Brien","given":"T D","non-dropping-particle":"","parse-names":false,"suffix":""},{"dropping-particle":"","family":"Boyer","given":"T P","non-dropping-particle":"","parse-names":false,"suffix":""},{"dropping-particle":"","family":"Stepens","given":"C","non-dropping-particle":"","parse-names":false,"suffix":""},{"dropping-particle":"","family":"Antonov","given":"J I","non-dropping-particle":"","parse-names":false,"suffix":""}],"container-title":"National Oceanographic Data Center Internal Report (NOAA Atlas NESDIS)","id":"ITEM-1","issue":"September","issued":{"date-parts":[["2002"]]},"page":"17","title":"World Ocean Atlas 2001: Objective analyses, data statistics, and figures CD-ROM documentation","type":"article-journal","volume":"17"},"uris":["http://www.mendeley.com/documents/?uuid=a2e8906c-14b5-4c9c-9b55-a071e319602c"]}],"mendeley":{"formattedCitation":"(Conkright et al., 2002)","plainTextFormattedCitation":"(Conkright et al., 2002)","previouslyFormattedCitation":"(Conkright et al., 2002)"},"properties":{"noteIndex":0},"schema":"https://github.com/citation-style-language/schema/raw/master/csl-citation.json"}</w:instrText>
            </w:r>
            <w:r w:rsidR="00597288" w:rsidRPr="007B6E15">
              <w:rPr>
                <w:rFonts w:cs="Times New Roman"/>
              </w:rPr>
              <w:fldChar w:fldCharType="separate"/>
            </w:r>
            <w:r w:rsidR="00145A89" w:rsidRPr="00145A89">
              <w:rPr>
                <w:rFonts w:cs="Times New Roman"/>
                <w:noProof/>
              </w:rPr>
              <w:t>(Conkright et al., 2002)</w:t>
            </w:r>
            <w:r w:rsidR="00597288" w:rsidRPr="007B6E15">
              <w:rPr>
                <w:rFonts w:cs="Times New Roman"/>
              </w:rPr>
              <w:fldChar w:fldCharType="end"/>
            </w:r>
            <w:r w:rsidRPr="007B6E15">
              <w:rPr>
                <w:rFonts w:cs="Times New Roman"/>
              </w:rPr>
              <w:t xml:space="preserve">, with GLODAP </w:t>
            </w:r>
            <w:r w:rsidR="00597288" w:rsidRPr="007B6E15">
              <w:rPr>
                <w:rFonts w:cs="Times New Roman"/>
              </w:rPr>
              <w:fldChar w:fldCharType="begin" w:fldLock="1"/>
            </w:r>
            <w:r w:rsidR="00D53E97">
              <w:rPr>
                <w:rFonts w:cs="Times New Roman"/>
              </w:rPr>
              <w:instrText>ADDIN CSL_CITATION {"citationItems":[{"id":"ITEM-1","itemData":{"author":[{"dropping-particle":"","family":"Key","given":"R. M.","non-dropping-particle":"","parse-names":false,"suffix":""},{"dropping-particle":"","family":"Kozyr","given":"A.","non-dropping-particle":"","parse-names":false,"suffix":""},{"dropping-particle":"","family":"Sabine","given":"C. L.","non-dropping-particle":"","parse-names":false,"suffix":""},{"dropping-particle":"","family":"Wanninkhof","given":"R.","non-dropping-particle":"","parse-names":false,"suffix":""},{"dropping-particle":"","family":"Bullister","given":"J. L.","non-dropping-particle":"","parse-names":false,"suffix":""},{"dropping-particle":"","family":"Feely","given":"R. A.","non-dropping-particle":"","parse-names":false,"suffix":""},{"dropping-particle":"","family":"Millero","given":"F. J.","non-dropping-particle":"","parse-names":false,"suffix":""},{"dropping-particle":"","family":"Mordy","given":"C.","non-dropping-particle":"","parse-names":false,"suffix":""},{"dropping-particle":"","family":"Peng","given":"T.-H.","non-dropping-particle":"","parse-names":false,"suffix":""}],"container-title":"Global Biogeochemical Cycles","id":"ITEM-1","issue":"4","issued":{"date-parts":[["2004"]]},"title":"A global ocean carbon climatology: Results from Global Data Analysis Project (GLODAP)","type":"article-journal","volume":"18"},"uris":["http://www.mendeley.com/documents/?uuid=7bddf1b7-3c42-4b65-a51a-9456c0e300a9"]}],"mendeley":{"formattedCitation":"(Key et al., 2004)","plainTextFormattedCitation":"(Key et al., 2004)","previouslyFormattedCitation":"(Key et al., 2004)"},"properties":{"noteIndex":0},"schema":"https://github.com/citation-style-language/schema/raw/master/csl-citation.json"}</w:instrText>
            </w:r>
            <w:r w:rsidR="00597288" w:rsidRPr="007B6E15">
              <w:rPr>
                <w:rFonts w:cs="Times New Roman"/>
              </w:rPr>
              <w:fldChar w:fldCharType="separate"/>
            </w:r>
            <w:r w:rsidR="00145A89" w:rsidRPr="00145A89">
              <w:rPr>
                <w:rFonts w:cs="Times New Roman"/>
                <w:noProof/>
              </w:rPr>
              <w:t>(Key et al., 2004)</w:t>
            </w:r>
            <w:r w:rsidR="00597288" w:rsidRPr="007B6E15">
              <w:rPr>
                <w:rFonts w:cs="Times New Roman"/>
              </w:rPr>
              <w:fldChar w:fldCharType="end"/>
            </w:r>
          </w:p>
        </w:tc>
        <w:tc>
          <w:tcPr>
            <w:tcW w:w="1744" w:type="dxa"/>
          </w:tcPr>
          <w:p w14:paraId="1043E0A1" w14:textId="7C010C55" w:rsidR="0077369F" w:rsidRPr="007B6E15" w:rsidRDefault="0077369F" w:rsidP="00145A89">
            <w:pPr>
              <w:rPr>
                <w:rFonts w:cs="Times New Roman"/>
                <w:noProof/>
              </w:rPr>
            </w:pPr>
            <w:r w:rsidRPr="007B6E15">
              <w:rPr>
                <w:rFonts w:cs="Times New Roman"/>
              </w:rPr>
              <w:t xml:space="preserve">GCOMS </w:t>
            </w:r>
            <w:r w:rsidR="00597288" w:rsidRPr="007B6E15">
              <w:rPr>
                <w:rFonts w:cs="Times New Roman"/>
              </w:rPr>
              <w:fldChar w:fldCharType="begin" w:fldLock="1"/>
            </w:r>
            <w:r w:rsidR="00D53E97">
              <w:rPr>
                <w:rFonts w:cs="Times New Roman"/>
              </w:rPr>
              <w:instrText>ADDIN CSL_CITATION {"citationItems":[{"id":"ITEM-1","itemData":{"DOI":"10.1098/rsta.2008.0210","ISBN":"1364-503X","ISSN":"1364503X","PMID":"19087928","abstract":"Shelf and coastal seas are regions of exceptionally high biological productivity, high rates of biogeochemical cycling and immense socio-economic importance. They are, however, poorly represented by the present generation of Earth system models, both in terms of resolution and process representation. Hence, these models cannot be used to elucidate the role of the coastal ocean in global biogeochemical cycles and the effects global change (both direct anthropogenic and climatic) are having on them. Here, we present a system for simulating all the coastal regions around the world (the Global Coastal Ocean Modelling System) in a systematic and practical fashion. It is based on automatically generating multiple nested model domains, using the Proudman Oceanographic Laboratory Coastal Ocean Modelling System coupled to the European Regional Seas Ecosystem Model. Preliminary results from the system are presented. These demonstrate the viability of the concept, and we discuss the prospects for using the system to explore key areas of global change in shelf seas, such as their role in the carbon cycle and climate change effects on fisheries.","author":[{"dropping-particle":"","family":"Holt","given":"Jason","non-dropping-particle":"","parse-names":false,"suffix":""},{"dropping-particle":"","family":"Harle","given":"James","non-dropping-particle":"","parse-names":false,"suffix":""},{"dropping-particle":"","family":"Proctor","given":"Roger","non-dropping-particle":"","parse-names":false,"suffix":""},{"dropping-particle":"","family":"Michel","given":"Sylvain","non-dropping-particle":"","parse-names":false,"suffix":""},{"dropping-particle":"","family":"Ashworth","given":"Mike","non-dropping-particle":"","parse-names":false,"suffix":""},{"dropping-particle":"","family":"Batstone","given":"Crispian","non-dropping-particle":"","parse-names":false,"suffix":""},{"dropping-particle":"","family":"Allen","given":"Icarus","non-dropping-particle":"","parse-names":false,"suffix":""},{"dropping-particle":"","family":"Holmes","given":"Robert","non-dropping-particle":"","parse-names":false,"suffix":""},{"dropping-particle":"","family":"Smyth","given":"Tim","non-dropping-particle":"","parse-names":false,"suffix":""},{"dropping-particle":"","family":"Haines","given":"Keith","non-dropping-particle":"","parse-names":false,"suffix":""},{"dropping-particle":"","family":"Bretherton","given":"Dan","non-dropping-particle":"","parse-names":false,"suffix":""},{"dropping-particle":"","family":"Smith","given":"Gregory","non-dropping-particle":"","parse-names":false,"suffix":""}],"container-title":"Philosophical Transactions of the Royal Society A: Mathematical, Physical and Engineering Sciences","id":"ITEM-1","issue":"1890","issued":{"date-parts":[["2009"]]},"page":"939-951","title":"Modelling the global coastal ocean","type":"article-journal","volume":"367"},"uris":["http://www.mendeley.com/documents/?uuid=803037b4-f292-40e4-aee3-9719305f08fd"]}],"mendeley":{"formattedCitation":"(Holt et al., 2009)","plainTextFormattedCitation":"(Holt et al., 2009)","previouslyFormattedCitation":"(Holt et al., 2009)"},"properties":{"noteIndex":0},"schema":"https://github.com/citation-style-language/schema/raw/master/csl-citation.json"}</w:instrText>
            </w:r>
            <w:r w:rsidR="00597288" w:rsidRPr="007B6E15">
              <w:rPr>
                <w:rFonts w:cs="Times New Roman"/>
              </w:rPr>
              <w:fldChar w:fldCharType="separate"/>
            </w:r>
            <w:r w:rsidR="00145A89" w:rsidRPr="00145A89">
              <w:rPr>
                <w:rFonts w:cs="Times New Roman"/>
                <w:noProof/>
              </w:rPr>
              <w:t>(Holt et al., 2009)</w:t>
            </w:r>
            <w:r w:rsidR="00597288" w:rsidRPr="007B6E15">
              <w:rPr>
                <w:rFonts w:cs="Times New Roman"/>
              </w:rPr>
              <w:fldChar w:fldCharType="end"/>
            </w:r>
            <w:r w:rsidRPr="007B6E15">
              <w:rPr>
                <w:rFonts w:cs="Times New Roman"/>
              </w:rPr>
              <w:t xml:space="preserve"> merged with outputs EURO-BASIN project </w:t>
            </w:r>
          </w:p>
        </w:tc>
        <w:tc>
          <w:tcPr>
            <w:tcW w:w="1744" w:type="dxa"/>
          </w:tcPr>
          <w:p w14:paraId="170D4713" w14:textId="77777777" w:rsidR="0077369F" w:rsidRPr="007B6E15" w:rsidRDefault="0077369F" w:rsidP="00D82CF2">
            <w:pPr>
              <w:rPr>
                <w:rFonts w:cs="Times New Roman"/>
                <w:noProof/>
                <w:lang w:val="en-GB"/>
              </w:rPr>
            </w:pPr>
            <w:r w:rsidRPr="007B6E15">
              <w:rPr>
                <w:rFonts w:cs="Times New Roman"/>
                <w:noProof/>
                <w:lang w:val="en-GB"/>
              </w:rPr>
              <w:t>World Ocean Atlas database (www.nodc.noaa.gov/OC5/indprod.html).</w:t>
            </w:r>
          </w:p>
        </w:tc>
      </w:tr>
    </w:tbl>
    <w:p w14:paraId="1EFC2EEE" w14:textId="71969B19" w:rsidR="00D53E97" w:rsidRDefault="00D53E97" w:rsidP="0077369F">
      <w:pPr>
        <w:rPr>
          <w:rFonts w:cs="Times New Roman"/>
          <w:szCs w:val="24"/>
          <w:lang w:val="en-GB"/>
        </w:rPr>
      </w:pPr>
    </w:p>
    <w:p w14:paraId="39C8F6D5" w14:textId="77777777" w:rsidR="00D53E97" w:rsidRDefault="00D53E97">
      <w:pPr>
        <w:spacing w:before="0" w:after="200" w:line="276" w:lineRule="auto"/>
        <w:rPr>
          <w:rFonts w:cs="Times New Roman"/>
          <w:szCs w:val="24"/>
          <w:lang w:val="en-GB"/>
        </w:rPr>
      </w:pPr>
      <w:r>
        <w:rPr>
          <w:rFonts w:cs="Times New Roman"/>
          <w:szCs w:val="24"/>
          <w:lang w:val="en-GB"/>
        </w:rPr>
        <w:br w:type="page"/>
      </w:r>
    </w:p>
    <w:p w14:paraId="4D23CDAF" w14:textId="6CEEA541" w:rsidR="0077369F" w:rsidRDefault="00D53E97" w:rsidP="0077369F">
      <w:pPr>
        <w:rPr>
          <w:rStyle w:val="Ttulo2Car"/>
        </w:rPr>
      </w:pPr>
      <w:r w:rsidRPr="00D53E97">
        <w:rPr>
          <w:rStyle w:val="Ttulo2Car"/>
        </w:rPr>
        <w:lastRenderedPageBreak/>
        <w:t>Supplementary Information</w:t>
      </w:r>
    </w:p>
    <w:p w14:paraId="07D1ACB4" w14:textId="16F7B2D2" w:rsidR="00D53E97" w:rsidRPr="00FB42CA" w:rsidRDefault="00D53E97" w:rsidP="00D53E97">
      <w:pPr>
        <w:pStyle w:val="Ttulo3"/>
        <w:numPr>
          <w:ilvl w:val="0"/>
          <w:numId w:val="0"/>
        </w:numPr>
        <w:rPr>
          <w:rFonts w:ascii="Arial" w:hAnsi="Arial" w:cs="Arial"/>
          <w:b w:val="0"/>
        </w:rPr>
      </w:pPr>
      <w:r w:rsidRPr="00FB42CA">
        <w:rPr>
          <w:rStyle w:val="Ttulo3Car"/>
          <w:b/>
        </w:rPr>
        <w:t>SI (</w:t>
      </w:r>
      <w:r w:rsidR="00FB42CA">
        <w:rPr>
          <w:rStyle w:val="Ttulo3Car"/>
          <w:b/>
        </w:rPr>
        <w:t>A</w:t>
      </w:r>
      <w:r w:rsidRPr="00FB42CA">
        <w:rPr>
          <w:rStyle w:val="Ttulo3Car"/>
          <w:b/>
        </w:rPr>
        <w:t>) Physical Component</w:t>
      </w:r>
    </w:p>
    <w:p w14:paraId="11DB2D71" w14:textId="77777777" w:rsidR="00D53E97" w:rsidRDefault="00D53E97" w:rsidP="00FB42CA">
      <w:pPr>
        <w:pStyle w:val="Ttulo4"/>
        <w:numPr>
          <w:ilvl w:val="0"/>
          <w:numId w:val="0"/>
        </w:numPr>
        <w:ind w:left="567" w:hanging="567"/>
      </w:pPr>
      <w:r>
        <w:t xml:space="preserve">NEMO-BFM </w:t>
      </w:r>
    </w:p>
    <w:p w14:paraId="206AF66F" w14:textId="77777777" w:rsidR="00D53E97" w:rsidRPr="00491631" w:rsidRDefault="00D53E97" w:rsidP="00D53E97">
      <w:pPr>
        <w:rPr>
          <w:szCs w:val="24"/>
        </w:rPr>
      </w:pPr>
      <w:r w:rsidRPr="00491631">
        <w:rPr>
          <w:szCs w:val="24"/>
        </w:rPr>
        <w:t xml:space="preserve">The physical component of this system </w:t>
      </w:r>
      <w:r w:rsidRPr="00491631">
        <w:rPr>
          <w:szCs w:val="24"/>
        </w:rPr>
        <w:fldChar w:fldCharType="begin" w:fldLock="1"/>
      </w:r>
      <w:r>
        <w:rPr>
          <w:szCs w:val="24"/>
        </w:rPr>
        <w:instrText>ADDIN CSL_CITATION {"citationItems":[{"id":"ITEM-1","itemData":{"DOI":"https://doi.org/10.25423/medsea_reanalysis_phys_006_004","author":[{"dropping-particle":"","family":"Simoncelli","given":"S.","non-dropping-particle":"","parse-names":false,"suffix":""},{"dropping-particle":"","family":"Fratianni","given":"C.","non-dropping-particle":"","parse-names":false,"suffix":""},{"dropping-particle":"","family":"Pinardi","given":"N.","non-dropping-particle":"","parse-names":false,"suffix":""},{"dropping-particle":"","family":"Grandi","given":"A.","non-dropping-particle":"","parse-names":false,"suffix":""},{"dropping-particle":"","family":"Drudi","given":"M.","non-dropping-particle":"","parse-names":false,"suffix":""},{"dropping-particle":"","family":"Oddo","given":"P.","non-dropping-particle":"","parse-names":false,"suffix":""},{"dropping-particle":"","family":"Dobricic","given":"S.","non-dropping-particle":"","parse-names":false,"suffix":""}],"container-title":"E.U. Copernicus Marine Service Information","id":"ITEM-1","issued":{"date-parts":[["2014"]]},"title":"Mediterranean Sea physical reanalysis (MEDREA 1987-2015) (Version 1)","type":"article-journal"},"uris":["http://www.mendeley.com/documents/?uuid=fa7c0d02-9236-43e5-9b99-dec1d997a941"]}],"mendeley":{"formattedCitation":"(Simoncelli et al., 2014)","manualFormatting":"(Simoncelli et al., 2014)","plainTextFormattedCitation":"(Simoncelli et al., 2014)","previouslyFormattedCitation":"(Simoncelli et al., 2014)"},"properties":{"noteIndex":0},"schema":"https://github.com/citation-style-language/schema/raw/master/csl-citation.json"}</w:instrText>
      </w:r>
      <w:r w:rsidRPr="00491631">
        <w:rPr>
          <w:szCs w:val="24"/>
        </w:rPr>
        <w:fldChar w:fldCharType="separate"/>
      </w:r>
      <w:r>
        <w:rPr>
          <w:noProof/>
          <w:szCs w:val="24"/>
        </w:rPr>
        <w:t>(Simoncelli et al., 2014</w:t>
      </w:r>
      <w:r w:rsidRPr="00491631">
        <w:rPr>
          <w:noProof/>
          <w:szCs w:val="24"/>
        </w:rPr>
        <w:t>)</w:t>
      </w:r>
      <w:r w:rsidRPr="00491631">
        <w:rPr>
          <w:szCs w:val="24"/>
        </w:rPr>
        <w:fldChar w:fldCharType="end"/>
      </w:r>
      <w:r w:rsidRPr="00491631">
        <w:rPr>
          <w:szCs w:val="24"/>
        </w:rPr>
        <w:t xml:space="preserve"> is based on the NEMO (Nucleus for European Modelling) code version 3.2 and 3.4</w:t>
      </w:r>
      <w:r w:rsidRPr="000D2381">
        <w:rPr>
          <w:rStyle w:val="Refdenotaalpie"/>
        </w:rPr>
        <w:footnoteReference w:id="1"/>
      </w:r>
      <w:r w:rsidRPr="00491631">
        <w:rPr>
          <w:szCs w:val="24"/>
        </w:rPr>
        <w:t xml:space="preserve">. The model is implemented in the Mediterranean at 1/16º x 1/16º horizontal resolution with 72 unevenly spaced vertical z-levels </w:t>
      </w:r>
      <w:r w:rsidRPr="00491631">
        <w:rPr>
          <w:szCs w:val="24"/>
        </w:rPr>
        <w:fldChar w:fldCharType="begin" w:fldLock="1"/>
      </w:r>
      <w:r w:rsidRPr="00491631">
        <w:rPr>
          <w:szCs w:val="24"/>
        </w:rPr>
        <w:instrText>ADDIN CSL_CITATION {"citationItems":[{"id":"ITEM-1","itemData":{"DOI":"10.5194/os-5-461-2009","ISBN":"1812-0792","ISSN":"1812-0792","abstract":"A new numerical general circulation ocean model for the Mediterranean Sea has been implemented nested within an Atlantic general circulation model within the framework of the Marine Environment and Security for the European Area project (MERSEA, Desaubies, 2006). A 4-year twin experiment was carried out from January 2004 to December 2007 with two different models to evaluate the impact on the Mediterranean Sea circulation of open lateral boundary conditions in the Atlantic Ocean. One model considers a closed lateral boundary in a large Atlantic box and the other is nested in the same box in a global ocean circulation model. Impact was observed comparing the two simulations with independent observations: ARGO for temperature and salinity profiles and tide gauges and along-track satellite observations for the sea surface height. The improvement in the nested Atlantic-Mediterranean model with respect to the closed one is particularly evident in the salinity characteristics of the Modified Atlantic Water and in the Mediterranean sea level seasonal variability.","author":[{"dropping-particle":"","family":"Oddo","given":"P.","non-dropping-particle":"","parse-names":false,"suffix":""},{"dropping-particle":"","family":"Adani","given":"M.","non-dropping-particle":"","parse-names":false,"suffix":""},{"dropping-particle":"","family":"Pinardi","given":"N.","non-dropping-particle":"","parse-names":false,"suffix":""},{"dropping-particle":"","family":"Fratianni","given":"C.","non-dropping-particle":"","parse-names":false,"suffix":""},{"dropping-particle":"","family":"Tonani","given":"M.","non-dropping-particle":"","parse-names":false,"suffix":""},{"dropping-particle":"","family":"Pettenuzzo","given":"D.","non-dropping-particle":"","parse-names":false,"suffix":""}],"container-title":"Ocean Science","id":"ITEM-1","issue":"4","issued":{"date-parts":[["2009"]]},"page":"461-473","title":"A nested Atlantic-Mediterranean Sea general circulation model for operational forecasting","type":"article-journal","volume":"5"},"uris":["http://www.mendeley.com/documents/?uuid=f953e0e2-e56a-4c8a-939b-cd17fa6bb168"]}],"mendeley":{"formattedCitation":"(Oddo et al., 2009)","plainTextFormattedCitation":"(Oddo et al., 2009)","previouslyFormattedCitation":"(Oddo et al., 2009)"},"properties":{"noteIndex":0},"schema":"https://github.com/citation-style-language/schema/raw/master/csl-citation.json"}</w:instrText>
      </w:r>
      <w:r w:rsidRPr="00491631">
        <w:rPr>
          <w:szCs w:val="24"/>
        </w:rPr>
        <w:fldChar w:fldCharType="separate"/>
      </w:r>
      <w:bookmarkStart w:id="2" w:name="__Fieldmark__459_415638846"/>
      <w:r w:rsidRPr="00491631">
        <w:rPr>
          <w:noProof/>
          <w:szCs w:val="24"/>
        </w:rPr>
        <w:t>(</w:t>
      </w:r>
      <w:bookmarkStart w:id="3" w:name="__Fieldmark__729_1364531424"/>
      <w:r w:rsidRPr="00491631">
        <w:rPr>
          <w:noProof/>
          <w:szCs w:val="24"/>
        </w:rPr>
        <w:t>Oddo et al., 2009)</w:t>
      </w:r>
      <w:r w:rsidRPr="00491631">
        <w:rPr>
          <w:szCs w:val="24"/>
        </w:rPr>
        <w:fldChar w:fldCharType="end"/>
      </w:r>
      <w:bookmarkEnd w:id="2"/>
      <w:bookmarkEnd w:id="3"/>
      <w:r w:rsidRPr="00491631">
        <w:rPr>
          <w:szCs w:val="24"/>
        </w:rPr>
        <w:t xml:space="preserve">. The model is forced by momentum, water and heat fluxes interactively computed by bulk formulae using the 6-h, 0.75° horizontal-resolution ERA Interim atmospheric fields from the European Centre for Medium-Range Weather Forecasts (ECMWF, </w:t>
      </w:r>
      <w:r w:rsidRPr="00491631">
        <w:rPr>
          <w:szCs w:val="24"/>
        </w:rPr>
        <w:fldChar w:fldCharType="begin" w:fldLock="1"/>
      </w:r>
      <w:r w:rsidRPr="00491631">
        <w:rPr>
          <w:szCs w:val="24"/>
        </w:rPr>
        <w:instrText>ADDIN CSL_CITATION {"citationItems":[{"id":"ITEM-1","itemData":{"DOI":"10.1002/qj.828","ISBN":"1477-870X","ISSN":"00359009","abstract":"ERA-Interim is the latest global atmospheric reanalysis produced by the European Centre for Medium-Range Weather Forecasts (ECMWF). The ERA-Interim project was conducted in part to prepare for a new atmospheric reanalysis to replace ERA-40, which will extend back to the early part of the twentieth century. This article describes the forecast model, data assimilation method, and input datasets used to produce ERA-Interim, and discusses the performance of the system. Special emphasis is placed on various difficulties encountered in the production of ERA-40, including the representation of the hydrological cycle, the quality of the stratospheric circulation, and the consistency in time of the reanalysed fields. We provide evidence for substantial improvements in each of these aspects. We also identify areas where further work is needed and describe opportunities and objectives for future reanalysis projects at ECMWF","author":[{"dropping-particle":"","family":"Dee","given":"D. P.","non-dropping-particle":"","parse-names":false,"suffix":""},{"dropping-particle":"","family":"Uppala","given":"S. M.","non-dropping-particle":"","parse-names":false,"suffix":""},{"dropping-particle":"","family":"Simmons","given":"A. J.","non-dropping-particle":"","parse-names":false,"suffix":""},{"dropping-particle":"","family":"Berrisford","given":"P.","non-dropping-particle":"","parse-names":false,"suffix":""},{"dropping-particle":"","family":"Poli","given":"P.","non-dropping-particle":"","parse-names":false,"suffix":""},{"dropping-particle":"","family":"Kobayashi","given":"S.","non-dropping-particle":"","parse-names":false,"suffix":""},{"dropping-particle":"","family":"Andrae","given":"U.","non-dropping-particle":"","parse-names":false,"suffix":""},{"dropping-particle":"","family":"Balmaseda","given":"M. A.","non-dropping-particle":"","parse-names":false,"suffix":""},{"dropping-particle":"","family":"Balsamo","given":"G.","non-dropping-particle":"","parse-names":false,"suffix":""},{"dropping-particle":"","family":"Bauer","given":"P.","non-dropping-particle":"","parse-names":false,"suffix":""},{"dropping-particle":"","family":"Bechtold","given":"P.","non-dropping-particle":"","parse-names":false,"suffix":""},{"dropping-particle":"","family":"Beljaars","given":"A. C.M.","non-dropping-particle":"","parse-names":false,"suffix":""},{"dropping-particle":"","family":"Berg","given":"L.","non-dropping-particle":"van de","parse-names":false,"suffix":""},{"dropping-particle":"","family":"Bidlot","given":"J.","non-dropping-particle":"","parse-names":false,"suffix":""},{"dropping-particle":"","family":"Bormann","given":"N.","non-dropping-particle":"","parse-names":false,"suffix":""},{"dropping-particle":"","family":"Delsol","given":"C.","non-dropping-particle":"","parse-names":false,"suffix":""},{"dropping-particle":"","family":"Dragani","given":"R.","non-dropping-particle":"","parse-names":false,"suffix":""},{"dropping-particle":"","family":"Fuentes","given":"M.","non-dropping-particle":"","parse-names":false,"suffix":""},{"dropping-particle":"","family":"Geer","given":"A. J.","non-dropping-particle":"","parse-names":false,"suffix":""},{"dropping-particle":"","family":"Haimberger","given":"L.","non-dropping-particle":"","parse-names":false,"suffix":""},{"dropping-particle":"","family":"Healy","given":"S. B.","non-dropping-particle":"","parse-names":false,"suffix":""},{"dropping-particle":"","family":"Hersbach","given":"H.","non-dropping-particle":"","parse-names":false,"suffix":""},{"dropping-particle":"V.","family":"Hólm","given":"E.","non-dropping-particle":"","parse-names":false,"suffix":""},{"dropping-particle":"","family":"Isaksen","given":"L.","non-dropping-particle":"","parse-names":false,"suffix":""},{"dropping-particle":"","family":"Kållberg","given":"P.","non-dropping-particle":"","parse-names":false,"suffix":""},{"dropping-particle":"","family":"Köhler","given":"M.","non-dropping-particle":"","parse-names":false,"suffix":""},{"dropping-particle":"","family":"Matricardi","given":"M.","non-dropping-particle":"","parse-names":false,"suffix":""},{"dropping-particle":"","family":"Mcnally","given":"A. P.","non-dropping-particle":"","parse-names":false,"suffix":""},{"dropping-particle":"","family":"Monge-Sanz","given":"B. M.","non-dropping-particle":"","parse-names":false,"suffix":""},{"dropping-particle":"","family":"Morcrette","given":"J. J.","non-dropping-particle":"","parse-names":false,"suffix":""},{"dropping-particle":"","family":"Park","given":"B. K.","non-dropping-particle":"","parse-names":false,"suffix":""},{"dropping-particle":"","family":"Peubey","given":"C.","non-dropping-particle":"","parse-names":false,"suffix":""},{"dropping-particle":"","family":"Rosnay","given":"P.","non-dropping-particle":"de","parse-names":false,"suffix":""},{"dropping-particle":"","family":"Tavolato","given":"C.","non-dropping-particle":"","parse-names":false,"suffix":""},{"dropping-particle":"","family":"Thépaut","given":"J. N.","non-dropping-particle":"","parse-names":false,"suffix":""},{"dropping-particle":"","family":"Vitart","given":"F.","non-dropping-particle":"","parse-names":false,"suffix":""}],"container-title":"Quarterly Journal of the Royal Meteorological Society","id":"ITEM-1","issue":"656","issued":{"date-parts":[["2011"]]},"page":"553-597","title":"The ERA-Interim reanalysis: Configuration and performance of the data assimilation system","type":"article-journal","volume":"137"},"uris":["http://www.mendeley.com/documents/?uuid=7c59693a-6e75-4e4c-abc8-0657aeb92a09"]}],"mendeley":{"formattedCitation":"(Dee et al., 2011)","manualFormatting":"Dee et al., 2011)","plainTextFormattedCitation":"(Dee et al., 2011)","previouslyFormattedCitation":"(Dee et al., 2011)"},"properties":{"noteIndex":0},"schema":"https://github.com/citation-style-language/schema/raw/master/csl-citation.json"}</w:instrText>
      </w:r>
      <w:r w:rsidRPr="00491631">
        <w:rPr>
          <w:szCs w:val="24"/>
        </w:rPr>
        <w:fldChar w:fldCharType="separate"/>
      </w:r>
      <w:r w:rsidRPr="00491631">
        <w:rPr>
          <w:noProof/>
          <w:szCs w:val="24"/>
        </w:rPr>
        <w:t>Dee et al., 2011)</w:t>
      </w:r>
      <w:r w:rsidRPr="00491631">
        <w:rPr>
          <w:szCs w:val="24"/>
        </w:rPr>
        <w:fldChar w:fldCharType="end"/>
      </w:r>
      <w:r w:rsidRPr="00491631">
        <w:rPr>
          <w:szCs w:val="24"/>
        </w:rPr>
        <w:t xml:space="preserve"> along with the model predicted surface temperatures </w:t>
      </w:r>
      <w:r w:rsidRPr="00491631">
        <w:rPr>
          <w:szCs w:val="24"/>
        </w:rPr>
        <w:fldChar w:fldCharType="begin" w:fldLock="1"/>
      </w:r>
      <w:r w:rsidRPr="00491631">
        <w:rPr>
          <w:szCs w:val="24"/>
        </w:rPr>
        <w:instrText>ADDIN CSL_CITATION {"citationItems":[{"id":"ITEM-1","itemData":{"DOI":"10.5194/os-4-1-2008","ISSN":"18120792","abstract":"This study describes a new model implementation for the Mediterranean Sea with what is currently the highest vertical resolution over the Mediterranean basin. The resolu- tion is of 1/16◦×1/16◦ in the horizontal and has 72 unevenly spaced vertical levels. This model has been developed in the frame of the EU-MFSTEP project and is the operational fore- cast model currently used at the basin scale. The model considers an implicit free surface and this char- acteristic enhances the model’s capability to simulate the sea surface height variability and the net transport at the Strait of Gibraltar. In this study we show the calibration/validation experi- ments performed before and after the model was used for forecasting. The first experiment consists of a six-year simu- lation forced by a perpetual year forcing, and the other exper- iment is a simulation from January 1997 to December 2004, forcing the model with 6-h atmospheric forcing fields from ECMWF. The model Sea Level Anomaly has been compared for the first time with satellite SLA and with ARGO data to provide evidence of the quality of the simulation. The results show that this model is capable of reproduc- ing most of the variability of the general circulation in the Mediterranean Sea. However, some basic model inadequa- cies stand out and should be corrected in the near future.","author":[{"dropping-particle":"","family":"Tonani","given":"M.","non-dropping-particle":"","parse-names":false,"suffix":""},{"dropping-particle":"","family":"Pinardi","given":"N.","non-dropping-particle":"","parse-names":false,"suffix":""},{"dropping-particle":"","family":"Dobricic","given":"S.","non-dropping-particle":"","parse-names":false,"suffix":""},{"dropping-particle":"","family":"Pujol","given":"I.","non-dropping-particle":"","parse-names":false,"suffix":""},{"dropping-particle":"","family":"Fratianni","given":"C.","non-dropping-particle":"","parse-names":false,"suffix":""}],"container-title":"Ocean Science","id":"ITEM-1","issue":"1","issued":{"date-parts":[["2008"]]},"page":"1-14","title":"A high-resolution free-surface model of the Mediterranean Sea","type":"article-journal","volume":"4"},"uris":["http://www.mendeley.com/documents/?uuid=3d84239e-9808-479a-bb3b-73c3acb56c13"]}],"mendeley":{"formattedCitation":"(Tonani et al., 2008)","plainTextFormattedCitation":"(Tonani et al., 2008)","previouslyFormattedCitation":"(Tonani et al., 2008)"},"properties":{"noteIndex":0},"schema":"https://github.com/citation-style-language/schema/raw/master/csl-citation.json"}</w:instrText>
      </w:r>
      <w:r w:rsidRPr="00491631">
        <w:rPr>
          <w:szCs w:val="24"/>
        </w:rPr>
        <w:fldChar w:fldCharType="separate"/>
      </w:r>
      <w:bookmarkStart w:id="4" w:name="__Fieldmark__468_415638846"/>
      <w:r w:rsidRPr="00491631">
        <w:rPr>
          <w:noProof/>
          <w:szCs w:val="24"/>
        </w:rPr>
        <w:t>(</w:t>
      </w:r>
      <w:bookmarkStart w:id="5" w:name="__Fieldmark__745_1364531424"/>
      <w:r w:rsidRPr="00491631">
        <w:rPr>
          <w:noProof/>
          <w:szCs w:val="24"/>
        </w:rPr>
        <w:t>Tonani et al., 2008)</w:t>
      </w:r>
      <w:r w:rsidRPr="00491631">
        <w:rPr>
          <w:szCs w:val="24"/>
        </w:rPr>
        <w:fldChar w:fldCharType="end"/>
      </w:r>
      <w:bookmarkEnd w:id="4"/>
      <w:bookmarkEnd w:id="5"/>
      <w:r w:rsidRPr="00491631">
        <w:rPr>
          <w:szCs w:val="24"/>
        </w:rPr>
        <w:t xml:space="preserve">.  The river runoff is  provided by monthly mean datasets from the Climate Prediction Centre Merged Analysis of Precipitation (CMAP) Data </w:t>
      </w:r>
      <w:r w:rsidRPr="00491631">
        <w:rPr>
          <w:szCs w:val="24"/>
        </w:rPr>
        <w:fldChar w:fldCharType="begin" w:fldLock="1"/>
      </w:r>
      <w:r w:rsidRPr="00491631">
        <w:rPr>
          <w:szCs w:val="24"/>
        </w:rPr>
        <w:instrText>ADDIN CSL_CITATION {"citationItems":[{"id":"ITEM-1","itemData":{"DOI":"10.1175/1520-0477(1997)078&lt;2539:GPAYMA&gt;2.0.CO;2","ISBN":"0003-0007","ISSN":"00030007","PMID":"16039815","abstract":"Gridded fields (analyses) of global monthly precipitation have been constructed on a 2.5° latitude–longitude grid for the 17-yr period from 1979 to 1995 by merging several kinds of information sources with different characteristics, in- cluding gauge observations, estimates inferred from a variety of satellite observations, and the NCEP–NCAR reanaly- sis. This new dataset, which the authors have named the CPC Merged Analysis of Precipitation (CMAP), contains pre- cipitation distributions with full global coverage and improved quality compared to the individual data sources. Exami- nations showed no discontinuity during the 17-yr period, despite the different data sources used for the different subperiods. Comparisons of the CMAP with the merged analysis of Huffman et al. revealed remarkable agreements over the global land areas and over tropical and subtropical oceanic areas, with differences observed over extratropical oceanic areas. The 17-yr CMAP dataset is used to investigate the annual and interannual variability in large-scale precipitation. The mean distribution and the annual cycle in the 17-yr dataset exhibit reasonable agreement with existing long-term means except over the eastern tropical Pacific. The interannual variability associated with the El Niño–Southern Oscillation phenomenon resembles that found in previous studies, but with substantial additional details, particularly over the oceans. With complete global coverage, extended period and improved quality, the 17-yr dataset of the CMAP provides very useful information for climate analysis, numerical model validation, hydrological research, and many other applications. Further work is under way to improve the quality, extend the temporal coverage, and to refine the resolution of the merged analysis.","author":[{"dropping-particle":"","family":"Xie","given":"Pingping","non-dropping-particle":"","parse-names":false,"suffix":""},{"dropping-particle":"","family":"Arkin","given":"Phillip A.","non-dropping-particle":"","parse-names":false,"suffix":""}],"container-title":"Bulletin of the American Meteorological Society","id":"ITEM-1","issue":"11","issued":{"date-parts":[["1997"]]},"page":"2539-2558","title":"Global Precipitation: A 17-Year Monthly Analysis Based on Gauge Observations, Satellite Estimates, and Numerical Model Outputs","type":"article-journal","volume":"78"},"uris":["http://www.mendeley.com/documents/?uuid=565ad9ef-a442-4449-982c-698c205c3119"]}],"mendeley":{"formattedCitation":"(Xie and Arkin, 1997)","plainTextFormattedCitation":"(Xie and Arkin, 1997)","previouslyFormattedCitation":"(Xie and Arkin, 1997)"},"properties":{"noteIndex":0},"schema":"https://github.com/citation-style-language/schema/raw/master/csl-citation.json"}</w:instrText>
      </w:r>
      <w:r w:rsidRPr="00491631">
        <w:rPr>
          <w:szCs w:val="24"/>
        </w:rPr>
        <w:fldChar w:fldCharType="separate"/>
      </w:r>
      <w:r w:rsidRPr="00491631">
        <w:rPr>
          <w:noProof/>
          <w:szCs w:val="24"/>
        </w:rPr>
        <w:t>(Xie and Arkin, 1997)</w:t>
      </w:r>
      <w:r w:rsidRPr="00491631">
        <w:rPr>
          <w:szCs w:val="24"/>
        </w:rPr>
        <w:fldChar w:fldCharType="end"/>
      </w:r>
      <w:r w:rsidRPr="00491631">
        <w:rPr>
          <w:szCs w:val="24"/>
        </w:rPr>
        <w:t xml:space="preserve">, with the exception of the Ebro, Nile and Rhone for which the Global Runoff Data Centre dataset </w:t>
      </w:r>
      <w:r w:rsidRPr="00491631">
        <w:rPr>
          <w:szCs w:val="24"/>
        </w:rPr>
        <w:fldChar w:fldCharType="begin" w:fldLock="1"/>
      </w:r>
      <w:r w:rsidRPr="00491631">
        <w:rPr>
          <w:szCs w:val="24"/>
        </w:rPr>
        <w:instrText>ADDIN CSL_CITATION {"citationItems":[{"id":"ITEM-1","itemData":{"DOI":"10.1038/nrn1178","ISBN":"9788578110796","ISSN":"1471-003X","PMID":"12894239","author":[{"dropping-particle":"","family":"Fekete","given":"Balázs M.","non-dropping-particle":"","parse-names":false,"suffix":""},{"dropping-particle":"","family":"Vörösmarty","given":"Charles J.","non-dropping-particle":"","parse-names":false,"suffix":""},{"dropping-particle":"","family":"Grabs","given":"Wolfgang","non-dropping-particle":"","parse-names":false,"suffix":""}],"container-title":"Federal Institute of Hydrology (BfG)","id":"ITEM-1","issued":{"date-parts":[["2002"]]},"title":"Global, composite runoff field based on observed river discharge and simulated water balance","type":"article-journal"},"uris":["http://www.mendeley.com/documents/?uuid=6b47adcd-eb68-4530-ac01-f0540ee33d23"]}],"mendeley":{"formattedCitation":"(Fekete et al., 2002)","plainTextFormattedCitation":"(Fekete et al., 2002)","previouslyFormattedCitation":"(Fekete et al., 2002)"},"properties":{"noteIndex":0},"schema":"https://github.com/citation-style-language/schema/raw/master/csl-citation.json"}</w:instrText>
      </w:r>
      <w:r w:rsidRPr="00491631">
        <w:rPr>
          <w:szCs w:val="24"/>
        </w:rPr>
        <w:fldChar w:fldCharType="separate"/>
      </w:r>
      <w:r w:rsidRPr="00491631">
        <w:rPr>
          <w:noProof/>
          <w:szCs w:val="24"/>
        </w:rPr>
        <w:t>(Fekete et al., 2002)</w:t>
      </w:r>
      <w:r w:rsidRPr="00491631">
        <w:rPr>
          <w:szCs w:val="24"/>
        </w:rPr>
        <w:fldChar w:fldCharType="end"/>
      </w:r>
      <w:r w:rsidRPr="00491631">
        <w:rPr>
          <w:szCs w:val="24"/>
        </w:rPr>
        <w:t xml:space="preserve"> is used. The model covers the whole Mediterranean and has an open lateral boundary in the Atlantic. There, the monthly mean climatological fields computed from ten years of daily output of the 1/4° x 1/4° degrees global model </w:t>
      </w:r>
      <w:r w:rsidRPr="00491631">
        <w:rPr>
          <w:szCs w:val="24"/>
        </w:rPr>
        <w:fldChar w:fldCharType="begin" w:fldLock="1"/>
      </w:r>
      <w:r w:rsidRPr="00491631">
        <w:rPr>
          <w:szCs w:val="24"/>
        </w:rPr>
        <w:instrText>ADDIN CSL_CITATION {"citationItems":[{"id":"ITEM-1","itemData":{"DOI":"10.1080/1755876X.2008.11020095","ISBN":"1755-876X","ISSN":"17558778","abstract":"The Mercator-Ocean eddy permitting (1/4 degrees) global ocean forecasting system assimilating satellite altimetry is the French contribution to the GODAE project and to the MERSEA project for operational systems. It has run operationally since October 2005 and is forced with daily surface fluxes from ECMWF operational analyses and forecasts. JASON, ERS and GFO altimetry measurements from AVISO were assimilated from January 2005 up to real time. The simulation results are compared with independent in-situ data of the Atlantic, Pacific and Antarctic Ocean basins in order to provide an estimation of the performance of the system, The results are also compared with the Levitus climatology, and with combinations of in-situ and satellite observations since 2005. In the Atlantic basin, the global system is also compared with Mercator-Ocean regional systems that assimilate SST (Sea Surface Temperature), SLA (Sea Level Anomalies) and in situ (temperature and salinity profiles) near real time observations","author":[{"dropping-particle":"","family":"Drévillon","given":"M.","non-dropping-particle":"","parse-names":false,"suffix":""},{"dropping-particle":"","family":"Bourdallé-Badie","given":"R.","non-dropping-particle":"","parse-names":false,"suffix":""},{"dropping-particle":"","family":"Derval","given":"C.","non-dropping-particle":"","parse-names":false,"suffix":""},{"dropping-particle":"","family":"Lellouche","given":"J. M.","non-dropping-particle":"","parse-names":false,"suffix":""},{"dropping-particle":"","family":"Rémy","given":"E.","non-dropping-particle":"","parse-names":false,"suffix":""},{"dropping-particle":"","family":"Tranchant","given":"B.","non-dropping-particle":"","parse-names":false,"suffix":""},{"dropping-particle":"","family":"Benkiran","given":"M.","non-dropping-particle":"","parse-names":false,"suffix":""},{"dropping-particle":"","family":"Greiner","given":"E.","non-dropping-particle":"","parse-names":false,"suffix":""},{"dropping-particle":"","family":"Guinehut","given":"S.","non-dropping-particle":"","parse-names":false,"suffix":""},{"dropping-particle":"","family":"Verbrugge","given":"N.","non-dropping-particle":"","parse-names":false,"suffix":""},{"dropping-particle":"","family":"Garric","given":"G.","non-dropping-particle":"","parse-names":false,"suffix":""},{"dropping-particle":"","family":"Testut","given":"C. E.","non-dropping-particle":"","parse-names":false,"suffix":""},{"dropping-particle":"","family":"Laborie","given":"M.","non-dropping-particle":"","parse-names":false,"suffix":""},{"dropping-particle":"","family":"Nouel","given":"L.","non-dropping-particle":"","parse-names":false,"suffix":""},{"dropping-particle":"","family":"Bahurel","given":"P.","non-dropping-particle":"","parse-names":false,"suffix":""},{"dropping-particle":"","family":"Bricaud","given":"C.","non-dropping-particle":"","parse-names":false,"suffix":""},{"dropping-particle":"","family":"Crosnier","given":"L.","non-dropping-particle":"","parse-names":false,"suffix":""},{"dropping-particle":"","family":"Dombrowsky","given":"E.","non-dropping-particle":"","parse-names":false,"suffix":""},{"dropping-particle":"","family":"Durand","given":"E.","non-dropping-particle":"","parse-names":false,"suffix":""},{"dropping-particle":"","family":"Ferry","given":"N.","non-dropping-particle":"","parse-names":false,"suffix":""},{"dropping-particle":"","family":"Hernandez","given":"F.","non-dropping-particle":"","parse-names":false,"suffix":""},{"dropping-particle":"","family":"Galloudec","given":"O.","non-dropping-particle":"Le","parse-names":false,"suffix":""},{"dropping-particle":"","family":"Messal","given":"F.","non-dropping-particle":"","parse-names":false,"suffix":""},{"dropping-particle":"","family":"Parent","given":"L.","non-dropping-particle":"","parse-names":false,"suffix":""}],"container-title":"Journal of Operational Oceanography","id":"ITEM-1","issue":"1","issued":{"date-parts":[["2008"]]},"page":"51-57","title":"The GODAE/Mercator-Ocean global ocean forecasting system: Results, applications and prospects","type":"article-journal","volume":"1"},"uris":["http://www.mendeley.com/documents/?uuid=5ce1fb84-cce7-419c-8138-f7095201de03"]}],"mendeley":{"formattedCitation":"(Drévillon et al., 2008)","plainTextFormattedCitation":"(Drévillon et al., 2008)","previouslyFormattedCitation":"(Drévillon et al., 2008)"},"properties":{"noteIndex":0},"schema":"https://github.com/citation-style-language/schema/raw/master/csl-citation.json"}</w:instrText>
      </w:r>
      <w:r w:rsidRPr="00491631">
        <w:rPr>
          <w:szCs w:val="24"/>
        </w:rPr>
        <w:fldChar w:fldCharType="separate"/>
      </w:r>
      <w:r w:rsidRPr="00491631">
        <w:rPr>
          <w:noProof/>
          <w:szCs w:val="24"/>
        </w:rPr>
        <w:t>(Drévillon et al., 2008)</w:t>
      </w:r>
      <w:r w:rsidRPr="00491631">
        <w:rPr>
          <w:szCs w:val="24"/>
        </w:rPr>
        <w:fldChar w:fldCharType="end"/>
      </w:r>
      <w:r w:rsidRPr="00491631">
        <w:rPr>
          <w:szCs w:val="24"/>
        </w:rPr>
        <w:t xml:space="preserve"> are used. </w:t>
      </w:r>
    </w:p>
    <w:p w14:paraId="427CC482" w14:textId="77777777" w:rsidR="00D53E97" w:rsidRPr="00491631" w:rsidRDefault="00D53E97" w:rsidP="00D53E97">
      <w:pPr>
        <w:rPr>
          <w:szCs w:val="24"/>
        </w:rPr>
      </w:pPr>
      <w:r w:rsidRPr="00491631">
        <w:rPr>
          <w:szCs w:val="24"/>
        </w:rPr>
        <w:t>The model assimilates different types of data: sea level anomaly observations from satellite altimetry, satellite sea surface temperature (SST), in situ temperature profiles measured by VOS XBTs (Voluntary Observing Ship-eXpandable Bathythermograph), in situ temperature and salinity profiles measured by ARGO floats, and in situ temperature and salinity profiles from CTD casts. The data assimilating system is the OCEANVAR scheme developed by</w:t>
      </w:r>
      <w:r w:rsidRPr="00491631">
        <w:rPr>
          <w:szCs w:val="24"/>
        </w:rPr>
        <w:fldChar w:fldCharType="begin" w:fldLock="1"/>
      </w:r>
      <w:r w:rsidRPr="00491631">
        <w:rPr>
          <w:szCs w:val="24"/>
        </w:rPr>
        <w:instrText>ADDIN CSL_CITATION {"citationItems":[{"id":"ITEM-1","itemData":{"DOI":"10.1016/j.ocemod.2008.01.004","ISBN":"14635003","ISSN":"14635003","abstract":"This study describes the development and evaluation of an oceanographic three-dimensional variational (3D-VAR) data assimilation scheme based on a novel specification of the background error covariances. The new 3D-VAR scheme allows for regional variability of the background error covariance matrix, complex coastal boundary conditions and variable bottom topography. The error covariance matrix is formed by the successive application of linear operators that can consider vertical EOFs, horizontal covariance functions that consider coastlines, sea level corrections that vary from shallow to deep regions and divergence dumping of velocity corrections near the coasts. The scheme is applied to the Mediterranean Sea and the quality of analysis is assessed by comparing background estimates with observations in the period October 2005-October 2006. © 2008 Elsevier Ltd. All rights reserved.","author":[{"dropping-particle":"","family":"Dobricic","given":"Srdjan","non-dropping-particle":"","parse-names":false,"suffix":""},{"dropping-particle":"","family":"Pinardi","given":"Nadia","non-dropping-particle":"","parse-names":false,"suffix":""}],"container-title":"Ocean Modelling","id":"ITEM-1","issue":"3-4","issued":{"date-parts":[["2008"]]},"page":"89-105","title":"An oceanographic three-dimensional variational data assimilation scheme","type":"article-journal","volume":"22"},"uris":["http://www.mendeley.com/documents/?uuid=4449b1dd-6160-4ca0-9e6d-f22806cacfb4"]}],"mendeley":{"formattedCitation":"(Dobricic and Pinardi, 2008)","manualFormatting":" Dobricic and Pinardi (2008)","plainTextFormattedCitation":"(Dobricic and Pinardi, 2008)","previouslyFormattedCitation":"(Dobricic and Pinardi, 2008)"},"properties":{"noteIndex":0},"schema":"https://github.com/citation-style-language/schema/raw/master/csl-citation.json"}</w:instrText>
      </w:r>
      <w:r w:rsidRPr="00491631">
        <w:rPr>
          <w:szCs w:val="24"/>
        </w:rPr>
        <w:fldChar w:fldCharType="separate"/>
      </w:r>
      <w:r w:rsidRPr="00491631">
        <w:rPr>
          <w:noProof/>
          <w:szCs w:val="24"/>
        </w:rPr>
        <w:t xml:space="preserve"> Dobricic and Pinardi (2008)</w:t>
      </w:r>
      <w:r w:rsidRPr="00491631">
        <w:rPr>
          <w:szCs w:val="24"/>
        </w:rPr>
        <w:fldChar w:fldCharType="end"/>
      </w:r>
      <w:r w:rsidRPr="00491631">
        <w:rPr>
          <w:szCs w:val="24"/>
        </w:rPr>
        <w:t>.</w:t>
      </w:r>
    </w:p>
    <w:p w14:paraId="478B944E" w14:textId="77777777" w:rsidR="00D53E97" w:rsidRDefault="00D53E97" w:rsidP="00FB42CA">
      <w:pPr>
        <w:pStyle w:val="Ttulo4"/>
        <w:numPr>
          <w:ilvl w:val="0"/>
          <w:numId w:val="0"/>
        </w:numPr>
        <w:ind w:left="567" w:hanging="567"/>
      </w:pPr>
      <w:r>
        <w:t>NEMO-PISCES</w:t>
      </w:r>
    </w:p>
    <w:p w14:paraId="50C54F73" w14:textId="2119A51D" w:rsidR="00D53E97" w:rsidRPr="00865DE3" w:rsidRDefault="00D53E97" w:rsidP="00D53E97">
      <w:pPr>
        <w:rPr>
          <w:szCs w:val="24"/>
        </w:rPr>
      </w:pPr>
      <w:r w:rsidRPr="00865DE3">
        <w:rPr>
          <w:szCs w:val="24"/>
        </w:rPr>
        <w:t xml:space="preserve">The physical component of this system (IBI_REANALYSIS_PHYS_005_002 in CMEMS catalogue) is based on the NEMO-v3.4 model. It is implemented in the Atlantic Iberian Biscay Irish zone (IBI area) with a boundary in the Western Mediterranean and another one in the mid-Atlantic </w:t>
      </w:r>
      <w:r w:rsidRPr="00865DE3">
        <w:rPr>
          <w:szCs w:val="24"/>
        </w:rPr>
        <w:fldChar w:fldCharType="begin" w:fldLock="1"/>
      </w:r>
      <w:r>
        <w:rPr>
          <w:szCs w:val="24"/>
        </w:rPr>
        <w:instrText>ADDIN CSL_CITATION {"citationItems":[{"id":"ITEM-1","itemData":{"DOI":"10.1080/1755876X.2015.1014663","ISBN":"1755-876X","ISSN":"17558778","abstract":"The MyOcean IBI-MFC (Monitoring &amp; Forecasting Centre) has been providing continuous daily ocean model estimates and forecasts for the Iberia–Biscay–Ireland (IBI) regional seas since 2011. The operational IBI Ocean Forecast Service is based on a NEMO model application that includes high-frequency processes required to characterize regional scale marine processes. Since June 2014, a new IBI reanalysis, comprising both physical and biogeochemical components, covering the time period 2002–2012 has also been available. This paper provides an end-to-end description of these IBI model systems and presents a summary of the scientific validation assessments carried out with the derived operational products. The validation statistics suggest that the systems capture major synoptic and mesoscale ocean circulation features observed in the IBI region. Finally, an IBI roadmap towards the future EU Copernicus Service is outlined, providing a look ahead to future IBI model and data-assimilation developments and operation...","author":[{"dropping-particle":"","family":"Sotillo","given":"M. G.","non-dropping-particle":"","parse-names":false,"suffix":""},{"dropping-particle":"","family":"Cailleau","given":"S.","non-dropping-particle":"","parse-names":false,"suffix":""},{"dropping-particle":"","family":"Lorente","given":"P.","non-dropping-particle":"","parse-names":false,"suffix":""},{"dropping-particle":"","family":"Levier","given":"B.","non-dropping-particle":"","parse-names":false,"suffix":""},{"dropping-particle":"","family":"Aznar","given":"R.","non-dropping-particle":"","parse-names":false,"suffix":""},{"dropping-particle":"","family":"Reffray","given":"G.","non-dropping-particle":"","parse-names":false,"suffix":""},{"dropping-particle":"","family":"Amo-Baladrón","given":"A.","non-dropping-particle":"","parse-names":false,"suffix":""},{"dropping-particle":"","family":"Chanut","given":"J.","non-dropping-particle":"","parse-names":false,"suffix":""},{"dropping-particle":"","family":"Benkiran","given":"M.","non-dropping-particle":"","parse-names":false,"suffix":""},{"dropping-particle":"","family":"Alvarez-Fanjul","given":"E.","non-dropping-particle":"","parse-names":false,"suffix":""},{"dropping-particle":"","family":"Amo-Baladrï¿½n","given":"A.","non-dropping-particle":"","parse-names":false,"suffix":""},{"dropping-particle":"","family":"Chanut","given":"J.","non-dropping-particle":"","parse-names":false,"suffix":""},{"dropping-particle":"","family":"Benkiran","given":"M.","non-dropping-particle":"","parse-names":false,"suffix":""},{"dropping-particle":"","family":"Alvarez-Fanjul","given":"E.","non-dropping-particle":"","parse-names":false,"suffix":""}],"container-title":"Journal of Operational Oceanography","id":"ITEM-1","issue":"1","issued":{"date-parts":[["2015"]]},"page":"63-79","publisher":"Taylor &amp; Francis","title":"The myocean IBI ocean forecast and reanalysis systems: Operational products and roadmap to the future copernicus service","type":"article-journal","volume":"8"},"uris":["http://www.mendeley.com/documents/?uuid=23b51b9e-20bb-4a31-97eb-760e1706405a"]}],"mendeley":{"formattedCitation":"(Sotillo et al., 2015)","plainTextFormattedCitation":"(Sotillo et al., 2015)","previouslyFormattedCitation":"(Sotillo et al., 2015)"},"properties":{"noteIndex":0},"schema":"https://github.com/citation-style-language/schema/raw/master/csl-citation.json"}</w:instrText>
      </w:r>
      <w:r w:rsidRPr="00865DE3">
        <w:rPr>
          <w:szCs w:val="24"/>
        </w:rPr>
        <w:fldChar w:fldCharType="separate"/>
      </w:r>
      <w:r w:rsidRPr="00865DE3">
        <w:rPr>
          <w:noProof/>
          <w:szCs w:val="24"/>
        </w:rPr>
        <w:t>(Sotillo et al., 2015)</w:t>
      </w:r>
      <w:r w:rsidRPr="00865DE3">
        <w:rPr>
          <w:szCs w:val="24"/>
        </w:rPr>
        <w:fldChar w:fldCharType="end"/>
      </w:r>
      <w:r w:rsidRPr="00865DE3">
        <w:rPr>
          <w:szCs w:val="24"/>
        </w:rPr>
        <w:t>, with a horizontal resolution of 1/12º and 75 vertical z-levels. Lateral open boundary data (temperature, salinity, velocities and sea level) are interpolated from daily outputs from the CMEMS GLOBAL reanalysis eddy resolving system. The model is also forced by momentum, water and heat fluxes interactively computed by bulk formulae using the ECMWF ERA-Interim atmospheric data. It also includes tidal forcing and riverine inputs, implemented as lateral point sources with flow rates based on monthly climatological data taken from GRDC</w:t>
      </w:r>
      <w:r w:rsidRPr="001D02CA">
        <w:rPr>
          <w:rStyle w:val="Refdenotaalpie"/>
        </w:rPr>
        <w:footnoteReference w:id="2"/>
      </w:r>
      <w:r w:rsidRPr="00865DE3">
        <w:rPr>
          <w:szCs w:val="24"/>
        </w:rPr>
        <w:t>, French “Banque Hydro” dataset</w:t>
      </w:r>
      <w:r w:rsidRPr="001D02CA">
        <w:rPr>
          <w:rStyle w:val="Refdenotaalpie"/>
        </w:rPr>
        <w:footnoteReference w:id="3"/>
      </w:r>
      <w:r w:rsidRPr="00865DE3">
        <w:rPr>
          <w:szCs w:val="24"/>
        </w:rPr>
        <w:t xml:space="preserve"> and simulations from the Swedish Meteorological and Hydrological Institute. The model assimilates the same data as the NEMO-BFM system, although using the SAM2 (Mercator Ocean assimilation system </w:t>
      </w:r>
      <w:r w:rsidRPr="00865DE3">
        <w:rPr>
          <w:szCs w:val="24"/>
        </w:rPr>
        <w:fldChar w:fldCharType="begin" w:fldLock="1"/>
      </w:r>
      <w:r w:rsidRPr="00865DE3">
        <w:rPr>
          <w:szCs w:val="24"/>
        </w:rPr>
        <w:instrText>ADDIN CSL_CITATION {"citationItems":[{"id":"ITEM-1","itemData":{"DOI":"10.5194/os-9-57-2013","ISBN":"0022-3670","ISSN":"18120784","PMID":"1089","abstract":"The effect of breaking waves on ocean surface temperatures and surface boundary layer deepening is investigated. The modification of the Mellor–Yamada turbulence closure model by Craig and Banner and others to include surface wave breaking energetics reduces summertime surface temperatures when the surface layer is relatively shallow. The effect of the Charnock constant in the relevant drag coefficient relation is also studied.","author":[{"dropping-particle":"","family":"Lellouche","given":"J. M.","non-dropping-particle":"","parse-names":false,"suffix":""},{"dropping-particle":"","family":"Galloudec","given":"O.","non-dropping-particle":"Le","parse-names":false,"suffix":""},{"dropping-particle":"","family":"Drévillon","given":"M.","non-dropping-particle":"","parse-names":false,"suffix":""},{"dropping-particle":"","family":"Régnier","given":"C.","non-dropping-particle":"","parse-names":false,"suffix":""},{"dropping-particle":"","family":"Greiner","given":"E.","non-dropping-particle":"","parse-names":false,"suffix":""},{"dropping-particle":"","family":"Garric","given":"G.","non-dropping-particle":"","parse-names":false,"suffix":""},{"dropping-particle":"","family":"Ferry","given":"N.","non-dropping-particle":"","parse-names":false,"suffix":""},{"dropping-particle":"","family":"Desportes","given":"C.","non-dropping-particle":"","parse-names":false,"suffix":""},{"dropping-particle":"","family":"Testut","given":"C. E.","non-dropping-particle":"","parse-names":false,"suffix":""},{"dropping-particle":"","family":"Bricaud","given":"C.","non-dropping-particle":"","parse-names":false,"suffix":""},{"dropping-particle":"","family":"Bourdallé-Badie","given":"R.","non-dropping-particle":"","parse-names":false,"suffix":""},{"dropping-particle":"","family":"Tranchant","given":"B.","non-dropping-particle":"","parse-names":false,"suffix":""},{"dropping-particle":"","family":"Benkiran","given":"M.","non-dropping-particle":"","parse-names":false,"suffix":""},{"dropping-particle":"","family":"Drillet","given":"Y.","non-dropping-particle":"","parse-names":false,"suffix":""},{"dropping-particle":"","family":"Daudin","given":"A.","non-dropping-particle":"","parse-names":false,"suffix":""},{"dropping-particle":"","family":"Nicola","given":"C.","non-dropping-particle":"De","parse-names":false,"suffix":""}],"container-title":"Ocean Science","id":"ITEM-1","issue":"1","issued":{"date-parts":[["2013"]]},"page":"57-81","title":"Evaluation of global monitoring and forecasting systems at Mercator Océan","type":"article-journal","volume":"9"},"uris":["http://www.mendeley.com/documents/?uuid=41e6d0c6-ff1b-4a95-b664-cb66fc21644b"]}],"mendeley":{"formattedCitation":"(Lellouche et al., 2013)","plainTextFormattedCitation":"(Lellouche et al., 2013)","previouslyFormattedCitation":"(Lellouche et al., 2013)"},"properties":{"noteIndex":0},"schema":"https://github.com/citation-style-language/schema/raw/master/csl-citation.json"}</w:instrText>
      </w:r>
      <w:r w:rsidRPr="00865DE3">
        <w:rPr>
          <w:szCs w:val="24"/>
        </w:rPr>
        <w:fldChar w:fldCharType="separate"/>
      </w:r>
      <w:r w:rsidRPr="00865DE3">
        <w:rPr>
          <w:noProof/>
          <w:szCs w:val="24"/>
        </w:rPr>
        <w:t>(Lellouche et al., 2013)</w:t>
      </w:r>
      <w:r w:rsidRPr="00865DE3">
        <w:rPr>
          <w:szCs w:val="24"/>
        </w:rPr>
        <w:fldChar w:fldCharType="end"/>
      </w:r>
      <w:r w:rsidRPr="00865DE3">
        <w:rPr>
          <w:szCs w:val="24"/>
        </w:rPr>
        <w:t>.</w:t>
      </w:r>
    </w:p>
    <w:p w14:paraId="3C85C3D2" w14:textId="77777777" w:rsidR="00D53E97" w:rsidRDefault="00D53E97" w:rsidP="00FB42CA">
      <w:pPr>
        <w:pStyle w:val="Ttulo4"/>
        <w:numPr>
          <w:ilvl w:val="0"/>
          <w:numId w:val="0"/>
        </w:numPr>
        <w:ind w:left="567" w:hanging="567"/>
      </w:pPr>
      <w:r>
        <w:lastRenderedPageBreak/>
        <w:t xml:space="preserve">POLCOMS-ERSEM </w:t>
      </w:r>
    </w:p>
    <w:p w14:paraId="72B62F58" w14:textId="3F3A18E7" w:rsidR="00D53E97" w:rsidRDefault="00D53E97" w:rsidP="00D53E97">
      <w:pPr>
        <w:rPr>
          <w:rFonts w:ascii="Arial" w:hAnsi="Arial" w:cs="Arial"/>
        </w:rPr>
      </w:pPr>
      <w:r w:rsidRPr="00491631">
        <w:rPr>
          <w:szCs w:val="24"/>
        </w:rPr>
        <w:t>In this system, the physical component is based on the Proudman Oceanographic Laboratory Coastal Ocean Modelling System</w:t>
      </w:r>
      <w:r w:rsidRPr="001D02CA">
        <w:rPr>
          <w:rStyle w:val="Refdenotaalpie"/>
        </w:rPr>
        <w:footnoteReference w:id="4"/>
      </w:r>
      <w:r w:rsidRPr="00491631">
        <w:rPr>
          <w:szCs w:val="24"/>
        </w:rPr>
        <w:t xml:space="preserve"> (POLCOMS)(</w:t>
      </w:r>
      <w:r w:rsidRPr="00491631">
        <w:rPr>
          <w:szCs w:val="24"/>
        </w:rPr>
        <w:fldChar w:fldCharType="begin" w:fldLock="1"/>
      </w:r>
      <w:r w:rsidRPr="00491631">
        <w:rPr>
          <w:szCs w:val="24"/>
        </w:rPr>
        <w:instrText>ADDIN CSL_CITATION {"citationItems":[{"id":"ITEM-1","itemData":{"DOI":"10.1029/2000JC000304","ISSN":"01480227","abstract":"The Proudman Oceanographic Laboratory Three-Dimensional Baroclinic B grid model (POL3DB) has been developed to incorporate features suitable for the modeling of baroclinic processes on the shelf, at the shelf slope, and in ocean regions to allow long-term coupled ocean-shelf simulations. We test the model on the northwest European continental shelf in the period November 1988 to October 1989 against satellite sea surface temperature measurements, against CTD sections both on and off the shelf, and (in summary) against the whole of the North Sea Project CTD data set. The model accurately reproduces the seasonal cycle in the shelf-wide spatial temperature structure seen in the observations. Spatial correlations range from r = 0.92 in December to 0.79 in July, and the overall rms errors range from 0.8°C in April to 1.6°C in July. We demonstrate that the increase in the errors during the summer is due to uncertainties in modeling the vertical temperature structure. Compared with a climatology, the large-scale sea surface salinity structure is also well modeled (r = 0.80), but there is a tendency for the model to overestimate the salinity in the Norwegian Trench and underestimate it in the Kattegat. The s coordinates (a modified sigma-coordinate system) allow the formation of a seasonal mixed layer across the shelf break and into the northeast Atlantic with a modest vertical resolution. The accuracy to which this deep water region is modeled is limited by the initial and boundary conditions and by the extent of the model domain.","author":[{"dropping-particle":"","family":"Holt","given":"Jason T.","non-dropping-particle":"","parse-names":false,"suffix":""},{"dropping-particle":"","family":"James","given":"Ian D.","non-dropping-particle":"","parse-names":false,"suffix":""}],"container-title":"Journal of Geophysical Research: Oceans","id":"ITEM-1","issue":"C7","issued":{"date-parts":[["2001"]]},"page":"14015-14034","title":"An &lt;i&gt;s&lt;/i&gt; coordinate density evolving model of the northwest European continental shelf: 1. Model description and density structure","type":"article-journal","volume":"106"},"uris":["http://www.mendeley.com/documents/?uuid=d1542546-0d92-48dc-bccd-ab700afed22d"]}],"mendeley":{"formattedCitation":"(Holt and James, 2001)","manualFormatting":"Holt and James, 2001)","plainTextFormattedCitation":"(Holt and James, 2001)","previouslyFormattedCitation":"(Holt and James, 2001)"},"properties":{"noteIndex":0},"schema":"https://github.com/citation-style-language/schema/raw/master/csl-citation.json"}</w:instrText>
      </w:r>
      <w:r w:rsidRPr="00491631">
        <w:rPr>
          <w:szCs w:val="24"/>
        </w:rPr>
        <w:fldChar w:fldCharType="separate"/>
      </w:r>
      <w:r w:rsidRPr="00491631">
        <w:rPr>
          <w:noProof/>
          <w:szCs w:val="24"/>
        </w:rPr>
        <w:t>Holt and James, 2001)</w:t>
      </w:r>
      <w:r w:rsidRPr="00491631">
        <w:rPr>
          <w:szCs w:val="24"/>
        </w:rPr>
        <w:fldChar w:fldCharType="end"/>
      </w:r>
      <w:r w:rsidRPr="00491631">
        <w:rPr>
          <w:szCs w:val="24"/>
        </w:rPr>
        <w:t xml:space="preserve">. The domain covers from the European Atlantic margin to the Mediterranean Sea with a 1/10º grid resolution and 40 sigma-levels of vertical resolution. Bathymetry was based on the GEBCO 1' dataset. For the open ocean boundary forcing, the daily mean GLORYS2V4 product from Mercator Ocean was used (GLOBAL_REANALYSIS_PHY_001_025  in the CMEMS catalogue). Initial conditions of temperature and salinity were set using World Ocean Atlas 2013 </w:t>
      </w:r>
      <w:r w:rsidRPr="00491631">
        <w:rPr>
          <w:szCs w:val="24"/>
        </w:rPr>
        <w:fldChar w:fldCharType="begin" w:fldLock="1"/>
      </w:r>
      <w:r w:rsidRPr="00491631">
        <w:rPr>
          <w:szCs w:val="24"/>
        </w:rPr>
        <w:instrText>ADDIN CSL_CITATION {"citationItems":[{"id":"ITEM-1","itemData":{"DOI":"10.1182/blood-2011-06-357442","ISBN":"2011063574","ISSN":"0006-4971","PMID":"22058116","abstract":"This atlas consists of a description of data analysis procedures and horizontal maps of annual, seasonal, and monthly climatological distribution fields of salinity at selected standard depth levels of the world ocean on a one-degree latitude-longitude grid. The aim of the maps is to illustrate large-scale characteristics of the distribution of ocean salinity. The fields used to generate these climatological maps were computed by objective analysis of all scientifically quality-controlled historical salinity data in the World Ocean Database 2005. Maps are presented for climatological composite periods (annual, seasonal, monthly, seasonal and monthly difference fields from the annual mean field, and the number of observations) at selected standard depths.","author":[{"dropping-particle":"","family":"Locarnini","given":"R. A.","non-dropping-particle":"","parse-names":false,"suffix":""},{"dropping-particle":"V.","family":"Mishonov","given":"A.","non-dropping-particle":"","parse-names":false,"suffix":""},{"dropping-particle":"","family":"Antonov","given":"J. I.","non-dropping-particle":"","parse-names":false,"suffix":""},{"dropping-particle":"","family":"Boyer","given":"T. P.","non-dropping-particle":"","parse-names":false,"suffix":""},{"dropping-particle":"","family":"Garcia","given":"H. E.","non-dropping-particle":"","parse-names":false,"suffix":""},{"dropping-particle":"","family":"Baranova","given":"O. K.","non-dropping-particle":"","parse-names":false,"suffix":""},{"dropping-particle":"","family":"Zweng","given":"M. M.","non-dropping-particle":"","parse-names":false,"suffix":""},{"dropping-particle":"","family":"Paver","given":"C. R.","non-dropping-particle":"","parse-names":false,"suffix":""},{"dropping-particle":"","family":"Reagan","given":"J. R.","non-dropping-particle":"","parse-names":false,"suffix":""},{"dropping-particle":"","family":"Johnson","given":"D. R.","non-dropping-particle":"","parse-names":false,"suffix":""},{"dropping-particle":"","family":"Hamilton","given":"M.","non-dropping-particle":"","parse-names":false,"suffix":""},{"dropping-particle":"","family":"Seidov","given":"D.","non-dropping-particle":"","parse-names":false,"suffix":""}],"container-title":"NOAA Atlas NESDIS 73","id":"ITEM-1","issued":{"date-parts":[["2013"]]},"page":"40 pp.","title":"World Ocean Atlas 2013, Volume 1: Temperature.","type":"article"},"uris":["http://www.mendeley.com/documents/?uuid=85a41a8d-9434-4b86-99eb-806f69d48bc3"]},{"id":"ITEM-2","itemData":{"DOI":"10.1182/blood-2011-06-357442","ISBN":"2011063574","ISSN":"00064971","PMID":"22058116","abstract":"This atlas consists of a description of data analysis procedures and horizontal maps of annual, seasonal, and monthly climatological distribution fields of salinity at selected standard depth levels of the world ocean on a one-degree latitude-longitude grid. The aim of the maps is to illustrate large-scale characteristics of the distribution of ocean salinity. The fields used to generate these climatological maps were computed by objective analysis of all scientifically quality-controlled historical salinity data in the World Ocean Database 2005. Maps are presented for climatological composite periods (annual, seasonal, monthly, seasonal and monthly difference fields from the annual mean field, and the number of observations) at selected standard depths.","author":[{"dropping-particle":"","family":"Zweng","given":"M. M.","non-dropping-particle":"","parse-names":false,"suffix":""},{"dropping-particle":"","family":"Reagan","given":"J.R.","non-dropping-particle":"","parse-names":false,"suffix":""},{"dropping-particle":"","family":"Antonov","given":"J.I.","non-dropping-particle":"","parse-names":false,"suffix":""},{"dropping-particle":"","family":"Mishonov","given":"A.V.","non-dropping-particle":"","parse-names":false,"suffix":""},{"dropping-particle":"","family":"Boyer","given":"T.P.","non-dropping-particle":"","parse-names":false,"suffix":""},{"dropping-particle":"","family":"Garcia","given":"H.E.","non-dropping-particle":"","parse-names":false,"suffix":""},{"dropping-particle":"","family":"Baranova","given":"O.K.","non-dropping-particle":"","parse-names":false,"suffix":""},{"dropping-particle":"","family":"Johnson","given":"D.R.","non-dropping-particle":"","parse-names":false,"suffix":""},{"dropping-particle":"","family":"Seidov","given":"D.","non-dropping-particle":"","parse-names":false,"suffix":""},{"dropping-particle":"","family":"Bidlle","given":"M.M.","non-dropping-particle":"","parse-names":false,"suffix":""}],"container-title":"NOAA Atlas NESDIS","id":"ITEM-2","issue":"1","issued":{"date-parts":[["2013"]]},"number-of-pages":"39","title":"World Ocean Atlas 2013, Volume 2: Salinity","type":"report","volume":"2"},"uris":["http://www.mendeley.com/documents/?uuid=723c45ff-ff1b-4918-942f-d4ccfdc74b9b"]}],"mendeley":{"formattedCitation":"(Locarnini et al., 2013; Zweng et al., 2013)","plainTextFormattedCitation":"(Locarnini et al., 2013; Zweng et al., 2013)","previouslyFormattedCitation":"(Locarnini et al., 2013; Zweng et al., 2013)"},"properties":{"noteIndex":0},"schema":"https://github.com/citation-style-language/schema/raw/master/csl-citation.json"}</w:instrText>
      </w:r>
      <w:r w:rsidRPr="00491631">
        <w:rPr>
          <w:szCs w:val="24"/>
        </w:rPr>
        <w:fldChar w:fldCharType="separate"/>
      </w:r>
      <w:r w:rsidRPr="00491631">
        <w:rPr>
          <w:noProof/>
          <w:szCs w:val="24"/>
        </w:rPr>
        <w:t>(Locarnini et al., 2013; Zweng et al., 2013)</w:t>
      </w:r>
      <w:r w:rsidRPr="00491631">
        <w:rPr>
          <w:szCs w:val="24"/>
        </w:rPr>
        <w:fldChar w:fldCharType="end"/>
      </w:r>
      <w:r w:rsidRPr="00491631">
        <w:rPr>
          <w:szCs w:val="24"/>
        </w:rPr>
        <w:t>. The model was spun up for 5 years before the</w:t>
      </w:r>
      <w:r w:rsidR="0090019C">
        <w:rPr>
          <w:szCs w:val="24"/>
        </w:rPr>
        <w:t xml:space="preserve"> biogeochemical</w:t>
      </w:r>
      <w:r w:rsidRPr="00491631">
        <w:rPr>
          <w:szCs w:val="24"/>
        </w:rPr>
        <w:t xml:space="preserve"> </w:t>
      </w:r>
      <w:r w:rsidR="0090019C">
        <w:rPr>
          <w:szCs w:val="24"/>
        </w:rPr>
        <w:t>(</w:t>
      </w:r>
      <w:r w:rsidRPr="00491631">
        <w:rPr>
          <w:szCs w:val="24"/>
        </w:rPr>
        <w:t>BGC</w:t>
      </w:r>
      <w:r w:rsidR="0090019C">
        <w:rPr>
          <w:szCs w:val="24"/>
        </w:rPr>
        <w:t>)</w:t>
      </w:r>
      <w:r w:rsidRPr="00491631">
        <w:rPr>
          <w:szCs w:val="24"/>
        </w:rPr>
        <w:t xml:space="preserve"> component was introduced. The atmospheric forcing was also based on the ECMWF ERA-interim product. In this case 6-hourly data has been used for winds, pressure, temperature and relative humidity, daily data for cloud cover, precipitation and radiation fluxes. River runoffs were taken from the second version of Global NEWS </w:t>
      </w:r>
      <w:r w:rsidRPr="00491631">
        <w:rPr>
          <w:szCs w:val="24"/>
        </w:rPr>
        <w:fldChar w:fldCharType="begin" w:fldLock="1"/>
      </w:r>
      <w:r w:rsidRPr="00491631">
        <w:rPr>
          <w:szCs w:val="24"/>
        </w:rPr>
        <w:instrText>ADDIN CSL_CITATION {"citationItems":[{"id":"ITEM-1","itemData":{"DOI":"10.1016/j.envsoft.2010.01.007","ISBN":"1364-8152","ISSN":"13648152","abstract":"Global NEWS is a global, spatially explicit, multi-element and multi-form model of nutrient exports by rivers. Here we present NEWS 2, the new version of Global NEWS developed as part of a Millennium Ecosystem Assessment scenario implementation from hindcast (1970) to contemporary (2000) and future scenario trajectories (2030 &amp; 2050). We provide a detailed model description and present an overview of enhancements to input datasets, emphasizing an integrated view of nutrient form sub-models and contrasts with previous NEWS models (NEWS 1). An important difference with NEWS 1 is our unified model framework (multi-element, multi-form) that facilitates detailed watershed comparisons regionally and by element or form. NEWS 2 performs approximately as well as NEWS 1 while incorporating previously uncharacterized factors. Although contemporary global river export estimates for dissolved inorganic nitrogen (DIN) and particulates show notable reductions, they are within the range of previous studies; global exports for other nutrient forms are comparable to NEWS 1. NEWS 2 can be used as an effective tool to examine the impact of polices to reduce coastal eutrophication at regional to global scales. Continued enhancements will focus on the incorporation of other forms and sub-basin spatial variability in drivers and retention processes. © 2010 Elsevier Ltd. All rights reserved.","author":[{"dropping-particle":"","family":"Mayorga","given":"Emilio","non-dropping-particle":"","parse-names":false,"suffix":""},{"dropping-particle":"","family":"Seitzinger","given":"Sybil P.","non-dropping-particle":"","parse-names":false,"suffix":""},{"dropping-particle":"","family":"Harrison","given":"John A.","non-dropping-particle":"","parse-names":false,"suffix":""},{"dropping-particle":"","family":"Dumont","given":"Egon","non-dropping-particle":"","parse-names":false,"suffix":""},{"dropping-particle":"","family":"Beusen","given":"Arthur H.W.","non-dropping-particle":"","parse-names":false,"suffix":""},{"dropping-particle":"","family":"Bouwman","given":"A. F.","non-dropping-particle":"","parse-names":false,"suffix":""},{"dropping-particle":"","family":"Fekete","given":"Balazs M.","non-dropping-particle":"","parse-names":false,"suffix":""},{"dropping-particle":"","family":"Kroeze","given":"Carolien","non-dropping-particle":"","parse-names":false,"suffix":""},{"dropping-particle":"","family":"Drecht","given":"Gerard","non-dropping-particle":"Van","parse-names":false,"suffix":""}],"container-title":"Environmental Modelling and Software","id":"ITEM-1","issue":"7","issued":{"date-parts":[["2010"]]},"page":"837-853","title":"Global Nutrient Export from WaterSheds 2 (NEWS 2): Model development and implementation","type":"article-journal","volume":"25"},"uris":["http://www.mendeley.com/documents/?uuid=695ed794-b970-4e74-ad19-305fe45cdcce"]}],"mendeley":{"formattedCitation":"(Mayorga et al., 2010)","plainTextFormattedCitation":"(Mayorga et al., 2010)","previouslyFormattedCitation":"(Mayorga et al., 2010)"},"properties":{"noteIndex":0},"schema":"https://github.com/citation-style-language/schema/raw/master/csl-citation.json"}</w:instrText>
      </w:r>
      <w:r w:rsidRPr="00491631">
        <w:rPr>
          <w:szCs w:val="24"/>
        </w:rPr>
        <w:fldChar w:fldCharType="separate"/>
      </w:r>
      <w:r w:rsidRPr="00491631">
        <w:rPr>
          <w:noProof/>
          <w:szCs w:val="24"/>
        </w:rPr>
        <w:t>(Mayorga et al., 2010)</w:t>
      </w:r>
      <w:r w:rsidRPr="00491631">
        <w:rPr>
          <w:szCs w:val="24"/>
        </w:rPr>
        <w:fldChar w:fldCharType="end"/>
      </w:r>
      <w:r w:rsidRPr="00491631">
        <w:rPr>
          <w:szCs w:val="24"/>
        </w:rPr>
        <w:t xml:space="preserve">, with monthly variation based on analysis of discharge data from the database of </w:t>
      </w:r>
      <w:r w:rsidRPr="00491631">
        <w:rPr>
          <w:szCs w:val="24"/>
        </w:rPr>
        <w:fldChar w:fldCharType="begin" w:fldLock="1"/>
      </w:r>
      <w:r w:rsidRPr="00491631">
        <w:rPr>
          <w:szCs w:val="24"/>
        </w:rPr>
        <w:instrText>ADDIN CSL_CITATION {"citationItems":[{"id":"ITEM-1","itemData":{"DOI":"10.1175/1525-7541(2002)003&lt;0660:EOFDFC&gt;2.0.CO;2","ISBN":"1525-755X","ISSN":"1525-755X","abstract":"Annual and monthly mean values of continental freshwater discharge into the oceans are estimated at 18 resolution using several methods. The most accurate estimate is based on streamflow data from the world's largest 921 rivers, supplemented with estimates of discharge from unmonitored areas based on the ratios of runoff and drainage area between the unmonitored and monitored regions. Simulations using a river transport model (RTM) forced by a runoff field were used to derive the river mouth outflow from the farthest downstream gauge records. Separate estimates are also made using RTM simulations forced by three different runoff fields: 1) based on observed streamflow and a water balance model, and from estimates of precipitation P minus evaporation E computed as residuals from the atmospheric moisture budget using atmospheric reanalyses from 2) the National Centers for Environmental Prediction-National Center for Atmospheric Research (NCEP-NCAR) and 3) the European Centre for Medium-Range Weather Forecasts (ECMWF). Compared with previous estimates, improvements are made in extending observed discharge downstream to the river mouth, in accounting for the unmonitored streamflow, in discharging runoff at correct locations, and in providing an annual cycle of continental discharge. The use of river mouth outflow increases the global continental discharge by similar to19% compared with unadjusted streamflow from the farthest downstream stations. The river-based estimate of global continental discharge presented here is 37 288 +/- 662 km(3) yr(-1), which is similar to7.6% of global P or 35% of terrestrial P. While this number is comparable to earlier estimates, its partitioning into individual oceans and its latitudinal distribution differ from earlier studies. The peak discharges into the Arctic, the Pacific, and global oceans occur in June, versus May for the Atlantic and August for the Indian Oceans. Snow accumulation and melt are shown to have large effects on the annual cycle of discharge into all ocean basins except for the Indian Ocean and the Mediterranean and Black Seas. The discharge and its latitudinal distribution implied by the observation-based runoff and the ECMWF reanalysis-based P-E agree well with the river-based estimates, whereas the discharge implied by the NCEP-NCAR reanalysis-based P-E has a negative bias.","author":[{"dropping-particle":"","family":"Dai","given":"Aiguo","non-dropping-particle":"","parse-names":false,"suffix":""},{"dropping-particle":"","family":"Trenberth","given":"Kevin E.","non-dropping-particle":"","parse-names":false,"suffix":""}],"container-title":"Journal of Hydrometeorology","id":"ITEM-1","issue":"6","issued":{"date-parts":[["2002"]]},"page":"660-687","title":"Estimates of Freshwater Discharge from Continents: Latitudinal and Seasonal Variations","type":"article-journal","volume":"3"},"uris":["http://www.mendeley.com/documents/?uuid=190edd61-a609-4498-88ed-ef64fecf6ca0"]}],"mendeley":{"formattedCitation":"(Dai and Trenberth, 2002)","manualFormatting":"Dai and Trenberth ( 2002)","plainTextFormattedCitation":"(Dai and Trenberth, 2002)","previouslyFormattedCitation":"(Dai and Trenberth, 2002)"},"properties":{"noteIndex":0},"schema":"https://github.com/citation-style-language/schema/raw/master/csl-citation.json"}</w:instrText>
      </w:r>
      <w:r w:rsidRPr="00491631">
        <w:rPr>
          <w:szCs w:val="24"/>
        </w:rPr>
        <w:fldChar w:fldCharType="separate"/>
      </w:r>
      <w:r w:rsidRPr="00491631">
        <w:rPr>
          <w:noProof/>
          <w:szCs w:val="24"/>
        </w:rPr>
        <w:t>Dai and Trenberth ( 2002)</w:t>
      </w:r>
      <w:r w:rsidRPr="00491631">
        <w:rPr>
          <w:szCs w:val="24"/>
        </w:rPr>
        <w:fldChar w:fldCharType="end"/>
      </w:r>
      <w:r w:rsidRPr="00491631">
        <w:rPr>
          <w:szCs w:val="24"/>
        </w:rPr>
        <w:t>. No data assimilation is included in this simulation</w:t>
      </w:r>
      <w:r>
        <w:rPr>
          <w:rFonts w:ascii="Arial" w:hAnsi="Arial" w:cs="Arial"/>
        </w:rPr>
        <w:t>.</w:t>
      </w:r>
    </w:p>
    <w:p w14:paraId="52433DED" w14:textId="77777777" w:rsidR="00D53E97" w:rsidRDefault="00D53E97" w:rsidP="00FB42CA">
      <w:pPr>
        <w:pStyle w:val="Ttulo4"/>
        <w:numPr>
          <w:ilvl w:val="0"/>
          <w:numId w:val="0"/>
        </w:numPr>
        <w:ind w:left="567" w:hanging="567"/>
      </w:pPr>
      <w:r>
        <w:t>GETM-MedERGOM</w:t>
      </w:r>
    </w:p>
    <w:p w14:paraId="78AB89C8" w14:textId="77777777" w:rsidR="00D53E97" w:rsidRPr="00C72626" w:rsidRDefault="00D53E97" w:rsidP="00D53E97">
      <w:pPr>
        <w:autoSpaceDE w:val="0"/>
        <w:autoSpaceDN w:val="0"/>
        <w:adjustRightInd w:val="0"/>
        <w:spacing w:after="0"/>
        <w:rPr>
          <w:szCs w:val="24"/>
        </w:rPr>
      </w:pPr>
      <w:r w:rsidRPr="00C72626">
        <w:rPr>
          <w:szCs w:val="24"/>
        </w:rPr>
        <w:t xml:space="preserve">The General Estuarine Transport Model (GETM) solves the three-dimensional hydrostatic equations of motion applying the Boussinesq approximation and the eddy viscosity assumption </w:t>
      </w:r>
      <w:r w:rsidRPr="00C72626">
        <w:rPr>
          <w:szCs w:val="24"/>
        </w:rPr>
        <w:fldChar w:fldCharType="begin" w:fldLock="1"/>
      </w:r>
      <w:r w:rsidRPr="00C72626">
        <w:rPr>
          <w:szCs w:val="24"/>
        </w:rPr>
        <w:instrText>ADDIN CSL_CITATION {"citationItems":[{"id":"ITEM-1","itemData":{"abstract":"Source Code and Test Case Documentation","author":[{"dropping-particle":"","family":"Burchard","given":"H.","non-dropping-particle":"","parse-names":false,"suffix":""},{"dropping-particle":"","family":"Bolding","given":"K.","non-dropping-particle":"","parse-names":false,"suffix":""}],"container-title":"Technical report EUR 20253 en","id":"ITEM-1","issued":{"date-parts":[["2002"]]},"page":"164","title":"Getm – a general estuarine transport model. Scientific documentation.","type":"article-journal"},"uris":["http://www.mendeley.com/documents/?uuid=469d09aa-c4a3-4388-8abf-cf3fd9e2fe97"]}],"mendeley":{"formattedCitation":"(Burchard and Bolding, 2002)","plainTextFormattedCitation":"(Burchard and Bolding, 2002)","previouslyFormattedCitation":"(Burchard and Bolding, 2002)"},"properties":{"noteIndex":0},"schema":"https://github.com/citation-style-language/schema/raw/master/csl-citation.json"}</w:instrText>
      </w:r>
      <w:r w:rsidRPr="00C72626">
        <w:rPr>
          <w:szCs w:val="24"/>
        </w:rPr>
        <w:fldChar w:fldCharType="separate"/>
      </w:r>
      <w:r w:rsidRPr="00C72626">
        <w:rPr>
          <w:noProof/>
          <w:szCs w:val="24"/>
        </w:rPr>
        <w:t>(Burchard and Bolding, 2002)</w:t>
      </w:r>
      <w:r w:rsidRPr="00C72626">
        <w:rPr>
          <w:szCs w:val="24"/>
        </w:rPr>
        <w:fldChar w:fldCharType="end"/>
      </w:r>
      <w:r w:rsidRPr="00C72626">
        <w:rPr>
          <w:szCs w:val="24"/>
        </w:rPr>
        <w:t>, see also a detailed description of the GETM equations</w:t>
      </w:r>
      <w:r w:rsidRPr="001D02CA">
        <w:rPr>
          <w:rStyle w:val="Refdenotaalpie"/>
        </w:rPr>
        <w:footnoteReference w:id="5"/>
      </w:r>
      <w:r w:rsidRPr="00C72626">
        <w:rPr>
          <w:szCs w:val="24"/>
        </w:rPr>
        <w:t xml:space="preserve"> in </w:t>
      </w:r>
      <w:r w:rsidRPr="00C72626">
        <w:rPr>
          <w:szCs w:val="24"/>
        </w:rPr>
        <w:fldChar w:fldCharType="begin" w:fldLock="1"/>
      </w:r>
      <w:r w:rsidRPr="00C72626">
        <w:rPr>
          <w:szCs w:val="24"/>
        </w:rPr>
        <w:instrText>ADDIN CSL_CITATION {"citationItems":[{"id":"ITEM-1","itemData":{"DOI":"10.1007/s10236-003-0077-0","ISBN":"1616-7341","ISSN":"16167341","abstract":"Here we present results of a 1-year realistic North Sea simulation from the new model GETM (general estuarine transport model) and assess the capabilities of this model by comparing them to model results from the well-known HAMSOM (Hamburg shelf sea and ocean model) model, in situ data from the North Sea project and satellite-derived sea-surface temperature data. The annual cycle and the spatial variability of stratification and mixing in the North Sea is simulated. It is shown that the new model is successful in reproducing the general temporal and spatial dynamics of the North Sea. The major advantages of GETM for achieving improved results in this simulation are the implementation of general vertical coordinates, of a state-of-the-art turbulence model and of higher-order advection schemes. By exploiting the full capabilities of these features a more realistic simulation could be achieved. We found that the greatest differences in the model results are produced by applying advection schemes of different complexity. Here we are able to demonstrate that better advection schemes lead to stronger horizontal gradients and stronger vertical stratification during summer. When comparing these results to measurements from the North Sea project and to satellite data, we find that these stronger gradients are more realistic. Therefore, we consider it as essential to use such high-order advection schemes if the spatial variability of estuarine or shelf seas like the North Sea is to be resolved adequately. The advanced turbulence closure scheme also contributed to more realistic simulation of the vertical stratification. Finally, general vertical coordinates better resolve the shallow regions, but are also useful for the deeper regions, as they allow a better estimation of sea-surface temperature compared to traditional $σ$ coordinates.","author":[{"dropping-particle":"","family":"Stips","given":"Adolf","non-dropping-particle":"","parse-names":false,"suffix":""},{"dropping-particle":"","family":"Bolding","given":"Karsten","non-dropping-particle":"","parse-names":false,"suffix":""},{"dropping-particle":"","family":"Pohlmann","given":"Thomas","non-dropping-particle":"","parse-names":false,"suffix":""},{"dropping-particle":"","family":"Burchard","given":"Hans","non-dropping-particle":"","parse-names":false,"suffix":""}],"container-title":"Ocean Dynamics","id":"ITEM-1","issue":"2","issued":{"date-parts":[["2004"]]},"page":"266-283","title":"Simulating the temporal and spatial dynamics of the North Sea using the new model GETM (general estuarine transport model)","type":"paper-conference","volume":"54"},"uris":["http://www.mendeley.com/documents/?uuid=49600572-b200-4c30-87cb-c033712bce46"]}],"mendeley":{"formattedCitation":"(Stips et al., 2004)","manualFormatting":"Stips et al. (2004)","plainTextFormattedCitation":"(Stips et al., 2004)","previouslyFormattedCitation":"(Stips et al., 2004)"},"properties":{"noteIndex":0},"schema":"https://github.com/citation-style-language/schema/raw/master/csl-citation.json"}</w:instrText>
      </w:r>
      <w:r w:rsidRPr="00C72626">
        <w:rPr>
          <w:szCs w:val="24"/>
        </w:rPr>
        <w:fldChar w:fldCharType="separate"/>
      </w:r>
      <w:r w:rsidRPr="00C72626">
        <w:rPr>
          <w:noProof/>
          <w:szCs w:val="24"/>
        </w:rPr>
        <w:t>Stips et al. (2004)</w:t>
      </w:r>
      <w:r w:rsidRPr="00C72626">
        <w:rPr>
          <w:szCs w:val="24"/>
        </w:rPr>
        <w:fldChar w:fldCharType="end"/>
      </w:r>
      <w:r w:rsidRPr="00C72626">
        <w:rPr>
          <w:szCs w:val="24"/>
        </w:rPr>
        <w:t xml:space="preserve">. The configuration for the Mediterranean Sea has a horizontal resolution of 5’ x 5’ and includes 25 vertical sigma layers stretched on the vertical with maximum resolution towards the surface. A third-order Total Variation Diminishing (TVD) numerical scheme is used as recommended by </w:t>
      </w:r>
      <w:r w:rsidRPr="00C72626">
        <w:rPr>
          <w:szCs w:val="24"/>
        </w:rPr>
        <w:fldChar w:fldCharType="begin" w:fldLock="1"/>
      </w:r>
      <w:r w:rsidRPr="00C72626">
        <w:rPr>
          <w:szCs w:val="24"/>
        </w:rPr>
        <w:instrText>ADDIN CSL_CITATION {"citationItems":[{"id":"ITEM-1","itemData":{"DOI":"doi:10.1016/j.jmarsys.2005.04.011","abstract":"A modelling system for coupled physical--biogeochemical simulations\\nin the water column is presented here. The physical model component\\nallows for a number of different statistical turbulence closure schemes,\\nranging from simple algebraic closures to two-equation turbulence\\nmodels with algebraic second-moment closures. The biogeochemical\\nmodule consists of models which are based on a number of state variables\\nrepresented by their ensemble averaged concentrations. Specific biogeochemical\\nmodels may range from simple NPZ (nutrient--phytoplankton--zooplankton)\\nto complex ecosystem models. Recently developed modified Patankar\\nsolvers for ordinary differential equations allow for stable discretisations\\nof the production and destruction terms guaranteeing conservative\\nand non-negative solutions. The increased stability of these new\\nsolvers over explicit solvers is demonstrated for a plankton spring\\nbloom simulation. The model system is applied to marine ecosystem\\ndynamics the Northern North Sea and the Central Gotland Sea. Two\\ndifferent biogeochemical models are applied, a conservative nitrogen-based\\nmodel to the North Sea, and a more complex model including an oxygen\\nequation to the Baltic Sea, allowing for the reproduction of chemical\\nprocesses under anoxic conditions. For both applications, earlier\\nmodel results obtained with slightly different model setups could\\nbe basically reproduced. It became however clear that the choice\\nfor ecosystem model parameters such as maximum phytoplankton growth\\nrates does strongly depend on the physical model parameters (such\\nas turbulence closure models or external forcing).","author":[{"dropping-particle":"","family":"Burchard H.","given":"","non-dropping-particle":"","parse-names":false,"suffix":""},{"dropping-particle":"","family":"Bolding K.","given":"","non-dropping-particle":"","parse-names":false,"suffix":""},{"dropping-particle":"","family":"Kühn W.","given":"","non-dropping-particle":"","parse-names":false,"suffix":""},{"dropping-particle":"","family":"Meister A.","given":"","non-dropping-particle":"","parse-names":false,"suffix":""},{"dropping-particle":"","family":"Neumann T.","given":"","non-dropping-particle":"","parse-names":false,"suffix":""},{"dropping-particle":"","family":"Umlauf","given":"L","non-dropping-particle":"","parse-names":false,"suffix":""}],"container-title":"Journal of Marine Systems","id":"ITEM-1","issue":"3-4","issued":{"date-parts":[["2006"]]},"page":"180-211","title":"Description of a flexible and extendable physical--biogeochemical model system for the water column","type":"article-journal","volume":"61"},"uris":["http://www.mendeley.com/documents/?uuid=613760b4-4c12-4d7c-8e20-b6865be660c8"]}],"mendeley":{"formattedCitation":"(Burchard H. et al., 2006)","manualFormatting":"Burchard et al. (2006)","plainTextFormattedCitation":"(Burchard H. et al., 2006)","previouslyFormattedCitation":"(Burchard H. et al., 2006)"},"properties":{"noteIndex":0},"schema":"https://github.com/citation-style-language/schema/raw/master/csl-citation.json"}</w:instrText>
      </w:r>
      <w:r w:rsidRPr="00C72626">
        <w:rPr>
          <w:szCs w:val="24"/>
        </w:rPr>
        <w:fldChar w:fldCharType="separate"/>
      </w:r>
      <w:r w:rsidRPr="00C72626">
        <w:rPr>
          <w:noProof/>
          <w:szCs w:val="24"/>
        </w:rPr>
        <w:t>Burchard et al. (2006)</w:t>
      </w:r>
      <w:r w:rsidRPr="00C72626">
        <w:rPr>
          <w:szCs w:val="24"/>
        </w:rPr>
        <w:fldChar w:fldCharType="end"/>
      </w:r>
      <w:r>
        <w:rPr>
          <w:szCs w:val="24"/>
        </w:rPr>
        <w:t>. ETOPO1</w:t>
      </w:r>
      <w:r w:rsidRPr="001D02CA">
        <w:rPr>
          <w:rStyle w:val="Refdenotaalpie"/>
        </w:rPr>
        <w:footnoteReference w:id="6"/>
      </w:r>
      <w:r w:rsidRPr="00C72626">
        <w:rPr>
          <w:szCs w:val="24"/>
        </w:rPr>
        <w:t xml:space="preserve"> was used to build the bathymetric grid by averaging depth levels to the corresponding horizontal resolution of the model grid. The salinity and temperature climatologies used as initial conditions at the start of the model integration used in the present contribution (year 2000) were obtained from </w:t>
      </w:r>
      <w:hyperlink r:id="rId22" w:history="1">
        <w:r w:rsidRPr="00C72626">
          <w:rPr>
            <w:szCs w:val="24"/>
          </w:rPr>
          <w:t>a</w:t>
        </w:r>
      </w:hyperlink>
      <w:r w:rsidRPr="00C72626">
        <w:rPr>
          <w:szCs w:val="24"/>
        </w:rPr>
        <w:t xml:space="preserve"> long-term simulation hindcast performed by this model system starting in 1960. Boundary conditions at the western entrance of the Strait of Gibraltar were computed from the MEDAR/MEDATLAS dataset imposing monthly climatological vertically explicit values of salinity. The GETM configuration for the Mediterranean Sea is forced at the surface every 6 h by the atmospheric variables provided by ECMWF. Atmospheric inputs are interpolated on the Mediterranean Sea GETM grid and bulk formulae are used to calculate the corresponding relevant heat, mass, and momentum fluxes between atmosphere and ocean </w:t>
      </w:r>
      <w:r w:rsidRPr="00C72626">
        <w:rPr>
          <w:szCs w:val="24"/>
        </w:rPr>
        <w:fldChar w:fldCharType="begin" w:fldLock="1"/>
      </w:r>
      <w:r>
        <w:rPr>
          <w:szCs w:val="24"/>
        </w:rPr>
        <w:instrText>ADDIN CSL_CITATION {"citationItems":[{"id":"ITEM-1","itemData":{"author":[{"dropping-particle":"","family":"Macias","given":"D.M","non-dropping-particle":"","parse-names":false,"suffix":""},{"dropping-particle":"","family":"Stips","given":"A","non-dropping-particle":"","parse-names":false,"suffix":""},{"dropping-particle":"","family":"Garcia-Gorriz","given":"E","non-dropping-particle":"","parse-names":false,"suffix":""}],"container-title":"Ecological Modelling","id":"ITEM-1","issued":{"date-parts":[["2014"]]},"page":"26-31","title":"The relevance of deep chlorophyll maximum in the open Mediterranean Sea evaluated through 3D hydrodynamic-biogeochemical coupled simulations","type":"article-journal","volume":"281"},"uris":["http://www.mendeley.com/documents/?uuid=b9267f46-1a86-48df-b695-29e2322815d0"]}],"mendeley":{"formattedCitation":"(Macias et al., 2014a)","manualFormatting":"(Macías et al., 2014)","plainTextFormattedCitation":"(Macias et al., 2014a)","previouslyFormattedCitation":"(Macias et al., 2014a)"},"properties":{"noteIndex":0},"schema":"https://github.com/citation-style-language/schema/raw/master/csl-citation.json"}</w:instrText>
      </w:r>
      <w:r w:rsidRPr="00C72626">
        <w:rPr>
          <w:szCs w:val="24"/>
        </w:rPr>
        <w:fldChar w:fldCharType="separate"/>
      </w:r>
      <w:r w:rsidRPr="00C72626">
        <w:rPr>
          <w:noProof/>
          <w:szCs w:val="24"/>
        </w:rPr>
        <w:t>(Macías et al., 2014)</w:t>
      </w:r>
      <w:r w:rsidRPr="00C72626">
        <w:rPr>
          <w:szCs w:val="24"/>
        </w:rPr>
        <w:fldChar w:fldCharType="end"/>
      </w:r>
      <w:r w:rsidRPr="00C72626">
        <w:rPr>
          <w:szCs w:val="24"/>
        </w:rPr>
        <w:t xml:space="preserve">. </w:t>
      </w:r>
    </w:p>
    <w:p w14:paraId="67D1B1F1" w14:textId="77777777" w:rsidR="00D53E97" w:rsidRPr="00C72626" w:rsidRDefault="00D53E97" w:rsidP="00D53E97">
      <w:pPr>
        <w:autoSpaceDE w:val="0"/>
        <w:autoSpaceDN w:val="0"/>
        <w:adjustRightInd w:val="0"/>
        <w:spacing w:after="0"/>
        <w:rPr>
          <w:szCs w:val="24"/>
        </w:rPr>
      </w:pPr>
      <w:r w:rsidRPr="00C72626">
        <w:rPr>
          <w:szCs w:val="24"/>
        </w:rPr>
        <w:t xml:space="preserve">Values for river discharges were derived from the Global River Data Center (GRDC, Germany) database considering the largest (in flow) 53 rivers discharging into the Mediterranean basin. </w:t>
      </w:r>
    </w:p>
    <w:p w14:paraId="72A46727" w14:textId="2B8FDE67" w:rsidR="00D53E97" w:rsidRDefault="00D53E97" w:rsidP="00D53E97">
      <w:pPr>
        <w:pStyle w:val="Ttulo3"/>
        <w:numPr>
          <w:ilvl w:val="0"/>
          <w:numId w:val="0"/>
        </w:numPr>
        <w:rPr>
          <w:color w:val="00000A"/>
        </w:rPr>
      </w:pPr>
      <w:r>
        <w:rPr>
          <w:color w:val="FF0000"/>
        </w:rPr>
        <w:br/>
      </w:r>
      <w:r w:rsidR="00FB42CA">
        <w:t xml:space="preserve">(B) </w:t>
      </w:r>
      <w:r>
        <w:t>Biogeochemical component</w:t>
      </w:r>
    </w:p>
    <w:p w14:paraId="281645FF" w14:textId="77777777" w:rsidR="00D53E97" w:rsidRDefault="00D53E97" w:rsidP="005A5034">
      <w:pPr>
        <w:pStyle w:val="Ttulo4"/>
        <w:numPr>
          <w:ilvl w:val="0"/>
          <w:numId w:val="0"/>
        </w:numPr>
      </w:pPr>
      <w:r>
        <w:t>NEMO-BFM</w:t>
      </w:r>
    </w:p>
    <w:p w14:paraId="798800CE" w14:textId="248ABE2C" w:rsidR="00D53E97" w:rsidRPr="00C72626" w:rsidRDefault="00D53E97" w:rsidP="00D53E97">
      <w:pPr>
        <w:autoSpaceDE w:val="0"/>
        <w:autoSpaceDN w:val="0"/>
        <w:adjustRightInd w:val="0"/>
        <w:spacing w:after="0"/>
        <w:rPr>
          <w:noProof/>
          <w:szCs w:val="24"/>
        </w:rPr>
      </w:pPr>
      <w:r w:rsidRPr="00C72626">
        <w:rPr>
          <w:szCs w:val="24"/>
        </w:rPr>
        <w:t>The BGC component of this system is based on the Bi</w:t>
      </w:r>
      <w:r w:rsidR="00012AF9">
        <w:rPr>
          <w:szCs w:val="24"/>
        </w:rPr>
        <w:t>ogeochemical Fluxes Model (BFM,</w:t>
      </w:r>
      <w:r w:rsidR="00EE6BD0">
        <w:rPr>
          <w:szCs w:val="24"/>
        </w:rPr>
        <w:fldChar w:fldCharType="begin" w:fldLock="1"/>
      </w:r>
      <w:r w:rsidR="00EE6BD0">
        <w:rPr>
          <w:szCs w:val="24"/>
        </w:rPr>
        <w:instrText>ADDIN CSL_CITATION {"citationItems":[{"id":"ITEM-1","itemData":{"DOI":"10.1016/j.jmarsys.2006.03.006","ISSN":"09247963","author":[{"dropping-particle":"","family":"Vichi","given":"M","non-dropping-particle":"","parse-names":false,"suffix":""},{"dropping-particle":"","family":"Pinardi","given":"N","non-dropping-particle":"","parse-names":false,"suffix":""},{"dropping-particle":"","family":"Masina","given":"S","non-dropping-particle":"","parse-names":false,"suffix":""}],"container-title":"Journal of Marine Systems","id":"ITEM-1","issue":"1-4","issued":{"date-parts":[["2007","1"]]},"page":"89-109","title":"A generalized model of pelagic biogeochemistry for the global ocean ecosystem. Part I: Theory","type":"article-journal","volume":"64"},"uris":["http://www.mendeley.com/documents/?uuid=405dc4ed-ee24-47f8-acf1-7d3fbea4ac04"]}],"mendeley":{"formattedCitation":"(Vichi et al., 2007)","manualFormatting":"Vichi et al., 2007a)","plainTextFormattedCitation":"(Vichi et al., 2007)","previouslyFormattedCitation":"(Vichi et al., 2007a)"},"properties":{"noteIndex":0},"schema":"https://github.com/citation-style-language/schema/raw/master/csl-citation.json"}</w:instrText>
      </w:r>
      <w:r w:rsidR="00EE6BD0">
        <w:rPr>
          <w:szCs w:val="24"/>
        </w:rPr>
        <w:fldChar w:fldCharType="separate"/>
      </w:r>
      <w:r w:rsidR="00EE6BD0" w:rsidRPr="00EE6BD0">
        <w:rPr>
          <w:noProof/>
          <w:szCs w:val="24"/>
        </w:rPr>
        <w:t>Vichi et al., 2007a)</w:t>
      </w:r>
      <w:r w:rsidR="00EE6BD0">
        <w:rPr>
          <w:szCs w:val="24"/>
        </w:rPr>
        <w:fldChar w:fldCharType="end"/>
      </w:r>
      <w:r w:rsidR="00EE6BD0" w:rsidRPr="00C72626">
        <w:rPr>
          <w:szCs w:val="24"/>
        </w:rPr>
        <w:t xml:space="preserve"> </w:t>
      </w:r>
      <w:r w:rsidRPr="00C72626">
        <w:rPr>
          <w:szCs w:val="24"/>
        </w:rPr>
        <w:t>which in its current form, is a Plankton Functional Type model (PFT model) with a high level of complexity that aims to describe both “classical food chain” and “microbial food web” pathways of material and energy fluxes in the pelagic ecosystem. This model also takes into account co-</w:t>
      </w:r>
      <w:r w:rsidRPr="00C72626">
        <w:rPr>
          <w:szCs w:val="24"/>
        </w:rPr>
        <w:lastRenderedPageBreak/>
        <w:t xml:space="preserve">occurring effects of multinutrient interactions, simulating concurrently the cycle of carbon, nitrogen, phosphorus and silicon. Phytoplankton groups in this model are diatoms, flagellates, picophytoplankton and dinoflagellates. </w:t>
      </w:r>
    </w:p>
    <w:p w14:paraId="7193CF60" w14:textId="5A9F0B7F" w:rsidR="00D53E97" w:rsidRPr="00C72626" w:rsidRDefault="00354588" w:rsidP="00D53E97">
      <w:pPr>
        <w:autoSpaceDE w:val="0"/>
        <w:autoSpaceDN w:val="0"/>
        <w:adjustRightInd w:val="0"/>
        <w:spacing w:after="0"/>
        <w:rPr>
          <w:szCs w:val="24"/>
        </w:rPr>
      </w:pPr>
      <w:r>
        <w:rPr>
          <w:szCs w:val="24"/>
        </w:rPr>
        <w:t>Primary production</w:t>
      </w:r>
      <w:r w:rsidR="00D53E97" w:rsidRPr="00C72626">
        <w:rPr>
          <w:szCs w:val="24"/>
        </w:rPr>
        <w:t xml:space="preserve"> and the uptake of dissolved inorganic carbon is parameterized as a function of light, temperature and carbon to chlorophyll content. This parameterization decouples carbon assimilation and nutrient uptake as described in  </w:t>
      </w:r>
      <w:r w:rsidR="00D53E97" w:rsidRPr="00C72626">
        <w:rPr>
          <w:szCs w:val="24"/>
        </w:rPr>
        <w:fldChar w:fldCharType="begin" w:fldLock="1"/>
      </w:r>
      <w:r w:rsidR="00D53E97" w:rsidRPr="00C72626">
        <w:rPr>
          <w:szCs w:val="24"/>
        </w:rPr>
        <w:instrText>ADDIN CSL_CITATION {"citationItems":[{"id":"ITEM-1","itemData":{"DOI":"10.1016/S1385-1101(97)00052-X","ISBN":"1385-1101","ISSN":"13851101","abstract":"A description of the improvements in the microbial complex of the dynamical simulation model {ERSEM} is given and the results for a 130-box setup of the North Sea are discussed. The improvements affecting the microbial food web are the decoupling of the carbon assimilation from the nutrient uptake dynamics in the phytoplankton groups and the incorporation of nutrient uptake dynamics in the bacterioplankton. Simulation results of {ERSEM} {II} are presented and discussed in comparison with those of {ERSEM} I and validation data. Based on model results and emergent properties of the system it was possible to conclude that {ERSEM} {II} is able to model the full range of food webs from a system dominated by the microbial loop in the relatively oligotrophic offshore areas to a system dominated by the omnivorous food web in the eutrophic continental coastal area. (C) 1997 Elsevier Science {B.V.} All rights reserved.","author":[{"dropping-particle":"","family":"Baretta-Bekker","given":"J G","non-dropping-particle":"","parse-names":false,"suffix":""},{"dropping-particle":"","family":"Baretta","given":"J W","non-dropping-particle":"","parse-names":false,"suffix":""},{"dropping-particle":"","family":"Ebenhoh","given":"W","non-dropping-particle":"","parse-names":false,"suffix":""}],"container-title":"Journal of Sea Research","id":"ITEM-1","issue":"3-4","issued":{"date-parts":[["1997"]]},"page":"195-211","title":"Microbial dynamics in the marine ecosystem model {ERSEM} {II} with decoupled carbon assimilation and nutrient uptake","type":"article-journal","volume":"38"},"uris":["http://www.mendeley.com/documents/?uuid=9e251e45-c1eb-46d6-ab9e-d36ffbe949b9"]}],"mendeley":{"formattedCitation":"(Baretta-Bekker et al., 1997)","manualFormatting":"Baretta-Bekker et al. (1997)","plainTextFormattedCitation":"(Baretta-Bekker et al., 1997)","previouslyFormattedCitation":"(Baretta-Bekker et al., 1997)"},"properties":{"noteIndex":0},"schema":"https://github.com/citation-style-language/schema/raw/master/csl-citation.json"}</w:instrText>
      </w:r>
      <w:r w:rsidR="00D53E97" w:rsidRPr="00C72626">
        <w:rPr>
          <w:szCs w:val="24"/>
        </w:rPr>
        <w:fldChar w:fldCharType="separate"/>
      </w:r>
      <w:bookmarkStart w:id="6" w:name="__Fieldmark__643_415638846"/>
      <w:r w:rsidR="00D53E97" w:rsidRPr="00C72626">
        <w:rPr>
          <w:noProof/>
          <w:szCs w:val="24"/>
        </w:rPr>
        <w:t>B</w:t>
      </w:r>
      <w:bookmarkStart w:id="7" w:name="__Fieldmark__1119_1364531424"/>
      <w:r w:rsidR="00D53E97" w:rsidRPr="00C72626">
        <w:rPr>
          <w:noProof/>
          <w:szCs w:val="24"/>
        </w:rPr>
        <w:t>aretta-Bekker et al. (1997)</w:t>
      </w:r>
      <w:r w:rsidR="00D53E97" w:rsidRPr="00C72626">
        <w:rPr>
          <w:szCs w:val="24"/>
        </w:rPr>
        <w:fldChar w:fldCharType="end"/>
      </w:r>
      <w:bookmarkEnd w:id="6"/>
      <w:bookmarkEnd w:id="7"/>
      <w:r w:rsidR="00D53E97" w:rsidRPr="00C72626">
        <w:rPr>
          <w:szCs w:val="24"/>
        </w:rPr>
        <w:t xml:space="preserve">. Nutrient uptake depends on the external nutrient concentrations following a Michaelis-Menten kinetic and on the level of the intracellular nutrient storage or quota, following the Droop kinetic. This model uses a multi-nutrient limitation rule and follows the Liebig law, taking into account both nitrogen and phosphorous, and also silicon for diatoms. Carbon:chlorophyll a ratio is variable and defined as a complex function taking into account the acclimation of phytoplankton cells to light conditions and nutrient availability </w:t>
      </w:r>
      <w:r w:rsidR="00D53E97" w:rsidRPr="00C72626">
        <w:rPr>
          <w:szCs w:val="24"/>
        </w:rPr>
        <w:fldChar w:fldCharType="begin" w:fldLock="1"/>
      </w:r>
      <w:r w:rsidR="00D53E97">
        <w:rPr>
          <w:szCs w:val="24"/>
        </w:rPr>
        <w:instrText>ADDIN CSL_CITATION {"citationItems":[{"id":"ITEM-1","itemData":{"author":[{"dropping-particle":"","family":"Geider","given":"Richard J","non-dropping-particle":"","parse-names":false,"suffix":""},{"dropping-particle":"","family":"Maclntyre","given":"Hugh L","non-dropping-particle":"","parse-names":false,"suffix":""},{"dropping-particle":"","family":"Kana","given":"Todd M","non-dropping-particle":"","parse-names":false,"suffix":""}],"container-title":"Limnology and Oceanography","id":"ITEM-1","issue":"4","issued":{"date-parts":[["1998"]]},"page":"679-694","title":"A dynamic regulatory model of phytoplanktonic temperature acclimation to light , nutrients and temperature","type":"article-journal","volume":"43"},"uris":["http://www.mendeley.com/documents/?uuid=da12041b-a2df-44d4-b217-15d0861dd6c2"]},{"id":"ITEM-2","itemData":{"DOI":"10.1016/S0079-6611(03)00006-5","ISSN":"00796611","author":[{"dropping-particle":"","family":"Flynn","given":"Kevin J","non-dropping-particle":"","parse-names":false,"suffix":""}],"container-title":"Progress In Oceanography","id":"ITEM-2","issue":"2","issued":{"date-parts":[["2003","2"]]},"page":"249-279","title":"Modelling multi-nutrient interactions in phytoplankton; balancing simplicity and realism","type":"article-journal","volume":"56"},"uris":["http://www.mendeley.com/documents/?uuid=5446c4f3-3afe-4031-9706-b804d18f4e3c"]}],"mendeley":{"formattedCitation":"(Geider et al., 1998; Flynn, 2003)","plainTextFormattedCitation":"(Geider et al., 1998; Flynn, 2003)","previouslyFormattedCitation":"(Geider et al., 1998; Flynn, 2003)"},"properties":{"noteIndex":0},"schema":"https://github.com/citation-style-language/schema/raw/master/csl-citation.json"}</w:instrText>
      </w:r>
      <w:r w:rsidR="00D53E97" w:rsidRPr="00C72626">
        <w:rPr>
          <w:szCs w:val="24"/>
        </w:rPr>
        <w:fldChar w:fldCharType="separate"/>
      </w:r>
      <w:r w:rsidR="00D53E97" w:rsidRPr="00C72626">
        <w:rPr>
          <w:noProof/>
          <w:szCs w:val="24"/>
        </w:rPr>
        <w:t>(Geider et al., 1998; Flynn, 2003)</w:t>
      </w:r>
      <w:r w:rsidR="00D53E97" w:rsidRPr="00C72626">
        <w:rPr>
          <w:szCs w:val="24"/>
        </w:rPr>
        <w:fldChar w:fldCharType="end"/>
      </w:r>
      <w:r w:rsidR="00D53E97" w:rsidRPr="00C72626">
        <w:rPr>
          <w:szCs w:val="24"/>
        </w:rPr>
        <w:t xml:space="preserve">. This model could simulate a variable stoichiometric formulation of the cell, showing how the ratio of the internal N and P quota could adapt to different limiting conditions, oscillating from half to twice of the carbon:nutrient ratio defined by Redfield </w:t>
      </w:r>
      <w:r w:rsidR="00EE6BD0">
        <w:rPr>
          <w:szCs w:val="24"/>
        </w:rPr>
        <w:fldChar w:fldCharType="begin" w:fldLock="1"/>
      </w:r>
      <w:r w:rsidR="00EE6BD0">
        <w:rPr>
          <w:szCs w:val="24"/>
        </w:rPr>
        <w:instrText>ADDIN CSL_CITATION {"citationItems":[{"id":"ITEM-1","itemData":{"DOI":"10.1016/j.jmarsys.2006.03.006","ISSN":"09247963","author":[{"dropping-particle":"","family":"Vichi","given":"M","non-dropping-particle":"","parse-names":false,"suffix":""},{"dropping-particle":"","family":"Pinardi","given":"N","non-dropping-particle":"","parse-names":false,"suffix":""},{"dropping-particle":"","family":"Masina","given":"S","non-dropping-particle":"","parse-names":false,"suffix":""}],"container-title":"Journal of Marine Systems","id":"ITEM-1","issue":"1-4","issued":{"date-parts":[["2007","1"]]},"page":"89-109","title":"A generalized model of pelagic biogeochemistry for the global ocean ecosystem. Part I: Theory","type":"article-journal","volume":"64"},"uris":["http://www.mendeley.com/documents/?uuid=405dc4ed-ee24-47f8-acf1-7d3fbea4ac04"]},{"id":"ITEM-2","itemData":{"DOI":"10.1016/j.dsr.2015.12.006","ISBN":"0967-0637","ISSN":"09670637","abstract":"We present an analysis of the spatial distributions and seasonal dynamics of phosphate and nitrate in the Mediterranean Sea. The analysis involves observations under present conditions and relies on statistical analysis of the output of a state-of-the-art corroborated numerical model. Model results are corroborated with available data from cruises and fixed monitoring stations. The results capture and quantitatively detail the main spatial patterns observed in the Mediterranean Sea, with an east-west gradient in the surface layer for phosphate and a north-south gradient for nitrate. The model results highlight that plankton growth in Mediterranean waters is usually nutrient limited and that such limitation is less frequent in the western sub-basin and is usually due to a lack of phosphate, rather than nitrate, with the exception of the areas close to the Atlantic Ocean, where nitrogen limitation is important. The model simulation illustrates the benefit of a variable stoichiometric formulation of the phytoplankton cell, showing how the ratio of the internal N:P quota adapts to different limiting conditions.","author":[{"dropping-particle":"","family":"Lazzari","given":"P.","non-dropping-particle":"","parse-names":false,"suffix":""},{"dropping-particle":"","family":"Solidoro","given":"C.","non-dropping-particle":"","parse-names":false,"suffix":""},{"dropping-particle":"","family":"Salon","given":"S.","non-dropping-particle":"","parse-names":false,"suffix":""},{"dropping-particle":"","family":"Bolzon","given":"G.","non-dropping-particle":"","parse-names":false,"suffix":""}],"container-title":"Deep-Sea Research Part I: Oceanographic Research Papers","id":"ITEM-2","issued":{"date-parts":[["2016"]]},"page":"39-52","publisher":"Elsevier","title":"Spatial variability of phosphate and nitrate in the Mediterranean Sea: A modeling approach","type":"article-journal","volume":"108"},"uris":["http://www.mendeley.com/documents/?uuid=7d660433-57c3-4f75-a5b5-a19b3e9c2d0a"]}],"mendeley":{"formattedCitation":"(Vichi et al., 2007; Lazzari et al., 2016)","plainTextFormattedCitation":"(Vichi et al., 2007; Lazzari et al., 2016)","previouslyFormattedCitation":"(Vichi et al., 2007a; Lazzari et al., 2016)"},"properties":{"noteIndex":0},"schema":"https://github.com/citation-style-language/schema/raw/master/csl-citation.json"}</w:instrText>
      </w:r>
      <w:r w:rsidR="00EE6BD0">
        <w:rPr>
          <w:szCs w:val="24"/>
        </w:rPr>
        <w:fldChar w:fldCharType="separate"/>
      </w:r>
      <w:r w:rsidR="00EE6BD0" w:rsidRPr="00EE6BD0">
        <w:rPr>
          <w:noProof/>
          <w:szCs w:val="24"/>
        </w:rPr>
        <w:t>(Vichi et al., 2007; Lazzari et al., 2016)</w:t>
      </w:r>
      <w:r w:rsidR="00EE6BD0">
        <w:rPr>
          <w:szCs w:val="24"/>
        </w:rPr>
        <w:fldChar w:fldCharType="end"/>
      </w:r>
    </w:p>
    <w:p w14:paraId="4E878F7C" w14:textId="001401AA" w:rsidR="00D53E97" w:rsidRPr="00C72626" w:rsidRDefault="00D53E97" w:rsidP="00D53E97">
      <w:pPr>
        <w:autoSpaceDE w:val="0"/>
        <w:autoSpaceDN w:val="0"/>
        <w:adjustRightInd w:val="0"/>
        <w:spacing w:after="0"/>
        <w:rPr>
          <w:szCs w:val="24"/>
        </w:rPr>
      </w:pPr>
      <w:r w:rsidRPr="00C72626">
        <w:rPr>
          <w:szCs w:val="24"/>
        </w:rPr>
        <w:t xml:space="preserve">The specific simulation used in this study has been obtained from the CMEMS database </w:t>
      </w:r>
      <w:r w:rsidRPr="00C72626">
        <w:rPr>
          <w:szCs w:val="24"/>
        </w:rPr>
        <w:fldChar w:fldCharType="begin" w:fldLock="1"/>
      </w:r>
      <w:r w:rsidRPr="00C72626">
        <w:rPr>
          <w:szCs w:val="24"/>
        </w:rPr>
        <w:instrText>ADDIN CSL_CITATION {"citationItems":[{"id":"ITEM-1","itemData":{"DOI":"https://doi.org/10.25423","author":[{"dropping-particle":"","family":"Teruzzi","given":"A.","non-dropping-particle":"","parse-names":false,"suffix":""},{"dropping-particle":"","family":"Cossarini","given":"G.","non-dropping-particle":"","parse-names":false,"suffix":""},{"dropping-particle":"","family":"Lazzari","given":"P.","non-dropping-particle":"","parse-names":false,"suffix":""},{"dropping-particle":"","family":"Salon","given":"S.","non-dropping-particle":"","parse-names":false,"suffix":""},{"dropping-particle":"","family":"Bolzon","given":"G.","non-dropping-particle":"","parse-names":false,"suffix":""},{"dropping-particle":"","family":"Crise","given":"A.","non-dropping-particle":"","parse-names":false,"suffix":""},{"dropping-particle":"","family":"Solidoro","given":"C.","non-dropping-particle":"","parse-names":false,"suffix":""}],"container-title":"Copernicus Monitoring Environment Marine Service","id":"ITEM-1","issued":{"date-parts":[["2016"]]},"title":"Mediterranean Sea biogeochemical reanalysis (CMEMS MED REA-Biogeochemistry 1999-2015)","type":"article-journal"},"uris":["http://www.mendeley.com/documents/?uuid=593d4189-73f9-47e6-8f0f-d94e7dd61ca5"]}],"mendeley":{"formattedCitation":"(Teruzzi et al., 2016)","manualFormatting":"(Teruzzi et al., 2016","plainTextFormattedCitation":"(Teruzzi et al., 2016)","previouslyFormattedCitation":"(Teruzzi et al., 2016)"},"properties":{"noteIndex":0},"schema":"https://github.com/citation-style-language/schema/raw/master/csl-citation.json"}</w:instrText>
      </w:r>
      <w:r w:rsidRPr="00C72626">
        <w:rPr>
          <w:szCs w:val="24"/>
        </w:rPr>
        <w:fldChar w:fldCharType="separate"/>
      </w:r>
      <w:r w:rsidRPr="00C72626">
        <w:rPr>
          <w:noProof/>
          <w:szCs w:val="24"/>
        </w:rPr>
        <w:t>(Teruzzi et al., 2016</w:t>
      </w:r>
      <w:r w:rsidRPr="00C72626">
        <w:rPr>
          <w:szCs w:val="24"/>
        </w:rPr>
        <w:fldChar w:fldCharType="end"/>
      </w:r>
      <w:r w:rsidRPr="00C72626">
        <w:rPr>
          <w:szCs w:val="24"/>
        </w:rPr>
        <w:t>)</w:t>
      </w:r>
      <w:r w:rsidRPr="001D02CA">
        <w:rPr>
          <w:rStyle w:val="Refdenotaalpie"/>
        </w:rPr>
        <w:footnoteReference w:id="7"/>
      </w:r>
      <w:r w:rsidRPr="00C72626">
        <w:rPr>
          <w:szCs w:val="24"/>
        </w:rPr>
        <w:t xml:space="preserve">. Initial conditions for this simulation are obtained from a retrospective reanalysis performed during the MFSTEP project using the MEDAR/ MEDATLAS 2002 dataset </w:t>
      </w:r>
      <w:r w:rsidRPr="00C72626">
        <w:rPr>
          <w:szCs w:val="24"/>
        </w:rPr>
        <w:fldChar w:fldCharType="begin" w:fldLock="1"/>
      </w:r>
      <w:r w:rsidRPr="00C72626">
        <w:rPr>
          <w:szCs w:val="24"/>
        </w:rPr>
        <w:instrText>ADDIN CSL_CITATION {"citationItems":[{"id":"ITEM-1","itemData":{"author":[{"dropping-particle":"","family":"Crise","given":"A.","non-dropping-particle":"","parse-names":false,"suffix":""},{"dropping-particle":"","family":"Solidoro","given":"C.","non-dropping-particle":"","parse-names":false,"suffix":""},{"dropping-particle":"","family":"Tomini","given":"I.","non-dropping-particle":"","parse-names":false,"suffix":""}],"id":"ITEM-1","issued":{"date-parts":[["2003"]]},"number-of-pages":"p. 11310","title":"Preparation of Initial Conditions for the Coupled Model OGCM and Initial Parameters Setting","type":"report"},"uris":["http://www.mendeley.com/documents/?uuid=d2df5c09-f032-4c23-8c16-7521df79bb4e"]}],"mendeley":{"formattedCitation":"(Crise et al., 2003)","plainTextFormattedCitation":"(Crise et al., 2003)","previouslyFormattedCitation":"(Crise et al., 2003)"},"properties":{"noteIndex":0},"schema":"https://github.com/citation-style-language/schema/raw/master/csl-citation.json"}</w:instrText>
      </w:r>
      <w:r w:rsidRPr="00C72626">
        <w:rPr>
          <w:szCs w:val="24"/>
        </w:rPr>
        <w:fldChar w:fldCharType="separate"/>
      </w:r>
      <w:r w:rsidRPr="00C72626">
        <w:rPr>
          <w:noProof/>
          <w:szCs w:val="24"/>
        </w:rPr>
        <w:t>(Crise et al., 2003)</w:t>
      </w:r>
      <w:r w:rsidRPr="00C72626">
        <w:rPr>
          <w:szCs w:val="24"/>
        </w:rPr>
        <w:fldChar w:fldCharType="end"/>
      </w:r>
      <w:r w:rsidRPr="00C72626">
        <w:rPr>
          <w:szCs w:val="24"/>
        </w:rPr>
        <w:t xml:space="preserve">. At the western open lateral boundary condition, seasonal profiles of phosphate, nitrate, silicate, dissolved oxygen are derived from climatological MEDAR-MEDATLAS data measured outside Strait of Gibraltar. The nutrient riverine discharge rates were described on a monthly scale for the major rivers (Rhone and Ebro here) from direct observations </w:t>
      </w:r>
      <w:r w:rsidRPr="00C72626">
        <w:rPr>
          <w:szCs w:val="24"/>
        </w:rPr>
        <w:fldChar w:fldCharType="begin" w:fldLock="1"/>
      </w:r>
      <w:r w:rsidRPr="00C72626">
        <w:rPr>
          <w:szCs w:val="24"/>
        </w:rPr>
        <w:instrText>ADDIN CSL_CITATION {"citationItems":[{"id":"ITEM-1","itemData":{"DOI":"10.1016/j.pocean.2009.02.001","ISBN":"0079-6611","ISSN":"00796611","abstract":"Rivers are important sources of freshwater and nutrients for the Mediterranean and Black Sea. We present a reconstruction of the spatial and temporal variability of these inputs since the early 1960s, based on a review of available data on water discharge, nutrient concentrations and climatic parameters. Our compilation indicates that Mediterranean rivers suffer from a significant reduction in freshwater discharge, contrary to rivers of the Black Sea, which do not have clear discharge trends. We estimate this reduction to be at least about 20% between 1960 and 2000. It mainly reflects recent climate change, and dam construction may have reduced discharge even further. A similar decrease can also be expected for the fluxes of dissolved silica (Si), strongly controlled by water discharge and potentially reduced by river damming as well. This contrasts with the fluxes of nitrogen (N) and phosphorus (P) in Mediterranean and Black Sea rivers, which were strongly enhanced by anthropogenic sources. Their total inputs to the Mediterranean Sea could have increased by a factor of &gt;5. While N still remained at elevated levels in 2000, P only increased up to the 1980-1990s, and then rapidly dropped down to about the initial values of the 1960s. With respect to the marine primary production that can be supported by the riverine nutrient inputs, Mediterranean and the Black Sea rivers were mostly phosphorus limited during the study period. Their anthropogenic nutrient enrichment could only have had a fertilizing effect before the general decline of the P loads. When also considering Si as a limiting element, which is the case for siliceous primary producers such as diatoms, silica limitation may have become a widespread phenomenon in the Mediterranean rivers since the early 1980s. For the Black Sea rivers, this already started the late 1960s. Gross primary production sustained by rivers (PPR) represents only less than 2% of the gross production (PP) in the Mediterranean, and less than 5% in the Black Sea. Possible ecological impacts of the changing river inputs should therefore be visible only in productive coastal areas, such as the Gulf of Lions, where PPR can reach more than two thirds of PP. Reported ecosystem changes both in the Adriatic Sea and the Black Sea are concomitant with major changes in the reconstructed river inputs. Further work combining modelling and data collection is needed to test whether this may also have been the case for coastal ecosystems at…","author":[{"dropping-particle":"","family":"Ludwig","given":"Wolfgang","non-dropping-particle":"","parse-names":false,"suffix":""},{"dropping-particle":"","family":"Dumont","given":"Egon","non-dropping-particle":"","parse-names":false,"suffix":""},{"dropping-particle":"","family":"Meybeck","given":"Michel","non-dropping-particle":"","parse-names":false,"suffix":""},{"dropping-particle":"","family":"Heussner","given":"Serge","non-dropping-particle":"","parse-names":false,"suffix":""}],"container-title":"Progress in Oceanography","id":"ITEM-1","issue":"3-4","issued":{"date-parts":[["2009"]]},"page":"199-217","publisher":"Elsevier Ltd","title":"River discharges of water and nutrients to the Mediterranean and Black Sea: Major drivers for ecosystem changes during past and future decades?","type":"article","volume":"80"},"uris":["http://www.mendeley.com/documents/?uuid=82357dbb-bf67-4bdc-90f8-0796da06e9e6"]}],"mendeley":{"formattedCitation":"(Ludwig et al., 2009)","plainTextFormattedCitation":"(Ludwig et al., 2009)","previouslyFormattedCitation":"(Ludwig et al., 2009)"},"properties":{"noteIndex":0},"schema":"https://github.com/citation-style-language/schema/raw/master/csl-citation.json"}</w:instrText>
      </w:r>
      <w:r w:rsidRPr="00C72626">
        <w:rPr>
          <w:szCs w:val="24"/>
        </w:rPr>
        <w:fldChar w:fldCharType="separate"/>
      </w:r>
      <w:r w:rsidRPr="00C72626">
        <w:rPr>
          <w:noProof/>
          <w:szCs w:val="24"/>
        </w:rPr>
        <w:t>(Ludwig et al., 2009)</w:t>
      </w:r>
      <w:r w:rsidRPr="00C72626">
        <w:rPr>
          <w:szCs w:val="24"/>
        </w:rPr>
        <w:fldChar w:fldCharType="end"/>
      </w:r>
      <w:r w:rsidRPr="00C72626">
        <w:rPr>
          <w:szCs w:val="24"/>
        </w:rPr>
        <w:t>. All other inputs were considered as constant throughout the year due to the lack of data. Atmospheric deposition was set constant in time during the year, using a unique value for the western basin (580 Kt Nyr</w:t>
      </w:r>
      <w:r w:rsidRPr="00B72ACC">
        <w:rPr>
          <w:szCs w:val="24"/>
          <w:vertAlign w:val="superscript"/>
        </w:rPr>
        <w:t>−1</w:t>
      </w:r>
      <w:r w:rsidRPr="00C72626">
        <w:rPr>
          <w:szCs w:val="24"/>
        </w:rPr>
        <w:t>)</w:t>
      </w:r>
      <w:r w:rsidRPr="00C72626">
        <w:rPr>
          <w:szCs w:val="24"/>
        </w:rPr>
        <w:fldChar w:fldCharType="begin" w:fldLock="1"/>
      </w:r>
      <w:r>
        <w:rPr>
          <w:szCs w:val="24"/>
        </w:rPr>
        <w:instrText>ADDIN CSL_CITATION {"citationItems":[{"id":"ITEM-1","itemData":{"DOI":"10.1029/2002JC001650","ISBN":"0148-0227","ISSN":"0148-0227","abstract":"[1] The Mediterranean is a marginal sea displaying a peculiar biogeochemistry (enhanced deep respiration, non Redfieldian nutrient ratios, etc.). Here we discuss the different processes that may contribute to the observed peculiarities, inferred from the analysis of the nutrient data generated mostly during the last decade. Both nitrate to orthophosphate (N:P) and orthosilicate to nitrate (Si:N) ratios display a decreasing east-west gradient (N:P &gt; 25 and Si:N &gt; 1.3 in the eastern Mediterranean, and N:P similar to 20 and Si:N less than or equal to 1.0 in the western Mediterranean). The analysis of the transports at the two main straits (Gibraltar and Sicily) shows that the eastern Mediterranean is likely the site where the biological pump is non Redfieldian, whereas the Si:N &gt; 1.3 in the eastern nutrient deep pool unexpectedly highlights an important role of the diatoms in the vertical export of matter. A quantitative analysis of the nutrient inputs and distributions suggests that the newly formed dense waters and the turbulent mixing transport a significant load of preformed organic and inorganic nitrogen from the surface, with the Levantine Intermediate Water being by far the most important player because of higher fraction of surface water in its mixture. Nutrient ratios and fluxes also suggests that nitrogen fixation, probably carried out by symbionts hosted by diatoms is taking place. The latter are relatively less important in the western than in the eastern basin. Those features may change in the next future if climate change or anthropogenic forcing alter the elemental fluxes at the boundaries.","author":[{"dropping-particle":"","family":"Ribera d'Alcalà","given":"M.","non-dropping-particle":"","parse-names":false,"suffix":""}],"container-title":"Journal of Geophysical Research","id":"ITEM-1","issue":"C9","issued":{"date-parts":[["2003"]]},"page":"8106","title":"Nutrient ratios and fluxes hint at overlooked processes in the Mediterranean Sea","type":"article-journal","volume":"108"},"uris":["http://www.mendeley.com/documents/?uuid=788bbaca-9539-4315-8274-b598abc8d999"]}],"mendeley":{"formattedCitation":"(Ribera d’Alcalà, 2003)","plainTextFormattedCitation":"(Ribera d’Alcalà, 2003)","previouslyFormattedCitation":"(Ribera d’Alcalà, 2003)"},"properties":{"noteIndex":0},"schema":"https://github.com/citation-style-language/schema/raw/master/csl-citation.json"}</w:instrText>
      </w:r>
      <w:r w:rsidRPr="00C72626">
        <w:rPr>
          <w:szCs w:val="24"/>
        </w:rPr>
        <w:fldChar w:fldCharType="separate"/>
      </w:r>
      <w:r w:rsidRPr="00C72626">
        <w:rPr>
          <w:noProof/>
          <w:szCs w:val="24"/>
        </w:rPr>
        <w:t>(Ribera d’Alcalà, 2003)</w:t>
      </w:r>
      <w:r w:rsidRPr="00C72626">
        <w:rPr>
          <w:szCs w:val="24"/>
        </w:rPr>
        <w:fldChar w:fldCharType="end"/>
      </w:r>
      <w:r w:rsidRPr="00C72626">
        <w:rPr>
          <w:szCs w:val="24"/>
        </w:rPr>
        <w:t>.</w:t>
      </w:r>
    </w:p>
    <w:p w14:paraId="41985A65" w14:textId="77777777" w:rsidR="00D53E97" w:rsidRDefault="00D53E97" w:rsidP="00D53E97">
      <w:pPr>
        <w:autoSpaceDE w:val="0"/>
        <w:autoSpaceDN w:val="0"/>
        <w:adjustRightInd w:val="0"/>
        <w:spacing w:after="0"/>
        <w:rPr>
          <w:szCs w:val="24"/>
        </w:rPr>
      </w:pPr>
      <w:r w:rsidRPr="00C72626">
        <w:rPr>
          <w:szCs w:val="24"/>
        </w:rPr>
        <w:t xml:space="preserve">In this simulation, the model includes a 3DVAR data assimilation scheme to assimilate 7-day surface chlorophyll a and to correct phytoplankton groups (see </w:t>
      </w:r>
      <w:r w:rsidRPr="00C72626">
        <w:rPr>
          <w:szCs w:val="24"/>
        </w:rPr>
        <w:fldChar w:fldCharType="begin" w:fldLock="1"/>
      </w:r>
      <w:r w:rsidRPr="00C72626">
        <w:rPr>
          <w:szCs w:val="24"/>
        </w:rPr>
        <w:instrText>ADDIN CSL_CITATION {"citationItems":[{"id":"ITEM-1","itemData":{"DOI":"10.1002/2013JC009277","ISBN":"21699275","ISSN":"21699291","PMID":"26213670","abstract":"Increasing attention is dedicated to the implementation of suitable marine forecast systems for the estimate of the state of the ocean. Within the framework of the European MyOcean infrastructure, the pre-existing short-term Mediterranean Sea biogeochemistry operational forecast system has been upgraded by assimilating remotely sensed ocean color data in the coupled transport-biogeochemical model OPATM-BFM using a 3-D variational data assimilation (3D-VAR) procedure. In the present work, the 3D-VAR scheme is used to correct the four phytoplankton functional groups included in the OPATM-BFM in the period July 2007 to September 2008. The 3D-VAR scheme decomposes the error covariance matrix using a sequence of different operators that account separately for vertical covariance, horizontal covariance, and covariance among biogeochemical variables. The assimilation solution is found in a reduced dimensional space, and the innovation for the biogeochemical variables is obtained by the sequential application of the covariance operators. Results show a general improvement in the forecast skill, providing a correction of the basin-scale bias of surface chlorophyll concentration and of the local-scale spatial and temporal dynamics of typical bloom events. Further, analysis of the assimilation skill provides insights into the functioning of the model. The computational costs of the assimilation scheme adopted are low compared to other assimilation techniques, and its modular structure facilitates further developments. The 3D-VAR scheme results especially suitable for implementation within a biogeochemistry operational forecast system.","author":[{"dropping-particle":"","family":"Teruzzi","given":"Anna","non-dropping-particle":"","parse-names":false,"suffix":""},{"dropping-particle":"","family":"Dobricic","given":"Srdjan","non-dropping-particle":"","parse-names":false,"suffix":""},{"dropping-particle":"","family":"Solidoro","given":"Cosimo","non-dropping-particle":"","parse-names":false,"suffix":""},{"dropping-particle":"","family":"Cossarini","given":"Gianpiero","non-dropping-particle":"","parse-names":false,"suffix":""}],"container-title":"Journal of Geophysical Research: Oceans","id":"ITEM-1","issue":"1","issued":{"date-parts":[["2014"]]},"page":"200-217","title":"A 3-D variational assimilation scheme in coupled transport-biogeochemical models: Forecast of Mediterranean biogeochemical properties","type":"article-journal","volume":"119"},"uris":["http://www.mendeley.com/documents/?uuid=d045ac53-234e-4b38-8204-1a724522861d"]}],"mendeley":{"formattedCitation":"(Teruzzi et al., 2014)","manualFormatting":"Teruzzi et al., 2014, for further details)","plainTextFormattedCitation":"(Teruzzi et al., 2014)","previouslyFormattedCitation":"(Teruzzi et al., 2014)"},"properties":{"noteIndex":0},"schema":"https://github.com/citation-style-language/schema/raw/master/csl-citation.json"}</w:instrText>
      </w:r>
      <w:r w:rsidRPr="00C72626">
        <w:rPr>
          <w:szCs w:val="24"/>
        </w:rPr>
        <w:fldChar w:fldCharType="separate"/>
      </w:r>
      <w:bookmarkStart w:id="8" w:name="__Fieldmark__676_415638846"/>
      <w:r w:rsidRPr="00C72626">
        <w:rPr>
          <w:noProof/>
          <w:szCs w:val="24"/>
        </w:rPr>
        <w:t>T</w:t>
      </w:r>
      <w:bookmarkStart w:id="9" w:name="__Fieldmark__1225_1364531424"/>
      <w:r w:rsidRPr="00C72626">
        <w:rPr>
          <w:noProof/>
          <w:szCs w:val="24"/>
        </w:rPr>
        <w:t>eruzzi et al., 2014, for further details)</w:t>
      </w:r>
      <w:r w:rsidRPr="00C72626">
        <w:rPr>
          <w:szCs w:val="24"/>
        </w:rPr>
        <w:fldChar w:fldCharType="end"/>
      </w:r>
      <w:bookmarkEnd w:id="8"/>
      <w:bookmarkEnd w:id="9"/>
      <w:r w:rsidRPr="00C72626">
        <w:rPr>
          <w:szCs w:val="24"/>
        </w:rPr>
        <w:t>. The assimilation implies 3D multivariate corrections based on the covariance among biogeochemical variables. This operator maintains the ratio among the phytoplankton groups and preserves the physiological status of the phytoplankton cells.</w:t>
      </w:r>
    </w:p>
    <w:p w14:paraId="0CD0A013" w14:textId="77777777" w:rsidR="00D53E97" w:rsidRPr="002B570A" w:rsidRDefault="00D53E97" w:rsidP="00D53E97">
      <w:pPr>
        <w:autoSpaceDE w:val="0"/>
        <w:autoSpaceDN w:val="0"/>
        <w:adjustRightInd w:val="0"/>
        <w:spacing w:after="0"/>
        <w:rPr>
          <w:szCs w:val="24"/>
        </w:rPr>
      </w:pPr>
    </w:p>
    <w:p w14:paraId="3A99A20A" w14:textId="77777777" w:rsidR="00D53E97" w:rsidRDefault="00D53E97" w:rsidP="005A5034">
      <w:pPr>
        <w:pStyle w:val="Ttulo4"/>
        <w:numPr>
          <w:ilvl w:val="0"/>
          <w:numId w:val="0"/>
        </w:numPr>
        <w:ind w:left="567" w:hanging="567"/>
      </w:pPr>
      <w:r>
        <w:t>NEMO-PISCES</w:t>
      </w:r>
    </w:p>
    <w:p w14:paraId="32EA28C2" w14:textId="77777777" w:rsidR="00D53E97" w:rsidRPr="000008F8" w:rsidRDefault="00D53E97" w:rsidP="00D53E97">
      <w:pPr>
        <w:rPr>
          <w:szCs w:val="24"/>
        </w:rPr>
      </w:pPr>
      <w:r w:rsidRPr="000008F8">
        <w:rPr>
          <w:szCs w:val="24"/>
        </w:rPr>
        <w:t xml:space="preserve">In this system, the BGC component is based on the PISCES (Pelagic Interactions Scheme for Carbon and Ecosystem Studies, </w:t>
      </w:r>
      <w:r w:rsidRPr="000008F8">
        <w:rPr>
          <w:szCs w:val="24"/>
        </w:rPr>
        <w:fldChar w:fldCharType="begin" w:fldLock="1"/>
      </w:r>
      <w:r w:rsidRPr="000008F8">
        <w:rPr>
          <w:szCs w:val="24"/>
        </w:rPr>
        <w:instrText>ADDIN CSL_CITATION {"citationItems":[{"id":"ITEM-1","itemData":{"DOI":"10.5194/gmd-8-2465-2015","ISBN":"1991-959X","ISSN":"19919603","abstract":"PISCES-v2 is a biogeochemical model which simulates the lower trophic levels of marine ecosystem (phytoplankton, microzooplankton and mesozooplankton) and the biogeochemical cycles of carbon and of the main nutrients (P, N, Fe, and Si). The model is intended to be used for both regional and global configurations at high or low spatial resolutions as well as for short-term (seasonal, interannual) and long-term (climate change, paleoceanography) analyses. There are twenty-four prognostic variables (tracers) including two phytoplankton compartments (diatoms and nanophytoplankton), two zooplankton size-classes (microzooplankton and mesozooplankton) and a description of the carbonate chemistry. Formulations in PISCES-v2 are based on a mixed Monod–Quota formalism: on one hand, stoichiometry of C/N/P is fixed and growth rate of phytoplankton is limited by the external availability in N, P and Si. On the other hand, the iron and silicium quotas are variable and growth rate of phytoplankton is limited by the internal availability in Fe. Various parameterizations can be activated in PISCES-v2, setting for instance the complexity of iron chemistry or the description of particulate organic materials. So far, PISCES-v2 has been coupled to the NEMO and ROMS systems. A full description of PISCES-v2 and of its optional functionalities is provided here. The results of a quasi-steady state simulation are presented and evaluated against diverse observational and satellite-derived data. Finally, some of the new functionalities of PISCES-v2 are tested in a series of sensitivity experiments.","author":[{"dropping-particle":"","family":"Aumont","given":"O","non-dropping-particle":"","parse-names":false,"suffix":""},{"dropping-particle":"","family":"Ethé","given":"C.","non-dropping-particle":"","parse-names":false,"suffix":""},{"dropping-particle":"","family":"Tagliabue","given":"A","non-dropping-particle":"","parse-names":false,"suffix":""},{"dropping-particle":"","family":"Bopp","given":"L","non-dropping-particle":"","parse-names":false,"suffix":""},{"dropping-particle":"","family":"Gehlen","given":"M","non-dropping-particle":"","parse-names":false,"suffix":""}],"container-title":"Geoscientific Model Development","id":"ITEM-1","issue":"8","issued":{"date-parts":[["2015"]]},"page":"2465-2513","title":"PISCES-v2: An ocean biogeochemical model for carbon and ecosystem studies","type":"article-journal","volume":"8"},"uris":["http://www.mendeley.com/documents/?uuid=5009406f-e1ee-404f-a7b1-53b75ba4c630"]}],"mendeley":{"formattedCitation":"(Aumont et al., 2015)","manualFormatting":"Aumont et al., 2015)","plainTextFormattedCitation":"(Aumont et al., 2015)","previouslyFormattedCitation":"(Aumont et al., 2015)"},"properties":{"noteIndex":0},"schema":"https://github.com/citation-style-language/schema/raw/master/csl-citation.json"}</w:instrText>
      </w:r>
      <w:r w:rsidRPr="000008F8">
        <w:rPr>
          <w:szCs w:val="24"/>
        </w:rPr>
        <w:fldChar w:fldCharType="separate"/>
      </w:r>
      <w:r w:rsidRPr="000008F8">
        <w:rPr>
          <w:noProof/>
          <w:szCs w:val="24"/>
        </w:rPr>
        <w:t>Aumont et al., 2015)</w:t>
      </w:r>
      <w:r w:rsidRPr="000008F8">
        <w:rPr>
          <w:szCs w:val="24"/>
        </w:rPr>
        <w:fldChar w:fldCharType="end"/>
      </w:r>
      <w:r w:rsidRPr="000008F8">
        <w:rPr>
          <w:szCs w:val="24"/>
        </w:rPr>
        <w:t xml:space="preserve">. This model was developed aiming to simulate marine biological productivity and describe the biogeochemical cycles of carbon and of the main nutrients (P, N, Si, Fe). Four plankton functional types are simulated based on size: two phytoplankton groups (nanophytoplankton and diatoms), and micro/mesozooplankton. PISCES is a mixed Monod–quota model. Fe limitation is modeled following a quota parameterization but N and P limitations were based on a Monod model. Therefore, growth was defined as a function of the external nutrient concentrations (N and P), using also a constant Redfield ratio for nutrient uptake (C/N/P = 122/16/1). Carbon:chlorophyll a ratio is parameterized using a photo-adaptive model </w:t>
      </w:r>
      <w:r w:rsidRPr="000008F8">
        <w:rPr>
          <w:szCs w:val="24"/>
        </w:rPr>
        <w:fldChar w:fldCharType="begin" w:fldLock="1"/>
      </w:r>
      <w:r w:rsidRPr="000008F8">
        <w:rPr>
          <w:szCs w:val="24"/>
        </w:rPr>
        <w:instrText>ADDIN CSL_CITATION {"citationItems":[{"id":"ITEM-1","itemData":{"author":[{"dropping-particle":"","family":"Geider","given":"R J","non-dropping-particle":"","parse-names":false,"suffix":""},{"dropping-particle":"","family":"Intyre","given":"H L","non-dropping-particle":"Mac","parse-names":false,"suffix":""},{"dropping-particle":"","family":"Kana","given":"T M","non-dropping-particle":"","parse-names":false,"suffix":""}],"container-title":"Mar. Ecol. Prog. Ser.","id":"ITEM-1","issued":{"date-parts":[["1997"]]},"page":"187-200","title":"A dynamic growth model of phytoplankton growth and acclimation: responses of the balanced growth rate and chlorophyll-a:carbon ratio to light limitation and temperature","type":"article-journal","volume":"148"},"uris":["http://www.mendeley.com/documents/?uuid=9ccb46e9-a73b-4eef-8b9b-7aa1f4761453"]}],"mendeley":{"formattedCitation":"(Geider et al., 1997)","plainTextFormattedCitation":"(Geider et al., 1997)","previouslyFormattedCitation":"(Geider et al., 1997)"},"properties":{"noteIndex":0},"schema":"https://github.com/citation-style-language/schema/raw/master/csl-citation.json"}</w:instrText>
      </w:r>
      <w:r w:rsidRPr="000008F8">
        <w:rPr>
          <w:szCs w:val="24"/>
        </w:rPr>
        <w:fldChar w:fldCharType="separate"/>
      </w:r>
      <w:bookmarkStart w:id="10" w:name="__Fieldmark__1379_1364531424"/>
      <w:bookmarkStart w:id="11" w:name="__Fieldmark__730_415638846"/>
      <w:r w:rsidRPr="000008F8">
        <w:rPr>
          <w:noProof/>
          <w:szCs w:val="24"/>
        </w:rPr>
        <w:t>(Geider et al., 1997)</w:t>
      </w:r>
      <w:r w:rsidRPr="000008F8">
        <w:rPr>
          <w:szCs w:val="24"/>
        </w:rPr>
        <w:fldChar w:fldCharType="end"/>
      </w:r>
      <w:bookmarkEnd w:id="10"/>
      <w:bookmarkEnd w:id="11"/>
      <w:r w:rsidRPr="000008F8">
        <w:rPr>
          <w:szCs w:val="24"/>
        </w:rPr>
        <w:t xml:space="preserve">. </w:t>
      </w:r>
    </w:p>
    <w:p w14:paraId="5C2A6D1F" w14:textId="1C97EE05" w:rsidR="00D53E97" w:rsidRPr="002B2CD5" w:rsidRDefault="00D53E97" w:rsidP="00D53E97">
      <w:pPr>
        <w:rPr>
          <w:szCs w:val="24"/>
        </w:rPr>
      </w:pPr>
      <w:r w:rsidRPr="000008F8">
        <w:rPr>
          <w:szCs w:val="24"/>
        </w:rPr>
        <w:lastRenderedPageBreak/>
        <w:t xml:space="preserve">The specific simulation used in this study was also obtained from the CMEMS database (IBI_REANALYSIS_BIO_005_003 product). Regarding initial and boundary conditions, the IBI biogeochemical PISCES model application is initialized with data from the World Ocean Atlas 2001 for nitrate, phosphate, oxygen and silicate </w:t>
      </w:r>
      <w:r w:rsidRPr="000008F8">
        <w:rPr>
          <w:szCs w:val="24"/>
        </w:rPr>
        <w:fldChar w:fldCharType="begin" w:fldLock="1"/>
      </w:r>
      <w:r w:rsidRPr="000008F8">
        <w:rPr>
          <w:szCs w:val="24"/>
        </w:rPr>
        <w:instrText>ADDIN CSL_CITATION {"citationItems":[{"id":"ITEM-1","itemData":{"ISBN":"17","abstract":"Three data CD-ROMs containing global data statistics at standard depth levels by one-degree (and five-degree) squares of several commonly measured ocean variables, as well as objectively analyzed fields of these variables. These products are in ASCII format. Three figure DVDs containing pdf figures illustrating the fields of data. Ocean variables: temperature, salinity, oxygen (dissolved, apparent oxygen utilization aou, percent oxygen saturation), dissolved inorganic nutrients (phosphate, nitrate, and silicate), and chlorophyll at standard depth levels, and plankton biomass (carbon) sampled between 0-200 m depth.","author":[{"dropping-particle":"","family":"Conkright","given":"M E","non-dropping-particle":"","parse-names":false,"suffix":""},{"dropping-particle":"","family":"Locarnini","given":"R a","non-dropping-particle":"","parse-names":false,"suffix":""},{"dropping-particle":"","family":"Garcia","given":"H E","non-dropping-particle":"","parse-names":false,"suffix":""},{"dropping-particle":"","family":"O'Brien","given":"T D","non-dropping-particle":"","parse-names":false,"suffix":""},{"dropping-particle":"","family":"Boyer","given":"T P","non-dropping-particle":"","parse-names":false,"suffix":""},{"dropping-particle":"","family":"Stepens","given":"C","non-dropping-particle":"","parse-names":false,"suffix":""},{"dropping-particle":"","family":"Antonov","given":"J I","non-dropping-particle":"","parse-names":false,"suffix":""}],"container-title":"National Oceanographic Data Center Internal Report (NOAA Atlas NESDIS)","id":"ITEM-1","issue":"September","issued":{"date-parts":[["2002"]]},"page":"17","title":"World Ocean Atlas 2001: Objective analyses, data statistics, and figures CD-ROM documentation","type":"article-journal","volume":"17"},"uris":["http://www.mendeley.com/documents/?uuid=a2e8906c-14b5-4c9c-9b55-a071e319602c"]}],"mendeley":{"formattedCitation":"(Conkright et al., 2002)","plainTextFormattedCitation":"(Conkright et al., 2002)","previouslyFormattedCitation":"(Conkright et al., 2002)"},"properties":{"noteIndex":0},"schema":"https://github.com/citation-style-language/schema/raw/master/csl-citation.json"}</w:instrText>
      </w:r>
      <w:r w:rsidRPr="000008F8">
        <w:rPr>
          <w:szCs w:val="24"/>
        </w:rPr>
        <w:fldChar w:fldCharType="separate"/>
      </w:r>
      <w:r w:rsidRPr="000008F8">
        <w:rPr>
          <w:noProof/>
          <w:szCs w:val="24"/>
        </w:rPr>
        <w:t>(Conkright et al., 2002)</w:t>
      </w:r>
      <w:r w:rsidRPr="000008F8">
        <w:rPr>
          <w:szCs w:val="24"/>
        </w:rPr>
        <w:fldChar w:fldCharType="end"/>
      </w:r>
      <w:r w:rsidRPr="000008F8">
        <w:rPr>
          <w:szCs w:val="24"/>
        </w:rPr>
        <w:t xml:space="preserve">, with GLODAP climatology including anthropogenic CO2 for Dissolved Inorganic Carbon and Alkalinity </w:t>
      </w:r>
      <w:r w:rsidRPr="000008F8">
        <w:rPr>
          <w:szCs w:val="24"/>
        </w:rPr>
        <w:fldChar w:fldCharType="begin" w:fldLock="1"/>
      </w:r>
      <w:r w:rsidRPr="000008F8">
        <w:rPr>
          <w:szCs w:val="24"/>
        </w:rPr>
        <w:instrText>ADDIN CSL_CITATION {"citationItems":[{"id":"ITEM-1","itemData":{"author":[{"dropping-particle":"","family":"Key","given":"R. M.","non-dropping-particle":"","parse-names":false,"suffix":""},{"dropping-particle":"","family":"Kozyr","given":"A.","non-dropping-particle":"","parse-names":false,"suffix":""},{"dropping-particle":"","family":"Sabine","given":"C. L.","non-dropping-particle":"","parse-names":false,"suffix":""},{"dropping-particle":"","family":"Wanninkhof","given":"R.","non-dropping-particle":"","parse-names":false,"suffix":""},{"dropping-particle":"","family":"Bullister","given":"J. L.","non-dropping-particle":"","parse-names":false,"suffix":""},{"dropping-particle":"","family":"Feely","given":"R. A.","non-dropping-particle":"","parse-names":false,"suffix":""},{"dropping-particle":"","family":"Millero","given":"F. J.","non-dropping-particle":"","parse-names":false,"suffix":""},{"dropping-particle":"","family":"Mordy","given":"C.","non-dropping-particle":"","parse-names":false,"suffix":""},{"dropping-particle":"","family":"Peng","given":"T.-H.","non-dropping-particle":"","parse-names":false,"suffix":""}],"container-title":"Global Biogeochemical Cycles","id":"ITEM-1","issue":"4","issued":{"date-parts":[["2004"]]},"title":"A global ocean carbon climatology: Results from Global Data Analysis Project (GLODAP)","type":"article-journal","volume":"18"},"uris":["http://www.mendeley.com/documents/?uuid=7bddf1b7-3c42-4b65-a51a-9456c0e300a9"]}],"mendeley":{"formattedCitation":"(Key et al., 2004)","plainTextFormattedCitation":"(Key et al., 2004)","previouslyFormattedCitation":"(Key et al., 2004)"},"properties":{"noteIndex":0},"schema":"https://github.com/citation-style-language/schema/raw/master/csl-citation.json"}</w:instrText>
      </w:r>
      <w:r w:rsidRPr="000008F8">
        <w:rPr>
          <w:szCs w:val="24"/>
        </w:rPr>
        <w:fldChar w:fldCharType="separate"/>
      </w:r>
      <w:r w:rsidRPr="000008F8">
        <w:rPr>
          <w:noProof/>
          <w:szCs w:val="24"/>
        </w:rPr>
        <w:t>(Key et al., 2004)</w:t>
      </w:r>
      <w:r w:rsidRPr="000008F8">
        <w:rPr>
          <w:szCs w:val="24"/>
        </w:rPr>
        <w:fldChar w:fldCharType="end"/>
      </w:r>
      <w:r w:rsidRPr="000008F8">
        <w:rPr>
          <w:szCs w:val="24"/>
        </w:rPr>
        <w:t xml:space="preserve"> and, in the absence of corresponding data products, with model fields for dissolved iron and dissolved organic carbon. Boundary fluxes account for nutrient supply from three different sources: atmospheric deposition </w:t>
      </w:r>
      <w:r w:rsidRPr="000008F8">
        <w:rPr>
          <w:szCs w:val="24"/>
        </w:rPr>
        <w:fldChar w:fldCharType="begin" w:fldLock="1"/>
      </w:r>
      <w:r w:rsidRPr="000008F8">
        <w:rPr>
          <w:szCs w:val="24"/>
        </w:rPr>
        <w:instrText>ADDIN CSL_CITATION {"citationItems":[{"id":"ITEM-1","itemData":{"DOI":"10.1029/2007GL031131","ISBN":"0094-8276","ISSN":"00948276","abstract":"Dust deposition is extremely variable over all timescales. Yet the impact of this variability on ocean biogeochemistry is currently not known, at least on the global scale. Here, we force a global model of ocean biogeochemistry over 1996 to 2001 with daily fields of dust deposition simulated by an atmospheric aerosol model. Our model results suggest that dust deposition explains a large part of the temporal variability of surface iron in the tropical regions and in part of the subarctic Pacific. However, while dust deposition is dominated by daily events, its impact on surface iron is maximal on interannual timescales. The largest fluctuations of surface iron produced by dust occur in oligotrophic regions where phytoplankton growth is not primarily controlled by iron availability. Consequently, the variability of surface chlorophyll induced by aerosol iron is predicted to be very small everywhere, especially relative to the impact of the ocean dynamics.","author":[{"dropping-particle":"","family":"Aumont","given":"Olivier","non-dropping-particle":"","parse-names":false,"suffix":""},{"dropping-particle":"","family":"Bopp","given":"L.","non-dropping-particle":"","parse-names":false,"suffix":""},{"dropping-particle":"","family":"Schulz","given":"M.","non-dropping-particle":"","parse-names":false,"suffix":""}],"container-title":"Geophysical Research Letters","id":"ITEM-1","issue":"7","issued":{"date-parts":[["2008"]]},"page":"1-5","title":"What does temporal variability in aeolian dust deposition contribute to sea-surface iron and chlorophyll distributions?","type":"article-journal","volume":"35"},"uris":["http://www.mendeley.com/documents/?uuid=02960846-8e21-4708-a57b-e9307ef089b5"]}],"mendeley":{"formattedCitation":"(Aumont et al., 2008)","plainTextFormattedCitation":"(Aumont et al., 2008)","previouslyFormattedCitation":"(Aumont et al., 2008)"},"properties":{"noteIndex":0},"schema":"https://github.com/citation-style-language/schema/raw/master/csl-citation.json"}</w:instrText>
      </w:r>
      <w:r w:rsidRPr="000008F8">
        <w:rPr>
          <w:szCs w:val="24"/>
        </w:rPr>
        <w:fldChar w:fldCharType="separate"/>
      </w:r>
      <w:r w:rsidRPr="000008F8">
        <w:rPr>
          <w:noProof/>
          <w:szCs w:val="24"/>
        </w:rPr>
        <w:t>(Aumont et al., 2008)</w:t>
      </w:r>
      <w:r w:rsidRPr="000008F8">
        <w:rPr>
          <w:szCs w:val="24"/>
        </w:rPr>
        <w:fldChar w:fldCharType="end"/>
      </w:r>
      <w:r w:rsidRPr="000008F8">
        <w:rPr>
          <w:szCs w:val="24"/>
        </w:rPr>
        <w:t xml:space="preserve">, rivers for nutrients, dissolved inorganic carbon and alkalinity </w:t>
      </w:r>
      <w:r w:rsidRPr="000008F8">
        <w:rPr>
          <w:szCs w:val="24"/>
        </w:rPr>
        <w:fldChar w:fldCharType="begin" w:fldLock="1"/>
      </w:r>
      <w:r w:rsidR="00EE6BD0">
        <w:rPr>
          <w:szCs w:val="24"/>
        </w:rPr>
        <w:instrText>ADDIN CSL_CITATION {"citationItems":[{"id":"ITEM-1","itemData":{"DOI":"10.1029/95GB02925","ISBN":"0886-6236","ISSN":"19449224","abstract":"For a large set of major world rivers we established the empirical relations existing between the observed organic carbon fluxes and the climatic, biologic, and geomorphologic patterns characterizing the river basins. These characteristics were extracted from various ecological databases. The corresponding carbon fluxes were taken from the literature. Dissolved organic carbon fluxes are mainly related to drainage intensity, basin slope, and the amount of carbon stored in soils. Particulate organic carbon fluxes are calculated as a function of sediment fluxes, which depend principally upon drainage intensity, rainfall intensity, and basin slope. Although the drainage intensity is mainly related to the amount of precipitation and to mean temperature in the basin, slope is also retained as one of the controlling factors. Our empirical models result in a total organic carbon flux to the oceans of about 0.38 Gt per year globally. About 0.21 Gt carbon (Gt C) enter the oceans in dissolved form and about 0.17 Gt C in particulate form. We further regionalize fluxes with respect to major climates, different continents, and different ocean basins. About 45 % of the organic carbon is discharged from tropical wet regions. The major part of the dissolved organic carbon is discharged into the Atlantic Ocean, while the bulk of the particulate organic carbon is discharged into the Indian and Pacific Oceans.","author":[{"dropping-particle":"","family":"Ludwig","given":"Wolfgang","non-dropping-particle":"","parse-names":false,"suffix":""},{"dropping-particle":"","family":"Probst","given":"Jean Luc","non-dropping-particle":"","parse-names":false,"suffix":""}],"container-title":"Global Biogeochemical Cycles","id":"ITEM-1","issue":"1","issued":{"date-parts":[["1996"]]},"page":"23-41","title":"Predicting the oceanic input of organic carbon by continental erosion","type":"article-journal","volume":"10"},"uris":["http://www.mendeley.com/documents/?uuid=6229852e-8ab9-4798-8377-8080ce2df6d2"]}],"mendeley":{"formattedCitation":"(Ludwig and Probst, 1996)","plainTextFormattedCitation":"(Ludwig and Probst, 1996)","previouslyFormattedCitation":"(Ludwig and Probst, 1996)"},"properties":{"noteIndex":0},"schema":"https://github.com/citation-style-language/schema/raw/master/csl-citation.json"}</w:instrText>
      </w:r>
      <w:r w:rsidRPr="000008F8">
        <w:rPr>
          <w:szCs w:val="24"/>
        </w:rPr>
        <w:fldChar w:fldCharType="separate"/>
      </w:r>
      <w:r w:rsidRPr="000008F8">
        <w:rPr>
          <w:noProof/>
          <w:szCs w:val="24"/>
        </w:rPr>
        <w:t>(Ludwig and Probst, 1996)</w:t>
      </w:r>
      <w:r w:rsidRPr="000008F8">
        <w:rPr>
          <w:szCs w:val="24"/>
        </w:rPr>
        <w:fldChar w:fldCharType="end"/>
      </w:r>
      <w:r w:rsidRPr="000008F8">
        <w:rPr>
          <w:szCs w:val="24"/>
        </w:rPr>
        <w:t xml:space="preserve"> and inputs of Fe from marine sediments. A detailed description of the numerical application used to generate this IBI MFC biogeochemical multiyear product is provided in </w:t>
      </w:r>
      <w:r w:rsidRPr="000008F8">
        <w:rPr>
          <w:szCs w:val="24"/>
        </w:rPr>
        <w:fldChar w:fldCharType="begin" w:fldLock="1"/>
      </w:r>
      <w:r>
        <w:rPr>
          <w:szCs w:val="24"/>
        </w:rPr>
        <w:instrText>ADDIN CSL_CITATION {"citationItems":[{"id":"ITEM-1","itemData":{"DOI":"10.1080/1755876X.2015.1014663","ISBN":"1755-876X","ISSN":"17558778","abstract":"The MyOcean IBI-MFC (Monitoring &amp; Forecasting Centre) has been providing continuous daily ocean model estimates and forecasts for the Iberia–Biscay–Ireland (IBI) regional seas since 2011. The operational IBI Ocean Forecast Service is based on a NEMO model application that includes high-frequency processes required to characterize regional scale marine processes. Since June 2014, a new IBI reanalysis, comprising both physical and biogeochemical components, covering the time period 2002–2012 has also been available. This paper provides an end-to-end description of these IBI model systems and presents a summary of the scientific validation assessments carried out with the derived operational products. The validation statistics suggest that the systems capture major synoptic and mesoscale ocean circulation features observed in the IBI region. Finally, an IBI roadmap towards the future EU Copernicus Service is outlined, providing a look ahead to future IBI model and data-assimilation developments and operation...","author":[{"dropping-particle":"","family":"Sotillo","given":"M. G.","non-dropping-particle":"","parse-names":false,"suffix":""},{"dropping-particle":"","family":"Cailleau","given":"S.","non-dropping-particle":"","parse-names":false,"suffix":""},{"dropping-particle":"","family":"Lorente","given":"P.","non-dropping-particle":"","parse-names":false,"suffix":""},{"dropping-particle":"","family":"Levier","given":"B.","non-dropping-particle":"","parse-names":false,"suffix":""},{"dropping-particle":"","family":"Aznar","given":"R.","non-dropping-particle":"","parse-names":false,"suffix":""},{"dropping-particle":"","family":"Reffray","given":"G.","non-dropping-particle":"","parse-names":false,"suffix":""},{"dropping-particle":"","family":"Amo-Baladrón","given":"A.","non-dropping-particle":"","parse-names":false,"suffix":""},{"dropping-particle":"","family":"Chanut","given":"J.","non-dropping-particle":"","parse-names":false,"suffix":""},{"dropping-particle":"","family":"Benkiran","given":"M.","non-dropping-particle":"","parse-names":false,"suffix":""},{"dropping-particle":"","family":"Alvarez-Fanjul","given":"E.","non-dropping-particle":"","parse-names":false,"suffix":""},{"dropping-particle":"","family":"Amo-Baladrï¿½n","given":"A.","non-dropping-particle":"","parse-names":false,"suffix":""},{"dropping-particle":"","family":"Chanut","given":"J.","non-dropping-particle":"","parse-names":false,"suffix":""},{"dropping-particle":"","family":"Benkiran","given":"M.","non-dropping-particle":"","parse-names":false,"suffix":""},{"dropping-particle":"","family":"Alvarez-Fanjul","given":"E.","non-dropping-particle":"","parse-names":false,"suffix":""}],"container-title":"Journal of Operational Oceanography","id":"ITEM-1","issue":"1","issued":{"date-parts":[["2015"]]},"page":"63-79","publisher":"Taylor &amp; Francis","title":"The myocean IBI ocean forecast and reanalysis systems: Operational products and roadmap to the future copernicus service","type":"article-journal","volume":"8"},"uris":["http://www.mendeley.com/documents/?uuid=23b51b9e-20bb-4a31-97eb-760e1706405a"]}],"mendeley":{"formattedCitation":"(Sotillo et al., 2015)","manualFormatting":"Sotillo et al. (2015)","plainTextFormattedCitation":"(Sotillo et al., 2015)","previouslyFormattedCitation":"(Sotillo et al., 2015)"},"properties":{"noteIndex":0},"schema":"https://github.com/citation-style-language/schema/raw/master/csl-citation.json"}</w:instrText>
      </w:r>
      <w:r w:rsidRPr="000008F8">
        <w:rPr>
          <w:szCs w:val="24"/>
        </w:rPr>
        <w:fldChar w:fldCharType="separate"/>
      </w:r>
      <w:r w:rsidRPr="000008F8">
        <w:rPr>
          <w:noProof/>
          <w:szCs w:val="24"/>
        </w:rPr>
        <w:t>Sotillo et al. (2015)</w:t>
      </w:r>
      <w:r w:rsidRPr="000008F8">
        <w:rPr>
          <w:szCs w:val="24"/>
        </w:rPr>
        <w:fldChar w:fldCharType="end"/>
      </w:r>
      <w:r w:rsidRPr="000008F8">
        <w:rPr>
          <w:szCs w:val="24"/>
        </w:rPr>
        <w:t>.</w:t>
      </w:r>
    </w:p>
    <w:p w14:paraId="62A92583" w14:textId="77777777" w:rsidR="00D53E97" w:rsidRDefault="00D53E97" w:rsidP="005A5034">
      <w:pPr>
        <w:pStyle w:val="Ttulo4"/>
        <w:numPr>
          <w:ilvl w:val="0"/>
          <w:numId w:val="0"/>
        </w:numPr>
        <w:ind w:left="567" w:hanging="567"/>
      </w:pPr>
      <w:r>
        <w:t>POLCOMS-ERSEM</w:t>
      </w:r>
    </w:p>
    <w:p w14:paraId="0E10F7F9" w14:textId="3E4FD480" w:rsidR="00D53E97" w:rsidRPr="002B2CD5" w:rsidRDefault="00D53E97" w:rsidP="00D53E97">
      <w:pPr>
        <w:rPr>
          <w:szCs w:val="24"/>
        </w:rPr>
      </w:pPr>
      <w:r w:rsidRPr="002B2CD5">
        <w:rPr>
          <w:szCs w:val="24"/>
        </w:rPr>
        <w:t>This system is based on the European Regional Seas Ecosystem Model 15.06 (ERSEM,Butenschön et al., 2016). ERSEM was also developed for simulating ocean biogeochemistry and the planktonic ecosystem but including also the benthic parts of the marine ecosystem. It explicitly describes the major chemical elements of the ocean (carbon, nitrogen, phosphorus and silicate). Four functional types of primary producers are simulated: diatoms, nanoflagellates, picophytoplankton and dinoflagellates – these defined in terms of size. European Regional Seas Ecosystem Model 15.06 had a common ancestor with BFM (ERSEM I and II)</w:t>
      </w:r>
      <w:r w:rsidR="00EE6BD0">
        <w:rPr>
          <w:szCs w:val="24"/>
        </w:rPr>
        <w:fldChar w:fldCharType="begin" w:fldLock="1"/>
      </w:r>
      <w:r w:rsidR="00EE6BD0">
        <w:rPr>
          <w:szCs w:val="24"/>
        </w:rPr>
        <w:instrText>ADDIN CSL_CITATION {"citationItems":[{"id":"ITEM-1","itemData":{"DOI":"10.1016/j.jmarsys.2006.03.006","ISSN":"09247963","author":[{"dropping-particle":"","family":"Vichi","given":"M","non-dropping-particle":"","parse-names":false,"suffix":""},{"dropping-particle":"","family":"Pinardi","given":"N","non-dropping-particle":"","parse-names":false,"suffix":""},{"dropping-particle":"","family":"Masina","given":"S","non-dropping-particle":"","parse-names":false,"suffix":""}],"container-title":"Journal of Marine Systems","id":"ITEM-1","issue":"1-4","issued":{"date-parts":[["2007","1"]]},"page":"89-109","title":"A generalized model of pelagic biogeochemistry for the global ocean ecosystem. Part I: Theory","type":"article-journal","volume":"64"},"uris":["http://www.mendeley.com/documents/?uuid=405dc4ed-ee24-47f8-acf1-7d3fbea4ac04"]},{"id":"ITEM-2","itemData":{"DOI":"10.5194/gmd-9-1293-2016","ISSN":"19919603","abstract":"&lt;p&gt;The ERSEM model is one of the most established ecosystem models for the lower trophic levels of the marine food-web in the scientific literature. Since its original development in the early nineties it has evolved significantly from a coastal ecosystem model for the North-Sea to a generic tool for ecosystem simulations from shelf seas to the global ocean. The current model release contains all essential elements for the pelagic and benthic part of the marine ecosystem, including the microbial food-web, the carbonate system and calcification. Its distribution is accompanied by a testing framework enabling the analysis of individual parts of the model. Here we provide a detailed mathematical description of all ERSEM components along with case-studies of mesocosm type simulations, water column implementations and a brief example of a full-scale application for the North-West European shelf. Validation against in situ data demonstrates the capability of the model to represent the marine ecosystem in contrasting environments.&lt;/p&gt;","author":[{"dropping-particle":"","family":"Butenschön","given":"Momme","non-dropping-particle":"","parse-names":false,"suffix":""},{"dropping-particle":"","family":"Clark","given":"James","non-dropping-particle":"","parse-names":false,"suffix":""},{"dropping-particle":"","family":"Aldridge","given":"John N.","non-dropping-particle":"","parse-names":false,"suffix":""},{"dropping-particle":"","family":"Icarus Allen","given":"Julian","non-dropping-particle":"","parse-names":false,"suffix":""},{"dropping-particle":"","family":"Artioli","given":"Yuri","non-dropping-particle":"","parse-names":false,"suffix":""},{"dropping-particle":"","family":"Blackford","given":"Jeremy","non-dropping-particle":"","parse-names":false,"suffix":""},{"dropping-particle":"","family":"Bruggeman","given":"Jorn","non-dropping-particle":"","parse-names":false,"suffix":""},{"dropping-particle":"","family":"Cazenave","given":"Pierre","non-dropping-particle":"","parse-names":false,"suffix":""},{"dropping-particle":"","family":"Ciavatta","given":"Stefano","non-dropping-particle":"","parse-names":false,"suffix":""},{"dropping-particle":"","family":"Kay","given":"Susan","non-dropping-particle":"","parse-names":false,"suffix":""},{"dropping-particle":"","family":"Lessin","given":"Gennadi","non-dropping-particle":"","parse-names":false,"suffix":""},{"dropping-particle":"","family":"Leeuwen","given":"Sonja","non-dropping-particle":"Van","parse-names":false,"suffix":""},{"dropping-particle":"","family":"Molen","given":"Johan","non-dropping-particle":"Van Der","parse-names":false,"suffix":""},{"dropping-particle":"","family":"Mora","given":"Lee","non-dropping-particle":"De","parse-names":false,"suffix":""},{"dropping-particle":"","family":"Polimene","given":"Luca","non-dropping-particle":"","parse-names":false,"suffix":""},{"dropping-particle":"","family":"Sailley","given":"Sevrine","non-dropping-particle":"","parse-names":false,"suffix":""},{"dropping-particle":"","family":"Stephens","given":"Nicholas","non-dropping-particle":"","parse-names":false,"suffix":""},{"dropping-particle":"","family":"Torres","given":"Ricardo","non-dropping-particle":"","parse-names":false,"suffix":""}],"container-title":"Geoscientific Model Development","id":"ITEM-2","issue":"4","issued":{"date-parts":[["2016"]]},"page":"1293-1339","title":"ERSEM 15.06: A generic model for marine biogeochemistry and the ecosystem dynamics of the lower trophic levels","type":"article-journal","volume":"9"},"uris":["http://www.mendeley.com/documents/?uuid=50fc62a8-85d8-46ff-9dc6-57049e8d9b1e"]}],"mendeley":{"formattedCitation":"(Vichi et al., 2007; Butenschön et al., 2016)","plainTextFormattedCitation":"(Vichi et al., 2007; Butenschön et al., 2016)"},"properties":{"noteIndex":0},"schema":"https://github.com/citation-style-language/schema/raw/master/csl-citation.json"}</w:instrText>
      </w:r>
      <w:r w:rsidR="00EE6BD0">
        <w:rPr>
          <w:szCs w:val="24"/>
        </w:rPr>
        <w:fldChar w:fldCharType="separate"/>
      </w:r>
      <w:r w:rsidR="00EE6BD0" w:rsidRPr="00EE6BD0">
        <w:rPr>
          <w:noProof/>
          <w:szCs w:val="24"/>
        </w:rPr>
        <w:t>(Vichi et al., 2007; Butenschön et al., 2016)</w:t>
      </w:r>
      <w:r w:rsidR="00EE6BD0">
        <w:rPr>
          <w:szCs w:val="24"/>
        </w:rPr>
        <w:fldChar w:fldCharType="end"/>
      </w:r>
      <w:r w:rsidRPr="002B2CD5">
        <w:rPr>
          <w:szCs w:val="24"/>
        </w:rPr>
        <w:t xml:space="preserve">, thus they partially share the parameterization of primary production and other features. The phytoplankton is predated by three size classes of zooplankton, and nutrients are also cycled by a bacterial loop, with one functional type of bacteria. Carbon, nitrogen, phosphorus, silicate and chlorophyll are tracked independently, with no assumption of stoichiometric ratios. The formulation of photosynthesis combines the form originally presented in </w:t>
      </w:r>
      <w:r w:rsidRPr="002B2CD5">
        <w:rPr>
          <w:szCs w:val="24"/>
        </w:rPr>
        <w:fldChar w:fldCharType="begin" w:fldLock="1"/>
      </w:r>
      <w:r w:rsidRPr="002B2CD5">
        <w:rPr>
          <w:szCs w:val="24"/>
        </w:rPr>
        <w:instrText>ADDIN CSL_CITATION {"citationItems":[{"id":"ITEM-1","itemData":{"DOI":"10.1016/S1385-1101(97)00052-X","ISBN":"1385-1101","ISSN":"13851101","abstract":"A description of the improvements in the microbial complex of the dynamical simulation model {ERSEM} is given and the results for a 130-box setup of the North Sea are discussed. The improvements affecting the microbial food web are the decoupling of the carbon assimilation from the nutrient uptake dynamics in the phytoplankton groups and the incorporation of nutrient uptake dynamics in the bacterioplankton. Simulation results of {ERSEM} {II} are presented and discussed in comparison with those of {ERSEM} I and validation data. Based on model results and emergent properties of the system it was possible to conclude that {ERSEM} {II} is able to model the full range of food webs from a system dominated by the microbial loop in the relatively oligotrophic offshore areas to a system dominated by the omnivorous food web in the eutrophic continental coastal area. (C) 1997 Elsevier Science {B.V.} All rights reserved.","author":[{"dropping-particle":"","family":"Baretta-Bekker","given":"J G","non-dropping-particle":"","parse-names":false,"suffix":""},{"dropping-particle":"","family":"Baretta","given":"J W","non-dropping-particle":"","parse-names":false,"suffix":""},{"dropping-particle":"","family":"Ebenhoh","given":"W","non-dropping-particle":"","parse-names":false,"suffix":""}],"container-title":"Journal of Sea Research","id":"ITEM-1","issue":"3-4","issued":{"date-parts":[["1997"]]},"page":"195-211","title":"Microbial dynamics in the marine ecosystem model {ERSEM} {II} with decoupled carbon assimilation and nutrient uptake","type":"article-journal","volume":"38"},"uris":["http://www.mendeley.com/documents/?uuid=9e251e45-c1eb-46d6-ab9e-d36ffbe949b9"]}],"mendeley":{"formattedCitation":"(Baretta-Bekker et al., 1997)","manualFormatting":"Baretta-Bekker et al. (1997)","plainTextFormattedCitation":"(Baretta-Bekker et al., 1997)","previouslyFormattedCitation":"(Baretta-Bekker et al., 1997)"},"properties":{"noteIndex":0},"schema":"https://github.com/citation-style-language/schema/raw/master/csl-citation.json"}</w:instrText>
      </w:r>
      <w:r w:rsidRPr="002B2CD5">
        <w:rPr>
          <w:szCs w:val="24"/>
        </w:rPr>
        <w:fldChar w:fldCharType="separate"/>
      </w:r>
      <w:bookmarkStart w:id="12" w:name="__Fieldmark__1526_1364531424"/>
      <w:bookmarkStart w:id="13" w:name="__Fieldmark__808_415638846"/>
      <w:r w:rsidRPr="002B2CD5">
        <w:rPr>
          <w:noProof/>
          <w:szCs w:val="24"/>
        </w:rPr>
        <w:t>Baretta-Bekker et al. (1997)</w:t>
      </w:r>
      <w:r w:rsidRPr="002B2CD5">
        <w:rPr>
          <w:szCs w:val="24"/>
        </w:rPr>
        <w:fldChar w:fldCharType="end"/>
      </w:r>
      <w:bookmarkEnd w:id="12"/>
      <w:bookmarkEnd w:id="13"/>
      <w:r w:rsidRPr="002B2CD5">
        <w:rPr>
          <w:szCs w:val="24"/>
        </w:rPr>
        <w:t xml:space="preserve"> and the photo-adaptative model described by </w:t>
      </w:r>
      <w:r w:rsidRPr="002B2CD5">
        <w:rPr>
          <w:szCs w:val="24"/>
        </w:rPr>
        <w:fldChar w:fldCharType="begin" w:fldLock="1"/>
      </w:r>
      <w:r w:rsidRPr="002B2CD5">
        <w:rPr>
          <w:szCs w:val="24"/>
        </w:rPr>
        <w:instrText>ADDIN CSL_CITATION {"citationItems":[{"id":"ITEM-1","itemData":{"author":[{"dropping-particle":"","family":"Geider","given":"R J","non-dropping-particle":"","parse-names":false,"suffix":""},{"dropping-particle":"","family":"Intyre","given":"H L","non-dropping-particle":"Mac","parse-names":false,"suffix":""},{"dropping-particle":"","family":"Kana","given":"T M","non-dropping-particle":"","parse-names":false,"suffix":""}],"container-title":"Mar. Ecol. Prog. Ser.","id":"ITEM-1","issued":{"date-parts":[["1997"]]},"page":"187-200","title":"A dynamic growth model of phytoplankton growth and acclimation: responses of the balanced growth rate and chlorophyll-a:carbon ratio to light limitation and temperature","type":"article-journal","volume":"148"},"uris":["http://www.mendeley.com/documents/?uuid=9ccb46e9-a73b-4eef-8b9b-7aa1f4761453"]}],"mendeley":{"formattedCitation":"(Geider et al., 1997)","manualFormatting":"Geider et al. (1997)","plainTextFormattedCitation":"(Geider et al., 1997)","previouslyFormattedCitation":"(Geider et al., 1997)"},"properties":{"noteIndex":0},"schema":"https://github.com/citation-style-language/schema/raw/master/csl-citation.json"}</w:instrText>
      </w:r>
      <w:r w:rsidRPr="002B2CD5">
        <w:rPr>
          <w:szCs w:val="24"/>
        </w:rPr>
        <w:fldChar w:fldCharType="separate"/>
      </w:r>
      <w:bookmarkStart w:id="14" w:name="__Fieldmark__815_415638846"/>
      <w:r w:rsidRPr="002B2CD5">
        <w:rPr>
          <w:noProof/>
          <w:szCs w:val="24"/>
        </w:rPr>
        <w:t>G</w:t>
      </w:r>
      <w:bookmarkStart w:id="15" w:name="__Fieldmark__1536_1364531424"/>
      <w:r w:rsidRPr="002B2CD5">
        <w:rPr>
          <w:noProof/>
          <w:szCs w:val="24"/>
        </w:rPr>
        <w:t>eider et al. (1997)</w:t>
      </w:r>
      <w:r w:rsidRPr="002B2CD5">
        <w:rPr>
          <w:szCs w:val="24"/>
        </w:rPr>
        <w:fldChar w:fldCharType="end"/>
      </w:r>
      <w:bookmarkEnd w:id="14"/>
      <w:r w:rsidRPr="002B2CD5">
        <w:rPr>
          <w:szCs w:val="24"/>
        </w:rPr>
        <w:t>, with the addition of photoinhibition at high light levels</w:t>
      </w:r>
      <w:bookmarkEnd w:id="15"/>
      <w:r w:rsidRPr="002B2CD5">
        <w:rPr>
          <w:szCs w:val="24"/>
        </w:rPr>
        <w:t xml:space="preserve">. Nutrient uptake uses a purely linear formulation of maximum uptake proportional to the affinity </w:t>
      </w:r>
      <w:r w:rsidRPr="002B2CD5">
        <w:rPr>
          <w:szCs w:val="24"/>
        </w:rPr>
        <w:fldChar w:fldCharType="begin" w:fldLock="1"/>
      </w:r>
      <w:r w:rsidRPr="002B2CD5">
        <w:rPr>
          <w:szCs w:val="24"/>
        </w:rPr>
        <w:instrText>ADDIN CSL_CITATION {"citationItems":[{"id":"ITEM-1","itemData":{"DOI":"10.5194/gmd-9-1293-2016","ISSN":"19919603","abstract":"&lt;p&gt;The ERSEM model is one of the most established ecosystem models for the lower trophic levels of the marine food-web in the scientific literature. Since its original development in the early nineties it has evolved significantly from a coastal ecosystem model for the North-Sea to a generic tool for ecosystem simulations from shelf seas to the global ocean. The current model release contains all essential elements for the pelagic and benthic part of the marine ecosystem, including the microbial food-web, the carbonate system and calcification. Its distribution is accompanied by a testing framework enabling the analysis of individual parts of the model. Here we provide a detailed mathematical description of all ERSEM components along with case-studies of mesocosm type simulations, water column implementations and a brief example of a full-scale application for the North-West European shelf. Validation against in situ data demonstrates the capability of the model to represent the marine ecosystem in contrasting environments.&lt;/p&gt;","author":[{"dropping-particle":"","family":"Butenschön","given":"Momme","non-dropping-particle":"","parse-names":false,"suffix":""},{"dropping-particle":"","family":"Clark","given":"James","non-dropping-particle":"","parse-names":false,"suffix":""},{"dropping-particle":"","family":"Aldridge","given":"John N.","non-dropping-particle":"","parse-names":false,"suffix":""},{"dropping-particle":"","family":"Icarus Allen","given":"Julian","non-dropping-particle":"","parse-names":false,"suffix":""},{"dropping-particle":"","family":"Artioli","given":"Yuri","non-dropping-particle":"","parse-names":false,"suffix":""},{"dropping-particle":"","family":"Blackford","given":"Jeremy","non-dropping-particle":"","parse-names":false,"suffix":""},{"dropping-particle":"","family":"Bruggeman","given":"Jorn","non-dropping-particle":"","parse-names":false,"suffix":""},{"dropping-particle":"","family":"Cazenave","given":"Pierre","non-dropping-particle":"","parse-names":false,"suffix":""},{"dropping-particle":"","family":"Ciavatta","given":"Stefano","non-dropping-particle":"","parse-names":false,"suffix":""},{"dropping-particle":"","family":"Kay","given":"Susan","non-dropping-particle":"","parse-names":false,"suffix":""},{"dropping-particle":"","family":"Lessin","given":"Gennadi","non-dropping-particle":"","parse-names":false,"suffix":""},{"dropping-particle":"","family":"Leeuwen","given":"Sonja","non-dropping-particle":"Van","parse-names":false,"suffix":""},{"dropping-particle":"","family":"Molen","given":"Johan","non-dropping-particle":"Van Der","parse-names":false,"suffix":""},{"dropping-particle":"","family":"Mora","given":"Lee","non-dropping-particle":"De","parse-names":false,"suffix":""},{"dropping-particle":"","family":"Polimene","given":"Luca","non-dropping-particle":"","parse-names":false,"suffix":""},{"dropping-particle":"","family":"Sailley","given":"Sevrine","non-dropping-particle":"","parse-names":false,"suffix":""},{"dropping-particle":"","family":"Stephens","given":"Nicholas","non-dropping-particle":"","parse-names":false,"suffix":""},{"dropping-particle":"","family":"Torres","given":"Ricardo","non-dropping-particle":"","parse-names":false,"suffix":""}],"container-title":"Geoscientific Model Development","id":"ITEM-1","issue":"4","issued":{"date-parts":[["2016"]]},"page":"1293-1339","title":"ERSEM 15.06: A generic model for marine biogeochemistry and the ecosystem dynamics of the lower trophic levels","type":"article-journal","volume":"9"},"uris":["http://www.mendeley.com/documents/?uuid=50fc62a8-85d8-46ff-9dc6-57049e8d9b1e"]}],"mendeley":{"formattedCitation":"(Butenschön et al., 2016)","plainTextFormattedCitation":"(Butenschön et al., 2016)","previouslyFormattedCitation":"(Butenschön et al., 2016)"},"properties":{"noteIndex":0},"schema":"https://github.com/citation-style-language/schema/raw/master/csl-citation.json"}</w:instrText>
      </w:r>
      <w:r w:rsidRPr="002B2CD5">
        <w:rPr>
          <w:szCs w:val="24"/>
        </w:rPr>
        <w:fldChar w:fldCharType="separate"/>
      </w:r>
      <w:bookmarkStart w:id="16" w:name="__Fieldmark__838_415638846"/>
      <w:r w:rsidRPr="002B2CD5">
        <w:rPr>
          <w:noProof/>
          <w:szCs w:val="24"/>
        </w:rPr>
        <w:t>(Butenschön et al., 2016)</w:t>
      </w:r>
      <w:r w:rsidRPr="002B2CD5">
        <w:rPr>
          <w:szCs w:val="24"/>
        </w:rPr>
        <w:fldChar w:fldCharType="end"/>
      </w:r>
      <w:bookmarkStart w:id="17" w:name="__Fieldmark__1563_1364531424"/>
      <w:bookmarkEnd w:id="16"/>
      <w:bookmarkEnd w:id="17"/>
      <w:r w:rsidRPr="002B2CD5">
        <w:rPr>
          <w:szCs w:val="24"/>
        </w:rPr>
        <w:t xml:space="preserve">, in contrast to the BFM that assumed a Michaelis–Menten formulation </w:t>
      </w:r>
      <w:r w:rsidRPr="002B2CD5">
        <w:rPr>
          <w:szCs w:val="24"/>
        </w:rPr>
        <w:fldChar w:fldCharType="begin" w:fldLock="1"/>
      </w:r>
      <w:r w:rsidRPr="002B2CD5">
        <w:rPr>
          <w:szCs w:val="24"/>
        </w:rPr>
        <w:instrText>ADDIN CSL_CITATION {"citationItems":[{"id":"ITEM-1","itemData":{"DOI":"10.1016/j.dsr.2015.12.006","ISBN":"0967-0637","ISSN":"09670637","abstract":"We present an analysis of the spatial distributions and seasonal dynamics of phosphate and nitrate in the Mediterranean Sea. The analysis involves observations under present conditions and relies on statistical analysis of the output of a state-of-the-art corroborated numerical model. Model results are corroborated with available data from cruises and fixed monitoring stations. The results capture and quantitatively detail the main spatial patterns observed in the Mediterranean Sea, with an east-west gradient in the surface layer for phosphate and a north-south gradient for nitrate. The model results highlight that plankton growth in Mediterranean waters is usually nutrient limited and that such limitation is less frequent in the western sub-basin and is usually due to a lack of phosphate, rather than nitrate, with the exception of the areas close to the Atlantic Ocean, where nitrogen limitation is important. The model simulation illustrates the benefit of a variable stoichiometric formulation of the phytoplankton cell, showing how the ratio of the internal N:P quota adapts to different limiting conditions.","author":[{"dropping-particle":"","family":"Lazzari","given":"P.","non-dropping-particle":"","parse-names":false,"suffix":""},{"dropping-particle":"","family":"Solidoro","given":"C.","non-dropping-particle":"","parse-names":false,"suffix":""},{"dropping-particle":"","family":"Salon","given":"S.","non-dropping-particle":"","parse-names":false,"suffix":""},{"dropping-particle":"","family":"Bolzon","given":"G.","non-dropping-particle":"","parse-names":false,"suffix":""}],"container-title":"Deep-Sea Research Part I: Oceanographic Research Papers","id":"ITEM-1","issued":{"date-parts":[["2016"]]},"page":"39-52","publisher":"Elsevier","title":"Spatial variability of phosphate and nitrate in the Mediterranean Sea: A modeling approach","type":"article-journal","volume":"108"},"uris":["http://www.mendeley.com/documents/?uuid=7d660433-57c3-4f75-a5b5-a19b3e9c2d0a"]}],"mendeley":{"formattedCitation":"(Lazzari et al., 2016)","plainTextFormattedCitation":"(Lazzari et al., 2016)","previouslyFormattedCitation":"(Lazzari et al., 2016)"},"properties":{"noteIndex":0},"schema":"https://github.com/citation-style-language/schema/raw/master/csl-citation.json"}</w:instrText>
      </w:r>
      <w:r w:rsidRPr="002B2CD5">
        <w:rPr>
          <w:szCs w:val="24"/>
        </w:rPr>
        <w:fldChar w:fldCharType="separate"/>
      </w:r>
      <w:bookmarkStart w:id="18" w:name="__Fieldmark__850_415638846"/>
      <w:r w:rsidRPr="002B2CD5">
        <w:rPr>
          <w:noProof/>
          <w:szCs w:val="24"/>
        </w:rPr>
        <w:t>(Lazzari et al., 2016)</w:t>
      </w:r>
      <w:r w:rsidRPr="002B2CD5">
        <w:rPr>
          <w:szCs w:val="24"/>
        </w:rPr>
        <w:fldChar w:fldCharType="end"/>
      </w:r>
      <w:bookmarkEnd w:id="18"/>
      <w:r w:rsidRPr="002B2CD5">
        <w:rPr>
          <w:szCs w:val="24"/>
        </w:rPr>
        <w:t xml:space="preserve">. This model also simulates a stoichiometric flexibility within phytoplankton cells with an internal quota and storage capacity, similarly to BFM though with different quotas. Nitrogen and phosphorus could rise above their optimal quotas, allowing for “luxury storage” in nutrient-rich conditions. </w:t>
      </w:r>
    </w:p>
    <w:p w14:paraId="3C05B5B8" w14:textId="77777777" w:rsidR="00D53E97" w:rsidRPr="002B2CD5" w:rsidRDefault="00D53E97" w:rsidP="00D53E97">
      <w:pPr>
        <w:rPr>
          <w:szCs w:val="24"/>
        </w:rPr>
      </w:pPr>
      <w:r w:rsidRPr="002B2CD5">
        <w:rPr>
          <w:szCs w:val="24"/>
        </w:rPr>
        <w:t xml:space="preserve">The simulation used in this study was produced in the framework of the CERES project. For the ERSEM initial conditions, values from an initial 5-year spin-up from initial conditions developed for the GCOMS modelling system </w:t>
      </w:r>
      <w:r w:rsidRPr="002B2CD5">
        <w:rPr>
          <w:szCs w:val="24"/>
        </w:rPr>
        <w:fldChar w:fldCharType="begin" w:fldLock="1"/>
      </w:r>
      <w:r w:rsidRPr="002B2CD5">
        <w:rPr>
          <w:szCs w:val="24"/>
        </w:rPr>
        <w:instrText>ADDIN CSL_CITATION {"citationItems":[{"id":"ITEM-1","itemData":{"DOI":"10.1098/rsta.2008.0210","ISBN":"1364-503X","ISSN":"1364503X","PMID":"19087928","abstract":"Shelf and coastal seas are regions of exceptionally high biological productivity, high rates of biogeochemical cycling and immense socio-economic importance. They are, however, poorly represented by the present generation of Earth system models, both in terms of resolution and process representation. Hence, these models cannot be used to elucidate the role of the coastal ocean in global biogeochemical cycles and the effects global change (both direct anthropogenic and climatic) are having on them. Here, we present a system for simulating all the coastal regions around the world (the Global Coastal Ocean Modelling System) in a systematic and practical fashion. It is based on automatically generating multiple nested model domains, using the Proudman Oceanographic Laboratory Coastal Ocean Modelling System coupled to the European Regional Seas Ecosystem Model. Preliminary results from the system are presented. These demonstrate the viability of the concept, and we discuss the prospects for using the system to explore key areas of global change in shelf seas, such as their role in the carbon cycle and climate change effects on fisheries.","author":[{"dropping-particle":"","family":"Holt","given":"Jason","non-dropping-particle":"","parse-names":false,"suffix":""},{"dropping-particle":"","family":"Harle","given":"James","non-dropping-particle":"","parse-names":false,"suffix":""},{"dropping-particle":"","family":"Proctor","given":"Roger","non-dropping-particle":"","parse-names":false,"suffix":""},{"dropping-particle":"","family":"Michel","given":"Sylvain","non-dropping-particle":"","parse-names":false,"suffix":""},{"dropping-particle":"","family":"Ashworth","given":"Mike","non-dropping-particle":"","parse-names":false,"suffix":""},{"dropping-particle":"","family":"Batstone","given":"Crispian","non-dropping-particle":"","parse-names":false,"suffix":""},{"dropping-particle":"","family":"Allen","given":"Icarus","non-dropping-particle":"","parse-names":false,"suffix":""},{"dropping-particle":"","family":"Holmes","given":"Robert","non-dropping-particle":"","parse-names":false,"suffix":""},{"dropping-particle":"","family":"Smyth","given":"Tim","non-dropping-particle":"","parse-names":false,"suffix":""},{"dropping-particle":"","family":"Haines","given":"Keith","non-dropping-particle":"","parse-names":false,"suffix":""},{"dropping-particle":"","family":"Bretherton","given":"Dan","non-dropping-particle":"","parse-names":false,"suffix":""},{"dropping-particle":"","family":"Smith","given":"Gregory","non-dropping-particle":"","parse-names":false,"suffix":""}],"container-title":"Philosophical Transactions of the Royal Society A: Mathematical, Physical and Engineering Sciences","id":"ITEM-1","issue":"1890","issued":{"date-parts":[["2009"]]},"page":"939-951","title":"Modelling the global coastal ocean","type":"article-journal","volume":"367"},"uris":["http://www.mendeley.com/documents/?uuid=803037b4-f292-40e4-aee3-9719305f08fd"]}],"mendeley":{"formattedCitation":"(Holt et al., 2009)","plainTextFormattedCitation":"(Holt et al., 2009)","previouslyFormattedCitation":"(Holt et al., 2009)"},"properties":{"noteIndex":0},"schema":"https://github.com/citation-style-language/schema/raw/master/csl-citation.json"}</w:instrText>
      </w:r>
      <w:r w:rsidRPr="002B2CD5">
        <w:rPr>
          <w:szCs w:val="24"/>
        </w:rPr>
        <w:fldChar w:fldCharType="separate"/>
      </w:r>
      <w:r w:rsidRPr="002B2CD5">
        <w:rPr>
          <w:noProof/>
          <w:szCs w:val="24"/>
        </w:rPr>
        <w:t>(Holt et al., 2009)</w:t>
      </w:r>
      <w:r w:rsidRPr="002B2CD5">
        <w:rPr>
          <w:szCs w:val="24"/>
        </w:rPr>
        <w:fldChar w:fldCharType="end"/>
      </w:r>
      <w:r w:rsidRPr="002B2CD5">
        <w:rPr>
          <w:szCs w:val="24"/>
        </w:rPr>
        <w:t xml:space="preserve"> were merged with outputs from a model of the North Atlantic at approximately 0.2°, crea</w:t>
      </w:r>
      <w:r>
        <w:rPr>
          <w:szCs w:val="24"/>
        </w:rPr>
        <w:t>ted for the EURO-BASIN project</w:t>
      </w:r>
      <w:r w:rsidRPr="001D02CA">
        <w:rPr>
          <w:rStyle w:val="Refdenotaalpie"/>
        </w:rPr>
        <w:footnoteReference w:id="8"/>
      </w:r>
      <w:r w:rsidRPr="002B2CD5">
        <w:rPr>
          <w:szCs w:val="24"/>
        </w:rPr>
        <w:t xml:space="preserve">,oxygen values from the World Ocean Atlas 2013 </w:t>
      </w:r>
      <w:r w:rsidRPr="002B2CD5">
        <w:rPr>
          <w:szCs w:val="24"/>
        </w:rPr>
        <w:fldChar w:fldCharType="begin" w:fldLock="1"/>
      </w:r>
      <w:r w:rsidRPr="002B2CD5">
        <w:rPr>
          <w:szCs w:val="24"/>
        </w:rPr>
        <w:instrText>ADDIN CSL_CITATION {"citationItems":[{"id":"ITEM-1","itemData":{"DOI":"10.7289/V5XG9P2W","abstract":"The oceanographic analyses described by this atlas series expand on earlier works, e.g., the World Ocean Atlas 2009 (WOA09), World Ocean Atlas 2005 (WOA05), World Ocean Atlas 2001 (WOA01), World Ocean Atlas 1998 (WOA98), World Ocean Atlas 1994 (WOA94) and Climatological Atlas of the World Ocean (Levitus, 1982). Previously published oceanographic objective analyses have proven to be of great utility to the oceanographic, climate research, geophysical, and operational environmental forecasting communities. Such analyses are used as boundary and/or initial conditions in numerical ocean circulation models and atmosphere-ocean models, for verification of numerical simulations of the ocean, as a form of \"sea truth\" for satellite measurements such as altimetric observations of sea surface height, for computation of nutrient fluxes by Ekman transport, and for planning oceanographic expeditions among others. WOA13 includes analyses on both one-degree and quarter-degree grids. We continue preparing climatological analyses on a one-degree grid. This is because higher resolution analyses are not justified for all the variables we are working with and we wish to produce a set of analyses for which all variables have been analyzed in the same manner. High-resolution analyses as typified by the work of Boyer et al. (2005) will be published separately. We now generate and make available what we term \"Extended Vertical Resolution\" (EVR) analyses. Analyses are now produced at 102 depth levels between the surface and 5500 m depth in contrast to 33 depth levels that we have produced in the past. This is made possible by the increased amount of highresolution data available. Ocean data and analyses of such data at higher vertical resolution than previously available are needed to document the variability of the ocean, including improving diagnostics, understanding, and modeling of the physics of the ocean. In the acknowledgment section of this publication we have expressed our view that creation of global ocean profile and plankton databases and analyses are only possible through the cooperation of scientists, data managers, and scientific administrators throughout the international scientific community. I also thank my colleagues and the staff of the Ocean Climate Laboratory of NODC for their dedication to the project leading to publication of this atlas series. Their integrity and thoroughness have made these analyses possible.","author":[{"dropping-particle":"","family":"Garcia","given":"Hernan E","non-dropping-particle":"","parse-names":false,"suffix":""},{"dropping-particle":"","family":"Boyer","given":"Timothy P","non-dropping-particle":"","parse-names":false,"suffix":""},{"dropping-particle":"","family":"Locarnini","given":"Ricardo A","non-dropping-particle":"","parse-names":false,"suffix":""},{"dropping-particle":"","family":"Antonov","given":"John I","non-dropping-particle":"","parse-names":false,"suffix":""},{"dropping-particle":"V","family":"Mishonov","given":"A","non-dropping-particle":"","parse-names":false,"suffix":""},{"dropping-particle":"","family":"Baranova","given":"O K","non-dropping-particle":"","parse-names":false,"suffix":""},{"dropping-particle":"","family":"Zweng","given":"M M","non-dropping-particle":"","parse-names":false,"suffix":""},{"dropping-particle":"","family":"Reagan","given":"J R","non-dropping-particle":"","parse-names":false,"suffix":""},{"dropping-particle":"","family":"Johnson","given":"D R","non-dropping-particle":"","parse-names":false,"suffix":""}],"container-title":"NOAA Atlas NESDIS 75","id":"ITEM-1","issue":"September","issued":{"date-parts":[["2013"]]},"page":"27","title":"World Ocean Atlas 2013. Volume 3: dissolved oxygen, apparent oxygen utilization, and oxygen saturation","type":"article-journal","volume":"3"},"uris":["http://www.mendeley.com/documents/?uuid=15fdb4ba-cef5-4337-aa32-4061a705afb3"]}],"mendeley":{"formattedCitation":"(Garcia et al., 2013)","plainTextFormattedCitation":"(Garcia et al., 2013)","previouslyFormattedCitation":"(Garcia et al., 2013)"},"properties":{"noteIndex":0},"schema":"https://github.com/citation-style-language/schema/raw/master/csl-citation.json"}</w:instrText>
      </w:r>
      <w:r w:rsidRPr="002B2CD5">
        <w:rPr>
          <w:szCs w:val="24"/>
        </w:rPr>
        <w:fldChar w:fldCharType="separate"/>
      </w:r>
      <w:r w:rsidRPr="002B2CD5">
        <w:rPr>
          <w:noProof/>
          <w:szCs w:val="24"/>
        </w:rPr>
        <w:t>(Garcia et al., 2013)</w:t>
      </w:r>
      <w:r w:rsidRPr="002B2CD5">
        <w:rPr>
          <w:szCs w:val="24"/>
        </w:rPr>
        <w:fldChar w:fldCharType="end"/>
      </w:r>
      <w:r w:rsidRPr="002B2CD5">
        <w:rPr>
          <w:szCs w:val="24"/>
        </w:rPr>
        <w:t xml:space="preserve"> and dissolved inorganic carbon and alkalinity from GLODAP v2 </w:t>
      </w:r>
      <w:r w:rsidRPr="002B2CD5">
        <w:rPr>
          <w:szCs w:val="24"/>
        </w:rPr>
        <w:fldChar w:fldCharType="begin" w:fldLock="1"/>
      </w:r>
      <w:r w:rsidRPr="002B2CD5">
        <w:rPr>
          <w:szCs w:val="24"/>
        </w:rPr>
        <w:instrText>ADDIN CSL_CITATION {"citationItems":[{"id":"ITEM-1","itemData":{"DOI":"10.3334/CDIAC/OTG.NDP093_GLODAPv2","author":[{"dropping-particle":"","family":"Key","given":"R.M.","non-dropping-particle":"","parse-names":false,"suffix":""},{"dropping-particle":"","family":"Olsen","given":"Are","non-dropping-particle":"","parse-names":false,"suffix":""},{"dropping-particle":"","family":"Heuven","given":"S.","non-dropping-particle":"van","parse-names":false,"suffix":""},{"dropping-particle":"","family":"Lauvset","given":"S.K.","non-dropping-particle":"","parse-names":false,"suffix":""},{"dropping-particle":"","family":"Velo","given":"Anton","non-dropping-particle":"","parse-names":false,"suffix":""},{"dropping-particle":"","family":"Lin","given":"X.","non-dropping-particle":"","parse-names":false,"suffix":""},{"dropping-particle":"","family":"Schirnick","given":"Carsten","non-dropping-particle":"","parse-names":false,"suffix":""},{"dropping-particle":"","family":"Kozyr","given":"Alex","non-dropping-particle":"","parse-names":false,"suffix":""},{"dropping-particle":"","family":"Tanhua","given":"Toste","non-dropping-particle":"","parse-names":false,"suffix":""},{"dropping-particle":"","family":"Hoppema","given":"Mario","non-dropping-particle":"","parse-names":false,"suffix":""},{"dropping-particle":"","family":"Jutterström","given":"S.","non-dropping-particle":"","parse-names":false,"suffix":""},{"dropping-particle":"","family":"Steinfeldt","given":"Reiner","non-dropping-particle":"","parse-names":false,"suffix":""},{"dropping-particle":"","family":"Jeansson","given":"Emil","non-dropping-particle":"","parse-names":false,"suffix":""},{"dropping-particle":"","family":"Ishi","given":"M.","non-dropping-particle":"","parse-names":false,"suffix":""},{"dropping-particle":"","family":"Perez","given":"F.F.","non-dropping-particle":"","parse-names":false,"suffix":""},{"dropping-particle":"","family":"Suzuki","given":"Toru","non-dropping-particle":"","parse-names":false,"suffix":""}],"container-title":"ORNL/CDIAC-162, NDP-093","id":"ITEM-1","issued":{"date-parts":[["2015"]]},"page":"14","title":"Global Ocean Data Analysis Project, Version 2 (GLODAPv2)","type":"article-journal","volume":"ORNL/CDIAC"},"uris":["http://www.mendeley.com/documents/?uuid=06da1069-58c0-47bf-8b66-6857477d9998"]},{"id":"ITEM-2","itemData":{"DOI":"10.5194/essd-8-325-2016","ISBN":"1866-3591","ISSN":"18663516","abstract":"We here present the new GLODAP version 2 (GLODAPv2) mapped climatology, which is based on data from all ocean basins up to and including 2013. In contrast to its predecessor, GLODAPv1.1, this climatology also covers the Arctic Ocean and Mediterranean Sea. The quality controlled and internally consistent data product files of GLODAPv2 (Olsen et al., 2015; Key et al., 2015) were used to create global 1° × 1° mapped climatologies of total dissolved inorganic carbon, total alkalinity, and pH using the Data-Interpolating Variational Analysis (DIVA) mapping method. Climatologies were created for 33 standard pressure surfaces. To minimize the risk of translating temporal variability in the input data to spatial variations in the mapped climatologies, layers with pressures of 1000 dbar, or less, were mapped for two different time periods: 1986–1999 and 2000–2013, roughly corresponding to the \"WOCE\" and \"CLIVAR\" eras of global ocean surveys. All data from the 1972–2013 period were used in the mapping of pressures higher than 1000 dbar. In addition to the marine CO2 chemistry parameters listed above, nitrate, phosphate, silicate, oxygen, salinity and theta were also mapped using DIVA. For these parameters all data from the full 1972–2013 period were used on all 33 surfaces. The GLODAPv2 global 1° × 1° mapped climatologies, including error fields and ancillary information have been made available at the GLODAPv2 web page at the Carbon Dioxide Information Analysis Center (CDIAC, http://cdiac.ornl.gov/oceans/GLODAPv2/).","author":[{"dropping-particle":"","family":"Lauvset","given":"Siv K.","non-dropping-particle":"","parse-names":false,"suffix":""},{"dropping-particle":"","family":"Key","given":"Robert M.","non-dropping-particle":"","parse-names":false,"suffix":""},{"dropping-particle":"","family":"Olsen","given":"Are","non-dropping-particle":"","parse-names":false,"suffix":""},{"dropping-particle":"","family":"Heuven","given":"Steven","non-dropping-particle":"Van","parse-names":false,"suffix":""},{"dropping-particle":"","family":"Velo","given":"Anton","non-dropping-particle":"","parse-names":false,"suffix":""},{"dropping-particle":"","family":"Lin","given":"Xiaohua","non-dropping-particle":"","parse-names":false,"suffix":""},{"dropping-particle":"","family":"Schirnick","given":"Carsten","non-dropping-particle":"","parse-names":false,"suffix":""},{"dropping-particle":"","family":"Kozyr","given":"Alex","non-dropping-particle":"","parse-names":false,"suffix":""},{"dropping-particle":"","family":"Tanhua","given":"Toste","non-dropping-particle":"","parse-names":false,"suffix":""},{"dropping-particle":"","family":"Hoppema","given":"Mario","non-dropping-particle":"","parse-names":false,"suffix":""},{"dropping-particle":"","family":"Jutterström","given":"Sara","non-dropping-particle":"","parse-names":false,"suffix":""},{"dropping-particle":"","family":"Steinfeldt","given":"Reiner","non-dropping-particle":"","parse-names":false,"suffix":""},{"dropping-particle":"","family":"Jeansson","given":"Emil","non-dropping-particle":"","parse-names":false,"suffix":""},{"dropping-particle":"","family":"Ishii","given":"Masao","non-dropping-particle":"","parse-names":false,"suffix":""},{"dropping-particle":"","family":"Perez","given":"Fiz F.","non-dropping-particle":"","parse-names":false,"suffix":""},{"dropping-particle":"","family":"Suzuki","given":"Toru","non-dropping-particle":"","parse-names":false,"suffix":""},{"dropping-particle":"","family":"Watelet","given":"Sylvain","non-dropping-particle":"","parse-names":false,"suffix":""}],"container-title":"Earth System Science Data","id":"ITEM-2","issue":"2","issued":{"date-parts":[["2016"]]},"page":"325-340","title":"A new global interior ocean mapped climatology: The 1° × 1° GLODAP version 2","type":"article-journal","volume":"8"},"uris":["http://www.mendeley.com/documents/?uuid=14f99d8b-b496-4eb8-babd-d87b79f860d6"]}],"mendeley":{"formattedCitation":"(Key et al., 2015; Lauvset et al., 2016)","plainTextFormattedCitation":"(Key et al., 2015; Lauvset et al., 2016)","previouslyFormattedCitation":"(Key et al., 2015; Lauvset et al., 2016)"},"properties":{"noteIndex":0},"schema":"https://github.com/citation-style-language/schema/raw/master/csl-citation.json"}</w:instrText>
      </w:r>
      <w:r w:rsidRPr="002B2CD5">
        <w:rPr>
          <w:szCs w:val="24"/>
        </w:rPr>
        <w:fldChar w:fldCharType="separate"/>
      </w:r>
      <w:r w:rsidRPr="002B2CD5">
        <w:rPr>
          <w:noProof/>
          <w:szCs w:val="24"/>
        </w:rPr>
        <w:t>(Key et al., 2015; Lauvset et al., 2016)</w:t>
      </w:r>
      <w:r w:rsidRPr="002B2CD5">
        <w:rPr>
          <w:szCs w:val="24"/>
        </w:rPr>
        <w:fldChar w:fldCharType="end"/>
      </w:r>
      <w:r w:rsidRPr="002B2CD5">
        <w:rPr>
          <w:szCs w:val="24"/>
        </w:rPr>
        <w:t>.</w:t>
      </w:r>
      <w:r>
        <w:rPr>
          <w:szCs w:val="24"/>
        </w:rPr>
        <w:t xml:space="preserve"> </w:t>
      </w:r>
      <w:r w:rsidRPr="002B2CD5">
        <w:rPr>
          <w:szCs w:val="24"/>
        </w:rPr>
        <w:t xml:space="preserve">The model was spun up for an additional 5 years following the initial 5 years physics-only run. The benthic compartment was not analyzed herein. Riverine nutrient inputs (N,P,Si,C in particulate, organic and inorganic forms) were taken from the second version of Global  NEWS </w:t>
      </w:r>
      <w:r w:rsidRPr="002B2CD5">
        <w:rPr>
          <w:szCs w:val="24"/>
        </w:rPr>
        <w:fldChar w:fldCharType="begin" w:fldLock="1"/>
      </w:r>
      <w:r w:rsidRPr="002B2CD5">
        <w:rPr>
          <w:szCs w:val="24"/>
        </w:rPr>
        <w:instrText>ADDIN CSL_CITATION {"citationItems":[{"id":"ITEM-1","itemData":{"DOI":"10.1016/j.envsoft.2010.01.007","ISBN":"1364-8152","ISSN":"13648152","abstract":"Global NEWS is a global, spatially explicit, multi-element and multi-form model of nutrient exports by rivers. Here we present NEWS 2, the new version of Global NEWS developed as part of a Millennium Ecosystem Assessment scenario implementation from hindcast (1970) to contemporary (2000) and future scenario trajectories (2030 &amp; 2050). We provide a detailed model description and present an overview of enhancements to input datasets, emphasizing an integrated view of nutrient form sub-models and contrasts with previous NEWS models (NEWS 1). An important difference with NEWS 1 is our unified model framework (multi-element, multi-form) that facilitates detailed watershed comparisons regionally and by element or form. NEWS 2 performs approximately as well as NEWS 1 while incorporating previously uncharacterized factors. Although contemporary global river export estimates for dissolved inorganic nitrogen (DIN) and particulates show notable reductions, they are within the range of previous studies; global exports for other nutrient forms are comparable to NEWS 1. NEWS 2 can be used as an effective tool to examine the impact of polices to reduce coastal eutrophication at regional to global scales. Continued enhancements will focus on the incorporation of other forms and sub-basin spatial variability in drivers and retention processes. © 2010 Elsevier Ltd. All rights reserved.","author":[{"dropping-particle":"","family":"Mayorga","given":"Emilio","non-dropping-particle":"","parse-names":false,"suffix":""},{"dropping-particle":"","family":"Seitzinger","given":"Sybil P.","non-dropping-particle":"","parse-names":false,"suffix":""},{"dropping-particle":"","family":"Harrison","given":"John A.","non-dropping-particle":"","parse-names":false,"suffix":""},{"dropping-particle":"","family":"Dumont","given":"Egon","non-dropping-particle":"","parse-names":false,"suffix":""},{"dropping-particle":"","family":"Beusen","given":"Arthur H.W.","non-dropping-particle":"","parse-names":false,"suffix":""},{"dropping-particle":"","family":"Bouwman","given":"A. F.","non-dropping-particle":"","parse-names":false,"suffix":""},{"dropping-particle":"","family":"Fekete","given":"Balazs M.","non-dropping-particle":"","parse-names":false,"suffix":""},{"dropping-particle":"","family":"Kroeze","given":"Carolien","non-dropping-particle":"","parse-names":false,"suffix":""},{"dropping-particle":"","family":"Drecht","given":"Gerard","non-dropping-particle":"Van","parse-names":false,"suffix":""}],"container-title":"Environmental Modelling and Software","id":"ITEM-1","issue":"7","issued":{"date-parts":[["2010"]]},"page":"837-853","title":"Global Nutrient Export from WaterSheds 2 (NEWS 2): Model development and implementation","type":"article-journal","volume":"25"},"uris":["http://www.mendeley.com/documents/?uuid=695ed794-b970-4e74-ad19-305fe45cdcce"]}],"mendeley":{"formattedCitation":"(Mayorga et al., 2010)","plainTextFormattedCitation":"(Mayorga et al., 2010)","previouslyFormattedCitation":"(Mayorga et al., 2010)"},"properties":{"noteIndex":0},"schema":"https://github.com/citation-style-language/schema/raw/master/csl-citation.json"}</w:instrText>
      </w:r>
      <w:r w:rsidRPr="002B2CD5">
        <w:rPr>
          <w:szCs w:val="24"/>
        </w:rPr>
        <w:fldChar w:fldCharType="separate"/>
      </w:r>
      <w:r w:rsidRPr="002B2CD5">
        <w:rPr>
          <w:noProof/>
          <w:szCs w:val="24"/>
        </w:rPr>
        <w:t>(Mayorga et al., 2010)</w:t>
      </w:r>
      <w:r w:rsidRPr="002B2CD5">
        <w:rPr>
          <w:szCs w:val="24"/>
        </w:rPr>
        <w:fldChar w:fldCharType="end"/>
      </w:r>
      <w:r w:rsidRPr="002B2CD5">
        <w:rPr>
          <w:szCs w:val="24"/>
        </w:rPr>
        <w:t xml:space="preserve">, with dissolved inorganic carbon and alkalinity from GEMS-GLORI </w:t>
      </w:r>
      <w:r w:rsidRPr="002B2CD5">
        <w:rPr>
          <w:szCs w:val="24"/>
        </w:rPr>
        <w:fldChar w:fldCharType="begin" w:fldLock="1"/>
      </w:r>
      <w:r w:rsidRPr="002B2CD5">
        <w:rPr>
          <w:szCs w:val="24"/>
        </w:rPr>
        <w:instrText>ADDIN CSL_CITATION {"citationItems":[{"id":"ITEM-1","itemData":{"ISBN":"1-901502-20-1","ISSN":"0144-7815","abstract":"The GEMS-GLORI register, circulated by UNEP for review in 1996, lists\\n555 world major rivers discharging to oceans (Q &gt; 10 km(3) year(-1), or\\nA &gt; 10 000 km(2), or sediment discharge &gt; 5Mt year(-1), or basin\\npopulation &gt; 5M people). Up to 48 river attributes are listed, including\\nmajor ions and nutrients (C, N, P) in both dissolved, particulate,\\norganic and inorganic forms. For many rivers, two or three sets of data\\nare provided with relevant periods of records and references. Although\\nhalf of the selected rivers are not yet documented for water quality,\\nmost of the first 40 rivers are well described (Irrawady, Zambezi,\\nOgooue, Magdalena, are noted exceptions). Altogether about 10 000\\nindividual data from 500 references are listed. The global coverage in\\nterms of river discharge and/or drainage area ranges from 40 to 67% for\\nmost major water quality attributes but drops to 25% for some organic\\nand/or particulate forms of N and P. Planned development of the register\\nincludes collection of information on particulate chemistry and data on\\nendorheic rivers and selected tributaries.","author":[{"dropping-particle":"","family":"Meybeck","given":"Michel","non-dropping-particle":"","parse-names":false,"suffix":""},{"dropping-particle":"","family":"Ragu","given":"Alain","non-dropping-particle":"","parse-names":false,"suffix":""}],"container-title":"Ass. Hydrol. Sci. Publ.","id":"ITEM-1","issue":"243","issued":{"date-parts":[["1997"]]},"page":"3-14","title":"Presenting the GEMS-GLORI , a compendium of world river discharge to the oceans","type":"article-journal","volume":"243"},"uris":["http://www.mendeley.com/documents/?uuid=285f174e-5d7d-4f59-a910-67ed8e94a5e8"]}],"mendeley":{"formattedCitation":"(Meybeck and Ragu, 1997)","plainTextFormattedCitation":"(Meybeck and Ragu, 1997)","previouslyFormattedCitation":"(Meybeck and Ragu, 1997)"},"properties":{"noteIndex":0},"schema":"https://github.com/citation-style-language/schema/raw/master/csl-citation.json"}</w:instrText>
      </w:r>
      <w:r w:rsidRPr="002B2CD5">
        <w:rPr>
          <w:szCs w:val="24"/>
        </w:rPr>
        <w:fldChar w:fldCharType="separate"/>
      </w:r>
      <w:r w:rsidRPr="002B2CD5">
        <w:rPr>
          <w:noProof/>
          <w:szCs w:val="24"/>
        </w:rPr>
        <w:t>(Meybeck and Ragu, 1997)</w:t>
      </w:r>
      <w:r w:rsidRPr="002B2CD5">
        <w:rPr>
          <w:szCs w:val="24"/>
        </w:rPr>
        <w:fldChar w:fldCharType="end"/>
      </w:r>
      <w:r w:rsidRPr="002B2CD5">
        <w:rPr>
          <w:szCs w:val="24"/>
        </w:rPr>
        <w:t xml:space="preserve">. In this hindcast, atmospheric deposition as an input of nutrient were not considered. </w:t>
      </w:r>
    </w:p>
    <w:p w14:paraId="42191867" w14:textId="77777777" w:rsidR="00D53E97" w:rsidRDefault="00D53E97" w:rsidP="005A5034">
      <w:pPr>
        <w:pStyle w:val="Ttulo4"/>
        <w:numPr>
          <w:ilvl w:val="0"/>
          <w:numId w:val="0"/>
        </w:numPr>
        <w:ind w:left="567" w:hanging="567"/>
      </w:pPr>
      <w:r>
        <w:lastRenderedPageBreak/>
        <w:t>GETM-MedERGOM</w:t>
      </w:r>
    </w:p>
    <w:p w14:paraId="57CA08F9" w14:textId="135453D4" w:rsidR="00D53E97" w:rsidRPr="002B2CD5" w:rsidRDefault="00D53E97" w:rsidP="00D53E97">
      <w:pPr>
        <w:autoSpaceDE w:val="0"/>
        <w:autoSpaceDN w:val="0"/>
        <w:adjustRightInd w:val="0"/>
        <w:spacing w:after="0"/>
        <w:rPr>
          <w:szCs w:val="24"/>
        </w:rPr>
      </w:pPr>
      <w:r w:rsidRPr="002B2CD5">
        <w:rPr>
          <w:szCs w:val="24"/>
        </w:rPr>
        <w:t xml:space="preserve">MedERGOM is a modified version of the ERGOM model </w:t>
      </w:r>
      <w:r w:rsidRPr="002B2CD5">
        <w:rPr>
          <w:szCs w:val="24"/>
        </w:rPr>
        <w:fldChar w:fldCharType="begin" w:fldLock="1"/>
      </w:r>
      <w:r w:rsidRPr="002B2CD5">
        <w:rPr>
          <w:szCs w:val="24"/>
        </w:rPr>
        <w:instrText>ADDIN CSL_CITATION {"citationItems":[{"id":"ITEM-1","itemData":{"DOI":"10.1029/2001GB001450","ISBN":"0886-6236","ISSN":"08866236","abstract":"The study presents results of decadal simulations of the dynamics of the ecosystem of the Baltic Sea with a three-dimensional coupled physical chemical biological model for the 1980s. The model consists of a circulation model, which is an implementation of the Modular Ocean Model (MOM 2) for the Baltic Sea and an embedded ecosystem model based on a nine-component model (ERGOM [Neumann, 2000]). The model was driven with realistic atmospheric forcing, river loads, and atmospheric deposition of nutrients. A simulation with the realistic forcing was carried out as a control run in order to study in a further experimental simulation the response of the model ecosystem to a 50% reduction of riverine nutrient loads. It was found that the model food web reacts on the load reduction in a complex manner. The changes in dissolved nutrients and in phytoplankton display a spatial variability and different species-specific reactions. While the total biomass and nutrient inventories are reduced, there are significant regional differences. In particular, the role of cyanobacteria, which can fix atmospheric nitrogen, is important, and the biomass of cyanobacteria increases in response to the reduced loads. Although the model system needs further improvements, the present study is a step toward an understanding of the quantitative effects of a reduction of nutrient river loads to the Baltic Sea ecosystem based on a full three-dimensional coupled model.","author":[{"dropping-particle":"","family":"Neumann","given":"Thomas","non-dropping-particle":"","parse-names":false,"suffix":""},{"dropping-particle":"","family":"Fennel","given":"Wolfgang","non-dropping-particle":"","parse-names":false,"suffix":""},{"dropping-particle":"","family":"Kremp","given":"Christine","non-dropping-particle":"","parse-names":false,"suffix":""}],"container-title":"Global Biogeochemical Cycles","id":"ITEM-1","issue":"3","issued":{"date-parts":[["2002"]]},"page":"7-1-7-19","title":"Experimental simulations with an ecosystem model of the Baltic Sea: A nutrient load reduction experiment","type":"article-journal","volume":"16"},"uris":["http://www.mendeley.com/documents/?uuid=e8a780d3-8a06-4141-850b-7676d43b0861"]}],"mendeley":{"formattedCitation":"(Neumann et al., 2002)","plainTextFormattedCitation":"(Neumann et al., 2002)","previouslyFormattedCitation":"(Neumann et al., 2002)"},"properties":{"noteIndex":0},"schema":"https://github.com/citation-style-language/schema/raw/master/csl-citation.json"}</w:instrText>
      </w:r>
      <w:r w:rsidRPr="002B2CD5">
        <w:rPr>
          <w:szCs w:val="24"/>
        </w:rPr>
        <w:fldChar w:fldCharType="separate"/>
      </w:r>
      <w:r w:rsidRPr="002B2CD5">
        <w:rPr>
          <w:noProof/>
          <w:szCs w:val="24"/>
        </w:rPr>
        <w:t>(Neumann et al., 2002)</w:t>
      </w:r>
      <w:r w:rsidRPr="002B2CD5">
        <w:rPr>
          <w:szCs w:val="24"/>
        </w:rPr>
        <w:fldChar w:fldCharType="end"/>
      </w:r>
      <w:r w:rsidRPr="002B2CD5">
        <w:rPr>
          <w:szCs w:val="24"/>
        </w:rPr>
        <w:t xml:space="preserve"> specifically adapted to represent the conditions of the pelagic ecosystem of the Mediterranean Sea. It has proven useful to describe present </w:t>
      </w:r>
      <w:r w:rsidRPr="002B2CD5">
        <w:rPr>
          <w:szCs w:val="24"/>
        </w:rPr>
        <w:fldChar w:fldCharType="begin" w:fldLock="1"/>
      </w:r>
      <w:r>
        <w:rPr>
          <w:szCs w:val="24"/>
        </w:rPr>
        <w:instrText>ADDIN CSL_CITATION {"citationItems":[{"id":"ITEM-1","itemData":{"author":[{"dropping-particle":"","family":"Macias","given":"D.M","non-dropping-particle":"","parse-names":false,"suffix":""},{"dropping-particle":"","family":"Stips","given":"A","non-dropping-particle":"","parse-names":false,"suffix":""},{"dropping-particle":"","family":"Garcia-Gorriz","given":"E","non-dropping-particle":"","parse-names":false,"suffix":""}],"container-title":"Ecological Modelling","id":"ITEM-1","issued":{"date-parts":[["2014"]]},"page":"26-31","title":"The relevance of deep chlorophyll maximum in the open Mediterranean Sea evaluated through 3D hydrodynamic-biogeochemical coupled simulations","type":"article-journal","volume":"281"},"uris":["http://www.mendeley.com/documents/?uuid=b9267f46-1a86-48df-b695-29e2322815d0"]}],"mendeley":{"formattedCitation":"(Macias et al., 2014a)","manualFormatting":"(Macias et al., 2014a)","plainTextFormattedCitation":"(Macias et al., 2014a)","previouslyFormattedCitation":"(Macias et al., 2014a)"},"properties":{"noteIndex":0},"schema":"https://github.com/citation-style-language/schema/raw/master/csl-citation.json"}</w:instrText>
      </w:r>
      <w:r w:rsidRPr="002B2CD5">
        <w:rPr>
          <w:szCs w:val="24"/>
        </w:rPr>
        <w:fldChar w:fldCharType="separate"/>
      </w:r>
      <w:r w:rsidRPr="002B2CD5">
        <w:rPr>
          <w:noProof/>
          <w:szCs w:val="24"/>
        </w:rPr>
        <w:t>(Macias et al., 2014a)</w:t>
      </w:r>
      <w:r w:rsidRPr="002B2CD5">
        <w:rPr>
          <w:szCs w:val="24"/>
        </w:rPr>
        <w:fldChar w:fldCharType="end"/>
      </w:r>
      <w:r w:rsidRPr="002B2CD5">
        <w:rPr>
          <w:szCs w:val="24"/>
        </w:rPr>
        <w:t xml:space="preserve">, past </w:t>
      </w:r>
      <w:r w:rsidRPr="002B2CD5">
        <w:rPr>
          <w:szCs w:val="24"/>
        </w:rPr>
        <w:fldChar w:fldCharType="begin" w:fldLock="1"/>
      </w:r>
      <w:r>
        <w:rPr>
          <w:szCs w:val="24"/>
        </w:rPr>
        <w:instrText>ADDIN CSL_CITATION {"citationItems":[{"id":"ITEM-1","itemData":{"DOI":"10.1002/2014GB004846","ISBN":"9780121476854","ISSN":"19449224","PMID":"26180286","abstract":"The temporal dynamics of biogeochemical variables derived from a coupled 3-D model of the Mediterranean Sea are evaluated for the last 50 years (1960-2010) against independent data on fisheries catch per unit effort (CPUE) for the same time period. Concordant patterns are found in the time series of all of the biological variables (from the model and from fisheries statistics), with low values at the beginning of the series, a later increase, with maximum levels reached at the end of the 1990s, and a posterior stabilization. Spectral analysis of the annual biological time series reveals coincident low-frequency signals in all of them. The first, more energetic signal peaks around the year 2000, while the second, less energetic signal peaks near 1982. Almost identical low-frequency signals are found in the nutrient loads of the rivers and in the integrated nutrient levels in the surface marine ecosystem. Nitrate concentration shows a maximum level in 1998, with a later stabilization to present-day values, coincident with the first low-frequency signal found in the biological series. Phosphate shows maximum concentrations around 1982 and a posterior sharp decline, in concordance with the second low-frequency signal observed in the biological series. That result seems to indicate that the control of marine productivity (plankton to fish) in the Mediterranean is principally mediated through bottom-up processes that could be traced back to the characteristics of riverine discharges. The high sensitivity of CPUE time series to environmental conditions might be another indicator of the overexploitation of this marine ecosystem. KEY POINTS: Biogeochemical evolution of the Mediterranean over the past 50 yearsRiver nutrient loads drive primary and secondary productionsStrong link between low trophic levels and fisheries.","author":[{"dropping-particle":"","family":"Macias","given":"Diego","non-dropping-particle":"","parse-names":false,"suffix":""},{"dropping-particle":"","family":"Garcia-Gorriz","given":"Elisa","non-dropping-particle":"","parse-names":false,"suffix":""},{"dropping-particle":"","family":"Piroddi","given":"Chiara","non-dropping-particle":"","parse-names":false,"suffix":""},{"dropping-particle":"","family":"Stips","given":"Adolf","non-dropping-particle":"","parse-names":false,"suffix":""}],"container-title":"Global Biogeochemical Cycles","id":"ITEM-1","issue":"8","issued":{"date-parts":[["2014"]]},"page":"897-907","title":"Biogeochemical control of marine productivity in the Mediterranean Sea during the last 50 years","type":"article-journal","volume":"28"},"uris":["http://www.mendeley.com/documents/?uuid=6897390b-6ded-4fda-b7fb-985874a0abce"]}],"mendeley":{"formattedCitation":"(Macias et al., 2014b)","manualFormatting":"(Macias et al., 2014b)","plainTextFormattedCitation":"(Macias et al., 2014b)","previouslyFormattedCitation":"(Macias et al., 2014b)"},"properties":{"noteIndex":0},"schema":"https://github.com/citation-style-language/schema/raw/master/csl-citation.json"}</w:instrText>
      </w:r>
      <w:r w:rsidRPr="002B2CD5">
        <w:rPr>
          <w:szCs w:val="24"/>
        </w:rPr>
        <w:fldChar w:fldCharType="separate"/>
      </w:r>
      <w:r w:rsidRPr="002B2CD5">
        <w:rPr>
          <w:noProof/>
          <w:szCs w:val="24"/>
        </w:rPr>
        <w:t>(Macias et al., 2014b)</w:t>
      </w:r>
      <w:r w:rsidRPr="002B2CD5">
        <w:rPr>
          <w:szCs w:val="24"/>
        </w:rPr>
        <w:fldChar w:fldCharType="end"/>
      </w:r>
      <w:r w:rsidRPr="002B2CD5">
        <w:rPr>
          <w:szCs w:val="24"/>
        </w:rPr>
        <w:t xml:space="preserve">, and future </w:t>
      </w:r>
      <w:r w:rsidRPr="002B2CD5">
        <w:rPr>
          <w:szCs w:val="24"/>
        </w:rPr>
        <w:fldChar w:fldCharType="begin" w:fldLock="1"/>
      </w:r>
      <w:r>
        <w:rPr>
          <w:szCs w:val="24"/>
        </w:rPr>
        <w:instrText>ADDIN CSL_CITATION {"citationItems":[{"id":"ITEM-1","itemData":{"DOI":"10.1038/s41598-018-24965-0","ISSN":"20452322","abstract":"© 2018 The Author(s). Deep water convection (DC) in winter is one of the major processes driving open-ocean primary productivity in the Northwestern Mediterranean Sea. DC is highly variable in time, depending on the specific conditions (stratification, circulation and ocean-atmosphere interactions) of each specific winter. This variability also drives the interannual oscillations of open-ocean primary productivity in this important region for many commercially-important fish species. We use a coupled model system to 1) understand to what extent DC impacts phytoplankton seasonality in the present-day and 2) to explore potential changes in future scenarios (~2030). Our model represents quite accurately the present-day characteristics of DC and its importance for open-ocean phytoplankton blooms. However, for the future scenarios the importance of deep nutrients in fertilizing the euphotic layer of the NW Mediterranean decreases. The model simulates changes in surface density and on the levels of kinetic energy that make mesoscale activity associated with horizontal currents to become a more important fertilization mechani sm, inducing subsequently phenological changes in seasonal plankton cycles. Because of our focus on the open-sea, an exact quantification of the impact of those changes on the overall biological production of the NW Mediterranean cannot be made at the moment.","author":[{"dropping-particle":"","family":"Macias","given":"Diego","non-dropping-particle":"","parse-names":false,"suffix":""},{"dropping-particle":"","family":"Garcia-Gorriz","given":"Elisa","non-dropping-particle":"","parse-names":false,"suffix":""},{"dropping-particle":"","family":"Stips","given":"Adolf","non-dropping-particle":"","parse-names":false,"suffix":""}],"container-title":"Scientific Reports","id":"ITEM-1","issue":"1","issued":{"date-parts":[["2018"]]},"publisher":"Springer US","title":"Deep winter convection and phytoplankton dynamics in the NW Mediterranean Sea under present climate and future (horizon 2030) scenarios","type":"article-journal","volume":"8"},"uris":["http://www.mendeley.com/documents/?uuid=90c0aa43-f312-4a64-9272-da29d8f0fcba"]}],"mendeley":{"formattedCitation":"(Macias et al., 2018a)","manualFormatting":"(Macias et al., 2018a)","plainTextFormattedCitation":"(Macias et al., 2018a)","previouslyFormattedCitation":"(Macias et al., 2018a)"},"properties":{"noteIndex":0},"schema":"https://github.com/citation-style-language/schema/raw/master/csl-citation.json"}</w:instrText>
      </w:r>
      <w:r w:rsidRPr="002B2CD5">
        <w:rPr>
          <w:szCs w:val="24"/>
        </w:rPr>
        <w:fldChar w:fldCharType="separate"/>
      </w:r>
      <w:r w:rsidRPr="002B2CD5">
        <w:rPr>
          <w:noProof/>
          <w:szCs w:val="24"/>
        </w:rPr>
        <w:t>(Macias et al., 2018a)</w:t>
      </w:r>
      <w:r w:rsidRPr="002B2CD5">
        <w:rPr>
          <w:szCs w:val="24"/>
        </w:rPr>
        <w:fldChar w:fldCharType="end"/>
      </w:r>
      <w:r w:rsidRPr="002B2CD5">
        <w:rPr>
          <w:szCs w:val="24"/>
        </w:rPr>
        <w:t xml:space="preserve"> biogeochemical conditions in this semi-enclosed basin. MedERGOM includes three phytoplankton types, three macronutrients (nitrate, ammonia, and phosphate), detritus and dissolved oxygen as main state variables. The distinction between the three phytoplankton types included in the model is based on their role within the planktonic community. Hence, macrophytoplankton can grow very efficiently under nutrient-rich, light plentiful conditions (but are not dependent on silicate), micro-, nanophytoplankton are able to grow in nutrient-limited conditions and with lower light levels, and N-fixing organisms (e.g., cyanobacteria) are able to fix molecular nitrogen and are regulated by salinity (as they are only allow to grow in low-salinity environments). The particular implementation of MedERGOM used in the present contribution considers a flexible N:P ratio on phytoplankton incorporation following the Line of Frugality concept </w:t>
      </w:r>
      <w:r w:rsidRPr="002B2CD5">
        <w:rPr>
          <w:szCs w:val="24"/>
        </w:rPr>
        <w:fldChar w:fldCharType="begin" w:fldLock="1"/>
      </w:r>
      <w:r w:rsidRPr="002B2CD5">
        <w:rPr>
          <w:szCs w:val="24"/>
        </w:rPr>
        <w:instrText>ADDIN CSL_CITATION {"citationItems":[{"id":"ITEM-1","itemData":{"DOI":"10.1073/pnas.1423917112","ISBN":"1091-6490 (Electronic)\\r0027-8424 (Linking)","ISSN":"0027-8424","PMID":"26056296","abstract":"It is widely recognized that the stoichiometry of nutrient elements in phytoplankton varies within the ocean. However, there are many conflicting mechanistic explanations for this variability, and it is often ignored in global biogeochemical models and carbon cycle simulations. Here we show that globally distributed particulate P:C varies as a linear function of ambient phosphate concentrations, whereas the N:C varies with ambient nitrate concentrations, but only when nitrate is most scarce. This observation is consistent with the adjustment of the phytoplankton community to local nutrient availability, with greater flexibility of phytoplankton P:C because P is a less abundant cellular component than N. This simple relationship is shown to predict the large-scale, long-term average composition of surface particles throughout large parts of the ocean remarkably well. The relationship implies that most of the observed variation in N:P actually arises from a greater plasticity in the cellular P:C content, relative to N:C, such that as overall macronutrient concentrations decrease, N:P rises. Although other mechanisms are certainly also relevant, this simple relationship can be applied as a first-order basis for predicting organic matter stoichiometry in large-scale biogeochemical models, as illustrated using a simple box model. The results show that including variable P:C makes atmospheric CO2 more sensitive to changes in low latitude export and ocean circulation than a fixed-stoichiometry model. In addition, variable P:C weakens the relationship between preformed phosphate and atmospheric CO2 while implying a more important role for the nitrogen cycle.","author":[{"dropping-particle":"","family":"Galbraith","given":"Eric D.","non-dropping-particle":"","parse-names":false,"suffix":""},{"dropping-particle":"","family":"Martiny","given":"Adam C.","non-dropping-particle":"","parse-names":false,"suffix":""}],"container-title":"Proceedings of the National Academy of Sciences","id":"ITEM-1","issue":"27","issued":{"date-parts":[["2015"]]},"page":"8199-8204","title":"A simple nutrient-dependence mechanism for predicting the stoichiometry of marine ecosystems","type":"article-journal","volume":"112"},"uris":["http://www.mendeley.com/documents/?uuid=a349ca9a-b882-408f-b696-662b9ce7e4a1"]}],"mendeley":{"formattedCitation":"(Galbraith and Martiny, 2015)","plainTextFormattedCitation":"(Galbraith and Martiny, 2015)","previouslyFormattedCitation":"(Galbraith and Martiny, 2015)"},"properties":{"noteIndex":0},"schema":"https://github.com/citation-style-language/schema/raw/master/csl-citation.json"}</w:instrText>
      </w:r>
      <w:r w:rsidRPr="002B2CD5">
        <w:rPr>
          <w:szCs w:val="24"/>
        </w:rPr>
        <w:fldChar w:fldCharType="separate"/>
      </w:r>
      <w:r w:rsidRPr="002B2CD5">
        <w:rPr>
          <w:noProof/>
          <w:szCs w:val="24"/>
        </w:rPr>
        <w:t>(Galbraith and Martiny, 2015)</w:t>
      </w:r>
      <w:r w:rsidRPr="002B2CD5">
        <w:rPr>
          <w:szCs w:val="24"/>
        </w:rPr>
        <w:fldChar w:fldCharType="end"/>
      </w:r>
      <w:r w:rsidRPr="002B2CD5">
        <w:rPr>
          <w:szCs w:val="24"/>
        </w:rPr>
        <w:t xml:space="preserve">. As described in </w:t>
      </w:r>
      <w:r w:rsidRPr="002B2CD5">
        <w:rPr>
          <w:szCs w:val="24"/>
        </w:rPr>
        <w:fldChar w:fldCharType="begin" w:fldLock="1"/>
      </w:r>
      <w:r w:rsidR="00012AF9">
        <w:rPr>
          <w:szCs w:val="24"/>
        </w:rPr>
        <w:instrText>ADDIN CSL_CITATION {"citationItems":[{"id":"ITEM-1","itemData":{"DOI":"10.2760/797879","ISBN":"9789279809569","author":[{"dropping-particle":"","family":"Macias","given":"Diego M.","non-dropping-particle":"","parse-names":false,"suffix":""},{"dropping-particle":"","family":"Stips","given":"Adolf","non-dropping-particle":"","parse-names":false,"suffix":""},{"dropping-particle":"","family":"Garcia-Gorriz","given":"Elisa","non-dropping-particle":"","parse-names":false,"suffix":""}],"edition":"JRC111042,","id":"ITEM-1","issued":{"date-parts":[["2018"]]},"publisher":"Publications Office of the European Union","publisher-place":"Luxembourg","title":"Adaptive nitrogen to phosphate ratio in biogeochemical models , consequences for the stoichiometry of the Mediterranean Sea","type":"report"},"uris":["http://www.mendeley.com/documents/?uuid=47d58a92-4548-4d6c-8758-fb3e373982b4"]}],"mendeley":{"formattedCitation":"(Macias et al., 2018b)","manualFormatting":" Macias et al. (2018b","plainTextFormattedCitation":"(Macias et al., 2018b)","previouslyFormattedCitation":"(Macias et al., 2018b)"},"properties":{"noteIndex":0},"schema":"https://github.com/citation-style-language/schema/raw/master/csl-citation.json"}</w:instrText>
      </w:r>
      <w:r w:rsidRPr="002B2CD5">
        <w:rPr>
          <w:szCs w:val="24"/>
        </w:rPr>
        <w:fldChar w:fldCharType="separate"/>
      </w:r>
      <w:r w:rsidRPr="002B2CD5">
        <w:rPr>
          <w:noProof/>
          <w:szCs w:val="24"/>
        </w:rPr>
        <w:t xml:space="preserve"> Macias et al. (2018b</w:t>
      </w:r>
      <w:r w:rsidRPr="002B2CD5">
        <w:rPr>
          <w:szCs w:val="24"/>
        </w:rPr>
        <w:fldChar w:fldCharType="end"/>
      </w:r>
      <w:r w:rsidRPr="002B2CD5">
        <w:rPr>
          <w:szCs w:val="24"/>
        </w:rPr>
        <w:t>) the application of this flexible internal nutrient ratio allows a better description of the chemical (nutrients concentration) conditions of the Mediterranean Sea.</w:t>
      </w:r>
    </w:p>
    <w:p w14:paraId="7CC72553" w14:textId="77777777" w:rsidR="00D53E97" w:rsidRPr="002B2CD5" w:rsidRDefault="00D53E97" w:rsidP="00D53E97">
      <w:pPr>
        <w:autoSpaceDE w:val="0"/>
        <w:autoSpaceDN w:val="0"/>
        <w:adjustRightInd w:val="0"/>
        <w:spacing w:after="0"/>
        <w:rPr>
          <w:szCs w:val="24"/>
        </w:rPr>
      </w:pPr>
    </w:p>
    <w:p w14:paraId="7EEFDE6E" w14:textId="77777777" w:rsidR="00D53E97" w:rsidRDefault="00D53E97" w:rsidP="00D53E97">
      <w:pPr>
        <w:autoSpaceDE w:val="0"/>
        <w:autoSpaceDN w:val="0"/>
        <w:adjustRightInd w:val="0"/>
        <w:spacing w:after="0"/>
        <w:rPr>
          <w:szCs w:val="24"/>
        </w:rPr>
      </w:pPr>
      <w:r w:rsidRPr="002B2CD5">
        <w:rPr>
          <w:szCs w:val="24"/>
        </w:rPr>
        <w:t>A continuous small atmospheric input of nitrate, phosphate, and ammonium (equivalent to their climatological mean) were imposed in the entire model domain: nitrate 8.0*10</w:t>
      </w:r>
      <w:r w:rsidRPr="00E1289D">
        <w:rPr>
          <w:szCs w:val="24"/>
          <w:vertAlign w:val="superscript"/>
        </w:rPr>
        <w:t>-2</w:t>
      </w:r>
      <w:r w:rsidRPr="002B2CD5">
        <w:rPr>
          <w:szCs w:val="24"/>
        </w:rPr>
        <w:t xml:space="preserve"> mmol m</w:t>
      </w:r>
      <w:r w:rsidRPr="00E1289D">
        <w:rPr>
          <w:szCs w:val="24"/>
          <w:vertAlign w:val="superscript"/>
        </w:rPr>
        <w:t>-2</w:t>
      </w:r>
      <w:r w:rsidRPr="002B2CD5">
        <w:rPr>
          <w:szCs w:val="24"/>
        </w:rPr>
        <w:t xml:space="preserve"> d</w:t>
      </w:r>
      <w:r w:rsidRPr="00E1289D">
        <w:rPr>
          <w:szCs w:val="24"/>
          <w:vertAlign w:val="superscript"/>
        </w:rPr>
        <w:t>-1</w:t>
      </w:r>
      <w:r w:rsidRPr="002B2CD5">
        <w:rPr>
          <w:szCs w:val="24"/>
        </w:rPr>
        <w:t xml:space="preserve"> and ammonium 4.0*10</w:t>
      </w:r>
      <w:r w:rsidRPr="00196D3B">
        <w:rPr>
          <w:szCs w:val="24"/>
          <w:vertAlign w:val="superscript"/>
        </w:rPr>
        <w:t>-2</w:t>
      </w:r>
      <w:r w:rsidRPr="002B2CD5">
        <w:rPr>
          <w:szCs w:val="24"/>
        </w:rPr>
        <w:t xml:space="preserve"> mmol m</w:t>
      </w:r>
      <w:r w:rsidRPr="00E1289D">
        <w:rPr>
          <w:szCs w:val="24"/>
          <w:vertAlign w:val="superscript"/>
        </w:rPr>
        <w:t>-2</w:t>
      </w:r>
      <w:r w:rsidRPr="002B2CD5">
        <w:rPr>
          <w:szCs w:val="24"/>
        </w:rPr>
        <w:t xml:space="preserve"> d</w:t>
      </w:r>
      <w:r w:rsidRPr="00E1289D">
        <w:rPr>
          <w:szCs w:val="24"/>
          <w:vertAlign w:val="superscript"/>
        </w:rPr>
        <w:t>-1</w:t>
      </w:r>
      <w:r w:rsidRPr="002B2CD5">
        <w:rPr>
          <w:szCs w:val="24"/>
        </w:rPr>
        <w:t xml:space="preserve"> from </w:t>
      </w:r>
      <w:r w:rsidRPr="002B2CD5">
        <w:rPr>
          <w:szCs w:val="24"/>
        </w:rPr>
        <w:fldChar w:fldCharType="begin" w:fldLock="1"/>
      </w:r>
      <w:r w:rsidRPr="002B2CD5">
        <w:rPr>
          <w:szCs w:val="24"/>
        </w:rPr>
        <w:instrText>ADDIN CSL_CITATION {"citationItems":[{"id":"ITEM-1","itemData":{"DOI":"10.1007/s13398-014-0173-7.2","ISBN":"1726-4189","ISSN":"0717-6163","PMID":"15003161","author":[{"dropping-particle":"","family":"EMEP","given":"","non-dropping-particle":"","parse-names":false,"suffix":""}],"container-title":"EMEP Report","id":"ITEM-1","issued":{"date-parts":[["2014"]]},"page":"216","title":"Transboundary particulate matter, photo-oxidants, acidifying and eutrophying components","type":"article-journal","volume":"1"},"uris":["http://www.mendeley.com/documents/?uuid=a118d143-a769-4546-88b3-730054322849"]}],"mendeley":{"formattedCitation":"(EMEP, 2014)","plainTextFormattedCitation":"(EMEP, 2014)","previouslyFormattedCitation":"(EMEP, 2014)"},"properties":{"noteIndex":0},"schema":"https://github.com/citation-style-language/schema/raw/master/csl-citation.json"}</w:instrText>
      </w:r>
      <w:r w:rsidRPr="002B2CD5">
        <w:rPr>
          <w:szCs w:val="24"/>
        </w:rPr>
        <w:fldChar w:fldCharType="separate"/>
      </w:r>
      <w:r w:rsidRPr="002B2CD5">
        <w:rPr>
          <w:noProof/>
          <w:szCs w:val="24"/>
        </w:rPr>
        <w:t>(EMEP, 2014)</w:t>
      </w:r>
      <w:r w:rsidRPr="002B2CD5">
        <w:rPr>
          <w:szCs w:val="24"/>
        </w:rPr>
        <w:fldChar w:fldCharType="end"/>
      </w:r>
      <w:r w:rsidRPr="002B2CD5">
        <w:rPr>
          <w:szCs w:val="24"/>
        </w:rPr>
        <w:t>; phosphate 1.2*10</w:t>
      </w:r>
      <w:r w:rsidRPr="00E1289D">
        <w:rPr>
          <w:szCs w:val="24"/>
          <w:vertAlign w:val="superscript"/>
        </w:rPr>
        <w:t>-3</w:t>
      </w:r>
      <w:r w:rsidRPr="002B2CD5">
        <w:rPr>
          <w:szCs w:val="24"/>
        </w:rPr>
        <w:t xml:space="preserve"> mmol m</w:t>
      </w:r>
      <w:r w:rsidRPr="00E1289D">
        <w:rPr>
          <w:szCs w:val="24"/>
          <w:vertAlign w:val="superscript"/>
        </w:rPr>
        <w:t>-2</w:t>
      </w:r>
      <w:r w:rsidRPr="002B2CD5">
        <w:rPr>
          <w:szCs w:val="24"/>
        </w:rPr>
        <w:t xml:space="preserve"> d</w:t>
      </w:r>
      <w:r w:rsidRPr="00E1289D">
        <w:rPr>
          <w:szCs w:val="24"/>
          <w:vertAlign w:val="superscript"/>
        </w:rPr>
        <w:t>-1</w:t>
      </w:r>
      <w:r w:rsidRPr="002B2CD5">
        <w:rPr>
          <w:szCs w:val="24"/>
        </w:rPr>
        <w:t xml:space="preserve"> assuming a N:P in the atmospheric deposition 100 </w:t>
      </w:r>
      <w:r w:rsidRPr="002B2CD5">
        <w:rPr>
          <w:szCs w:val="24"/>
        </w:rPr>
        <w:fldChar w:fldCharType="begin" w:fldLock="1"/>
      </w:r>
      <w:r w:rsidRPr="002B2CD5">
        <w:rPr>
          <w:szCs w:val="24"/>
        </w:rPr>
        <w:instrText>ADDIN CSL_CITATION {"citationItems":[{"id":"ITEM-1","itemData":{"DOI":"10.4319/lo.2003.48.4.1557","ISBN":"2001070101","ISSN":"00243590","abstract":"Total and dissolved inorganic phosphorus (IP) was measured in both rainwater and aerosol samples collected from two remote coastal areas: on the island of Crete (Greece) and at Erdemli (Turkey). Particle size distributions of P, as well as total deposition were also measured. Wet and dry deposition of dissolved inorganic phosphorus (DIP) from Crete are compared with simultaneously obtained dissolved inorganic nitrogen (DIN) and with produc- tivity data from the literature. Our results indicate that (1) in both wet and dry deposition, the DIN/DIP molar ratio ranges between 63 and 349, exceeding by a factor of up to 22 the N/P ratio observed in seawater (ranging from 25 to 28) and (2) atmospheric deposition of DIP could reasonably account for a significant part of the new production (up to 38%) observed during the summer and autumn period (i.e., when water stratification is at its maximum).","author":[{"dropping-particle":"","family":"Markaki","given":"Z.","non-dropping-particle":"","parse-names":false,"suffix":""},{"dropping-particle":"","family":"Oikonomou","given":"K.","non-dropping-particle":"","parse-names":false,"suffix":""},{"dropping-particle":"","family":"Kocak","given":"M.","non-dropping-particle":"","parse-names":false,"suffix":""},{"dropping-particle":"","family":"Kouvarakis","given":"G.","non-dropping-particle":"","parse-names":false,"suffix":""},{"dropping-particle":"","family":"Chaniotaki","given":"A.","non-dropping-particle":"","parse-names":false,"suffix":""},{"dropping-particle":"","family":"Kubilay","given":"N.","non-dropping-particle":"","parse-names":false,"suffix":""},{"dropping-particle":"","family":"Mihalopoulos","given":"N.","non-dropping-particle":"","parse-names":false,"suffix":""}],"container-title":"Limnology and Oceanography","id":"ITEM-1","issue":"4","issued":{"date-parts":[["2003"]]},"page":"1557-1568","title":"Atmospheric deposition of inorganic phosphorus in the Levantine Basin, eastern Mediterranean: Spatial and temporal variability and its role in seawater productivity","type":"article-journal","volume":"48"},"uris":["http://www.mendeley.com/documents/?uuid=8fbfbfc1-bab2-48b0-897e-8d157cca0010"]}],"mendeley":{"formattedCitation":"(Markaki et al., 2003)","plainTextFormattedCitation":"(Markaki et al., 2003)","previouslyFormattedCitation":"(Markaki et al., 2003)"},"properties":{"noteIndex":0},"schema":"https://github.com/citation-style-language/schema/raw/master/csl-citation.json"}</w:instrText>
      </w:r>
      <w:r w:rsidRPr="002B2CD5">
        <w:rPr>
          <w:szCs w:val="24"/>
        </w:rPr>
        <w:fldChar w:fldCharType="separate"/>
      </w:r>
      <w:r w:rsidRPr="002B2CD5">
        <w:rPr>
          <w:noProof/>
          <w:szCs w:val="24"/>
        </w:rPr>
        <w:t>(Markaki et al., 2003)</w:t>
      </w:r>
      <w:r w:rsidRPr="002B2CD5">
        <w:rPr>
          <w:szCs w:val="24"/>
        </w:rPr>
        <w:fldChar w:fldCharType="end"/>
      </w:r>
      <w:r w:rsidRPr="002B2CD5">
        <w:rPr>
          <w:szCs w:val="24"/>
        </w:rPr>
        <w:t>. Inorganic nutrient loads (nitrate and phosphate) of the 53 rivers included in the model were obtained from Ludwig et al. (2009) who combined literature reports with the Water base database at the European Environmental Agency (EAA).</w:t>
      </w:r>
    </w:p>
    <w:p w14:paraId="533516C6" w14:textId="77777777" w:rsidR="00D53E97" w:rsidRPr="00376CC5" w:rsidRDefault="00D53E97" w:rsidP="00D53E97">
      <w:pPr>
        <w:autoSpaceDE w:val="0"/>
        <w:autoSpaceDN w:val="0"/>
        <w:adjustRightInd w:val="0"/>
        <w:spacing w:after="0"/>
        <w:rPr>
          <w:rStyle w:val="Hipervnculo"/>
          <w:szCs w:val="24"/>
        </w:rPr>
      </w:pPr>
    </w:p>
    <w:p w14:paraId="1A46ACF2" w14:textId="77777777" w:rsidR="00D53E97" w:rsidRPr="00D53E97" w:rsidRDefault="00D53E97" w:rsidP="0077369F">
      <w:pPr>
        <w:rPr>
          <w:rStyle w:val="Ttulo2Car"/>
        </w:rPr>
      </w:pPr>
    </w:p>
    <w:p w14:paraId="4BA11B21" w14:textId="77777777" w:rsidR="0077369F" w:rsidRPr="00145A89" w:rsidRDefault="00145A89" w:rsidP="00340496">
      <w:pPr>
        <w:rPr>
          <w:b/>
          <w:u w:val="single"/>
          <w:lang w:val="en-GB"/>
        </w:rPr>
      </w:pPr>
      <w:r w:rsidRPr="00145A89">
        <w:rPr>
          <w:b/>
          <w:u w:val="single"/>
          <w:lang w:val="en-GB"/>
        </w:rPr>
        <w:t>References:</w:t>
      </w:r>
    </w:p>
    <w:p w14:paraId="3ECD58B2" w14:textId="64D6350F" w:rsidR="00EE6BD0" w:rsidRPr="00EE6BD0" w:rsidRDefault="00597288" w:rsidP="00EE6BD0">
      <w:pPr>
        <w:widowControl w:val="0"/>
        <w:autoSpaceDE w:val="0"/>
        <w:autoSpaceDN w:val="0"/>
        <w:adjustRightInd w:val="0"/>
        <w:spacing w:before="240"/>
        <w:ind w:left="480" w:hanging="480"/>
        <w:rPr>
          <w:rFonts w:cs="Times New Roman"/>
          <w:noProof/>
          <w:sz w:val="20"/>
          <w:szCs w:val="24"/>
        </w:rPr>
      </w:pPr>
      <w:r w:rsidRPr="00942F0E">
        <w:rPr>
          <w:sz w:val="20"/>
          <w:szCs w:val="20"/>
        </w:rPr>
        <w:fldChar w:fldCharType="begin" w:fldLock="1"/>
      </w:r>
      <w:r w:rsidR="00145A89" w:rsidRPr="00942F0E">
        <w:rPr>
          <w:sz w:val="20"/>
          <w:szCs w:val="20"/>
        </w:rPr>
        <w:instrText xml:space="preserve">ADDIN Mendeley Bibliography CSL_BIBLIOGRAPHY </w:instrText>
      </w:r>
      <w:r w:rsidRPr="00942F0E">
        <w:rPr>
          <w:sz w:val="20"/>
          <w:szCs w:val="20"/>
        </w:rPr>
        <w:fldChar w:fldCharType="separate"/>
      </w:r>
      <w:r w:rsidR="00EE6BD0" w:rsidRPr="00EE6BD0">
        <w:rPr>
          <w:rFonts w:cs="Times New Roman"/>
          <w:noProof/>
          <w:sz w:val="20"/>
          <w:szCs w:val="24"/>
        </w:rPr>
        <w:t xml:space="preserve">Aumont, O., Bopp, L., and Schulz, M. (2008). What does temporal variability in aeolian dust deposition contribute to sea-surface iron and chlorophyll distributions? </w:t>
      </w:r>
      <w:r w:rsidR="00EE6BD0" w:rsidRPr="00EE6BD0">
        <w:rPr>
          <w:rFonts w:cs="Times New Roman"/>
          <w:i/>
          <w:iCs/>
          <w:noProof/>
          <w:sz w:val="20"/>
          <w:szCs w:val="24"/>
        </w:rPr>
        <w:t>Geophys. Res. Lett.</w:t>
      </w:r>
      <w:r w:rsidR="00EE6BD0" w:rsidRPr="00EE6BD0">
        <w:rPr>
          <w:rFonts w:cs="Times New Roman"/>
          <w:noProof/>
          <w:sz w:val="20"/>
          <w:szCs w:val="24"/>
        </w:rPr>
        <w:t xml:space="preserve"> 35, 1–5. doi:10.1029/2007GL031131.</w:t>
      </w:r>
    </w:p>
    <w:p w14:paraId="66D08159" w14:textId="77777777" w:rsidR="00EE6BD0" w:rsidRPr="00EE6BD0" w:rsidRDefault="00EE6BD0" w:rsidP="00EE6BD0">
      <w:pPr>
        <w:widowControl w:val="0"/>
        <w:autoSpaceDE w:val="0"/>
        <w:autoSpaceDN w:val="0"/>
        <w:adjustRightInd w:val="0"/>
        <w:spacing w:before="240"/>
        <w:ind w:left="480" w:hanging="480"/>
        <w:rPr>
          <w:rFonts w:cs="Times New Roman"/>
          <w:noProof/>
          <w:sz w:val="20"/>
          <w:szCs w:val="24"/>
        </w:rPr>
      </w:pPr>
      <w:r w:rsidRPr="00EE6BD0">
        <w:rPr>
          <w:rFonts w:cs="Times New Roman"/>
          <w:noProof/>
          <w:sz w:val="20"/>
          <w:szCs w:val="24"/>
        </w:rPr>
        <w:t xml:space="preserve">Aumont, O., Ethé, C., Tagliabue, A., Bopp, L., and Gehlen, M. (2015). PISCES-v2: An ocean biogeochemical model for carbon and ecosystem studies. </w:t>
      </w:r>
      <w:r w:rsidRPr="00EE6BD0">
        <w:rPr>
          <w:rFonts w:cs="Times New Roman"/>
          <w:i/>
          <w:iCs/>
          <w:noProof/>
          <w:sz w:val="20"/>
          <w:szCs w:val="24"/>
        </w:rPr>
        <w:t>Geosci. Model Dev.</w:t>
      </w:r>
      <w:r w:rsidRPr="00EE6BD0">
        <w:rPr>
          <w:rFonts w:cs="Times New Roman"/>
          <w:noProof/>
          <w:sz w:val="20"/>
          <w:szCs w:val="24"/>
        </w:rPr>
        <w:t xml:space="preserve"> 8, 2465–2513. doi:10.5194/gmd-8-2465-2015.</w:t>
      </w:r>
    </w:p>
    <w:p w14:paraId="67FF279E" w14:textId="77777777" w:rsidR="00EE6BD0" w:rsidRPr="00EE6BD0" w:rsidRDefault="00EE6BD0" w:rsidP="00EE6BD0">
      <w:pPr>
        <w:widowControl w:val="0"/>
        <w:autoSpaceDE w:val="0"/>
        <w:autoSpaceDN w:val="0"/>
        <w:adjustRightInd w:val="0"/>
        <w:spacing w:before="240"/>
        <w:ind w:left="480" w:hanging="480"/>
        <w:rPr>
          <w:rFonts w:cs="Times New Roman"/>
          <w:noProof/>
          <w:sz w:val="20"/>
          <w:szCs w:val="24"/>
        </w:rPr>
      </w:pPr>
      <w:r w:rsidRPr="00EE6BD0">
        <w:rPr>
          <w:rFonts w:cs="Times New Roman"/>
          <w:noProof/>
          <w:sz w:val="20"/>
          <w:szCs w:val="24"/>
        </w:rPr>
        <w:t xml:space="preserve">Baretta-Bekker, J. G., Baretta, J. W., and Ebenhoh, W. (1997). Microbial dynamics in the marine ecosystem model {ERSEM} {II} with decoupled carbon assimilation and nutrient uptake. </w:t>
      </w:r>
      <w:r w:rsidRPr="00EE6BD0">
        <w:rPr>
          <w:rFonts w:cs="Times New Roman"/>
          <w:i/>
          <w:iCs/>
          <w:noProof/>
          <w:sz w:val="20"/>
          <w:szCs w:val="24"/>
        </w:rPr>
        <w:t>J. Sea Res.</w:t>
      </w:r>
      <w:r w:rsidRPr="00EE6BD0">
        <w:rPr>
          <w:rFonts w:cs="Times New Roman"/>
          <w:noProof/>
          <w:sz w:val="20"/>
          <w:szCs w:val="24"/>
        </w:rPr>
        <w:t xml:space="preserve"> 38, 195–211. doi:10.1016/S1385-1101(97)00052-X.</w:t>
      </w:r>
    </w:p>
    <w:p w14:paraId="429FD501" w14:textId="77777777" w:rsidR="00EE6BD0" w:rsidRPr="00EE6BD0" w:rsidRDefault="00EE6BD0" w:rsidP="00EE6BD0">
      <w:pPr>
        <w:widowControl w:val="0"/>
        <w:autoSpaceDE w:val="0"/>
        <w:autoSpaceDN w:val="0"/>
        <w:adjustRightInd w:val="0"/>
        <w:spacing w:before="240"/>
        <w:ind w:left="480" w:hanging="480"/>
        <w:rPr>
          <w:rFonts w:cs="Times New Roman"/>
          <w:noProof/>
          <w:sz w:val="20"/>
          <w:szCs w:val="24"/>
        </w:rPr>
      </w:pPr>
      <w:r w:rsidRPr="00EE6BD0">
        <w:rPr>
          <w:rFonts w:cs="Times New Roman"/>
          <w:noProof/>
          <w:sz w:val="20"/>
          <w:szCs w:val="24"/>
        </w:rPr>
        <w:t xml:space="preserve">Burchard, H., and Bolding, K. (2002). Getm – a general estuarine transport model. Scientific documentation. </w:t>
      </w:r>
      <w:r w:rsidRPr="00EE6BD0">
        <w:rPr>
          <w:rFonts w:cs="Times New Roman"/>
          <w:i/>
          <w:iCs/>
          <w:noProof/>
          <w:sz w:val="20"/>
          <w:szCs w:val="24"/>
        </w:rPr>
        <w:t>Tech. Rep. EUR 20253 en</w:t>
      </w:r>
      <w:r w:rsidRPr="00EE6BD0">
        <w:rPr>
          <w:rFonts w:cs="Times New Roman"/>
          <w:noProof/>
          <w:sz w:val="20"/>
          <w:szCs w:val="24"/>
        </w:rPr>
        <w:t>, 164.</w:t>
      </w:r>
    </w:p>
    <w:p w14:paraId="08BB63D4" w14:textId="77777777" w:rsidR="00EE6BD0" w:rsidRPr="00EE6BD0" w:rsidRDefault="00EE6BD0" w:rsidP="00EE6BD0">
      <w:pPr>
        <w:widowControl w:val="0"/>
        <w:autoSpaceDE w:val="0"/>
        <w:autoSpaceDN w:val="0"/>
        <w:adjustRightInd w:val="0"/>
        <w:spacing w:before="240"/>
        <w:ind w:left="480" w:hanging="480"/>
        <w:rPr>
          <w:rFonts w:cs="Times New Roman"/>
          <w:noProof/>
          <w:sz w:val="20"/>
          <w:szCs w:val="24"/>
        </w:rPr>
      </w:pPr>
      <w:r w:rsidRPr="00EE6BD0">
        <w:rPr>
          <w:rFonts w:cs="Times New Roman"/>
          <w:noProof/>
          <w:sz w:val="20"/>
          <w:szCs w:val="24"/>
        </w:rPr>
        <w:t xml:space="preserve">Burchard H., Bolding K., Kühn W., Meister A., Neumann T., and Umlauf, L. (2006). Description of a flexible and extendable physical--biogeochemical model system for the water column. </w:t>
      </w:r>
      <w:r w:rsidRPr="00EE6BD0">
        <w:rPr>
          <w:rFonts w:cs="Times New Roman"/>
          <w:i/>
          <w:iCs/>
          <w:noProof/>
          <w:sz w:val="20"/>
          <w:szCs w:val="24"/>
        </w:rPr>
        <w:t>J. Mar. Syst.</w:t>
      </w:r>
      <w:r w:rsidRPr="00EE6BD0">
        <w:rPr>
          <w:rFonts w:cs="Times New Roman"/>
          <w:noProof/>
          <w:sz w:val="20"/>
          <w:szCs w:val="24"/>
        </w:rPr>
        <w:t xml:space="preserve"> 61, 180–211. doi:doi:10.1016/j.jmarsys.2005.04.011.</w:t>
      </w:r>
    </w:p>
    <w:p w14:paraId="17F1750A" w14:textId="77777777" w:rsidR="00EE6BD0" w:rsidRPr="00EE6BD0" w:rsidRDefault="00EE6BD0" w:rsidP="00EE6BD0">
      <w:pPr>
        <w:widowControl w:val="0"/>
        <w:autoSpaceDE w:val="0"/>
        <w:autoSpaceDN w:val="0"/>
        <w:adjustRightInd w:val="0"/>
        <w:spacing w:before="240"/>
        <w:ind w:left="480" w:hanging="480"/>
        <w:rPr>
          <w:rFonts w:cs="Times New Roman"/>
          <w:noProof/>
          <w:sz w:val="20"/>
          <w:szCs w:val="24"/>
        </w:rPr>
      </w:pPr>
      <w:r w:rsidRPr="00EE6BD0">
        <w:rPr>
          <w:rFonts w:cs="Times New Roman"/>
          <w:noProof/>
          <w:sz w:val="20"/>
          <w:szCs w:val="24"/>
        </w:rPr>
        <w:t xml:space="preserve">Butenschön, M., Clark, J., Aldridge, J. N., Icarus Allen, J., Artioli, Y., Blackford, J., et al. (2016). ERSEM 15.06: A generic model for marine biogeochemistry and the ecosystem dynamics of the lower trophic levels. </w:t>
      </w:r>
      <w:r w:rsidRPr="00EE6BD0">
        <w:rPr>
          <w:rFonts w:cs="Times New Roman"/>
          <w:i/>
          <w:iCs/>
          <w:noProof/>
          <w:sz w:val="20"/>
          <w:szCs w:val="24"/>
        </w:rPr>
        <w:t xml:space="preserve">Geosci. Model </w:t>
      </w:r>
      <w:r w:rsidRPr="00EE6BD0">
        <w:rPr>
          <w:rFonts w:cs="Times New Roman"/>
          <w:i/>
          <w:iCs/>
          <w:noProof/>
          <w:sz w:val="20"/>
          <w:szCs w:val="24"/>
        </w:rPr>
        <w:lastRenderedPageBreak/>
        <w:t>Dev.</w:t>
      </w:r>
      <w:r w:rsidRPr="00EE6BD0">
        <w:rPr>
          <w:rFonts w:cs="Times New Roman"/>
          <w:noProof/>
          <w:sz w:val="20"/>
          <w:szCs w:val="24"/>
        </w:rPr>
        <w:t xml:space="preserve"> 9, 1293–1339. doi:10.5194/gmd-9-1293-2016.</w:t>
      </w:r>
    </w:p>
    <w:p w14:paraId="2523BCE1" w14:textId="77777777" w:rsidR="00EE6BD0" w:rsidRPr="00EE6BD0" w:rsidRDefault="00EE6BD0" w:rsidP="00EE6BD0">
      <w:pPr>
        <w:widowControl w:val="0"/>
        <w:autoSpaceDE w:val="0"/>
        <w:autoSpaceDN w:val="0"/>
        <w:adjustRightInd w:val="0"/>
        <w:spacing w:before="240"/>
        <w:ind w:left="480" w:hanging="480"/>
        <w:rPr>
          <w:rFonts w:cs="Times New Roman"/>
          <w:noProof/>
          <w:sz w:val="20"/>
          <w:szCs w:val="24"/>
        </w:rPr>
      </w:pPr>
      <w:r w:rsidRPr="00EE6BD0">
        <w:rPr>
          <w:rFonts w:cs="Times New Roman"/>
          <w:noProof/>
          <w:sz w:val="20"/>
          <w:szCs w:val="24"/>
        </w:rPr>
        <w:t xml:space="preserve">Conkright, M. E., Locarnini, R. a, Garcia, H. E., O’Brien, T. D., Boyer, T. P., Stepens, C., et al. (2002). World Ocean Atlas 2001: Objective analyses, data statistics, and figures CD-ROM documentation. </w:t>
      </w:r>
      <w:r w:rsidRPr="00EE6BD0">
        <w:rPr>
          <w:rFonts w:cs="Times New Roman"/>
          <w:i/>
          <w:iCs/>
          <w:noProof/>
          <w:sz w:val="20"/>
          <w:szCs w:val="24"/>
        </w:rPr>
        <w:t>Natl. Oceanogr. Data Cent. Intern. Rep. (NOAA Atlas NESDIS)</w:t>
      </w:r>
      <w:r w:rsidRPr="00EE6BD0">
        <w:rPr>
          <w:rFonts w:cs="Times New Roman"/>
          <w:noProof/>
          <w:sz w:val="20"/>
          <w:szCs w:val="24"/>
        </w:rPr>
        <w:t xml:space="preserve"> 17, 17. Available at: http://www.nodc.noaa.gov/OC5/WOA01/pr_woa01.html.</w:t>
      </w:r>
    </w:p>
    <w:p w14:paraId="6711B8B6" w14:textId="77777777" w:rsidR="00EE6BD0" w:rsidRPr="00EE6BD0" w:rsidRDefault="00EE6BD0" w:rsidP="00EE6BD0">
      <w:pPr>
        <w:widowControl w:val="0"/>
        <w:autoSpaceDE w:val="0"/>
        <w:autoSpaceDN w:val="0"/>
        <w:adjustRightInd w:val="0"/>
        <w:spacing w:before="240"/>
        <w:ind w:left="480" w:hanging="480"/>
        <w:rPr>
          <w:rFonts w:cs="Times New Roman"/>
          <w:noProof/>
          <w:sz w:val="20"/>
          <w:szCs w:val="24"/>
        </w:rPr>
      </w:pPr>
      <w:r w:rsidRPr="00EE6BD0">
        <w:rPr>
          <w:rFonts w:cs="Times New Roman"/>
          <w:noProof/>
          <w:sz w:val="20"/>
          <w:szCs w:val="24"/>
        </w:rPr>
        <w:t>Crise, A., Solidoro, C., and Tomini, I. (2003). Preparation of Initial Conditions for the Coupled Model OGCM and Initial Parameters Setting.</w:t>
      </w:r>
    </w:p>
    <w:p w14:paraId="2DE80811" w14:textId="77777777" w:rsidR="00EE6BD0" w:rsidRPr="00EE6BD0" w:rsidRDefault="00EE6BD0" w:rsidP="00EE6BD0">
      <w:pPr>
        <w:widowControl w:val="0"/>
        <w:autoSpaceDE w:val="0"/>
        <w:autoSpaceDN w:val="0"/>
        <w:adjustRightInd w:val="0"/>
        <w:spacing w:before="240"/>
        <w:ind w:left="480" w:hanging="480"/>
        <w:rPr>
          <w:rFonts w:cs="Times New Roman"/>
          <w:noProof/>
          <w:sz w:val="20"/>
          <w:szCs w:val="24"/>
        </w:rPr>
      </w:pPr>
      <w:r w:rsidRPr="00EE6BD0">
        <w:rPr>
          <w:rFonts w:cs="Times New Roman"/>
          <w:noProof/>
          <w:sz w:val="20"/>
          <w:szCs w:val="24"/>
        </w:rPr>
        <w:t xml:space="preserve">Dai, A., and Trenberth, K. E. (2002). Estimates of Freshwater Discharge from Continents: Latitudinal and Seasonal Variations. </w:t>
      </w:r>
      <w:r w:rsidRPr="00EE6BD0">
        <w:rPr>
          <w:rFonts w:cs="Times New Roman"/>
          <w:i/>
          <w:iCs/>
          <w:noProof/>
          <w:sz w:val="20"/>
          <w:szCs w:val="24"/>
        </w:rPr>
        <w:t>J. Hydrometeorol.</w:t>
      </w:r>
      <w:r w:rsidRPr="00EE6BD0">
        <w:rPr>
          <w:rFonts w:cs="Times New Roman"/>
          <w:noProof/>
          <w:sz w:val="20"/>
          <w:szCs w:val="24"/>
        </w:rPr>
        <w:t xml:space="preserve"> 3, 660–687. doi:10.1175/1525-7541(2002)003&lt;0660:EOFDFC&gt;2.0.CO;2.</w:t>
      </w:r>
    </w:p>
    <w:p w14:paraId="398A47DF" w14:textId="77777777" w:rsidR="00EE6BD0" w:rsidRPr="00EE6BD0" w:rsidRDefault="00EE6BD0" w:rsidP="00EE6BD0">
      <w:pPr>
        <w:widowControl w:val="0"/>
        <w:autoSpaceDE w:val="0"/>
        <w:autoSpaceDN w:val="0"/>
        <w:adjustRightInd w:val="0"/>
        <w:spacing w:before="240"/>
        <w:ind w:left="480" w:hanging="480"/>
        <w:rPr>
          <w:rFonts w:cs="Times New Roman"/>
          <w:noProof/>
          <w:sz w:val="20"/>
          <w:szCs w:val="24"/>
        </w:rPr>
      </w:pPr>
      <w:r w:rsidRPr="00EE6BD0">
        <w:rPr>
          <w:rFonts w:cs="Times New Roman"/>
          <w:noProof/>
          <w:sz w:val="20"/>
          <w:szCs w:val="24"/>
        </w:rPr>
        <w:t xml:space="preserve">Dee, D. P., Uppala, S. M., Simmons, A. J., Berrisford, P., Poli, P., Kobayashi, S., et al. (2011). The ERA-Interim reanalysis: Configuration and performance of the data assimilation system. </w:t>
      </w:r>
      <w:r w:rsidRPr="00EE6BD0">
        <w:rPr>
          <w:rFonts w:cs="Times New Roman"/>
          <w:i/>
          <w:iCs/>
          <w:noProof/>
          <w:sz w:val="20"/>
          <w:szCs w:val="24"/>
        </w:rPr>
        <w:t>Q. J. R. Meteorol. Soc.</w:t>
      </w:r>
      <w:r w:rsidRPr="00EE6BD0">
        <w:rPr>
          <w:rFonts w:cs="Times New Roman"/>
          <w:noProof/>
          <w:sz w:val="20"/>
          <w:szCs w:val="24"/>
        </w:rPr>
        <w:t xml:space="preserve"> 137, 553–597. doi:10.1002/qj.828.</w:t>
      </w:r>
    </w:p>
    <w:p w14:paraId="08F40BBC" w14:textId="77777777" w:rsidR="00EE6BD0" w:rsidRPr="00EE6BD0" w:rsidRDefault="00EE6BD0" w:rsidP="00EE6BD0">
      <w:pPr>
        <w:widowControl w:val="0"/>
        <w:autoSpaceDE w:val="0"/>
        <w:autoSpaceDN w:val="0"/>
        <w:adjustRightInd w:val="0"/>
        <w:spacing w:before="240"/>
        <w:ind w:left="480" w:hanging="480"/>
        <w:rPr>
          <w:rFonts w:cs="Times New Roman"/>
          <w:noProof/>
          <w:sz w:val="20"/>
          <w:szCs w:val="24"/>
        </w:rPr>
      </w:pPr>
      <w:r w:rsidRPr="00EE6BD0">
        <w:rPr>
          <w:rFonts w:cs="Times New Roman"/>
          <w:noProof/>
          <w:sz w:val="20"/>
          <w:szCs w:val="24"/>
        </w:rPr>
        <w:t xml:space="preserve">Dobricic, S., and Pinardi, N. (2008). An oceanographic three-dimensional variational data assimilation scheme. </w:t>
      </w:r>
      <w:r w:rsidRPr="00EE6BD0">
        <w:rPr>
          <w:rFonts w:cs="Times New Roman"/>
          <w:i/>
          <w:iCs/>
          <w:noProof/>
          <w:sz w:val="20"/>
          <w:szCs w:val="24"/>
        </w:rPr>
        <w:t>Ocean Model.</w:t>
      </w:r>
      <w:r w:rsidRPr="00EE6BD0">
        <w:rPr>
          <w:rFonts w:cs="Times New Roman"/>
          <w:noProof/>
          <w:sz w:val="20"/>
          <w:szCs w:val="24"/>
        </w:rPr>
        <w:t xml:space="preserve"> 22, 89–105. doi:10.1016/j.ocemod.2008.01.004.</w:t>
      </w:r>
    </w:p>
    <w:p w14:paraId="1572D6FC" w14:textId="77777777" w:rsidR="00EE6BD0" w:rsidRPr="00EE6BD0" w:rsidRDefault="00EE6BD0" w:rsidP="00EE6BD0">
      <w:pPr>
        <w:widowControl w:val="0"/>
        <w:autoSpaceDE w:val="0"/>
        <w:autoSpaceDN w:val="0"/>
        <w:adjustRightInd w:val="0"/>
        <w:spacing w:before="240"/>
        <w:ind w:left="480" w:hanging="480"/>
        <w:rPr>
          <w:rFonts w:cs="Times New Roman"/>
          <w:noProof/>
          <w:sz w:val="20"/>
          <w:szCs w:val="24"/>
        </w:rPr>
      </w:pPr>
      <w:r w:rsidRPr="00EE6BD0">
        <w:rPr>
          <w:rFonts w:cs="Times New Roman"/>
          <w:noProof/>
          <w:sz w:val="20"/>
          <w:szCs w:val="24"/>
        </w:rPr>
        <w:t xml:space="preserve">Drévillon, M., Bourdallé-Badie, R., Derval, C., Lellouche, J. M., Rémy, E., Tranchant, B., et al. (2008). The GODAE/Mercator-Ocean global ocean forecasting system: Results, applications and prospects. </w:t>
      </w:r>
      <w:r w:rsidRPr="00EE6BD0">
        <w:rPr>
          <w:rFonts w:cs="Times New Roman"/>
          <w:i/>
          <w:iCs/>
          <w:noProof/>
          <w:sz w:val="20"/>
          <w:szCs w:val="24"/>
        </w:rPr>
        <w:t>J. Oper. Oceanogr.</w:t>
      </w:r>
      <w:r w:rsidRPr="00EE6BD0">
        <w:rPr>
          <w:rFonts w:cs="Times New Roman"/>
          <w:noProof/>
          <w:sz w:val="20"/>
          <w:szCs w:val="24"/>
        </w:rPr>
        <w:t xml:space="preserve"> 1, 51–57. doi:10.1080/1755876X.2008.11020095.</w:t>
      </w:r>
    </w:p>
    <w:p w14:paraId="71AE310C" w14:textId="77777777" w:rsidR="00EE6BD0" w:rsidRPr="00EE6BD0" w:rsidRDefault="00EE6BD0" w:rsidP="00EE6BD0">
      <w:pPr>
        <w:widowControl w:val="0"/>
        <w:autoSpaceDE w:val="0"/>
        <w:autoSpaceDN w:val="0"/>
        <w:adjustRightInd w:val="0"/>
        <w:spacing w:before="240"/>
        <w:ind w:left="480" w:hanging="480"/>
        <w:rPr>
          <w:rFonts w:cs="Times New Roman"/>
          <w:noProof/>
          <w:sz w:val="20"/>
          <w:szCs w:val="24"/>
        </w:rPr>
      </w:pPr>
      <w:r w:rsidRPr="00EE6BD0">
        <w:rPr>
          <w:rFonts w:cs="Times New Roman"/>
          <w:noProof/>
          <w:sz w:val="20"/>
          <w:szCs w:val="24"/>
        </w:rPr>
        <w:t xml:space="preserve">EMEP (2014). Transboundary particulate matter, photo-oxidants, acidifying and eutrophying components. </w:t>
      </w:r>
      <w:r w:rsidRPr="00EE6BD0">
        <w:rPr>
          <w:rFonts w:cs="Times New Roman"/>
          <w:i/>
          <w:iCs/>
          <w:noProof/>
          <w:sz w:val="20"/>
          <w:szCs w:val="24"/>
        </w:rPr>
        <w:t>EMEP Rep.</w:t>
      </w:r>
      <w:r w:rsidRPr="00EE6BD0">
        <w:rPr>
          <w:rFonts w:cs="Times New Roman"/>
          <w:noProof/>
          <w:sz w:val="20"/>
          <w:szCs w:val="24"/>
        </w:rPr>
        <w:t xml:space="preserve"> 1, 216. doi:10.1007/s13398-014-0173-7.2.</w:t>
      </w:r>
    </w:p>
    <w:p w14:paraId="429C9FB5" w14:textId="77777777" w:rsidR="00EE6BD0" w:rsidRPr="00EE6BD0" w:rsidRDefault="00EE6BD0" w:rsidP="00EE6BD0">
      <w:pPr>
        <w:widowControl w:val="0"/>
        <w:autoSpaceDE w:val="0"/>
        <w:autoSpaceDN w:val="0"/>
        <w:adjustRightInd w:val="0"/>
        <w:spacing w:before="240"/>
        <w:ind w:left="480" w:hanging="480"/>
        <w:rPr>
          <w:rFonts w:cs="Times New Roman"/>
          <w:noProof/>
          <w:sz w:val="20"/>
          <w:szCs w:val="24"/>
        </w:rPr>
      </w:pPr>
      <w:r w:rsidRPr="00EE6BD0">
        <w:rPr>
          <w:rFonts w:cs="Times New Roman"/>
          <w:noProof/>
          <w:sz w:val="20"/>
          <w:szCs w:val="24"/>
        </w:rPr>
        <w:t xml:space="preserve">Fekete, B. M., Vörösmarty, C. J., and Grabs, W. (2002). Global, composite runoff field based on observed river discharge and simulated water balance. </w:t>
      </w:r>
      <w:r w:rsidRPr="00EE6BD0">
        <w:rPr>
          <w:rFonts w:cs="Times New Roman"/>
          <w:i/>
          <w:iCs/>
          <w:noProof/>
          <w:sz w:val="20"/>
          <w:szCs w:val="24"/>
        </w:rPr>
        <w:t>Fed. Inst. Hydrol.</w:t>
      </w:r>
      <w:r w:rsidRPr="00EE6BD0">
        <w:rPr>
          <w:rFonts w:cs="Times New Roman"/>
          <w:noProof/>
          <w:sz w:val="20"/>
          <w:szCs w:val="24"/>
        </w:rPr>
        <w:t xml:space="preserve"> doi:10.1038/nrn1178.</w:t>
      </w:r>
    </w:p>
    <w:p w14:paraId="0DA7B075" w14:textId="77777777" w:rsidR="00EE6BD0" w:rsidRPr="00EE6BD0" w:rsidRDefault="00EE6BD0" w:rsidP="00EE6BD0">
      <w:pPr>
        <w:widowControl w:val="0"/>
        <w:autoSpaceDE w:val="0"/>
        <w:autoSpaceDN w:val="0"/>
        <w:adjustRightInd w:val="0"/>
        <w:spacing w:before="240"/>
        <w:ind w:left="480" w:hanging="480"/>
        <w:rPr>
          <w:rFonts w:cs="Times New Roman"/>
          <w:noProof/>
          <w:sz w:val="20"/>
          <w:szCs w:val="24"/>
        </w:rPr>
      </w:pPr>
      <w:r w:rsidRPr="00EE6BD0">
        <w:rPr>
          <w:rFonts w:cs="Times New Roman"/>
          <w:noProof/>
          <w:sz w:val="20"/>
          <w:szCs w:val="24"/>
        </w:rPr>
        <w:t xml:space="preserve">Flynn, K. J. (2003). Modelling multi-nutrient interactions in phytoplankton; balancing simplicity and realism. </w:t>
      </w:r>
      <w:r w:rsidRPr="00EE6BD0">
        <w:rPr>
          <w:rFonts w:cs="Times New Roman"/>
          <w:i/>
          <w:iCs/>
          <w:noProof/>
          <w:sz w:val="20"/>
          <w:szCs w:val="24"/>
        </w:rPr>
        <w:t>Prog. Oceanogr.</w:t>
      </w:r>
      <w:r w:rsidRPr="00EE6BD0">
        <w:rPr>
          <w:rFonts w:cs="Times New Roman"/>
          <w:noProof/>
          <w:sz w:val="20"/>
          <w:szCs w:val="24"/>
        </w:rPr>
        <w:t xml:space="preserve"> 56, 249–279. doi:10.1016/S0079-6611(03)00006-5.</w:t>
      </w:r>
    </w:p>
    <w:p w14:paraId="752939D7" w14:textId="77777777" w:rsidR="00EE6BD0" w:rsidRPr="00EE6BD0" w:rsidRDefault="00EE6BD0" w:rsidP="00EE6BD0">
      <w:pPr>
        <w:widowControl w:val="0"/>
        <w:autoSpaceDE w:val="0"/>
        <w:autoSpaceDN w:val="0"/>
        <w:adjustRightInd w:val="0"/>
        <w:spacing w:before="240"/>
        <w:ind w:left="480" w:hanging="480"/>
        <w:rPr>
          <w:rFonts w:cs="Times New Roman"/>
          <w:noProof/>
          <w:sz w:val="20"/>
          <w:szCs w:val="24"/>
        </w:rPr>
      </w:pPr>
      <w:r w:rsidRPr="00EE6BD0">
        <w:rPr>
          <w:rFonts w:cs="Times New Roman"/>
          <w:noProof/>
          <w:sz w:val="20"/>
          <w:szCs w:val="24"/>
        </w:rPr>
        <w:t xml:space="preserve">Galbraith, E. D., and Martiny, A. C. (2015). A simple nutrient-dependence mechanism for predicting the stoichiometry of marine ecosystems. </w:t>
      </w:r>
      <w:r w:rsidRPr="00EE6BD0">
        <w:rPr>
          <w:rFonts w:cs="Times New Roman"/>
          <w:i/>
          <w:iCs/>
          <w:noProof/>
          <w:sz w:val="20"/>
          <w:szCs w:val="24"/>
        </w:rPr>
        <w:t>Proc. Natl. Acad. Sci.</w:t>
      </w:r>
      <w:r w:rsidRPr="00EE6BD0">
        <w:rPr>
          <w:rFonts w:cs="Times New Roman"/>
          <w:noProof/>
          <w:sz w:val="20"/>
          <w:szCs w:val="24"/>
        </w:rPr>
        <w:t xml:space="preserve"> 112, 8199–8204. doi:10.1073/pnas.1423917112.</w:t>
      </w:r>
    </w:p>
    <w:p w14:paraId="499CD5EE" w14:textId="77777777" w:rsidR="00EE6BD0" w:rsidRPr="00EE6BD0" w:rsidRDefault="00EE6BD0" w:rsidP="00EE6BD0">
      <w:pPr>
        <w:widowControl w:val="0"/>
        <w:autoSpaceDE w:val="0"/>
        <w:autoSpaceDN w:val="0"/>
        <w:adjustRightInd w:val="0"/>
        <w:spacing w:before="240"/>
        <w:ind w:left="480" w:hanging="480"/>
        <w:rPr>
          <w:rFonts w:cs="Times New Roman"/>
          <w:noProof/>
          <w:sz w:val="20"/>
          <w:szCs w:val="24"/>
        </w:rPr>
      </w:pPr>
      <w:r w:rsidRPr="00EE6BD0">
        <w:rPr>
          <w:rFonts w:cs="Times New Roman"/>
          <w:noProof/>
          <w:sz w:val="20"/>
          <w:szCs w:val="24"/>
        </w:rPr>
        <w:t xml:space="preserve">Garcia, H. E., Boyer, T. P., Locarnini, R. A., Antonov, J. I., Mishonov, A. V, Baranova, O. K., et al. (2013). World Ocean Atlas 2013. Volume 3: dissolved oxygen, apparent oxygen utilization, and oxygen saturation. </w:t>
      </w:r>
      <w:r w:rsidRPr="00EE6BD0">
        <w:rPr>
          <w:rFonts w:cs="Times New Roman"/>
          <w:i/>
          <w:iCs/>
          <w:noProof/>
          <w:sz w:val="20"/>
          <w:szCs w:val="24"/>
        </w:rPr>
        <w:t>NOAA Atlas NESDIS 75</w:t>
      </w:r>
      <w:r w:rsidRPr="00EE6BD0">
        <w:rPr>
          <w:rFonts w:cs="Times New Roman"/>
          <w:noProof/>
          <w:sz w:val="20"/>
          <w:szCs w:val="24"/>
        </w:rPr>
        <w:t xml:space="preserve"> 3, 27. doi:10.7289/V5XG9P2W.</w:t>
      </w:r>
    </w:p>
    <w:p w14:paraId="20C7E9CC" w14:textId="77777777" w:rsidR="00EE6BD0" w:rsidRPr="00EE6BD0" w:rsidRDefault="00EE6BD0" w:rsidP="00EE6BD0">
      <w:pPr>
        <w:widowControl w:val="0"/>
        <w:autoSpaceDE w:val="0"/>
        <w:autoSpaceDN w:val="0"/>
        <w:adjustRightInd w:val="0"/>
        <w:spacing w:before="240"/>
        <w:ind w:left="480" w:hanging="480"/>
        <w:rPr>
          <w:rFonts w:cs="Times New Roman"/>
          <w:noProof/>
          <w:sz w:val="20"/>
          <w:szCs w:val="24"/>
        </w:rPr>
      </w:pPr>
      <w:r w:rsidRPr="00EE6BD0">
        <w:rPr>
          <w:rFonts w:cs="Times New Roman"/>
          <w:noProof/>
          <w:sz w:val="20"/>
          <w:szCs w:val="24"/>
        </w:rPr>
        <w:t xml:space="preserve">Geider, R. J., Mac Intyre, H. L., and Kana, T. M. (1997). A dynamic growth model of phytoplankton growth and acclimation: responses of the balanced growth rate and chlorophyll-a:carbon ratio to light limitation and temperature. </w:t>
      </w:r>
      <w:r w:rsidRPr="00EE6BD0">
        <w:rPr>
          <w:rFonts w:cs="Times New Roman"/>
          <w:i/>
          <w:iCs/>
          <w:noProof/>
          <w:sz w:val="20"/>
          <w:szCs w:val="24"/>
        </w:rPr>
        <w:t>Mar. Ecol. Prog. Ser.</w:t>
      </w:r>
      <w:r w:rsidRPr="00EE6BD0">
        <w:rPr>
          <w:rFonts w:cs="Times New Roman"/>
          <w:noProof/>
          <w:sz w:val="20"/>
          <w:szCs w:val="24"/>
        </w:rPr>
        <w:t xml:space="preserve"> 148, 187–200.</w:t>
      </w:r>
    </w:p>
    <w:p w14:paraId="306104E3" w14:textId="77777777" w:rsidR="00EE6BD0" w:rsidRPr="00EE6BD0" w:rsidRDefault="00EE6BD0" w:rsidP="00EE6BD0">
      <w:pPr>
        <w:widowControl w:val="0"/>
        <w:autoSpaceDE w:val="0"/>
        <w:autoSpaceDN w:val="0"/>
        <w:adjustRightInd w:val="0"/>
        <w:spacing w:before="240"/>
        <w:ind w:left="480" w:hanging="480"/>
        <w:rPr>
          <w:rFonts w:cs="Times New Roman"/>
          <w:noProof/>
          <w:sz w:val="20"/>
          <w:szCs w:val="24"/>
        </w:rPr>
      </w:pPr>
      <w:r w:rsidRPr="00EE6BD0">
        <w:rPr>
          <w:rFonts w:cs="Times New Roman"/>
          <w:noProof/>
          <w:sz w:val="20"/>
          <w:szCs w:val="24"/>
        </w:rPr>
        <w:t xml:space="preserve">Geider, R. J., Maclntyre, H. L., and Kana, T. M. (1998). A dynamic regulatory model of phytoplanktonic temperature acclimation to light , nutrients and temperature. </w:t>
      </w:r>
      <w:r w:rsidRPr="00EE6BD0">
        <w:rPr>
          <w:rFonts w:cs="Times New Roman"/>
          <w:i/>
          <w:iCs/>
          <w:noProof/>
          <w:sz w:val="20"/>
          <w:szCs w:val="24"/>
        </w:rPr>
        <w:t>Limnol. Oceanogr.</w:t>
      </w:r>
      <w:r w:rsidRPr="00EE6BD0">
        <w:rPr>
          <w:rFonts w:cs="Times New Roman"/>
          <w:noProof/>
          <w:sz w:val="20"/>
          <w:szCs w:val="24"/>
        </w:rPr>
        <w:t xml:space="preserve"> 43, 679–694.</w:t>
      </w:r>
    </w:p>
    <w:p w14:paraId="150540C6" w14:textId="77777777" w:rsidR="00EE6BD0" w:rsidRPr="00EE6BD0" w:rsidRDefault="00EE6BD0" w:rsidP="00EE6BD0">
      <w:pPr>
        <w:widowControl w:val="0"/>
        <w:autoSpaceDE w:val="0"/>
        <w:autoSpaceDN w:val="0"/>
        <w:adjustRightInd w:val="0"/>
        <w:spacing w:before="240"/>
        <w:ind w:left="480" w:hanging="480"/>
        <w:rPr>
          <w:rFonts w:cs="Times New Roman"/>
          <w:noProof/>
          <w:sz w:val="20"/>
          <w:szCs w:val="24"/>
        </w:rPr>
      </w:pPr>
      <w:r w:rsidRPr="00EE6BD0">
        <w:rPr>
          <w:rFonts w:cs="Times New Roman"/>
          <w:noProof/>
          <w:sz w:val="20"/>
          <w:szCs w:val="24"/>
        </w:rPr>
        <w:t xml:space="preserve">Holt, J., Harle, J., Proctor, R., Michel, S., Ashworth, M., Batstone, C., et al. (2009). Modelling the global coastal ocean. </w:t>
      </w:r>
      <w:r w:rsidRPr="00EE6BD0">
        <w:rPr>
          <w:rFonts w:cs="Times New Roman"/>
          <w:i/>
          <w:iCs/>
          <w:noProof/>
          <w:sz w:val="20"/>
          <w:szCs w:val="24"/>
        </w:rPr>
        <w:t>Philos. Trans. R. Soc. A Math. Phys. Eng. Sci.</w:t>
      </w:r>
      <w:r w:rsidRPr="00EE6BD0">
        <w:rPr>
          <w:rFonts w:cs="Times New Roman"/>
          <w:noProof/>
          <w:sz w:val="20"/>
          <w:szCs w:val="24"/>
        </w:rPr>
        <w:t xml:space="preserve"> 367, 939–951. doi:10.1098/rsta.2008.0210.</w:t>
      </w:r>
    </w:p>
    <w:p w14:paraId="0592AA46" w14:textId="77777777" w:rsidR="00EE6BD0" w:rsidRPr="00EE6BD0" w:rsidRDefault="00EE6BD0" w:rsidP="00EE6BD0">
      <w:pPr>
        <w:widowControl w:val="0"/>
        <w:autoSpaceDE w:val="0"/>
        <w:autoSpaceDN w:val="0"/>
        <w:adjustRightInd w:val="0"/>
        <w:spacing w:before="240"/>
        <w:ind w:left="480" w:hanging="480"/>
        <w:rPr>
          <w:rFonts w:cs="Times New Roman"/>
          <w:noProof/>
          <w:sz w:val="20"/>
          <w:szCs w:val="24"/>
        </w:rPr>
      </w:pPr>
      <w:r w:rsidRPr="00EE6BD0">
        <w:rPr>
          <w:rFonts w:cs="Times New Roman"/>
          <w:noProof/>
          <w:sz w:val="20"/>
          <w:szCs w:val="24"/>
        </w:rPr>
        <w:t xml:space="preserve">Holt, J. T., and James, I. D. (2001). An </w:t>
      </w:r>
      <w:r w:rsidRPr="00EE6BD0">
        <w:rPr>
          <w:rFonts w:cs="Times New Roman"/>
          <w:i/>
          <w:iCs/>
          <w:noProof/>
          <w:sz w:val="20"/>
          <w:szCs w:val="24"/>
        </w:rPr>
        <w:t>s</w:t>
      </w:r>
      <w:r w:rsidRPr="00EE6BD0">
        <w:rPr>
          <w:rFonts w:cs="Times New Roman"/>
          <w:noProof/>
          <w:sz w:val="20"/>
          <w:szCs w:val="24"/>
        </w:rPr>
        <w:t xml:space="preserve"> coordinate density evolving model of the northwest European continental shelf: 1. Model description and density structure. </w:t>
      </w:r>
      <w:r w:rsidRPr="00EE6BD0">
        <w:rPr>
          <w:rFonts w:cs="Times New Roman"/>
          <w:i/>
          <w:iCs/>
          <w:noProof/>
          <w:sz w:val="20"/>
          <w:szCs w:val="24"/>
        </w:rPr>
        <w:t>J. Geophys. Res. Ocean.</w:t>
      </w:r>
      <w:r w:rsidRPr="00EE6BD0">
        <w:rPr>
          <w:rFonts w:cs="Times New Roman"/>
          <w:noProof/>
          <w:sz w:val="20"/>
          <w:szCs w:val="24"/>
        </w:rPr>
        <w:t xml:space="preserve"> 106, 14015–14034. doi:10.1029/2000JC000304.</w:t>
      </w:r>
    </w:p>
    <w:p w14:paraId="669AF7B3" w14:textId="77777777" w:rsidR="00EE6BD0" w:rsidRPr="00EE6BD0" w:rsidRDefault="00EE6BD0" w:rsidP="00EE6BD0">
      <w:pPr>
        <w:widowControl w:val="0"/>
        <w:autoSpaceDE w:val="0"/>
        <w:autoSpaceDN w:val="0"/>
        <w:adjustRightInd w:val="0"/>
        <w:spacing w:before="240"/>
        <w:ind w:left="480" w:hanging="480"/>
        <w:rPr>
          <w:rFonts w:cs="Times New Roman"/>
          <w:noProof/>
          <w:sz w:val="20"/>
          <w:szCs w:val="24"/>
        </w:rPr>
      </w:pPr>
      <w:r w:rsidRPr="00EE6BD0">
        <w:rPr>
          <w:rFonts w:cs="Times New Roman"/>
          <w:noProof/>
          <w:sz w:val="20"/>
          <w:szCs w:val="24"/>
        </w:rPr>
        <w:t>Kay, S., Helén, A., Catalan, I., Eilola, K., Jordà, G., Ramírez-Romero, E., et al. (2018). Projections of physical and biogeochemical parameters and habitat indicators for European seas, including synthesis of Sea Level Rise and storminess. H2020 Ceres project deriverable D1.3. doi:10.4324/9781315757254.</w:t>
      </w:r>
    </w:p>
    <w:p w14:paraId="621D77AD" w14:textId="77777777" w:rsidR="00EE6BD0" w:rsidRPr="00EE6BD0" w:rsidRDefault="00EE6BD0" w:rsidP="00EE6BD0">
      <w:pPr>
        <w:widowControl w:val="0"/>
        <w:autoSpaceDE w:val="0"/>
        <w:autoSpaceDN w:val="0"/>
        <w:adjustRightInd w:val="0"/>
        <w:spacing w:before="240"/>
        <w:ind w:left="480" w:hanging="480"/>
        <w:rPr>
          <w:rFonts w:cs="Times New Roman"/>
          <w:noProof/>
          <w:sz w:val="20"/>
          <w:szCs w:val="24"/>
        </w:rPr>
      </w:pPr>
      <w:r w:rsidRPr="00EE6BD0">
        <w:rPr>
          <w:rFonts w:cs="Times New Roman"/>
          <w:noProof/>
          <w:sz w:val="20"/>
          <w:szCs w:val="24"/>
        </w:rPr>
        <w:lastRenderedPageBreak/>
        <w:t xml:space="preserve">Key, R. M., Kozyr, A., Sabine, C. L., Wanninkhof, R., Bullister, J. L., Feely, R. A., et al. (2004). A global ocean carbon climatology: Results from Global Data Analysis Project (GLODAP). </w:t>
      </w:r>
      <w:r w:rsidRPr="00EE6BD0">
        <w:rPr>
          <w:rFonts w:cs="Times New Roman"/>
          <w:i/>
          <w:iCs/>
          <w:noProof/>
          <w:sz w:val="20"/>
          <w:szCs w:val="24"/>
        </w:rPr>
        <w:t>Global Biogeochem. Cycles</w:t>
      </w:r>
      <w:r w:rsidRPr="00EE6BD0">
        <w:rPr>
          <w:rFonts w:cs="Times New Roman"/>
          <w:noProof/>
          <w:sz w:val="20"/>
          <w:szCs w:val="24"/>
        </w:rPr>
        <w:t xml:space="preserve"> 18.</w:t>
      </w:r>
    </w:p>
    <w:p w14:paraId="1F850609" w14:textId="77777777" w:rsidR="00EE6BD0" w:rsidRPr="00EE6BD0" w:rsidRDefault="00EE6BD0" w:rsidP="00EE6BD0">
      <w:pPr>
        <w:widowControl w:val="0"/>
        <w:autoSpaceDE w:val="0"/>
        <w:autoSpaceDN w:val="0"/>
        <w:adjustRightInd w:val="0"/>
        <w:spacing w:before="240"/>
        <w:ind w:left="480" w:hanging="480"/>
        <w:rPr>
          <w:rFonts w:cs="Times New Roman"/>
          <w:noProof/>
          <w:sz w:val="20"/>
          <w:szCs w:val="24"/>
        </w:rPr>
      </w:pPr>
      <w:r w:rsidRPr="00EE6BD0">
        <w:rPr>
          <w:rFonts w:cs="Times New Roman"/>
          <w:noProof/>
          <w:sz w:val="20"/>
          <w:szCs w:val="24"/>
        </w:rPr>
        <w:t xml:space="preserve">Key, R. M., Olsen, A., van Heuven, S., Lauvset, S. K., Velo, A., Lin, X., et al. (2015). Global Ocean Data Analysis Project, Version 2 (GLODAPv2). </w:t>
      </w:r>
      <w:r w:rsidRPr="00EE6BD0">
        <w:rPr>
          <w:rFonts w:cs="Times New Roman"/>
          <w:i/>
          <w:iCs/>
          <w:noProof/>
          <w:sz w:val="20"/>
          <w:szCs w:val="24"/>
        </w:rPr>
        <w:t>ORNL/CDIAC-162, NDP-093</w:t>
      </w:r>
      <w:r w:rsidRPr="00EE6BD0">
        <w:rPr>
          <w:rFonts w:cs="Times New Roman"/>
          <w:noProof/>
          <w:sz w:val="20"/>
          <w:szCs w:val="24"/>
        </w:rPr>
        <w:t xml:space="preserve"> ORNL/CDIAC, 14. doi:10.3334/CDIAC/OTG.NDP093_GLODAPv2.</w:t>
      </w:r>
    </w:p>
    <w:p w14:paraId="4D45471C" w14:textId="77777777" w:rsidR="00EE6BD0" w:rsidRPr="00EE6BD0" w:rsidRDefault="00EE6BD0" w:rsidP="00EE6BD0">
      <w:pPr>
        <w:widowControl w:val="0"/>
        <w:autoSpaceDE w:val="0"/>
        <w:autoSpaceDN w:val="0"/>
        <w:adjustRightInd w:val="0"/>
        <w:spacing w:before="240"/>
        <w:ind w:left="480" w:hanging="480"/>
        <w:rPr>
          <w:rFonts w:cs="Times New Roman"/>
          <w:noProof/>
          <w:sz w:val="20"/>
          <w:szCs w:val="24"/>
        </w:rPr>
      </w:pPr>
      <w:r w:rsidRPr="00EE6BD0">
        <w:rPr>
          <w:rFonts w:cs="Times New Roman"/>
          <w:noProof/>
          <w:sz w:val="20"/>
          <w:szCs w:val="24"/>
        </w:rPr>
        <w:t xml:space="preserve">Lauvset, S. K., Key, R. M., Olsen, A., Van Heuven, S., Velo, A., Lin, X., et al. (2016). A new global interior ocean mapped climatology: The 1° × 1° GLODAP version 2. </w:t>
      </w:r>
      <w:r w:rsidRPr="00EE6BD0">
        <w:rPr>
          <w:rFonts w:cs="Times New Roman"/>
          <w:i/>
          <w:iCs/>
          <w:noProof/>
          <w:sz w:val="20"/>
          <w:szCs w:val="24"/>
        </w:rPr>
        <w:t>Earth Syst. Sci. Data</w:t>
      </w:r>
      <w:r w:rsidRPr="00EE6BD0">
        <w:rPr>
          <w:rFonts w:cs="Times New Roman"/>
          <w:noProof/>
          <w:sz w:val="20"/>
          <w:szCs w:val="24"/>
        </w:rPr>
        <w:t xml:space="preserve"> 8, 325–340. doi:10.5194/essd-8-325-2016.</w:t>
      </w:r>
    </w:p>
    <w:p w14:paraId="75C5CDB8" w14:textId="77777777" w:rsidR="00EE6BD0" w:rsidRPr="00EE6BD0" w:rsidRDefault="00EE6BD0" w:rsidP="00EE6BD0">
      <w:pPr>
        <w:widowControl w:val="0"/>
        <w:autoSpaceDE w:val="0"/>
        <w:autoSpaceDN w:val="0"/>
        <w:adjustRightInd w:val="0"/>
        <w:spacing w:before="240"/>
        <w:ind w:left="480" w:hanging="480"/>
        <w:rPr>
          <w:rFonts w:cs="Times New Roman"/>
          <w:noProof/>
          <w:sz w:val="20"/>
          <w:szCs w:val="24"/>
        </w:rPr>
      </w:pPr>
      <w:r w:rsidRPr="00EE6BD0">
        <w:rPr>
          <w:rFonts w:cs="Times New Roman"/>
          <w:noProof/>
          <w:sz w:val="20"/>
          <w:szCs w:val="24"/>
        </w:rPr>
        <w:t xml:space="preserve">Lazzari, P., Solidoro, C., Salon, S., and Bolzon, G. (2016). Spatial variability of phosphate and nitrate in the Mediterranean Sea: A modeling approach. </w:t>
      </w:r>
      <w:r w:rsidRPr="00EE6BD0">
        <w:rPr>
          <w:rFonts w:cs="Times New Roman"/>
          <w:i/>
          <w:iCs/>
          <w:noProof/>
          <w:sz w:val="20"/>
          <w:szCs w:val="24"/>
        </w:rPr>
        <w:t>Deep. Res. Part I Oceanogr. Res. Pap.</w:t>
      </w:r>
      <w:r w:rsidRPr="00EE6BD0">
        <w:rPr>
          <w:rFonts w:cs="Times New Roman"/>
          <w:noProof/>
          <w:sz w:val="20"/>
          <w:szCs w:val="24"/>
        </w:rPr>
        <w:t xml:space="preserve"> 108, 39–52. doi:10.1016/j.dsr.2015.12.006.</w:t>
      </w:r>
    </w:p>
    <w:p w14:paraId="4071EFCC" w14:textId="77777777" w:rsidR="00EE6BD0" w:rsidRPr="00EE6BD0" w:rsidRDefault="00EE6BD0" w:rsidP="00EE6BD0">
      <w:pPr>
        <w:widowControl w:val="0"/>
        <w:autoSpaceDE w:val="0"/>
        <w:autoSpaceDN w:val="0"/>
        <w:adjustRightInd w:val="0"/>
        <w:spacing w:before="240"/>
        <w:ind w:left="480" w:hanging="480"/>
        <w:rPr>
          <w:rFonts w:cs="Times New Roman"/>
          <w:noProof/>
          <w:sz w:val="20"/>
          <w:szCs w:val="24"/>
        </w:rPr>
      </w:pPr>
      <w:r w:rsidRPr="00EE6BD0">
        <w:rPr>
          <w:rFonts w:cs="Times New Roman"/>
          <w:noProof/>
          <w:sz w:val="20"/>
          <w:szCs w:val="24"/>
        </w:rPr>
        <w:t xml:space="preserve">Lellouche, J. M., Le Galloudec, O., Drévillon, M., Régnier, C., Greiner, E., Garric, G., et al. (2013). Evaluation of global monitoring and forecasting systems at Mercator Océan. </w:t>
      </w:r>
      <w:r w:rsidRPr="00EE6BD0">
        <w:rPr>
          <w:rFonts w:cs="Times New Roman"/>
          <w:i/>
          <w:iCs/>
          <w:noProof/>
          <w:sz w:val="20"/>
          <w:szCs w:val="24"/>
        </w:rPr>
        <w:t>Ocean Sci.</w:t>
      </w:r>
      <w:r w:rsidRPr="00EE6BD0">
        <w:rPr>
          <w:rFonts w:cs="Times New Roman"/>
          <w:noProof/>
          <w:sz w:val="20"/>
          <w:szCs w:val="24"/>
        </w:rPr>
        <w:t xml:space="preserve"> 9, 57–81. doi:10.5194/os-9-57-2013.</w:t>
      </w:r>
    </w:p>
    <w:p w14:paraId="6E094AEF" w14:textId="77777777" w:rsidR="00EE6BD0" w:rsidRPr="00EE6BD0" w:rsidRDefault="00EE6BD0" w:rsidP="00EE6BD0">
      <w:pPr>
        <w:widowControl w:val="0"/>
        <w:autoSpaceDE w:val="0"/>
        <w:autoSpaceDN w:val="0"/>
        <w:adjustRightInd w:val="0"/>
        <w:spacing w:before="240"/>
        <w:ind w:left="480" w:hanging="480"/>
        <w:rPr>
          <w:rFonts w:cs="Times New Roman"/>
          <w:noProof/>
          <w:sz w:val="20"/>
          <w:szCs w:val="24"/>
        </w:rPr>
      </w:pPr>
      <w:r w:rsidRPr="00EE6BD0">
        <w:rPr>
          <w:rFonts w:cs="Times New Roman"/>
          <w:noProof/>
          <w:sz w:val="20"/>
          <w:szCs w:val="24"/>
        </w:rPr>
        <w:t xml:space="preserve">Locarnini, R. A., Mishonov, A. V., Antonov, J. I., Boyer, T. P., Garcia, H. E., Baranova, O. K., et al. (2013). World Ocean Atlas 2013, Volume 1: Temperature. </w:t>
      </w:r>
      <w:r w:rsidRPr="00EE6BD0">
        <w:rPr>
          <w:rFonts w:cs="Times New Roman"/>
          <w:i/>
          <w:iCs/>
          <w:noProof/>
          <w:sz w:val="20"/>
          <w:szCs w:val="24"/>
        </w:rPr>
        <w:t>NOAA Atlas NESDIS 73</w:t>
      </w:r>
      <w:r w:rsidRPr="00EE6BD0">
        <w:rPr>
          <w:rFonts w:cs="Times New Roman"/>
          <w:noProof/>
          <w:sz w:val="20"/>
          <w:szCs w:val="24"/>
        </w:rPr>
        <w:t>, 40 pp. doi:10.1182/blood-2011-06-357442.</w:t>
      </w:r>
    </w:p>
    <w:p w14:paraId="758CAD41" w14:textId="77777777" w:rsidR="00EE6BD0" w:rsidRPr="00EE6BD0" w:rsidRDefault="00EE6BD0" w:rsidP="00EE6BD0">
      <w:pPr>
        <w:widowControl w:val="0"/>
        <w:autoSpaceDE w:val="0"/>
        <w:autoSpaceDN w:val="0"/>
        <w:adjustRightInd w:val="0"/>
        <w:spacing w:before="240"/>
        <w:ind w:left="480" w:hanging="480"/>
        <w:rPr>
          <w:rFonts w:cs="Times New Roman"/>
          <w:noProof/>
          <w:sz w:val="20"/>
          <w:szCs w:val="24"/>
        </w:rPr>
      </w:pPr>
      <w:r w:rsidRPr="00EE6BD0">
        <w:rPr>
          <w:rFonts w:cs="Times New Roman"/>
          <w:noProof/>
          <w:sz w:val="20"/>
          <w:szCs w:val="24"/>
        </w:rPr>
        <w:t xml:space="preserve">Ludwig, W., Dumont, E., Meybeck, M., and Heussner, S. (2009). River discharges of water and nutrients to the Mediterranean and Black Sea: Major drivers for ecosystem changes during past and future decades? </w:t>
      </w:r>
      <w:r w:rsidRPr="00EE6BD0">
        <w:rPr>
          <w:rFonts w:cs="Times New Roman"/>
          <w:i/>
          <w:iCs/>
          <w:noProof/>
          <w:sz w:val="20"/>
          <w:szCs w:val="24"/>
        </w:rPr>
        <w:t>Prog. Oceanogr.</w:t>
      </w:r>
      <w:r w:rsidRPr="00EE6BD0">
        <w:rPr>
          <w:rFonts w:cs="Times New Roman"/>
          <w:noProof/>
          <w:sz w:val="20"/>
          <w:szCs w:val="24"/>
        </w:rPr>
        <w:t xml:space="preserve"> 80, 199–217. doi:10.1016/j.pocean.2009.02.001.</w:t>
      </w:r>
    </w:p>
    <w:p w14:paraId="30DF8F53" w14:textId="77777777" w:rsidR="00EE6BD0" w:rsidRPr="00EE6BD0" w:rsidRDefault="00EE6BD0" w:rsidP="00EE6BD0">
      <w:pPr>
        <w:widowControl w:val="0"/>
        <w:autoSpaceDE w:val="0"/>
        <w:autoSpaceDN w:val="0"/>
        <w:adjustRightInd w:val="0"/>
        <w:spacing w:before="240"/>
        <w:ind w:left="480" w:hanging="480"/>
        <w:rPr>
          <w:rFonts w:cs="Times New Roman"/>
          <w:noProof/>
          <w:sz w:val="20"/>
          <w:szCs w:val="24"/>
        </w:rPr>
      </w:pPr>
      <w:r w:rsidRPr="00EE6BD0">
        <w:rPr>
          <w:rFonts w:cs="Times New Roman"/>
          <w:noProof/>
          <w:sz w:val="20"/>
          <w:szCs w:val="24"/>
        </w:rPr>
        <w:t xml:space="preserve">Ludwig, W., and Probst, J. L. (1996). Predicting the oceanic input of organic carbon by continental erosion. </w:t>
      </w:r>
      <w:r w:rsidRPr="00EE6BD0">
        <w:rPr>
          <w:rFonts w:cs="Times New Roman"/>
          <w:i/>
          <w:iCs/>
          <w:noProof/>
          <w:sz w:val="20"/>
          <w:szCs w:val="24"/>
        </w:rPr>
        <w:t>Global Biogeochem. Cycles</w:t>
      </w:r>
      <w:r w:rsidRPr="00EE6BD0">
        <w:rPr>
          <w:rFonts w:cs="Times New Roman"/>
          <w:noProof/>
          <w:sz w:val="20"/>
          <w:szCs w:val="24"/>
        </w:rPr>
        <w:t xml:space="preserve"> 10, 23–41. doi:10.1029/95GB02925.</w:t>
      </w:r>
    </w:p>
    <w:p w14:paraId="0B8A2E9C" w14:textId="77777777" w:rsidR="00EE6BD0" w:rsidRPr="00EE6BD0" w:rsidRDefault="00EE6BD0" w:rsidP="00EE6BD0">
      <w:pPr>
        <w:widowControl w:val="0"/>
        <w:autoSpaceDE w:val="0"/>
        <w:autoSpaceDN w:val="0"/>
        <w:adjustRightInd w:val="0"/>
        <w:spacing w:before="240"/>
        <w:ind w:left="480" w:hanging="480"/>
        <w:rPr>
          <w:rFonts w:cs="Times New Roman"/>
          <w:noProof/>
          <w:sz w:val="20"/>
          <w:szCs w:val="24"/>
        </w:rPr>
      </w:pPr>
      <w:r w:rsidRPr="00EE6BD0">
        <w:rPr>
          <w:rFonts w:cs="Times New Roman"/>
          <w:noProof/>
          <w:sz w:val="20"/>
          <w:szCs w:val="24"/>
        </w:rPr>
        <w:t xml:space="preserve">Macias, D. ., Stips, A., and Garcia-Gorriz, E. (2014a). The relevance of deep chlorophyll maximum in the open Mediterranean Sea evaluated through 3D hydrodynamic-biogeochemical coupled simulations. </w:t>
      </w:r>
      <w:r w:rsidRPr="00EE6BD0">
        <w:rPr>
          <w:rFonts w:cs="Times New Roman"/>
          <w:i/>
          <w:iCs/>
          <w:noProof/>
          <w:sz w:val="20"/>
          <w:szCs w:val="24"/>
        </w:rPr>
        <w:t>Ecol. Modell.</w:t>
      </w:r>
      <w:r w:rsidRPr="00EE6BD0">
        <w:rPr>
          <w:rFonts w:cs="Times New Roman"/>
          <w:noProof/>
          <w:sz w:val="20"/>
          <w:szCs w:val="24"/>
        </w:rPr>
        <w:t xml:space="preserve"> 281, 26–31. Available at: http://www.sciencedirect.com/science/article/pii/S0304380014001161 [Accessed July 29, 2014].</w:t>
      </w:r>
    </w:p>
    <w:p w14:paraId="4F2AC6C6" w14:textId="77777777" w:rsidR="00EE6BD0" w:rsidRPr="00EE6BD0" w:rsidRDefault="00EE6BD0" w:rsidP="00EE6BD0">
      <w:pPr>
        <w:widowControl w:val="0"/>
        <w:autoSpaceDE w:val="0"/>
        <w:autoSpaceDN w:val="0"/>
        <w:adjustRightInd w:val="0"/>
        <w:spacing w:before="240"/>
        <w:ind w:left="480" w:hanging="480"/>
        <w:rPr>
          <w:rFonts w:cs="Times New Roman"/>
          <w:noProof/>
          <w:sz w:val="20"/>
          <w:szCs w:val="24"/>
        </w:rPr>
      </w:pPr>
      <w:r w:rsidRPr="00EE6BD0">
        <w:rPr>
          <w:rFonts w:cs="Times New Roman"/>
          <w:noProof/>
          <w:sz w:val="20"/>
          <w:szCs w:val="24"/>
        </w:rPr>
        <w:t xml:space="preserve">Macias, D., Garcia-Gorriz, E., Piroddi, C., and Stips, A. (2014b). Biogeochemical control of marine productivity in the Mediterranean Sea during the last 50 years. </w:t>
      </w:r>
      <w:r w:rsidRPr="00EE6BD0">
        <w:rPr>
          <w:rFonts w:cs="Times New Roman"/>
          <w:i/>
          <w:iCs/>
          <w:noProof/>
          <w:sz w:val="20"/>
          <w:szCs w:val="24"/>
        </w:rPr>
        <w:t>Global Biogeochem. Cycles</w:t>
      </w:r>
      <w:r w:rsidRPr="00EE6BD0">
        <w:rPr>
          <w:rFonts w:cs="Times New Roman"/>
          <w:noProof/>
          <w:sz w:val="20"/>
          <w:szCs w:val="24"/>
        </w:rPr>
        <w:t xml:space="preserve"> 28, 897–907. doi:10.1002/2014GB004846.</w:t>
      </w:r>
    </w:p>
    <w:p w14:paraId="37188B4C" w14:textId="77777777" w:rsidR="00EE6BD0" w:rsidRPr="00EE6BD0" w:rsidRDefault="00EE6BD0" w:rsidP="00EE6BD0">
      <w:pPr>
        <w:widowControl w:val="0"/>
        <w:autoSpaceDE w:val="0"/>
        <w:autoSpaceDN w:val="0"/>
        <w:adjustRightInd w:val="0"/>
        <w:spacing w:before="240"/>
        <w:ind w:left="480" w:hanging="480"/>
        <w:rPr>
          <w:rFonts w:cs="Times New Roman"/>
          <w:noProof/>
          <w:sz w:val="20"/>
          <w:szCs w:val="24"/>
        </w:rPr>
      </w:pPr>
      <w:r w:rsidRPr="00EE6BD0">
        <w:rPr>
          <w:rFonts w:cs="Times New Roman"/>
          <w:noProof/>
          <w:sz w:val="20"/>
          <w:szCs w:val="24"/>
        </w:rPr>
        <w:t xml:space="preserve">Macias, D., Garcia-Gorriz, E., and Stips, A. (2018a). Deep winter convection and phytoplankton dynamics in the NW Mediterranean Sea under present climate and future (horizon 2030) scenarios. </w:t>
      </w:r>
      <w:r w:rsidRPr="00EE6BD0">
        <w:rPr>
          <w:rFonts w:cs="Times New Roman"/>
          <w:i/>
          <w:iCs/>
          <w:noProof/>
          <w:sz w:val="20"/>
          <w:szCs w:val="24"/>
        </w:rPr>
        <w:t>Sci. Rep.</w:t>
      </w:r>
      <w:r w:rsidRPr="00EE6BD0">
        <w:rPr>
          <w:rFonts w:cs="Times New Roman"/>
          <w:noProof/>
          <w:sz w:val="20"/>
          <w:szCs w:val="24"/>
        </w:rPr>
        <w:t xml:space="preserve"> 8. doi:10.1038/s41598-018-24965-0.</w:t>
      </w:r>
    </w:p>
    <w:p w14:paraId="43A4B5A1" w14:textId="77777777" w:rsidR="00EE6BD0" w:rsidRPr="00EE6BD0" w:rsidRDefault="00EE6BD0" w:rsidP="00EE6BD0">
      <w:pPr>
        <w:widowControl w:val="0"/>
        <w:autoSpaceDE w:val="0"/>
        <w:autoSpaceDN w:val="0"/>
        <w:adjustRightInd w:val="0"/>
        <w:spacing w:before="240"/>
        <w:ind w:left="480" w:hanging="480"/>
        <w:rPr>
          <w:rFonts w:cs="Times New Roman"/>
          <w:noProof/>
          <w:sz w:val="20"/>
          <w:szCs w:val="24"/>
        </w:rPr>
      </w:pPr>
      <w:r w:rsidRPr="00EE6BD0">
        <w:rPr>
          <w:rFonts w:cs="Times New Roman"/>
          <w:noProof/>
          <w:sz w:val="20"/>
          <w:szCs w:val="24"/>
        </w:rPr>
        <w:t xml:space="preserve">Macias, D., Huertas, I. E., Garcia-Gorriz, E., and Stips, A. (2019). Non-Redfieldian dynamics driven by phytoplankton phosphate frugality explain nutrient and chlorophyll patterns in model simulations for the Mediterranean Sea. </w:t>
      </w:r>
      <w:r w:rsidRPr="00EE6BD0">
        <w:rPr>
          <w:rFonts w:cs="Times New Roman"/>
          <w:i/>
          <w:iCs/>
          <w:noProof/>
          <w:sz w:val="20"/>
          <w:szCs w:val="24"/>
        </w:rPr>
        <w:t>Prog. Oceanogr.</w:t>
      </w:r>
      <w:r w:rsidRPr="00EE6BD0">
        <w:rPr>
          <w:rFonts w:cs="Times New Roman"/>
          <w:noProof/>
          <w:sz w:val="20"/>
          <w:szCs w:val="24"/>
        </w:rPr>
        <w:t xml:space="preserve"> 173, 37–50. doi:10.1016/j.pocean.2019.02.005.</w:t>
      </w:r>
    </w:p>
    <w:p w14:paraId="20D8C538" w14:textId="77777777" w:rsidR="00EE6BD0" w:rsidRPr="00EE6BD0" w:rsidRDefault="00EE6BD0" w:rsidP="00EE6BD0">
      <w:pPr>
        <w:widowControl w:val="0"/>
        <w:autoSpaceDE w:val="0"/>
        <w:autoSpaceDN w:val="0"/>
        <w:adjustRightInd w:val="0"/>
        <w:spacing w:before="240"/>
        <w:ind w:left="480" w:hanging="480"/>
        <w:rPr>
          <w:rFonts w:cs="Times New Roman"/>
          <w:noProof/>
          <w:sz w:val="20"/>
          <w:szCs w:val="24"/>
        </w:rPr>
      </w:pPr>
      <w:r w:rsidRPr="00EE6BD0">
        <w:rPr>
          <w:rFonts w:cs="Times New Roman"/>
          <w:noProof/>
          <w:sz w:val="20"/>
          <w:szCs w:val="24"/>
        </w:rPr>
        <w:t>Macias, D. M., Stips, A., and Garcia-Gorriz, E. (2018b). Adaptive nitrogen to phosphate ratio in biogeochemical models , consequences for the stoichiometry of the Mediterranean Sea. JRC111042, ed. Luxembourg: Publications Office of the European Union doi:10.2760/797879.</w:t>
      </w:r>
    </w:p>
    <w:p w14:paraId="3712C61E" w14:textId="77777777" w:rsidR="00EE6BD0" w:rsidRPr="00EE6BD0" w:rsidRDefault="00EE6BD0" w:rsidP="00EE6BD0">
      <w:pPr>
        <w:widowControl w:val="0"/>
        <w:autoSpaceDE w:val="0"/>
        <w:autoSpaceDN w:val="0"/>
        <w:adjustRightInd w:val="0"/>
        <w:spacing w:before="240"/>
        <w:ind w:left="480" w:hanging="480"/>
        <w:rPr>
          <w:rFonts w:cs="Times New Roman"/>
          <w:noProof/>
          <w:sz w:val="20"/>
          <w:szCs w:val="24"/>
        </w:rPr>
      </w:pPr>
      <w:r w:rsidRPr="00EE6BD0">
        <w:rPr>
          <w:rFonts w:cs="Times New Roman"/>
          <w:noProof/>
          <w:sz w:val="20"/>
          <w:szCs w:val="24"/>
        </w:rPr>
        <w:t xml:space="preserve">Markaki, Z., Oikonomou, K., Kocak, M., Kouvarakis, G., Chaniotaki, A., Kubilay, N., et al. (2003). Atmospheric deposition of inorganic phosphorus in the Levantine Basin, eastern Mediterranean: Spatial and temporal variability and its role in seawater productivity. </w:t>
      </w:r>
      <w:r w:rsidRPr="00EE6BD0">
        <w:rPr>
          <w:rFonts w:cs="Times New Roman"/>
          <w:i/>
          <w:iCs/>
          <w:noProof/>
          <w:sz w:val="20"/>
          <w:szCs w:val="24"/>
        </w:rPr>
        <w:t>Limnol. Oceanogr.</w:t>
      </w:r>
      <w:r w:rsidRPr="00EE6BD0">
        <w:rPr>
          <w:rFonts w:cs="Times New Roman"/>
          <w:noProof/>
          <w:sz w:val="20"/>
          <w:szCs w:val="24"/>
        </w:rPr>
        <w:t xml:space="preserve"> 48, 1557–1568. doi:10.4319/lo.2003.48.4.1557.</w:t>
      </w:r>
    </w:p>
    <w:p w14:paraId="66473F64" w14:textId="77777777" w:rsidR="00EE6BD0" w:rsidRPr="00EE6BD0" w:rsidRDefault="00EE6BD0" w:rsidP="00EE6BD0">
      <w:pPr>
        <w:widowControl w:val="0"/>
        <w:autoSpaceDE w:val="0"/>
        <w:autoSpaceDN w:val="0"/>
        <w:adjustRightInd w:val="0"/>
        <w:spacing w:before="240"/>
        <w:ind w:left="480" w:hanging="480"/>
        <w:rPr>
          <w:rFonts w:cs="Times New Roman"/>
          <w:noProof/>
          <w:sz w:val="20"/>
          <w:szCs w:val="24"/>
        </w:rPr>
      </w:pPr>
      <w:r w:rsidRPr="00EE6BD0">
        <w:rPr>
          <w:rFonts w:cs="Times New Roman"/>
          <w:noProof/>
          <w:sz w:val="20"/>
          <w:szCs w:val="24"/>
        </w:rPr>
        <w:t xml:space="preserve">Mayorga, E., Seitzinger, S. P., Harrison, J. A., Dumont, E., Beusen, A. H. W., Bouwman, A. F., et al. (2010). Global Nutrient Export from WaterSheds 2 (NEWS 2): Model development and implementation. </w:t>
      </w:r>
      <w:r w:rsidRPr="00EE6BD0">
        <w:rPr>
          <w:rFonts w:cs="Times New Roman"/>
          <w:i/>
          <w:iCs/>
          <w:noProof/>
          <w:sz w:val="20"/>
          <w:szCs w:val="24"/>
        </w:rPr>
        <w:t>Environ. Model. Softw.</w:t>
      </w:r>
      <w:r w:rsidRPr="00EE6BD0">
        <w:rPr>
          <w:rFonts w:cs="Times New Roman"/>
          <w:noProof/>
          <w:sz w:val="20"/>
          <w:szCs w:val="24"/>
        </w:rPr>
        <w:t xml:space="preserve"> 25, 837–853. doi:10.1016/j.envsoft.2010.01.007.</w:t>
      </w:r>
    </w:p>
    <w:p w14:paraId="5657DF01" w14:textId="77777777" w:rsidR="00EE6BD0" w:rsidRPr="00EE6BD0" w:rsidRDefault="00EE6BD0" w:rsidP="00EE6BD0">
      <w:pPr>
        <w:widowControl w:val="0"/>
        <w:autoSpaceDE w:val="0"/>
        <w:autoSpaceDN w:val="0"/>
        <w:adjustRightInd w:val="0"/>
        <w:spacing w:before="240"/>
        <w:ind w:left="480" w:hanging="480"/>
        <w:rPr>
          <w:rFonts w:cs="Times New Roman"/>
          <w:noProof/>
          <w:sz w:val="20"/>
          <w:szCs w:val="24"/>
        </w:rPr>
      </w:pPr>
      <w:r w:rsidRPr="00EE6BD0">
        <w:rPr>
          <w:rFonts w:cs="Times New Roman"/>
          <w:noProof/>
          <w:sz w:val="20"/>
          <w:szCs w:val="24"/>
        </w:rPr>
        <w:lastRenderedPageBreak/>
        <w:t xml:space="preserve">Meybeck, M., and Ragu, A. (1997). Presenting the GEMS-GLORI , a compendium of world river discharge to the oceans. </w:t>
      </w:r>
      <w:r w:rsidRPr="00EE6BD0">
        <w:rPr>
          <w:rFonts w:cs="Times New Roman"/>
          <w:i/>
          <w:iCs/>
          <w:noProof/>
          <w:sz w:val="20"/>
          <w:szCs w:val="24"/>
        </w:rPr>
        <w:t>Ass. Hydrol. Sci. Publ.</w:t>
      </w:r>
      <w:r w:rsidRPr="00EE6BD0">
        <w:rPr>
          <w:rFonts w:cs="Times New Roman"/>
          <w:noProof/>
          <w:sz w:val="20"/>
          <w:szCs w:val="24"/>
        </w:rPr>
        <w:t xml:space="preserve"> 243, 3–14.</w:t>
      </w:r>
    </w:p>
    <w:p w14:paraId="041316FD" w14:textId="77777777" w:rsidR="00EE6BD0" w:rsidRPr="00EE6BD0" w:rsidRDefault="00EE6BD0" w:rsidP="00EE6BD0">
      <w:pPr>
        <w:widowControl w:val="0"/>
        <w:autoSpaceDE w:val="0"/>
        <w:autoSpaceDN w:val="0"/>
        <w:adjustRightInd w:val="0"/>
        <w:spacing w:before="240"/>
        <w:ind w:left="480" w:hanging="480"/>
        <w:rPr>
          <w:rFonts w:cs="Times New Roman"/>
          <w:noProof/>
          <w:sz w:val="20"/>
          <w:szCs w:val="24"/>
        </w:rPr>
      </w:pPr>
      <w:r w:rsidRPr="00EE6BD0">
        <w:rPr>
          <w:rFonts w:cs="Times New Roman"/>
          <w:noProof/>
          <w:sz w:val="20"/>
          <w:szCs w:val="24"/>
        </w:rPr>
        <w:t xml:space="preserve">Neumann, T., Fennel, W., and Kremp, C. (2002). Experimental simulations with an ecosystem model of the Baltic Sea: A nutrient load reduction experiment. </w:t>
      </w:r>
      <w:r w:rsidRPr="00EE6BD0">
        <w:rPr>
          <w:rFonts w:cs="Times New Roman"/>
          <w:i/>
          <w:iCs/>
          <w:noProof/>
          <w:sz w:val="20"/>
          <w:szCs w:val="24"/>
        </w:rPr>
        <w:t>Global Biogeochem. Cycles</w:t>
      </w:r>
      <w:r w:rsidRPr="00EE6BD0">
        <w:rPr>
          <w:rFonts w:cs="Times New Roman"/>
          <w:noProof/>
          <w:sz w:val="20"/>
          <w:szCs w:val="24"/>
        </w:rPr>
        <w:t xml:space="preserve"> 16, 7-1-7–19. doi:10.1029/2001GB001450.</w:t>
      </w:r>
    </w:p>
    <w:p w14:paraId="6B65916B" w14:textId="77777777" w:rsidR="00EE6BD0" w:rsidRPr="00EE6BD0" w:rsidRDefault="00EE6BD0" w:rsidP="00EE6BD0">
      <w:pPr>
        <w:widowControl w:val="0"/>
        <w:autoSpaceDE w:val="0"/>
        <w:autoSpaceDN w:val="0"/>
        <w:adjustRightInd w:val="0"/>
        <w:spacing w:before="240"/>
        <w:ind w:left="480" w:hanging="480"/>
        <w:rPr>
          <w:rFonts w:cs="Times New Roman"/>
          <w:noProof/>
          <w:sz w:val="20"/>
          <w:szCs w:val="24"/>
        </w:rPr>
      </w:pPr>
      <w:r w:rsidRPr="00EE6BD0">
        <w:rPr>
          <w:rFonts w:cs="Times New Roman"/>
          <w:noProof/>
          <w:sz w:val="20"/>
          <w:szCs w:val="24"/>
        </w:rPr>
        <w:t xml:space="preserve">Oddo, P., Adani, M., Pinardi, N., Fratianni, C., Tonani, M., and Pettenuzzo, D. (2009). A nested Atlantic-Mediterranean Sea general circulation model for operational forecasting. </w:t>
      </w:r>
      <w:r w:rsidRPr="00EE6BD0">
        <w:rPr>
          <w:rFonts w:cs="Times New Roman"/>
          <w:i/>
          <w:iCs/>
          <w:noProof/>
          <w:sz w:val="20"/>
          <w:szCs w:val="24"/>
        </w:rPr>
        <w:t>Ocean Sci.</w:t>
      </w:r>
      <w:r w:rsidRPr="00EE6BD0">
        <w:rPr>
          <w:rFonts w:cs="Times New Roman"/>
          <w:noProof/>
          <w:sz w:val="20"/>
          <w:szCs w:val="24"/>
        </w:rPr>
        <w:t xml:space="preserve"> 5, 461–473. doi:10.5194/os-5-461-2009.</w:t>
      </w:r>
    </w:p>
    <w:p w14:paraId="3288A7D7" w14:textId="77777777" w:rsidR="00EE6BD0" w:rsidRPr="00EE6BD0" w:rsidRDefault="00EE6BD0" w:rsidP="00EE6BD0">
      <w:pPr>
        <w:widowControl w:val="0"/>
        <w:autoSpaceDE w:val="0"/>
        <w:autoSpaceDN w:val="0"/>
        <w:adjustRightInd w:val="0"/>
        <w:spacing w:before="240"/>
        <w:ind w:left="480" w:hanging="480"/>
        <w:rPr>
          <w:rFonts w:cs="Times New Roman"/>
          <w:noProof/>
          <w:sz w:val="20"/>
          <w:szCs w:val="24"/>
        </w:rPr>
      </w:pPr>
      <w:r w:rsidRPr="00EE6BD0">
        <w:rPr>
          <w:rFonts w:cs="Times New Roman"/>
          <w:noProof/>
          <w:sz w:val="20"/>
          <w:szCs w:val="24"/>
        </w:rPr>
        <w:t xml:space="preserve">Ribera d’Alcalà, M. (2003). Nutrient ratios and fluxes hint at overlooked processes in the Mediterranean Sea. </w:t>
      </w:r>
      <w:r w:rsidRPr="00EE6BD0">
        <w:rPr>
          <w:rFonts w:cs="Times New Roman"/>
          <w:i/>
          <w:iCs/>
          <w:noProof/>
          <w:sz w:val="20"/>
          <w:szCs w:val="24"/>
        </w:rPr>
        <w:t>J. Geophys. Res.</w:t>
      </w:r>
      <w:r w:rsidRPr="00EE6BD0">
        <w:rPr>
          <w:rFonts w:cs="Times New Roman"/>
          <w:noProof/>
          <w:sz w:val="20"/>
          <w:szCs w:val="24"/>
        </w:rPr>
        <w:t xml:space="preserve"> 108, 8106. doi:10.1029/2002JC001650.</w:t>
      </w:r>
    </w:p>
    <w:p w14:paraId="3F9BA139" w14:textId="77777777" w:rsidR="00EE6BD0" w:rsidRPr="00EE6BD0" w:rsidRDefault="00EE6BD0" w:rsidP="00EE6BD0">
      <w:pPr>
        <w:widowControl w:val="0"/>
        <w:autoSpaceDE w:val="0"/>
        <w:autoSpaceDN w:val="0"/>
        <w:adjustRightInd w:val="0"/>
        <w:spacing w:before="240"/>
        <w:ind w:left="480" w:hanging="480"/>
        <w:rPr>
          <w:rFonts w:cs="Times New Roman"/>
          <w:noProof/>
          <w:sz w:val="20"/>
          <w:szCs w:val="24"/>
        </w:rPr>
      </w:pPr>
      <w:r w:rsidRPr="00EE6BD0">
        <w:rPr>
          <w:rFonts w:cs="Times New Roman"/>
          <w:noProof/>
          <w:sz w:val="20"/>
          <w:szCs w:val="24"/>
        </w:rPr>
        <w:t xml:space="preserve">Simoncelli, S., Fratianni, C., Pinardi, N., Grandi, A., Drudi, M., Oddo, P., et al. (2014). Mediterranean Sea physical reanalysis (MEDREA 1987-2015) (Version 1). </w:t>
      </w:r>
      <w:r w:rsidRPr="00EE6BD0">
        <w:rPr>
          <w:rFonts w:cs="Times New Roman"/>
          <w:i/>
          <w:iCs/>
          <w:noProof/>
          <w:sz w:val="20"/>
          <w:szCs w:val="24"/>
        </w:rPr>
        <w:t>E.U. Copernicus Mar. Serv. Inf.</w:t>
      </w:r>
      <w:r w:rsidRPr="00EE6BD0">
        <w:rPr>
          <w:rFonts w:cs="Times New Roman"/>
          <w:noProof/>
          <w:sz w:val="20"/>
          <w:szCs w:val="24"/>
        </w:rPr>
        <w:t xml:space="preserve"> doi:https://doi.org/10.25423/medsea_reanalysis_phys_006_004.</w:t>
      </w:r>
    </w:p>
    <w:p w14:paraId="5084D170" w14:textId="77777777" w:rsidR="00EE6BD0" w:rsidRPr="00EE6BD0" w:rsidRDefault="00EE6BD0" w:rsidP="00EE6BD0">
      <w:pPr>
        <w:widowControl w:val="0"/>
        <w:autoSpaceDE w:val="0"/>
        <w:autoSpaceDN w:val="0"/>
        <w:adjustRightInd w:val="0"/>
        <w:spacing w:before="240"/>
        <w:ind w:left="480" w:hanging="480"/>
        <w:rPr>
          <w:rFonts w:cs="Times New Roman"/>
          <w:noProof/>
          <w:sz w:val="20"/>
          <w:szCs w:val="24"/>
        </w:rPr>
      </w:pPr>
      <w:r w:rsidRPr="00EE6BD0">
        <w:rPr>
          <w:rFonts w:cs="Times New Roman"/>
          <w:noProof/>
          <w:sz w:val="20"/>
          <w:szCs w:val="24"/>
        </w:rPr>
        <w:t xml:space="preserve">Sotillo, M. G., Cailleau, S., Lorente, P., Levier, B., Aznar, R., Reffray, G., et al. (2015). The myocean IBI ocean forecast and reanalysis systems: Operational products and roadmap to the future copernicus service. </w:t>
      </w:r>
      <w:r w:rsidRPr="00EE6BD0">
        <w:rPr>
          <w:rFonts w:cs="Times New Roman"/>
          <w:i/>
          <w:iCs/>
          <w:noProof/>
          <w:sz w:val="20"/>
          <w:szCs w:val="24"/>
        </w:rPr>
        <w:t>J. Oper. Oceanogr.</w:t>
      </w:r>
      <w:r w:rsidRPr="00EE6BD0">
        <w:rPr>
          <w:rFonts w:cs="Times New Roman"/>
          <w:noProof/>
          <w:sz w:val="20"/>
          <w:szCs w:val="24"/>
        </w:rPr>
        <w:t xml:space="preserve"> 8, 63–79. doi:10.1080/1755876X.2015.1014663.</w:t>
      </w:r>
    </w:p>
    <w:p w14:paraId="12638557" w14:textId="77777777" w:rsidR="00EE6BD0" w:rsidRPr="00EE6BD0" w:rsidRDefault="00EE6BD0" w:rsidP="00EE6BD0">
      <w:pPr>
        <w:widowControl w:val="0"/>
        <w:autoSpaceDE w:val="0"/>
        <w:autoSpaceDN w:val="0"/>
        <w:adjustRightInd w:val="0"/>
        <w:spacing w:before="240"/>
        <w:ind w:left="480" w:hanging="480"/>
        <w:rPr>
          <w:rFonts w:cs="Times New Roman"/>
          <w:noProof/>
          <w:sz w:val="20"/>
          <w:szCs w:val="24"/>
        </w:rPr>
      </w:pPr>
      <w:r w:rsidRPr="00EE6BD0">
        <w:rPr>
          <w:rFonts w:cs="Times New Roman"/>
          <w:noProof/>
          <w:sz w:val="20"/>
          <w:szCs w:val="24"/>
        </w:rPr>
        <w:t xml:space="preserve">Stips, A., Bolding, K., Pohlmann, T., and Burchard, H. (2004). Simulating the temporal and spatial dynamics of the North Sea using the new model GETM (general estuarine transport model). in </w:t>
      </w:r>
      <w:r w:rsidRPr="00EE6BD0">
        <w:rPr>
          <w:rFonts w:cs="Times New Roman"/>
          <w:i/>
          <w:iCs/>
          <w:noProof/>
          <w:sz w:val="20"/>
          <w:szCs w:val="24"/>
        </w:rPr>
        <w:t>Ocean Dynamics</w:t>
      </w:r>
      <w:r w:rsidRPr="00EE6BD0">
        <w:rPr>
          <w:rFonts w:cs="Times New Roman"/>
          <w:noProof/>
          <w:sz w:val="20"/>
          <w:szCs w:val="24"/>
        </w:rPr>
        <w:t>, 266–283. doi:10.1007/s10236-003-0077-0.</w:t>
      </w:r>
    </w:p>
    <w:p w14:paraId="0EFF114E" w14:textId="77777777" w:rsidR="00EE6BD0" w:rsidRPr="00EE6BD0" w:rsidRDefault="00EE6BD0" w:rsidP="00EE6BD0">
      <w:pPr>
        <w:widowControl w:val="0"/>
        <w:autoSpaceDE w:val="0"/>
        <w:autoSpaceDN w:val="0"/>
        <w:adjustRightInd w:val="0"/>
        <w:spacing w:before="240"/>
        <w:ind w:left="480" w:hanging="480"/>
        <w:rPr>
          <w:rFonts w:cs="Times New Roman"/>
          <w:noProof/>
          <w:sz w:val="20"/>
          <w:szCs w:val="24"/>
        </w:rPr>
      </w:pPr>
      <w:r w:rsidRPr="00EE6BD0">
        <w:rPr>
          <w:rFonts w:cs="Times New Roman"/>
          <w:noProof/>
          <w:sz w:val="20"/>
          <w:szCs w:val="24"/>
        </w:rPr>
        <w:t xml:space="preserve">Teruzzi, A., Cossarini, G., Lazzari, P., Salon, S., Bolzon, G., Crise, A., et al. (2016). Mediterranean Sea biogeochemical reanalysis (CMEMS MED REA-Biogeochemistry 1999-2015). </w:t>
      </w:r>
      <w:r w:rsidRPr="00EE6BD0">
        <w:rPr>
          <w:rFonts w:cs="Times New Roman"/>
          <w:i/>
          <w:iCs/>
          <w:noProof/>
          <w:sz w:val="20"/>
          <w:szCs w:val="24"/>
        </w:rPr>
        <w:t>Copernicus Monit. Environ. Mar. Serv.</w:t>
      </w:r>
      <w:r w:rsidRPr="00EE6BD0">
        <w:rPr>
          <w:rFonts w:cs="Times New Roman"/>
          <w:noProof/>
          <w:sz w:val="20"/>
          <w:szCs w:val="24"/>
        </w:rPr>
        <w:t xml:space="preserve"> doi:https://doi.org/10.25423.</w:t>
      </w:r>
    </w:p>
    <w:p w14:paraId="6A47A7BD" w14:textId="77777777" w:rsidR="00EE6BD0" w:rsidRPr="00EE6BD0" w:rsidRDefault="00EE6BD0" w:rsidP="00EE6BD0">
      <w:pPr>
        <w:widowControl w:val="0"/>
        <w:autoSpaceDE w:val="0"/>
        <w:autoSpaceDN w:val="0"/>
        <w:adjustRightInd w:val="0"/>
        <w:spacing w:before="240"/>
        <w:ind w:left="480" w:hanging="480"/>
        <w:rPr>
          <w:rFonts w:cs="Times New Roman"/>
          <w:noProof/>
          <w:sz w:val="20"/>
          <w:szCs w:val="24"/>
        </w:rPr>
      </w:pPr>
      <w:r w:rsidRPr="00EE6BD0">
        <w:rPr>
          <w:rFonts w:cs="Times New Roman"/>
          <w:noProof/>
          <w:sz w:val="20"/>
          <w:szCs w:val="24"/>
        </w:rPr>
        <w:t xml:space="preserve">Teruzzi, A., Dobricic, S., Solidoro, C., and Cossarini, G. (2014). A 3-D variational assimilation scheme in coupled transport-biogeochemical models: Forecast of Mediterranean biogeochemical properties. </w:t>
      </w:r>
      <w:r w:rsidRPr="00EE6BD0">
        <w:rPr>
          <w:rFonts w:cs="Times New Roman"/>
          <w:i/>
          <w:iCs/>
          <w:noProof/>
          <w:sz w:val="20"/>
          <w:szCs w:val="24"/>
        </w:rPr>
        <w:t>J. Geophys. Res. Ocean.</w:t>
      </w:r>
      <w:r w:rsidRPr="00EE6BD0">
        <w:rPr>
          <w:rFonts w:cs="Times New Roman"/>
          <w:noProof/>
          <w:sz w:val="20"/>
          <w:szCs w:val="24"/>
        </w:rPr>
        <w:t xml:space="preserve"> 119, 200–217. doi:10.1002/2013JC009277.</w:t>
      </w:r>
    </w:p>
    <w:p w14:paraId="59FAE5A9" w14:textId="77777777" w:rsidR="00EE6BD0" w:rsidRPr="00EE6BD0" w:rsidRDefault="00EE6BD0" w:rsidP="00EE6BD0">
      <w:pPr>
        <w:widowControl w:val="0"/>
        <w:autoSpaceDE w:val="0"/>
        <w:autoSpaceDN w:val="0"/>
        <w:adjustRightInd w:val="0"/>
        <w:spacing w:before="240"/>
        <w:ind w:left="480" w:hanging="480"/>
        <w:rPr>
          <w:rFonts w:cs="Times New Roman"/>
          <w:noProof/>
          <w:sz w:val="20"/>
          <w:szCs w:val="24"/>
        </w:rPr>
      </w:pPr>
      <w:r w:rsidRPr="00EE6BD0">
        <w:rPr>
          <w:rFonts w:cs="Times New Roman"/>
          <w:noProof/>
          <w:sz w:val="20"/>
          <w:szCs w:val="24"/>
        </w:rPr>
        <w:t xml:space="preserve">Tonani, M., Pinardi, N., Dobricic, S., Pujol, I., and Fratianni, C. (2008). A high-resolution free-surface model of the Mediterranean Sea. </w:t>
      </w:r>
      <w:r w:rsidRPr="00EE6BD0">
        <w:rPr>
          <w:rFonts w:cs="Times New Roman"/>
          <w:i/>
          <w:iCs/>
          <w:noProof/>
          <w:sz w:val="20"/>
          <w:szCs w:val="24"/>
        </w:rPr>
        <w:t>Ocean Sci.</w:t>
      </w:r>
      <w:r w:rsidRPr="00EE6BD0">
        <w:rPr>
          <w:rFonts w:cs="Times New Roman"/>
          <w:noProof/>
          <w:sz w:val="20"/>
          <w:szCs w:val="24"/>
        </w:rPr>
        <w:t xml:space="preserve"> 4, 1–14. doi:10.5194/os-4-1-2008.</w:t>
      </w:r>
    </w:p>
    <w:p w14:paraId="094962BC" w14:textId="77777777" w:rsidR="00EE6BD0" w:rsidRPr="00EE6BD0" w:rsidRDefault="00EE6BD0" w:rsidP="00EE6BD0">
      <w:pPr>
        <w:widowControl w:val="0"/>
        <w:autoSpaceDE w:val="0"/>
        <w:autoSpaceDN w:val="0"/>
        <w:adjustRightInd w:val="0"/>
        <w:spacing w:before="240"/>
        <w:ind w:left="480" w:hanging="480"/>
        <w:rPr>
          <w:rFonts w:cs="Times New Roman"/>
          <w:noProof/>
          <w:sz w:val="20"/>
          <w:szCs w:val="24"/>
        </w:rPr>
      </w:pPr>
      <w:bookmarkStart w:id="19" w:name="_GoBack"/>
      <w:r w:rsidRPr="00EE6BD0">
        <w:rPr>
          <w:rFonts w:cs="Times New Roman"/>
          <w:noProof/>
          <w:sz w:val="20"/>
          <w:szCs w:val="24"/>
        </w:rPr>
        <w:t>Vichi</w:t>
      </w:r>
      <w:bookmarkEnd w:id="19"/>
      <w:r w:rsidRPr="00EE6BD0">
        <w:rPr>
          <w:rFonts w:cs="Times New Roman"/>
          <w:noProof/>
          <w:sz w:val="20"/>
          <w:szCs w:val="24"/>
        </w:rPr>
        <w:t xml:space="preserve">, M., Pinardi, N., and Masina, S. (2007). A generalized model of pelagic biogeochemistry for the global ocean ecosystem. Part I: Theory. </w:t>
      </w:r>
      <w:r w:rsidRPr="00EE6BD0">
        <w:rPr>
          <w:rFonts w:cs="Times New Roman"/>
          <w:i/>
          <w:iCs/>
          <w:noProof/>
          <w:sz w:val="20"/>
          <w:szCs w:val="24"/>
        </w:rPr>
        <w:t>J. Mar. Syst.</w:t>
      </w:r>
      <w:r w:rsidRPr="00EE6BD0">
        <w:rPr>
          <w:rFonts w:cs="Times New Roman"/>
          <w:noProof/>
          <w:sz w:val="20"/>
          <w:szCs w:val="24"/>
        </w:rPr>
        <w:t xml:space="preserve"> 64, 89–109. doi:10.1016/j.jmarsys.2006.03.006.</w:t>
      </w:r>
    </w:p>
    <w:p w14:paraId="5F5D6DB5" w14:textId="77777777" w:rsidR="00EE6BD0" w:rsidRPr="00EE6BD0" w:rsidRDefault="00EE6BD0" w:rsidP="00EE6BD0">
      <w:pPr>
        <w:widowControl w:val="0"/>
        <w:autoSpaceDE w:val="0"/>
        <w:autoSpaceDN w:val="0"/>
        <w:adjustRightInd w:val="0"/>
        <w:spacing w:before="240"/>
        <w:ind w:left="480" w:hanging="480"/>
        <w:rPr>
          <w:rFonts w:cs="Times New Roman"/>
          <w:noProof/>
          <w:sz w:val="20"/>
          <w:szCs w:val="24"/>
        </w:rPr>
      </w:pPr>
      <w:r w:rsidRPr="00EE6BD0">
        <w:rPr>
          <w:rFonts w:cs="Times New Roman"/>
          <w:noProof/>
          <w:sz w:val="20"/>
          <w:szCs w:val="24"/>
        </w:rPr>
        <w:t xml:space="preserve">Xie, P., and Arkin, P. A. (1997). Global Precipitation: A 17-Year Monthly Analysis Based on Gauge Observations, Satellite Estimates, and Numerical Model Outputs. </w:t>
      </w:r>
      <w:r w:rsidRPr="00EE6BD0">
        <w:rPr>
          <w:rFonts w:cs="Times New Roman"/>
          <w:i/>
          <w:iCs/>
          <w:noProof/>
          <w:sz w:val="20"/>
          <w:szCs w:val="24"/>
        </w:rPr>
        <w:t>Bull. Am. Meteorol. Soc.</w:t>
      </w:r>
      <w:r w:rsidRPr="00EE6BD0">
        <w:rPr>
          <w:rFonts w:cs="Times New Roman"/>
          <w:noProof/>
          <w:sz w:val="20"/>
          <w:szCs w:val="24"/>
        </w:rPr>
        <w:t xml:space="preserve"> 78, 2539–2558. doi:10.1175/1520-0477(1997)078&lt;2539:GPAYMA&gt;2.0.CO;2.</w:t>
      </w:r>
    </w:p>
    <w:p w14:paraId="1E46A76D" w14:textId="77777777" w:rsidR="00EE6BD0" w:rsidRPr="00EE6BD0" w:rsidRDefault="00EE6BD0" w:rsidP="00EE6BD0">
      <w:pPr>
        <w:widowControl w:val="0"/>
        <w:autoSpaceDE w:val="0"/>
        <w:autoSpaceDN w:val="0"/>
        <w:adjustRightInd w:val="0"/>
        <w:spacing w:before="240"/>
        <w:ind w:left="480" w:hanging="480"/>
        <w:rPr>
          <w:rFonts w:cs="Times New Roman"/>
          <w:noProof/>
          <w:sz w:val="20"/>
        </w:rPr>
      </w:pPr>
      <w:r w:rsidRPr="00EE6BD0">
        <w:rPr>
          <w:rFonts w:cs="Times New Roman"/>
          <w:noProof/>
          <w:sz w:val="20"/>
          <w:szCs w:val="24"/>
        </w:rPr>
        <w:t>Zweng, M. M., Reagan, J. R., Antonov, J. I., Mishonov, A. V., Boyer, T. P., Garcia, H. E., et al. (2013). World Ocean Atlas 2013, Volume 2: Salinity. doi:10.1182/blood-2011-06-357442.</w:t>
      </w:r>
    </w:p>
    <w:p w14:paraId="0E866E8C" w14:textId="77777777" w:rsidR="00DE23E8" w:rsidRPr="00942F0E" w:rsidRDefault="00597288" w:rsidP="00ED6317">
      <w:pPr>
        <w:spacing w:before="240"/>
        <w:rPr>
          <w:sz w:val="20"/>
          <w:szCs w:val="20"/>
        </w:rPr>
      </w:pPr>
      <w:r w:rsidRPr="00942F0E">
        <w:rPr>
          <w:sz w:val="20"/>
          <w:szCs w:val="20"/>
        </w:rPr>
        <w:fldChar w:fldCharType="end"/>
      </w:r>
    </w:p>
    <w:sectPr w:rsidR="00DE23E8" w:rsidRPr="00942F0E" w:rsidSect="0093429D">
      <w:headerReference w:type="even" r:id="rId23"/>
      <w:footerReference w:type="even" r:id="rId24"/>
      <w:footerReference w:type="default" r:id="rId25"/>
      <w:headerReference w:type="first" r:id="rId26"/>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63AB1E" w14:textId="77777777" w:rsidR="0042132B" w:rsidRDefault="0042132B" w:rsidP="00117666">
      <w:pPr>
        <w:spacing w:after="0"/>
      </w:pPr>
      <w:r>
        <w:separator/>
      </w:r>
    </w:p>
  </w:endnote>
  <w:endnote w:type="continuationSeparator" w:id="0">
    <w:p w14:paraId="1AAA37F7" w14:textId="77777777" w:rsidR="0042132B" w:rsidRDefault="0042132B"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0B4FC" w14:textId="77777777" w:rsidR="00995F6A" w:rsidRPr="00577C4C" w:rsidRDefault="0042132B">
    <w:pPr>
      <w:rPr>
        <w:color w:val="C00000"/>
        <w:szCs w:val="24"/>
      </w:rPr>
    </w:pPr>
    <w:r>
      <w:rPr>
        <w:noProof/>
      </w:rPr>
      <w:pict w14:anchorId="6229A326">
        <v:shapetype id="_x0000_t202" coordsize="21600,21600" o:spt="202" path="m,l,21600r21600,l21600,xe">
          <v:stroke joinstyle="miter"/>
          <v:path gradientshapeok="t" o:connecttype="rect"/>
        </v:shapetype>
        <v:shape id="Text Box 1" o:spid="_x0000_s2050" type="#_x0000_t202" style="position:absolute;margin-left:901.2pt;margin-top:0;width:118.8pt;height:31.15pt;z-index:251659264;visibility:visible;mso-position-horizontal:right;mso-position-horizontal-relative:margin;mso-position-vertical:top;mso-position-vertical-relative:bottom-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1B9D7A98" w14:textId="79DBCEFA" w:rsidR="00995F6A" w:rsidRPr="00577C4C" w:rsidRDefault="00597288">
                <w:pPr>
                  <w:jc w:val="right"/>
                  <w:rPr>
                    <w:color w:val="000000" w:themeColor="text1"/>
                    <w:szCs w:val="40"/>
                  </w:rPr>
                </w:pPr>
                <w:r w:rsidRPr="00577C4C">
                  <w:rPr>
                    <w:color w:val="000000" w:themeColor="text1"/>
                    <w:szCs w:val="40"/>
                  </w:rPr>
                  <w:fldChar w:fldCharType="begin"/>
                </w:r>
                <w:r w:rsidR="00C52A7B" w:rsidRPr="00577C4C">
                  <w:rPr>
                    <w:color w:val="000000" w:themeColor="text1"/>
                    <w:szCs w:val="40"/>
                  </w:rPr>
                  <w:instrText xml:space="preserve"> PAGE  \* Arabic  \* MERGEFORMAT </w:instrText>
                </w:r>
                <w:r w:rsidRPr="00577C4C">
                  <w:rPr>
                    <w:color w:val="000000" w:themeColor="text1"/>
                    <w:szCs w:val="40"/>
                  </w:rPr>
                  <w:fldChar w:fldCharType="separate"/>
                </w:r>
                <w:r w:rsidR="00EE6BD0">
                  <w:rPr>
                    <w:noProof/>
                    <w:color w:val="000000" w:themeColor="text1"/>
                    <w:szCs w:val="40"/>
                  </w:rPr>
                  <w:t>24</w:t>
                </w:r>
                <w:r w:rsidRPr="00577C4C">
                  <w:rPr>
                    <w:color w:val="000000" w:themeColor="text1"/>
                    <w:szCs w:val="40"/>
                  </w:rPr>
                  <w:fldChar w:fldCharType="end"/>
                </w:r>
              </w:p>
            </w:txbxContent>
          </v:textbox>
          <w10:wrap anchorx="margin" anchory="margin"/>
        </v:shape>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DC1D86" w14:textId="77777777" w:rsidR="00995F6A" w:rsidRPr="00577C4C" w:rsidRDefault="0042132B">
    <w:pPr>
      <w:rPr>
        <w:b/>
        <w:sz w:val="20"/>
        <w:szCs w:val="24"/>
      </w:rPr>
    </w:pPr>
    <w:r>
      <w:rPr>
        <w:noProof/>
      </w:rPr>
      <w:pict w14:anchorId="7264D214">
        <v:shapetype id="_x0000_t202" coordsize="21600,21600" o:spt="202" path="m,l,21600r21600,l21600,xe">
          <v:stroke joinstyle="miter"/>
          <v:path gradientshapeok="t" o:connecttype="rect"/>
        </v:shapetype>
        <v:shape id="Text Box 56" o:spid="_x0000_s2049" type="#_x0000_t202" style="position:absolute;margin-left:901.2pt;margin-top:0;width:118.8pt;height:31.15pt;z-index:251646976;visibility:visible;mso-position-horizontal:right;mso-position-horizontal-relative:margin;mso-position-vertical:top;mso-position-vertical-relative:bottom-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37052A7C" w14:textId="7E48C564" w:rsidR="00995F6A" w:rsidRPr="00577C4C" w:rsidRDefault="00597288">
                <w:pPr>
                  <w:jc w:val="right"/>
                  <w:rPr>
                    <w:color w:val="000000" w:themeColor="text1"/>
                    <w:szCs w:val="40"/>
                  </w:rPr>
                </w:pPr>
                <w:r w:rsidRPr="00577C4C">
                  <w:rPr>
                    <w:color w:val="000000" w:themeColor="text1"/>
                    <w:szCs w:val="40"/>
                  </w:rPr>
                  <w:fldChar w:fldCharType="begin"/>
                </w:r>
                <w:r w:rsidR="00C52A7B" w:rsidRPr="00577C4C">
                  <w:rPr>
                    <w:color w:val="000000" w:themeColor="text1"/>
                    <w:szCs w:val="40"/>
                  </w:rPr>
                  <w:instrText xml:space="preserve"> PAGE  \* Arabic  \* MERGEFORMAT </w:instrText>
                </w:r>
                <w:r w:rsidRPr="00577C4C">
                  <w:rPr>
                    <w:color w:val="000000" w:themeColor="text1"/>
                    <w:szCs w:val="40"/>
                  </w:rPr>
                  <w:fldChar w:fldCharType="separate"/>
                </w:r>
                <w:r w:rsidR="00EE6BD0">
                  <w:rPr>
                    <w:noProof/>
                    <w:color w:val="000000" w:themeColor="text1"/>
                    <w:szCs w:val="40"/>
                  </w:rPr>
                  <w:t>25</w:t>
                </w:r>
                <w:r w:rsidRPr="00577C4C">
                  <w:rPr>
                    <w:color w:val="000000" w:themeColor="text1"/>
                    <w:szCs w:val="40"/>
                  </w:rPr>
                  <w:fldChar w:fldCharType="end"/>
                </w:r>
              </w:p>
            </w:txbxContent>
          </v:textbox>
          <w10:wrap anchorx="margin" anchory="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C02BEB" w14:textId="77777777" w:rsidR="0042132B" w:rsidRDefault="0042132B" w:rsidP="00117666">
      <w:pPr>
        <w:spacing w:after="0"/>
      </w:pPr>
      <w:r>
        <w:separator/>
      </w:r>
    </w:p>
  </w:footnote>
  <w:footnote w:type="continuationSeparator" w:id="0">
    <w:p w14:paraId="42439938" w14:textId="77777777" w:rsidR="0042132B" w:rsidRDefault="0042132B" w:rsidP="00117666">
      <w:pPr>
        <w:spacing w:after="0"/>
      </w:pPr>
      <w:r>
        <w:continuationSeparator/>
      </w:r>
    </w:p>
  </w:footnote>
  <w:footnote w:id="1">
    <w:p w14:paraId="36B78AAA" w14:textId="77777777" w:rsidR="00D53E97" w:rsidRPr="00C021CC" w:rsidRDefault="00D53E97" w:rsidP="00D53E97">
      <w:pPr>
        <w:pStyle w:val="Textonotapie"/>
        <w:rPr>
          <w:lang w:val="es-ES"/>
        </w:rPr>
      </w:pPr>
      <w:r w:rsidRPr="001D02CA">
        <w:rPr>
          <w:rStyle w:val="Refdenotaalpie"/>
        </w:rPr>
        <w:footnoteRef/>
      </w:r>
      <w:r w:rsidRPr="00C021CC">
        <w:rPr>
          <w:lang w:val="es-ES"/>
        </w:rPr>
        <w:t xml:space="preserve"> </w:t>
      </w:r>
      <w:r w:rsidRPr="00B56482">
        <w:rPr>
          <w:szCs w:val="24"/>
          <w:lang w:val="es-ES"/>
        </w:rPr>
        <w:t>https://doi.org/10.25423/medsea_reanalysis_phys_006_004</w:t>
      </w:r>
    </w:p>
  </w:footnote>
  <w:footnote w:id="2">
    <w:p w14:paraId="3A4F6257" w14:textId="77777777" w:rsidR="00D53E97" w:rsidRPr="00886C3F" w:rsidRDefault="00D53E97" w:rsidP="00D53E97">
      <w:pPr>
        <w:pStyle w:val="Textonotapie"/>
        <w:rPr>
          <w:lang w:val="es-ES"/>
        </w:rPr>
      </w:pPr>
      <w:r w:rsidRPr="001D02CA">
        <w:rPr>
          <w:rStyle w:val="Refdenotaalpie"/>
        </w:rPr>
        <w:footnoteRef/>
      </w:r>
      <w:r w:rsidRPr="007215E9">
        <w:rPr>
          <w:lang w:val="es-ES"/>
        </w:rPr>
        <w:t xml:space="preserve"> </w:t>
      </w:r>
      <w:hyperlink r:id="rId1" w:history="1">
        <w:r w:rsidRPr="007215E9">
          <w:rPr>
            <w:rStyle w:val="Hipervnculo"/>
            <w:rFonts w:ascii="Arial" w:hAnsi="Arial" w:cs="Arial"/>
            <w:lang w:val="es-ES"/>
          </w:rPr>
          <w:t>http://www.bafg.de/GRDC</w:t>
        </w:r>
      </w:hyperlink>
    </w:p>
  </w:footnote>
  <w:footnote w:id="3">
    <w:p w14:paraId="127C817E" w14:textId="77777777" w:rsidR="00D53E97" w:rsidRPr="0090082A" w:rsidRDefault="00D53E97" w:rsidP="00D53E97">
      <w:pPr>
        <w:pStyle w:val="Textonotapie"/>
        <w:rPr>
          <w:lang w:val="es-ES"/>
        </w:rPr>
      </w:pPr>
      <w:r w:rsidRPr="001D02CA">
        <w:rPr>
          <w:rStyle w:val="Refdenotaalpie"/>
        </w:rPr>
        <w:footnoteRef/>
      </w:r>
      <w:r w:rsidRPr="0090082A">
        <w:rPr>
          <w:lang w:val="es-ES"/>
        </w:rPr>
        <w:t xml:space="preserve"> </w:t>
      </w:r>
      <w:r w:rsidRPr="0090082A">
        <w:rPr>
          <w:rFonts w:ascii="Arial" w:hAnsi="Arial" w:cs="Arial"/>
          <w:lang w:val="es-ES"/>
        </w:rPr>
        <w:t>http://www.hydro.eaufrance.fr/</w:t>
      </w:r>
    </w:p>
  </w:footnote>
  <w:footnote w:id="4">
    <w:p w14:paraId="4D80891A" w14:textId="77777777" w:rsidR="00D53E97" w:rsidRPr="0090082A" w:rsidRDefault="00D53E97" w:rsidP="00D53E97">
      <w:pPr>
        <w:pStyle w:val="Textonotapie"/>
        <w:rPr>
          <w:lang w:val="es-ES"/>
        </w:rPr>
      </w:pPr>
      <w:r w:rsidRPr="001D02CA">
        <w:rPr>
          <w:rStyle w:val="Refdenotaalpie"/>
        </w:rPr>
        <w:footnoteRef/>
      </w:r>
      <w:r w:rsidRPr="0090082A">
        <w:rPr>
          <w:lang w:val="es-ES"/>
        </w:rPr>
        <w:t xml:space="preserve"> </w:t>
      </w:r>
      <w:hyperlink r:id="rId2" w:history="1">
        <w:r w:rsidRPr="0090082A">
          <w:rPr>
            <w:szCs w:val="24"/>
            <w:lang w:val="es-ES"/>
          </w:rPr>
          <w:t>https://www.bodc.ac.uk/data/documents/nodb/254621/</w:t>
        </w:r>
      </w:hyperlink>
    </w:p>
  </w:footnote>
  <w:footnote w:id="5">
    <w:p w14:paraId="57188B7A" w14:textId="77777777" w:rsidR="00D53E97" w:rsidRPr="005150C6" w:rsidRDefault="00D53E97" w:rsidP="00D53E97">
      <w:pPr>
        <w:pStyle w:val="Textonotapie"/>
        <w:rPr>
          <w:lang w:val="es-ES"/>
        </w:rPr>
      </w:pPr>
      <w:r w:rsidRPr="001D02CA">
        <w:rPr>
          <w:rStyle w:val="Refdenotaalpie"/>
        </w:rPr>
        <w:footnoteRef/>
      </w:r>
      <w:r w:rsidRPr="007215E9">
        <w:rPr>
          <w:lang w:val="es-ES"/>
        </w:rPr>
        <w:t xml:space="preserve"> </w:t>
      </w:r>
      <w:hyperlink r:id="rId3" w:history="1">
        <w:r w:rsidRPr="007215E9">
          <w:rPr>
            <w:szCs w:val="24"/>
            <w:lang w:val="es-ES"/>
          </w:rPr>
          <w:t>http://www.getm.eu</w:t>
        </w:r>
      </w:hyperlink>
    </w:p>
  </w:footnote>
  <w:footnote w:id="6">
    <w:p w14:paraId="63ABA9C6" w14:textId="77777777" w:rsidR="00D53E97" w:rsidRPr="00E848D8" w:rsidRDefault="00D53E97" w:rsidP="00D53E97">
      <w:pPr>
        <w:pStyle w:val="Textonotapie"/>
        <w:rPr>
          <w:lang w:val="es-ES"/>
        </w:rPr>
      </w:pPr>
      <w:r w:rsidRPr="001D02CA">
        <w:rPr>
          <w:rStyle w:val="Refdenotaalpie"/>
        </w:rPr>
        <w:footnoteRef/>
      </w:r>
      <w:r w:rsidRPr="00E848D8">
        <w:rPr>
          <w:lang w:val="es-ES"/>
        </w:rPr>
        <w:t xml:space="preserve"> </w:t>
      </w:r>
      <w:r w:rsidRPr="00E848D8">
        <w:rPr>
          <w:szCs w:val="24"/>
          <w:lang w:val="es-ES"/>
        </w:rPr>
        <w:t>http://www.ngdc.noaa.gov/mgg/global/</w:t>
      </w:r>
    </w:p>
  </w:footnote>
  <w:footnote w:id="7">
    <w:p w14:paraId="4B9D04B2" w14:textId="77777777" w:rsidR="00D53E97" w:rsidRPr="009208D0" w:rsidRDefault="00D53E97" w:rsidP="00D53E97">
      <w:pPr>
        <w:pStyle w:val="Textonotapie"/>
        <w:rPr>
          <w:lang w:val="es-ES"/>
        </w:rPr>
      </w:pPr>
      <w:r w:rsidRPr="001D02CA">
        <w:rPr>
          <w:rStyle w:val="Refdenotaalpie"/>
        </w:rPr>
        <w:footnoteRef/>
      </w:r>
      <w:r w:rsidRPr="009208D0">
        <w:rPr>
          <w:lang w:val="es-ES"/>
        </w:rPr>
        <w:t xml:space="preserve"> </w:t>
      </w:r>
      <w:r w:rsidRPr="009208D0">
        <w:rPr>
          <w:szCs w:val="24"/>
          <w:lang w:val="es-ES"/>
        </w:rPr>
        <w:t>https://doi.org/10.25423/MEDSEA_REANALYSIS_BIO_006_008</w:t>
      </w:r>
    </w:p>
  </w:footnote>
  <w:footnote w:id="8">
    <w:p w14:paraId="61C9EC7D" w14:textId="77777777" w:rsidR="00D53E97" w:rsidRPr="00FD26E5" w:rsidRDefault="00D53E97" w:rsidP="00D53E97">
      <w:pPr>
        <w:pStyle w:val="Textonotapie"/>
        <w:rPr>
          <w:lang w:val="es-ES"/>
        </w:rPr>
      </w:pPr>
      <w:r w:rsidRPr="001D02CA">
        <w:rPr>
          <w:rStyle w:val="Refdenotaalpie"/>
        </w:rPr>
        <w:footnoteRef/>
      </w:r>
      <w:r>
        <w:t xml:space="preserve"> </w:t>
      </w:r>
      <w:hyperlink r:id="rId4" w:history="1">
        <w:r w:rsidRPr="002B2CD5">
          <w:rPr>
            <w:szCs w:val="24"/>
          </w:rPr>
          <w:t>www.euro-basin.eu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5AD03A"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1CD5AF" w14:textId="77777777" w:rsidR="00995F6A" w:rsidRDefault="0093429D" w:rsidP="0093429D">
    <w:r w:rsidRPr="005A1D84">
      <w:rPr>
        <w:b/>
        <w:noProof/>
        <w:color w:val="A6A6A6" w:themeColor="background1" w:themeShade="A6"/>
        <w:lang w:val="es-ES" w:eastAsia="es-ES"/>
      </w:rPr>
      <w:drawing>
        <wp:inline distT="0" distB="0" distL="0" distR="0" wp14:anchorId="20DC2AF9" wp14:editId="396966E7">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Ttulo1"/>
      <w:lvlText w:val="%1"/>
      <w:lvlJc w:val="left"/>
      <w:pPr>
        <w:tabs>
          <w:tab w:val="num" w:pos="567"/>
        </w:tabs>
        <w:ind w:left="567" w:hanging="567"/>
      </w:pPr>
      <w:rPr>
        <w:rFonts w:hint="default"/>
      </w:rPr>
    </w:lvl>
    <w:lvl w:ilvl="1">
      <w:start w:val="1"/>
      <w:numFmt w:val="decimal"/>
      <w:pStyle w:val="Ttulo2"/>
      <w:lvlText w:val="%1.%2"/>
      <w:lvlJc w:val="left"/>
      <w:pPr>
        <w:tabs>
          <w:tab w:val="num" w:pos="567"/>
        </w:tabs>
        <w:ind w:left="567" w:hanging="567"/>
      </w:pPr>
      <w:rPr>
        <w:rFonts w:hint="default"/>
      </w:rPr>
    </w:lvl>
    <w:lvl w:ilvl="2">
      <w:start w:val="1"/>
      <w:numFmt w:val="decimal"/>
      <w:pStyle w:val="Ttulo3"/>
      <w:lvlText w:val="%1.%2.%3"/>
      <w:lvlJc w:val="left"/>
      <w:pPr>
        <w:tabs>
          <w:tab w:val="num" w:pos="567"/>
        </w:tabs>
        <w:ind w:left="567" w:hanging="567"/>
      </w:pPr>
      <w:rPr>
        <w:rFonts w:hint="default"/>
      </w:rPr>
    </w:lvl>
    <w:lvl w:ilvl="3">
      <w:start w:val="1"/>
      <w:numFmt w:val="decimal"/>
      <w:pStyle w:val="Ttulo4"/>
      <w:lvlText w:val="%1.%2.%3.%4"/>
      <w:lvlJc w:val="left"/>
      <w:pPr>
        <w:tabs>
          <w:tab w:val="num" w:pos="567"/>
        </w:tabs>
        <w:ind w:left="567" w:hanging="567"/>
      </w:pPr>
      <w:rPr>
        <w:rFonts w:hint="default"/>
      </w:rPr>
    </w:lvl>
    <w:lvl w:ilvl="4">
      <w:start w:val="1"/>
      <w:numFmt w:val="decimal"/>
      <w:pStyle w:val="Ttulo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Prrafodelist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s-ES" w:vendorID="64" w:dllVersion="131078" w:nlCheck="1" w:checkStyle="0"/>
  <w:activeWritingStyle w:appName="MSWord" w:lang="en-US" w:vendorID="64" w:dllVersion="131078" w:nlCheck="1" w:checkStyle="1"/>
  <w:activeWritingStyle w:appName="MSWord" w:lang="en-GB" w:vendorID="64" w:dllVersion="131078" w:nlCheck="1" w:checkStyle="1"/>
  <w:attachedTemplate r:id="rId1"/>
  <w:defaultTabStop w:val="720"/>
  <w:hyphenationZone w:val="425"/>
  <w:evenAndOddHeaders/>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YyNrAwNDIytDQwNLW0MDFU0lEKTi0uzszPAykwrAUAGYPrriwAAAA="/>
  </w:docVars>
  <w:rsids>
    <w:rsidRoot w:val="00ED20B5"/>
    <w:rsid w:val="00012AF9"/>
    <w:rsid w:val="0001436A"/>
    <w:rsid w:val="00034304"/>
    <w:rsid w:val="00035434"/>
    <w:rsid w:val="0004674B"/>
    <w:rsid w:val="00052A14"/>
    <w:rsid w:val="00077D53"/>
    <w:rsid w:val="000D2381"/>
    <w:rsid w:val="00105FD9"/>
    <w:rsid w:val="00117666"/>
    <w:rsid w:val="00145A89"/>
    <w:rsid w:val="00151EB1"/>
    <w:rsid w:val="001549D3"/>
    <w:rsid w:val="0015763A"/>
    <w:rsid w:val="00160065"/>
    <w:rsid w:val="0017328B"/>
    <w:rsid w:val="00176927"/>
    <w:rsid w:val="00177D84"/>
    <w:rsid w:val="001A6E3C"/>
    <w:rsid w:val="001D02CA"/>
    <w:rsid w:val="002261A2"/>
    <w:rsid w:val="0024522A"/>
    <w:rsid w:val="00267D18"/>
    <w:rsid w:val="00274347"/>
    <w:rsid w:val="00275D69"/>
    <w:rsid w:val="002868E2"/>
    <w:rsid w:val="002869C3"/>
    <w:rsid w:val="002936E4"/>
    <w:rsid w:val="002B4A57"/>
    <w:rsid w:val="002B645E"/>
    <w:rsid w:val="002B679F"/>
    <w:rsid w:val="002C65D0"/>
    <w:rsid w:val="002C74CA"/>
    <w:rsid w:val="002E1944"/>
    <w:rsid w:val="003123F4"/>
    <w:rsid w:val="00337A5E"/>
    <w:rsid w:val="00340496"/>
    <w:rsid w:val="003544FB"/>
    <w:rsid w:val="00354588"/>
    <w:rsid w:val="003D2F2D"/>
    <w:rsid w:val="003D5F33"/>
    <w:rsid w:val="003F7347"/>
    <w:rsid w:val="00401590"/>
    <w:rsid w:val="004021AC"/>
    <w:rsid w:val="0041301B"/>
    <w:rsid w:val="00414205"/>
    <w:rsid w:val="0042132B"/>
    <w:rsid w:val="00447801"/>
    <w:rsid w:val="00452E9C"/>
    <w:rsid w:val="00465DA9"/>
    <w:rsid w:val="004735C8"/>
    <w:rsid w:val="004947A6"/>
    <w:rsid w:val="00494897"/>
    <w:rsid w:val="004961FF"/>
    <w:rsid w:val="004B2F3D"/>
    <w:rsid w:val="004C14D5"/>
    <w:rsid w:val="004E4A95"/>
    <w:rsid w:val="005146FE"/>
    <w:rsid w:val="00517A89"/>
    <w:rsid w:val="005250F2"/>
    <w:rsid w:val="00545AE8"/>
    <w:rsid w:val="005602C3"/>
    <w:rsid w:val="00561161"/>
    <w:rsid w:val="00593EEA"/>
    <w:rsid w:val="00597288"/>
    <w:rsid w:val="005A5034"/>
    <w:rsid w:val="005A5EEE"/>
    <w:rsid w:val="005C150C"/>
    <w:rsid w:val="005E22DD"/>
    <w:rsid w:val="0060259F"/>
    <w:rsid w:val="006034AB"/>
    <w:rsid w:val="00611D25"/>
    <w:rsid w:val="006375C7"/>
    <w:rsid w:val="00654E8F"/>
    <w:rsid w:val="00660D05"/>
    <w:rsid w:val="006820B1"/>
    <w:rsid w:val="00694FA8"/>
    <w:rsid w:val="006A5172"/>
    <w:rsid w:val="006B7D14"/>
    <w:rsid w:val="006E3913"/>
    <w:rsid w:val="006E6826"/>
    <w:rsid w:val="00701727"/>
    <w:rsid w:val="0070566C"/>
    <w:rsid w:val="00714C50"/>
    <w:rsid w:val="00725A7D"/>
    <w:rsid w:val="007275CA"/>
    <w:rsid w:val="007501BE"/>
    <w:rsid w:val="0075727D"/>
    <w:rsid w:val="007639AF"/>
    <w:rsid w:val="0077369F"/>
    <w:rsid w:val="00790BB3"/>
    <w:rsid w:val="007A502C"/>
    <w:rsid w:val="007B6E15"/>
    <w:rsid w:val="007C206C"/>
    <w:rsid w:val="007C5FF9"/>
    <w:rsid w:val="007D085A"/>
    <w:rsid w:val="007E3854"/>
    <w:rsid w:val="00817DD6"/>
    <w:rsid w:val="008270E7"/>
    <w:rsid w:val="0083759F"/>
    <w:rsid w:val="00885156"/>
    <w:rsid w:val="008D70A6"/>
    <w:rsid w:val="0090019C"/>
    <w:rsid w:val="009151AA"/>
    <w:rsid w:val="0093429D"/>
    <w:rsid w:val="00942F0E"/>
    <w:rsid w:val="00943573"/>
    <w:rsid w:val="00964134"/>
    <w:rsid w:val="00970F7D"/>
    <w:rsid w:val="00994A3D"/>
    <w:rsid w:val="009C2B12"/>
    <w:rsid w:val="009D23E3"/>
    <w:rsid w:val="00A067A0"/>
    <w:rsid w:val="00A174D9"/>
    <w:rsid w:val="00A17BB1"/>
    <w:rsid w:val="00AA2E18"/>
    <w:rsid w:val="00AA4D24"/>
    <w:rsid w:val="00AA706B"/>
    <w:rsid w:val="00AB6715"/>
    <w:rsid w:val="00AF152A"/>
    <w:rsid w:val="00B1671E"/>
    <w:rsid w:val="00B23F4D"/>
    <w:rsid w:val="00B25EB8"/>
    <w:rsid w:val="00B37F4D"/>
    <w:rsid w:val="00B46A93"/>
    <w:rsid w:val="00B554FD"/>
    <w:rsid w:val="00BB5DE0"/>
    <w:rsid w:val="00BC1E28"/>
    <w:rsid w:val="00BE5DC9"/>
    <w:rsid w:val="00BF705F"/>
    <w:rsid w:val="00BF7F45"/>
    <w:rsid w:val="00C23735"/>
    <w:rsid w:val="00C52A7B"/>
    <w:rsid w:val="00C56BAF"/>
    <w:rsid w:val="00C679AA"/>
    <w:rsid w:val="00C75972"/>
    <w:rsid w:val="00C77535"/>
    <w:rsid w:val="00CC50FE"/>
    <w:rsid w:val="00CD066B"/>
    <w:rsid w:val="00CE4FEE"/>
    <w:rsid w:val="00D060CF"/>
    <w:rsid w:val="00D12F4C"/>
    <w:rsid w:val="00D3415E"/>
    <w:rsid w:val="00D53E97"/>
    <w:rsid w:val="00D90D7B"/>
    <w:rsid w:val="00DB59C3"/>
    <w:rsid w:val="00DC259A"/>
    <w:rsid w:val="00DE23E8"/>
    <w:rsid w:val="00DF3463"/>
    <w:rsid w:val="00E52377"/>
    <w:rsid w:val="00E537AD"/>
    <w:rsid w:val="00E64E17"/>
    <w:rsid w:val="00E866C9"/>
    <w:rsid w:val="00EA3D3C"/>
    <w:rsid w:val="00EC090A"/>
    <w:rsid w:val="00ED20B5"/>
    <w:rsid w:val="00ED6317"/>
    <w:rsid w:val="00EE6BD0"/>
    <w:rsid w:val="00F21AD0"/>
    <w:rsid w:val="00F2750C"/>
    <w:rsid w:val="00F46900"/>
    <w:rsid w:val="00F61D89"/>
    <w:rsid w:val="00FB02A5"/>
    <w:rsid w:val="00FB42CA"/>
    <w:rsid w:val="00FB63AC"/>
    <w:rsid w:val="00FE5C9F"/>
    <w:rsid w:val="00FE79C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D98E140"/>
  <w15:docId w15:val="{720A5D82-CA7E-4008-9183-BF28E6583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Ttulo1">
    <w:name w:val="heading 1"/>
    <w:basedOn w:val="Prrafodelista"/>
    <w:next w:val="Normal"/>
    <w:link w:val="Ttulo1Car"/>
    <w:uiPriority w:val="2"/>
    <w:qFormat/>
    <w:rsid w:val="00AB6715"/>
    <w:pPr>
      <w:numPr>
        <w:numId w:val="19"/>
      </w:numPr>
      <w:spacing w:before="240"/>
      <w:contextualSpacing w:val="0"/>
      <w:outlineLvl w:val="0"/>
    </w:pPr>
    <w:rPr>
      <w:b/>
    </w:rPr>
  </w:style>
  <w:style w:type="paragraph" w:styleId="Ttulo2">
    <w:name w:val="heading 2"/>
    <w:basedOn w:val="Ttulo1"/>
    <w:next w:val="Normal"/>
    <w:link w:val="Ttulo2Car"/>
    <w:uiPriority w:val="2"/>
    <w:qFormat/>
    <w:rsid w:val="00AB6715"/>
    <w:pPr>
      <w:numPr>
        <w:ilvl w:val="1"/>
      </w:numPr>
      <w:spacing w:after="200"/>
      <w:outlineLvl w:val="1"/>
    </w:pPr>
  </w:style>
  <w:style w:type="paragraph" w:styleId="Ttulo3">
    <w:name w:val="heading 3"/>
    <w:basedOn w:val="Normal"/>
    <w:next w:val="Normal"/>
    <w:link w:val="Ttulo3C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Ttulo4">
    <w:name w:val="heading 4"/>
    <w:basedOn w:val="Ttulo3"/>
    <w:next w:val="Normal"/>
    <w:link w:val="Ttulo4Car"/>
    <w:uiPriority w:val="2"/>
    <w:qFormat/>
    <w:rsid w:val="00AB6715"/>
    <w:pPr>
      <w:numPr>
        <w:ilvl w:val="3"/>
      </w:numPr>
      <w:outlineLvl w:val="3"/>
    </w:pPr>
    <w:rPr>
      <w:iCs/>
    </w:rPr>
  </w:style>
  <w:style w:type="paragraph" w:styleId="Ttulo5">
    <w:name w:val="heading 5"/>
    <w:basedOn w:val="Ttulo4"/>
    <w:next w:val="Normal"/>
    <w:link w:val="Ttulo5Car"/>
    <w:uiPriority w:val="2"/>
    <w:qFormat/>
    <w:rsid w:val="00AB6715"/>
    <w:pPr>
      <w:numPr>
        <w:ilvl w:val="4"/>
      </w:numPr>
      <w:outlineLvl w:val="4"/>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2"/>
    <w:rsid w:val="00AB6715"/>
    <w:rPr>
      <w:rFonts w:ascii="Times New Roman" w:eastAsia="Cambria" w:hAnsi="Times New Roman" w:cs="Times New Roman"/>
      <w:b/>
      <w:sz w:val="24"/>
      <w:szCs w:val="24"/>
    </w:rPr>
  </w:style>
  <w:style w:type="character" w:customStyle="1" w:styleId="Ttulo2Car">
    <w:name w:val="Título 2 Car"/>
    <w:basedOn w:val="Fuentedeprrafopredeter"/>
    <w:link w:val="Ttulo2"/>
    <w:uiPriority w:val="2"/>
    <w:rsid w:val="00AB6715"/>
    <w:rPr>
      <w:rFonts w:ascii="Times New Roman" w:eastAsia="Cambria" w:hAnsi="Times New Roman" w:cs="Times New Roman"/>
      <w:b/>
      <w:sz w:val="24"/>
      <w:szCs w:val="24"/>
    </w:rPr>
  </w:style>
  <w:style w:type="paragraph" w:styleId="Subttulo">
    <w:name w:val="Subtitle"/>
    <w:basedOn w:val="Normal"/>
    <w:next w:val="Normal"/>
    <w:link w:val="SubttuloCar"/>
    <w:uiPriority w:val="99"/>
    <w:unhideWhenUsed/>
    <w:qFormat/>
    <w:rsid w:val="00AB6715"/>
    <w:pPr>
      <w:spacing w:before="240"/>
    </w:pPr>
    <w:rPr>
      <w:rFonts w:cs="Times New Roman"/>
      <w:b/>
      <w:szCs w:val="24"/>
    </w:rPr>
  </w:style>
  <w:style w:type="character" w:customStyle="1" w:styleId="SubttuloCar">
    <w:name w:val="Subtítulo Car"/>
    <w:basedOn w:val="Fuentedeprrafopredeter"/>
    <w:link w:val="Subttulo"/>
    <w:uiPriority w:val="99"/>
    <w:rsid w:val="00AB6715"/>
    <w:rPr>
      <w:rFonts w:ascii="Times New Roman" w:hAnsi="Times New Roman" w:cs="Times New Roman"/>
      <w:b/>
      <w:sz w:val="24"/>
      <w:szCs w:val="24"/>
    </w:rPr>
  </w:style>
  <w:style w:type="paragraph" w:customStyle="1" w:styleId="AuthorList">
    <w:name w:val="Author List"/>
    <w:aliases w:val="Keywords,Abstract"/>
    <w:basedOn w:val="Subttulo"/>
    <w:next w:val="Normal"/>
    <w:uiPriority w:val="1"/>
    <w:qFormat/>
    <w:rsid w:val="00AB6715"/>
  </w:style>
  <w:style w:type="paragraph" w:styleId="Textodeglobo">
    <w:name w:val="Balloon Text"/>
    <w:basedOn w:val="Normal"/>
    <w:link w:val="TextodegloboCar"/>
    <w:uiPriority w:val="99"/>
    <w:semiHidden/>
    <w:unhideWhenUsed/>
    <w:rsid w:val="00AB6715"/>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B6715"/>
    <w:rPr>
      <w:rFonts w:ascii="Tahoma" w:hAnsi="Tahoma" w:cs="Tahoma"/>
      <w:sz w:val="16"/>
      <w:szCs w:val="16"/>
    </w:rPr>
  </w:style>
  <w:style w:type="character" w:styleId="Ttulodellibro">
    <w:name w:val="Book Title"/>
    <w:basedOn w:val="Fuentedeprrafopredeter"/>
    <w:uiPriority w:val="33"/>
    <w:qFormat/>
    <w:rsid w:val="00AB6715"/>
    <w:rPr>
      <w:rFonts w:ascii="Times New Roman" w:hAnsi="Times New Roman"/>
      <w:b/>
      <w:bCs/>
      <w:i/>
      <w:iCs/>
      <w:spacing w:val="5"/>
    </w:rPr>
  </w:style>
  <w:style w:type="paragraph" w:styleId="Descripcin">
    <w:name w:val="caption"/>
    <w:basedOn w:val="Normal"/>
    <w:next w:val="Sinespaciado"/>
    <w:uiPriority w:val="35"/>
    <w:unhideWhenUsed/>
    <w:qFormat/>
    <w:rsid w:val="00AB6715"/>
    <w:pPr>
      <w:keepNext/>
    </w:pPr>
    <w:rPr>
      <w:rFonts w:cs="Times New Roman"/>
      <w:b/>
      <w:bCs/>
      <w:szCs w:val="24"/>
    </w:rPr>
  </w:style>
  <w:style w:type="paragraph" w:styleId="Sinespaciado">
    <w:name w:val="No Spacing"/>
    <w:uiPriority w:val="99"/>
    <w:unhideWhenUsed/>
    <w:qFormat/>
    <w:rsid w:val="00AB6715"/>
    <w:pPr>
      <w:spacing w:after="0" w:line="240" w:lineRule="auto"/>
    </w:pPr>
    <w:rPr>
      <w:rFonts w:ascii="Times New Roman" w:hAnsi="Times New Roman"/>
      <w:sz w:val="24"/>
    </w:rPr>
  </w:style>
  <w:style w:type="character" w:styleId="Refdecomentario">
    <w:name w:val="annotation reference"/>
    <w:basedOn w:val="Fuentedeprrafopredeter"/>
    <w:uiPriority w:val="99"/>
    <w:semiHidden/>
    <w:unhideWhenUsed/>
    <w:rsid w:val="00AB6715"/>
    <w:rPr>
      <w:sz w:val="16"/>
      <w:szCs w:val="16"/>
    </w:rPr>
  </w:style>
  <w:style w:type="paragraph" w:styleId="Textocomentario">
    <w:name w:val="annotation text"/>
    <w:basedOn w:val="Normal"/>
    <w:link w:val="TextocomentarioCar"/>
    <w:uiPriority w:val="99"/>
    <w:semiHidden/>
    <w:unhideWhenUsed/>
    <w:rsid w:val="00AB6715"/>
    <w:rPr>
      <w:sz w:val="20"/>
      <w:szCs w:val="20"/>
    </w:rPr>
  </w:style>
  <w:style w:type="character" w:customStyle="1" w:styleId="TextocomentarioCar">
    <w:name w:val="Texto comentario Car"/>
    <w:basedOn w:val="Fuentedeprrafopredeter"/>
    <w:link w:val="Textocomentario"/>
    <w:uiPriority w:val="99"/>
    <w:semiHidden/>
    <w:rsid w:val="00AB6715"/>
    <w:rPr>
      <w:rFonts w:ascii="Times New Roman" w:hAnsi="Times New Roman"/>
      <w:sz w:val="20"/>
      <w:szCs w:val="20"/>
    </w:rPr>
  </w:style>
  <w:style w:type="paragraph" w:styleId="Asuntodelcomentario">
    <w:name w:val="annotation subject"/>
    <w:basedOn w:val="Textocomentario"/>
    <w:next w:val="Textocomentario"/>
    <w:link w:val="AsuntodelcomentarioCar"/>
    <w:uiPriority w:val="99"/>
    <w:semiHidden/>
    <w:unhideWhenUsed/>
    <w:rsid w:val="00AB6715"/>
    <w:rPr>
      <w:b/>
      <w:bCs/>
    </w:rPr>
  </w:style>
  <w:style w:type="character" w:customStyle="1" w:styleId="AsuntodelcomentarioCar">
    <w:name w:val="Asunto del comentario Car"/>
    <w:basedOn w:val="TextocomentarioCar"/>
    <w:link w:val="Asuntodelcomentario"/>
    <w:uiPriority w:val="99"/>
    <w:semiHidden/>
    <w:rsid w:val="00AB6715"/>
    <w:rPr>
      <w:rFonts w:ascii="Times New Roman" w:hAnsi="Times New Roman"/>
      <w:b/>
      <w:bCs/>
      <w:sz w:val="20"/>
      <w:szCs w:val="20"/>
    </w:rPr>
  </w:style>
  <w:style w:type="character" w:styleId="nfasis">
    <w:name w:val="Emphasis"/>
    <w:basedOn w:val="Fuentedeprrafopredeter"/>
    <w:uiPriority w:val="20"/>
    <w:qFormat/>
    <w:rsid w:val="00AB6715"/>
    <w:rPr>
      <w:rFonts w:ascii="Times New Roman" w:hAnsi="Times New Roman"/>
      <w:i/>
      <w:iCs/>
    </w:rPr>
  </w:style>
  <w:style w:type="character" w:styleId="Refdenotaalfinal">
    <w:name w:val="endnote reference"/>
    <w:basedOn w:val="Fuentedeprrafopredeter"/>
    <w:uiPriority w:val="99"/>
    <w:semiHidden/>
    <w:unhideWhenUsed/>
    <w:rsid w:val="00AB6715"/>
    <w:rPr>
      <w:vertAlign w:val="superscript"/>
    </w:rPr>
  </w:style>
  <w:style w:type="paragraph" w:styleId="Textonotaalfinal">
    <w:name w:val="endnote text"/>
    <w:basedOn w:val="Normal"/>
    <w:link w:val="TextonotaalfinalCar"/>
    <w:uiPriority w:val="99"/>
    <w:semiHidden/>
    <w:unhideWhenUsed/>
    <w:rsid w:val="00AB6715"/>
    <w:pPr>
      <w:spacing w:after="0"/>
    </w:pPr>
    <w:rPr>
      <w:sz w:val="20"/>
      <w:szCs w:val="20"/>
    </w:rPr>
  </w:style>
  <w:style w:type="character" w:customStyle="1" w:styleId="TextonotaalfinalCar">
    <w:name w:val="Texto nota al final Car"/>
    <w:basedOn w:val="Fuentedeprrafopredeter"/>
    <w:link w:val="Textonotaalfinal"/>
    <w:uiPriority w:val="99"/>
    <w:semiHidden/>
    <w:rsid w:val="00AB6715"/>
    <w:rPr>
      <w:rFonts w:ascii="Times New Roman" w:hAnsi="Times New Roman"/>
      <w:sz w:val="20"/>
      <w:szCs w:val="20"/>
    </w:rPr>
  </w:style>
  <w:style w:type="character" w:styleId="Hipervnculovisitado">
    <w:name w:val="FollowedHyperlink"/>
    <w:basedOn w:val="Fuentedeprrafopredeter"/>
    <w:uiPriority w:val="99"/>
    <w:semiHidden/>
    <w:unhideWhenUsed/>
    <w:rsid w:val="00AB6715"/>
    <w:rPr>
      <w:color w:val="800080" w:themeColor="followedHyperlink"/>
      <w:u w:val="single"/>
    </w:rPr>
  </w:style>
  <w:style w:type="paragraph" w:styleId="Piedepgina">
    <w:name w:val="footer"/>
    <w:basedOn w:val="Normal"/>
    <w:link w:val="PiedepginaCar"/>
    <w:uiPriority w:val="99"/>
    <w:unhideWhenUsed/>
    <w:rsid w:val="00AB6715"/>
    <w:pPr>
      <w:tabs>
        <w:tab w:val="center" w:pos="4844"/>
        <w:tab w:val="right" w:pos="9689"/>
      </w:tabs>
      <w:spacing w:after="0"/>
    </w:pPr>
  </w:style>
  <w:style w:type="character" w:customStyle="1" w:styleId="PiedepginaCar">
    <w:name w:val="Pie de página Car"/>
    <w:basedOn w:val="Fuentedeprrafopredeter"/>
    <w:link w:val="Piedepgina"/>
    <w:uiPriority w:val="99"/>
    <w:rsid w:val="00AB6715"/>
    <w:rPr>
      <w:rFonts w:ascii="Times New Roman" w:hAnsi="Times New Roman"/>
      <w:sz w:val="24"/>
    </w:rPr>
  </w:style>
  <w:style w:type="character" w:styleId="Refdenotaalpie">
    <w:name w:val="footnote reference"/>
    <w:basedOn w:val="Fuentedeprrafopredeter"/>
    <w:uiPriority w:val="99"/>
    <w:semiHidden/>
    <w:unhideWhenUsed/>
    <w:rsid w:val="00AB6715"/>
    <w:rPr>
      <w:vertAlign w:val="superscript"/>
    </w:rPr>
  </w:style>
  <w:style w:type="paragraph" w:styleId="Textonotapie">
    <w:name w:val="footnote text"/>
    <w:basedOn w:val="Normal"/>
    <w:link w:val="TextonotapieCar"/>
    <w:uiPriority w:val="99"/>
    <w:semiHidden/>
    <w:unhideWhenUsed/>
    <w:rsid w:val="00AB6715"/>
    <w:pPr>
      <w:spacing w:after="0"/>
    </w:pPr>
    <w:rPr>
      <w:sz w:val="20"/>
      <w:szCs w:val="20"/>
    </w:rPr>
  </w:style>
  <w:style w:type="character" w:customStyle="1" w:styleId="TextonotapieCar">
    <w:name w:val="Texto nota pie Car"/>
    <w:basedOn w:val="Fuentedeprrafopredeter"/>
    <w:link w:val="Textonotapie"/>
    <w:uiPriority w:val="99"/>
    <w:semiHidden/>
    <w:rsid w:val="00AB6715"/>
    <w:rPr>
      <w:rFonts w:ascii="Times New Roman" w:hAnsi="Times New Roman"/>
      <w:sz w:val="20"/>
      <w:szCs w:val="20"/>
    </w:rPr>
  </w:style>
  <w:style w:type="paragraph" w:styleId="Encabezado">
    <w:name w:val="header"/>
    <w:basedOn w:val="Normal"/>
    <w:link w:val="EncabezadoCar"/>
    <w:uiPriority w:val="99"/>
    <w:unhideWhenUsed/>
    <w:rsid w:val="00AB6715"/>
    <w:pPr>
      <w:tabs>
        <w:tab w:val="center" w:pos="4844"/>
        <w:tab w:val="right" w:pos="9689"/>
      </w:tabs>
    </w:pPr>
    <w:rPr>
      <w:b/>
    </w:rPr>
  </w:style>
  <w:style w:type="character" w:customStyle="1" w:styleId="EncabezadoCar">
    <w:name w:val="Encabezado Car"/>
    <w:basedOn w:val="Fuentedeprrafopredeter"/>
    <w:link w:val="Encabezado"/>
    <w:uiPriority w:val="99"/>
    <w:rsid w:val="00AB6715"/>
    <w:rPr>
      <w:rFonts w:ascii="Times New Roman" w:hAnsi="Times New Roman"/>
      <w:b/>
      <w:sz w:val="24"/>
    </w:rPr>
  </w:style>
  <w:style w:type="paragraph" w:styleId="Prrafodelista">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ipervnculo">
    <w:name w:val="Hyperlink"/>
    <w:basedOn w:val="Fuentedeprrafopredeter"/>
    <w:uiPriority w:val="99"/>
    <w:unhideWhenUsed/>
    <w:rsid w:val="00AB6715"/>
    <w:rPr>
      <w:color w:val="0000FF"/>
      <w:u w:val="single"/>
    </w:rPr>
  </w:style>
  <w:style w:type="character" w:styleId="nfasisintenso">
    <w:name w:val="Intense Emphasis"/>
    <w:basedOn w:val="Fuentedeprrafopredeter"/>
    <w:uiPriority w:val="21"/>
    <w:unhideWhenUsed/>
    <w:rsid w:val="00AB6715"/>
    <w:rPr>
      <w:rFonts w:ascii="Times New Roman" w:hAnsi="Times New Roman"/>
      <w:i/>
      <w:iCs/>
      <w:color w:val="auto"/>
    </w:rPr>
  </w:style>
  <w:style w:type="character" w:styleId="Referenciaintensa">
    <w:name w:val="Intense Reference"/>
    <w:basedOn w:val="Fuentedeprrafopredeter"/>
    <w:uiPriority w:val="32"/>
    <w:qFormat/>
    <w:rsid w:val="00AB6715"/>
    <w:rPr>
      <w:b/>
      <w:bCs/>
      <w:smallCaps/>
      <w:color w:val="auto"/>
      <w:spacing w:val="5"/>
    </w:rPr>
  </w:style>
  <w:style w:type="character" w:styleId="Nmerodelnea">
    <w:name w:val="line number"/>
    <w:basedOn w:val="Fuentedeprrafopredeter"/>
    <w:uiPriority w:val="99"/>
    <w:semiHidden/>
    <w:unhideWhenUsed/>
    <w:rsid w:val="00AB6715"/>
  </w:style>
  <w:style w:type="character" w:customStyle="1" w:styleId="Ttulo3Car">
    <w:name w:val="Título 3 Car"/>
    <w:basedOn w:val="Fuentedeprrafopredeter"/>
    <w:link w:val="Ttulo3"/>
    <w:uiPriority w:val="2"/>
    <w:rsid w:val="00AB6715"/>
    <w:rPr>
      <w:rFonts w:ascii="Times New Roman" w:eastAsiaTheme="majorEastAsia" w:hAnsi="Times New Roman" w:cstheme="majorBidi"/>
      <w:b/>
      <w:sz w:val="24"/>
      <w:szCs w:val="24"/>
    </w:rPr>
  </w:style>
  <w:style w:type="character" w:customStyle="1" w:styleId="Ttulo4Car">
    <w:name w:val="Título 4 Car"/>
    <w:basedOn w:val="Fuentedeprrafopredeter"/>
    <w:link w:val="Ttulo4"/>
    <w:uiPriority w:val="2"/>
    <w:rsid w:val="00AB6715"/>
    <w:rPr>
      <w:rFonts w:ascii="Times New Roman" w:eastAsiaTheme="majorEastAsia" w:hAnsi="Times New Roman" w:cstheme="majorBidi"/>
      <w:b/>
      <w:iCs/>
      <w:sz w:val="24"/>
      <w:szCs w:val="24"/>
    </w:rPr>
  </w:style>
  <w:style w:type="character" w:customStyle="1" w:styleId="Ttulo5Car">
    <w:name w:val="Título 5 Car"/>
    <w:basedOn w:val="Fuentedeprrafopredeter"/>
    <w:link w:val="Ttulo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Cita">
    <w:name w:val="Quote"/>
    <w:basedOn w:val="Normal"/>
    <w:next w:val="Normal"/>
    <w:link w:val="CitaCar"/>
    <w:uiPriority w:val="29"/>
    <w:qFormat/>
    <w:rsid w:val="00AB6715"/>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AB6715"/>
    <w:rPr>
      <w:rFonts w:ascii="Times New Roman" w:hAnsi="Times New Roman"/>
      <w:i/>
      <w:iCs/>
      <w:color w:val="404040" w:themeColor="text1" w:themeTint="BF"/>
      <w:sz w:val="24"/>
    </w:rPr>
  </w:style>
  <w:style w:type="character" w:styleId="Textoennegrita">
    <w:name w:val="Strong"/>
    <w:basedOn w:val="Fuentedeprrafopredeter"/>
    <w:uiPriority w:val="22"/>
    <w:qFormat/>
    <w:rsid w:val="00AB6715"/>
    <w:rPr>
      <w:rFonts w:ascii="Times New Roman" w:hAnsi="Times New Roman"/>
      <w:b/>
      <w:bCs/>
    </w:rPr>
  </w:style>
  <w:style w:type="character" w:styleId="nfasissutil">
    <w:name w:val="Subtle Emphasis"/>
    <w:basedOn w:val="Fuentedeprrafopredeter"/>
    <w:uiPriority w:val="19"/>
    <w:qFormat/>
    <w:rsid w:val="00AB6715"/>
    <w:rPr>
      <w:rFonts w:ascii="Times New Roman" w:hAnsi="Times New Roman"/>
      <w:i/>
      <w:iCs/>
      <w:color w:val="404040" w:themeColor="text1" w:themeTint="BF"/>
    </w:rPr>
  </w:style>
  <w:style w:type="table" w:styleId="Tablaconcuadrcula">
    <w:name w:val="Table Grid"/>
    <w:basedOn w:val="Tabla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qFormat/>
    <w:rsid w:val="00AB6715"/>
    <w:pPr>
      <w:suppressLineNumbers/>
      <w:spacing w:before="240" w:after="360"/>
      <w:jc w:val="center"/>
    </w:pPr>
    <w:rPr>
      <w:rFonts w:cs="Times New Roman"/>
      <w:b/>
      <w:sz w:val="32"/>
      <w:szCs w:val="32"/>
    </w:rPr>
  </w:style>
  <w:style w:type="character" w:customStyle="1" w:styleId="TtuloCar">
    <w:name w:val="Título Car"/>
    <w:basedOn w:val="Fuentedeprrafopredeter"/>
    <w:link w:val="Ttulo"/>
    <w:rsid w:val="00AB6715"/>
    <w:rPr>
      <w:rFonts w:ascii="Times New Roman" w:hAnsi="Times New Roman" w:cs="Times New Roman"/>
      <w:b/>
      <w:sz w:val="32"/>
      <w:szCs w:val="32"/>
    </w:rPr>
  </w:style>
  <w:style w:type="paragraph" w:customStyle="1" w:styleId="SupplementaryMaterial">
    <w:name w:val="Supplementary Material"/>
    <w:basedOn w:val="Ttulo"/>
    <w:next w:val="Ttulo"/>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882281471">
      <w:bodyDiv w:val="1"/>
      <w:marLeft w:val="0"/>
      <w:marRight w:val="0"/>
      <w:marTop w:val="0"/>
      <w:marBottom w:val="0"/>
      <w:divBdr>
        <w:top w:val="none" w:sz="0" w:space="0" w:color="auto"/>
        <w:left w:val="none" w:sz="0" w:space="0" w:color="auto"/>
        <w:bottom w:val="none" w:sz="0" w:space="0" w:color="auto"/>
        <w:right w:val="none" w:sz="0" w:space="0" w:color="auto"/>
      </w:divBdr>
      <w:divsChild>
        <w:div w:id="608857710">
          <w:marLeft w:val="0"/>
          <w:marRight w:val="0"/>
          <w:marTop w:val="0"/>
          <w:marBottom w:val="0"/>
          <w:divBdr>
            <w:top w:val="none" w:sz="0" w:space="0" w:color="auto"/>
            <w:left w:val="none" w:sz="0" w:space="0" w:color="auto"/>
            <w:bottom w:val="none" w:sz="0" w:space="0" w:color="auto"/>
            <w:right w:val="none" w:sz="0" w:space="0" w:color="auto"/>
          </w:divBdr>
          <w:divsChild>
            <w:div w:id="1593276499">
              <w:marLeft w:val="0"/>
              <w:marRight w:val="0"/>
              <w:marTop w:val="0"/>
              <w:marBottom w:val="0"/>
              <w:divBdr>
                <w:top w:val="none" w:sz="0" w:space="0" w:color="auto"/>
                <w:left w:val="none" w:sz="0" w:space="0" w:color="auto"/>
                <w:bottom w:val="none" w:sz="0" w:space="0" w:color="auto"/>
                <w:right w:val="none" w:sz="0" w:space="0" w:color="auto"/>
              </w:divBdr>
              <w:divsChild>
                <w:div w:id="180703110">
                  <w:marLeft w:val="0"/>
                  <w:marRight w:val="0"/>
                  <w:marTop w:val="0"/>
                  <w:marBottom w:val="0"/>
                  <w:divBdr>
                    <w:top w:val="none" w:sz="0" w:space="0" w:color="auto"/>
                    <w:left w:val="none" w:sz="0" w:space="0" w:color="auto"/>
                    <w:bottom w:val="none" w:sz="0" w:space="0" w:color="auto"/>
                    <w:right w:val="none" w:sz="0" w:space="0" w:color="auto"/>
                  </w:divBdr>
                  <w:divsChild>
                    <w:div w:id="1442799720">
                      <w:marLeft w:val="0"/>
                      <w:marRight w:val="0"/>
                      <w:marTop w:val="105"/>
                      <w:marBottom w:val="255"/>
                      <w:divBdr>
                        <w:top w:val="none" w:sz="0" w:space="0" w:color="auto"/>
                        <w:left w:val="none" w:sz="0" w:space="0" w:color="auto"/>
                        <w:bottom w:val="none" w:sz="0" w:space="0" w:color="auto"/>
                        <w:right w:val="none" w:sz="0" w:space="0" w:color="auto"/>
                      </w:divBdr>
                    </w:div>
                  </w:divsChild>
                </w:div>
              </w:divsChild>
            </w:div>
          </w:divsChild>
        </w:div>
        <w:div w:id="1229458359">
          <w:marLeft w:val="0"/>
          <w:marRight w:val="0"/>
          <w:marTop w:val="0"/>
          <w:marBottom w:val="0"/>
          <w:divBdr>
            <w:top w:val="none" w:sz="0" w:space="0" w:color="auto"/>
            <w:left w:val="none" w:sz="0" w:space="0" w:color="auto"/>
            <w:bottom w:val="none" w:sz="0" w:space="0" w:color="auto"/>
            <w:right w:val="none" w:sz="0" w:space="0" w:color="auto"/>
          </w:divBdr>
          <w:divsChild>
            <w:div w:id="1759445007">
              <w:marLeft w:val="0"/>
              <w:marRight w:val="0"/>
              <w:marTop w:val="0"/>
              <w:marBottom w:val="0"/>
              <w:divBdr>
                <w:top w:val="none" w:sz="0" w:space="0" w:color="auto"/>
                <w:left w:val="none" w:sz="0" w:space="0" w:color="auto"/>
                <w:bottom w:val="none" w:sz="0" w:space="0" w:color="auto"/>
                <w:right w:val="none" w:sz="0" w:space="0" w:color="auto"/>
              </w:divBdr>
              <w:divsChild>
                <w:div w:id="55589621">
                  <w:marLeft w:val="0"/>
                  <w:marRight w:val="0"/>
                  <w:marTop w:val="0"/>
                  <w:marBottom w:val="0"/>
                  <w:divBdr>
                    <w:top w:val="none" w:sz="0" w:space="0" w:color="auto"/>
                    <w:left w:val="none" w:sz="0" w:space="0" w:color="auto"/>
                    <w:bottom w:val="none" w:sz="0" w:space="0" w:color="auto"/>
                    <w:right w:val="none" w:sz="0" w:space="0" w:color="auto"/>
                  </w:divBdr>
                  <w:divsChild>
                    <w:div w:id="1196238977">
                      <w:marLeft w:val="0"/>
                      <w:marRight w:val="0"/>
                      <w:marTop w:val="90"/>
                      <w:marBottom w:val="0"/>
                      <w:divBdr>
                        <w:top w:val="none" w:sz="0" w:space="0" w:color="auto"/>
                        <w:left w:val="none" w:sz="0" w:space="0" w:color="auto"/>
                        <w:bottom w:val="none" w:sz="0" w:space="0" w:color="auto"/>
                        <w:right w:val="none" w:sz="0" w:space="0" w:color="auto"/>
                      </w:divBdr>
                      <w:divsChild>
                        <w:div w:id="1732119021">
                          <w:marLeft w:val="0"/>
                          <w:marRight w:val="0"/>
                          <w:marTop w:val="0"/>
                          <w:marBottom w:val="420"/>
                          <w:divBdr>
                            <w:top w:val="none" w:sz="0" w:space="0" w:color="auto"/>
                            <w:left w:val="none" w:sz="0" w:space="0" w:color="auto"/>
                            <w:bottom w:val="none" w:sz="0" w:space="0" w:color="auto"/>
                            <w:right w:val="none" w:sz="0" w:space="0" w:color="auto"/>
                          </w:divBdr>
                          <w:divsChild>
                            <w:div w:id="1758281672">
                              <w:marLeft w:val="0"/>
                              <w:marRight w:val="0"/>
                              <w:marTop w:val="0"/>
                              <w:marBottom w:val="0"/>
                              <w:divBdr>
                                <w:top w:val="none" w:sz="0" w:space="0" w:color="auto"/>
                                <w:left w:val="none" w:sz="0" w:space="0" w:color="auto"/>
                                <w:bottom w:val="none" w:sz="0" w:space="0" w:color="auto"/>
                                <w:right w:val="none" w:sz="0" w:space="0" w:color="auto"/>
                              </w:divBdr>
                              <w:divsChild>
                                <w:div w:id="213150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a"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getm.eu" TargetMode="External"/><Relationship Id="rId2" Type="http://schemas.openxmlformats.org/officeDocument/2006/relationships/hyperlink" Target="https://www.bodc.ac.uk/data/documents/nodb/254621/" TargetMode="External"/><Relationship Id="rId1" Type="http://schemas.openxmlformats.org/officeDocument/2006/relationships/hyperlink" Target="http://www.bafg.de/GRDC" TargetMode="External"/><Relationship Id="rId4" Type="http://schemas.openxmlformats.org/officeDocument/2006/relationships/hyperlink" Target="http://www.euro-basin.e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B737801D-0A95-4B4B-A609-7381EAB83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85</TotalTime>
  <Pages>25</Pages>
  <Words>42427</Words>
  <Characters>233350</Characters>
  <Application>Microsoft Office Word</Application>
  <DocSecurity>0</DocSecurity>
  <Lines>1944</Lines>
  <Paragraphs>550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275227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Eduardo Ramirez Romero</cp:lastModifiedBy>
  <cp:revision>38</cp:revision>
  <cp:lastPrinted>2013-10-03T12:51:00Z</cp:lastPrinted>
  <dcterms:created xsi:type="dcterms:W3CDTF">2020-04-09T14:41:00Z</dcterms:created>
  <dcterms:modified xsi:type="dcterms:W3CDTF">2020-05-29T17:29:00Z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274c642a-578d-39a2-bf88-83622598d7fe</vt:lpwstr>
  </property>
  <property fmtid="{D5CDD505-2E9C-101B-9397-08002B2CF9AE}" pid="4" name="Mendeley Citation Style_1">
    <vt:lpwstr>http://www.zotero.org/styles/frontiers-in-marine-science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http://www.zotero.org/styles/frontiers-in-marine-science</vt:lpwstr>
  </property>
  <property fmtid="{D5CDD505-2E9C-101B-9397-08002B2CF9AE}" pid="18" name="Mendeley Recent Style Name 6_1">
    <vt:lpwstr>Frontiers in Marine Science</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http://www.zotero.org/styles/journal-of-plankton-research</vt:lpwstr>
  </property>
  <property fmtid="{D5CDD505-2E9C-101B-9397-08002B2CF9AE}" pid="22" name="Mendeley Recent Style Name 8_1">
    <vt:lpwstr>Journal of Plankton Research</vt:lpwstr>
  </property>
  <property fmtid="{D5CDD505-2E9C-101B-9397-08002B2CF9AE}" pid="23" name="Mendeley Recent Style Id 9_1">
    <vt:lpwstr>http://www.zotero.org/styles/pnas</vt:lpwstr>
  </property>
  <property fmtid="{D5CDD505-2E9C-101B-9397-08002B2CF9AE}" pid="24" name="Mendeley Recent Style Name 9_1">
    <vt:lpwstr>Proceedings of the National Academy of Sciences of the United States of America</vt:lpwstr>
  </property>
</Properties>
</file>