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C4" w:rsidRDefault="00957EC4" w:rsidP="00957EC4">
      <w:pPr>
        <w:pStyle w:val="Heading1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</w:rPr>
        <w:t>Appendix I</w:t>
      </w:r>
    </w:p>
    <w:p w:rsidR="00957EC4" w:rsidRDefault="00957EC4" w:rsidP="00957EC4">
      <w:pPr>
        <w:pStyle w:val="Heading4"/>
        <w:rPr>
          <w:rFonts w:ascii="Times New Roman" w:eastAsia="Times New Roman" w:hAnsi="Times New Roman" w:cs="Times New Roman"/>
          <w:color w:val="0D0D0D"/>
        </w:rPr>
      </w:pPr>
    </w:p>
    <w:p w:rsidR="00957EC4" w:rsidRDefault="00957EC4" w:rsidP="00957EC4">
      <w:pPr>
        <w:pStyle w:val="Heading4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A detailed list of identified challenges</w:t>
      </w:r>
    </w:p>
    <w:p w:rsidR="00957EC4" w:rsidRDefault="00957EC4" w:rsidP="00957EC4">
      <w:pPr>
        <w:rPr>
          <w:rFonts w:ascii="Times New Roman" w:eastAsia="Times New Roman" w:hAnsi="Times New Roman" w:cs="Times New Roman"/>
          <w:color w:val="0D0D0D"/>
        </w:rPr>
      </w:pPr>
    </w:p>
    <w:p w:rsidR="00957EC4" w:rsidRDefault="00957EC4" w:rsidP="00957EC4">
      <w:pPr>
        <w:numPr>
          <w:ilvl w:val="0"/>
          <w:numId w:val="1"/>
        </w:numPr>
        <w:spacing w:after="160"/>
        <w:ind w:left="714" w:hanging="357"/>
        <w:jc w:val="left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The exponential growth of amount ENM in the market all over the world.</w:t>
      </w:r>
    </w:p>
    <w:p w:rsidR="00957EC4" w:rsidRDefault="00957EC4" w:rsidP="00957EC4">
      <w:pPr>
        <w:numPr>
          <w:ilvl w:val="0"/>
          <w:numId w:val="1"/>
        </w:numPr>
        <w:spacing w:after="160"/>
        <w:ind w:left="714" w:hanging="357"/>
        <w:jc w:val="left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Safety knowledge gap related to exposure still present.</w:t>
      </w:r>
    </w:p>
    <w:p w:rsidR="00957EC4" w:rsidRDefault="00957EC4" w:rsidP="00957EC4">
      <w:pPr>
        <w:numPr>
          <w:ilvl w:val="0"/>
          <w:numId w:val="1"/>
        </w:numPr>
        <w:spacing w:after="160"/>
        <w:ind w:left="714" w:hanging="357"/>
        <w:jc w:val="left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Lack of resources makes the regulatory approaches challenging.</w:t>
      </w:r>
    </w:p>
    <w:p w:rsidR="00957EC4" w:rsidRDefault="00957EC4" w:rsidP="00957EC4">
      <w:pPr>
        <w:numPr>
          <w:ilvl w:val="0"/>
          <w:numId w:val="1"/>
        </w:numPr>
        <w:spacing w:after="160"/>
        <w:ind w:left="714" w:hanging="357"/>
        <w:jc w:val="left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Reliable prediction of hazards and risks from physicochemical data.</w:t>
      </w:r>
    </w:p>
    <w:p w:rsidR="00957EC4" w:rsidRDefault="00957EC4" w:rsidP="00957EC4">
      <w:pPr>
        <w:numPr>
          <w:ilvl w:val="0"/>
          <w:numId w:val="1"/>
        </w:numPr>
        <w:spacing w:after="160"/>
        <w:ind w:left="714" w:hanging="357"/>
        <w:jc w:val="left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 xml:space="preserve">Lack of material and toxicity data. </w:t>
      </w:r>
    </w:p>
    <w:p w:rsidR="00957EC4" w:rsidRDefault="00957EC4" w:rsidP="00957EC4">
      <w:pPr>
        <w:numPr>
          <w:ilvl w:val="0"/>
          <w:numId w:val="1"/>
        </w:numPr>
        <w:spacing w:after="160"/>
        <w:ind w:left="714" w:hanging="357"/>
        <w:jc w:val="left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Many databases are not available for public use.</w:t>
      </w:r>
    </w:p>
    <w:p w:rsidR="00957EC4" w:rsidRDefault="00957EC4" w:rsidP="00957EC4">
      <w:pPr>
        <w:numPr>
          <w:ilvl w:val="0"/>
          <w:numId w:val="1"/>
        </w:numPr>
        <w:spacing w:after="160"/>
        <w:ind w:left="714" w:hanging="357"/>
        <w:jc w:val="left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 xml:space="preserve">The conventional risk assessment methodology is not adequate for newly developed materials in the market. </w:t>
      </w:r>
    </w:p>
    <w:p w:rsidR="00957EC4" w:rsidRDefault="00957EC4" w:rsidP="00957EC4">
      <w:pPr>
        <w:numPr>
          <w:ilvl w:val="0"/>
          <w:numId w:val="1"/>
        </w:numPr>
        <w:spacing w:after="160"/>
        <w:ind w:left="714" w:hanging="357"/>
        <w:jc w:val="left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Risk analysis is still technically and methodologically limited.</w:t>
      </w:r>
    </w:p>
    <w:p w:rsidR="00957EC4" w:rsidRDefault="00957EC4" w:rsidP="00957EC4">
      <w:pPr>
        <w:numPr>
          <w:ilvl w:val="0"/>
          <w:numId w:val="1"/>
        </w:numPr>
        <w:spacing w:after="160"/>
        <w:ind w:left="714" w:hanging="357"/>
        <w:jc w:val="left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Risk acceptance is strongly dependent on the understanding of the risk.</w:t>
      </w:r>
    </w:p>
    <w:p w:rsidR="00957EC4" w:rsidRDefault="00957EC4" w:rsidP="00957EC4">
      <w:pPr>
        <w:numPr>
          <w:ilvl w:val="0"/>
          <w:numId w:val="1"/>
        </w:numPr>
        <w:spacing w:after="160"/>
        <w:jc w:val="left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Exposure scenarios need to be developed specifically case by case (for each production type)</w:t>
      </w:r>
    </w:p>
    <w:p w:rsidR="00957EC4" w:rsidRDefault="00957EC4" w:rsidP="00957EC4">
      <w:pPr>
        <w:numPr>
          <w:ilvl w:val="0"/>
          <w:numId w:val="1"/>
        </w:numPr>
        <w:spacing w:after="160"/>
        <w:jc w:val="left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Which ENMs should be considered when labelling consumer products?</w:t>
      </w:r>
    </w:p>
    <w:p w:rsidR="00957EC4" w:rsidRDefault="00957EC4" w:rsidP="00957EC4">
      <w:pPr>
        <w:spacing w:after="160" w:line="259" w:lineRule="auto"/>
        <w:jc w:val="left"/>
        <w:rPr>
          <w:rFonts w:ascii="Times New Roman" w:eastAsia="Times New Roman" w:hAnsi="Times New Roman" w:cs="Times New Roman"/>
          <w:color w:val="0D0D0D"/>
        </w:rPr>
      </w:pPr>
    </w:p>
    <w:p w:rsidR="00957EC4" w:rsidRDefault="00957EC4" w:rsidP="00957EC4">
      <w:pPr>
        <w:pStyle w:val="Heading4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A detailed list of identified gaps</w:t>
      </w:r>
    </w:p>
    <w:p w:rsidR="00957EC4" w:rsidRDefault="00957EC4" w:rsidP="00957EC4">
      <w:pPr>
        <w:rPr>
          <w:rFonts w:ascii="Times New Roman" w:eastAsia="Times New Roman" w:hAnsi="Times New Roman" w:cs="Times New Roman"/>
          <w:color w:val="0D0D0D"/>
        </w:rPr>
      </w:pPr>
    </w:p>
    <w:p w:rsidR="00957EC4" w:rsidRDefault="00957EC4" w:rsidP="00957EC4">
      <w:pPr>
        <w:numPr>
          <w:ilvl w:val="0"/>
          <w:numId w:val="2"/>
        </w:numPr>
        <w:spacing w:after="160"/>
        <w:ind w:left="714" w:hanging="357"/>
        <w:jc w:val="left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 xml:space="preserve">Accessible databases and libraries incomplete. </w:t>
      </w:r>
      <w:r w:rsidRPr="00BB3566">
        <w:rPr>
          <w:rFonts w:ascii="Times New Roman" w:eastAsia="Times New Roman" w:hAnsi="Times New Roman" w:cs="Times New Roman"/>
          <w:color w:val="0D0D0D"/>
        </w:rPr>
        <w:t xml:space="preserve"> </w:t>
      </w:r>
      <w:r>
        <w:rPr>
          <w:rFonts w:ascii="Times New Roman" w:eastAsia="Times New Roman" w:hAnsi="Times New Roman" w:cs="Times New Roman"/>
          <w:color w:val="0D0D0D"/>
        </w:rPr>
        <w:t xml:space="preserve">Difficult access to data for the manufacturers </w:t>
      </w:r>
    </w:p>
    <w:p w:rsidR="00957EC4" w:rsidRDefault="00957EC4" w:rsidP="00957EC4">
      <w:pPr>
        <w:numPr>
          <w:ilvl w:val="0"/>
          <w:numId w:val="2"/>
        </w:numPr>
        <w:spacing w:after="160"/>
        <w:ind w:left="714" w:hanging="357"/>
        <w:jc w:val="left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 xml:space="preserve">Exposure data and models from </w:t>
      </w:r>
      <w:proofErr w:type="gramStart"/>
      <w:r>
        <w:rPr>
          <w:rFonts w:ascii="Times New Roman" w:eastAsia="Times New Roman" w:hAnsi="Times New Roman" w:cs="Times New Roman"/>
          <w:color w:val="0D0D0D"/>
        </w:rPr>
        <w:t>stakeholders</w:t>
      </w:r>
      <w:proofErr w:type="gramEnd"/>
      <w:r>
        <w:rPr>
          <w:rFonts w:ascii="Times New Roman" w:eastAsia="Times New Roman" w:hAnsi="Times New Roman" w:cs="Times New Roman"/>
          <w:color w:val="0D0D0D"/>
        </w:rPr>
        <w:t xml:space="preserve"> incomplete</w:t>
      </w:r>
    </w:p>
    <w:p w:rsidR="00957EC4" w:rsidRDefault="00957EC4" w:rsidP="00957EC4">
      <w:pPr>
        <w:numPr>
          <w:ilvl w:val="0"/>
          <w:numId w:val="2"/>
        </w:numPr>
        <w:spacing w:after="160"/>
        <w:ind w:left="714" w:hanging="357"/>
        <w:jc w:val="left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Consensus on the hazard metric</w:t>
      </w:r>
    </w:p>
    <w:p w:rsidR="00957EC4" w:rsidRDefault="00957EC4" w:rsidP="00957EC4">
      <w:pPr>
        <w:numPr>
          <w:ilvl w:val="0"/>
          <w:numId w:val="2"/>
        </w:numPr>
        <w:spacing w:after="160"/>
        <w:ind w:left="714" w:hanging="357"/>
        <w:jc w:val="left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Exposure scenarios incomplete</w:t>
      </w:r>
    </w:p>
    <w:p w:rsidR="00957EC4" w:rsidRDefault="00957EC4" w:rsidP="00957EC4">
      <w:pPr>
        <w:numPr>
          <w:ilvl w:val="0"/>
          <w:numId w:val="2"/>
        </w:numPr>
        <w:spacing w:after="160"/>
        <w:ind w:left="714" w:hanging="357"/>
        <w:jc w:val="left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ENMs grouping unavailable. Grouping nanomaterials is an important means that may enable faster ENM risk assessment</w:t>
      </w:r>
    </w:p>
    <w:p w:rsidR="00957EC4" w:rsidRDefault="00957EC4" w:rsidP="00957EC4">
      <w:pPr>
        <w:numPr>
          <w:ilvl w:val="0"/>
          <w:numId w:val="2"/>
        </w:numPr>
        <w:spacing w:after="160"/>
        <w:ind w:left="714" w:hanging="357"/>
        <w:jc w:val="left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Risk management during the process of innovation of new products and new technologies.</w:t>
      </w:r>
    </w:p>
    <w:p w:rsidR="00957EC4" w:rsidRDefault="00957EC4" w:rsidP="00957EC4">
      <w:pPr>
        <w:numPr>
          <w:ilvl w:val="0"/>
          <w:numId w:val="2"/>
        </w:numPr>
        <w:spacing w:after="160"/>
        <w:ind w:left="714" w:hanging="357"/>
        <w:jc w:val="left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Calibration of exposure tools for ENMs.</w:t>
      </w:r>
    </w:p>
    <w:p w:rsidR="00957EC4" w:rsidRDefault="00957EC4" w:rsidP="00957EC4">
      <w:pPr>
        <w:numPr>
          <w:ilvl w:val="0"/>
          <w:numId w:val="2"/>
        </w:numPr>
        <w:spacing w:after="160"/>
        <w:ind w:left="714" w:hanging="357"/>
        <w:jc w:val="left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Professional nano-safety training unavailable</w:t>
      </w:r>
    </w:p>
    <w:p w:rsidR="00957EC4" w:rsidRDefault="00957EC4" w:rsidP="00957EC4">
      <w:pPr>
        <w:rPr>
          <w:rFonts w:ascii="Times New Roman" w:eastAsia="Times New Roman" w:hAnsi="Times New Roman" w:cs="Times New Roman"/>
          <w:color w:val="0D0D0D"/>
        </w:rPr>
      </w:pPr>
    </w:p>
    <w:p w:rsidR="00F21963" w:rsidRDefault="00957EC4">
      <w:bookmarkStart w:id="0" w:name="_GoBack"/>
      <w:bookmarkEnd w:id="0"/>
    </w:p>
    <w:sectPr w:rsidR="00F21963">
      <w:headerReference w:type="default" r:id="rId5"/>
      <w:footerReference w:type="default" r:id="rId6"/>
      <w:pgSz w:w="12240" w:h="15840"/>
      <w:pgMar w:top="1300" w:right="1440" w:bottom="1440" w:left="1440" w:header="18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0BD" w:rsidRDefault="00957E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lef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Governance Workshop Report</w:t>
    </w:r>
    <w:sdt>
      <w:sdtPr>
        <w:tag w:val="goog_rdk_453"/>
        <w:id w:val="-966667308"/>
      </w:sdtPr>
      <w:sdtEndPr/>
      <w:sdtContent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sdtContent>
    </w:sdt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p.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of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0BD" w:rsidRDefault="00957EC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  <w:sz w:val="20"/>
        <w:szCs w:val="20"/>
      </w:rPr>
    </w:pPr>
  </w:p>
  <w:tbl>
    <w:tblPr>
      <w:tblW w:w="10890" w:type="dxa"/>
      <w:tblInd w:w="-108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8730"/>
      <w:gridCol w:w="2160"/>
    </w:tblGrid>
    <w:tr w:rsidR="004530BD">
      <w:trPr>
        <w:trHeight w:val="1070"/>
      </w:trPr>
      <w:tc>
        <w:tcPr>
          <w:tcW w:w="8730" w:type="dxa"/>
        </w:tcPr>
        <w:p w:rsidR="004530BD" w:rsidRDefault="00957EC4">
          <w:pPr>
            <w:spacing w:line="259" w:lineRule="auto"/>
            <w:rPr>
              <w:sz w:val="16"/>
              <w:szCs w:val="16"/>
            </w:rPr>
          </w:pPr>
        </w:p>
      </w:tc>
      <w:tc>
        <w:tcPr>
          <w:tcW w:w="2160" w:type="dxa"/>
        </w:tcPr>
        <w:p w:rsidR="004530BD" w:rsidRDefault="00957EC4">
          <w:pPr>
            <w:spacing w:line="259" w:lineRule="auto"/>
            <w:jc w:val="right"/>
            <w:rPr>
              <w:sz w:val="16"/>
              <w:szCs w:val="16"/>
            </w:rPr>
          </w:pPr>
        </w:p>
      </w:tc>
    </w:tr>
  </w:tbl>
  <w:p w:rsidR="004530BD" w:rsidRDefault="00957E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1A2D"/>
    <w:multiLevelType w:val="multilevel"/>
    <w:tmpl w:val="ADF65FA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20120403"/>
    <w:multiLevelType w:val="multilevel"/>
    <w:tmpl w:val="4D46F9D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C4"/>
    <w:rsid w:val="0019453D"/>
    <w:rsid w:val="004A6330"/>
    <w:rsid w:val="0095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818D1-A6C7-43C8-A573-2C1FA5B1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EC4"/>
    <w:pPr>
      <w:spacing w:after="120" w:line="240" w:lineRule="auto"/>
      <w:jc w:val="both"/>
    </w:pPr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E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7E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E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57EC4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ArjunKumar AS.</dc:creator>
  <cp:keywords/>
  <dc:description/>
  <cp:lastModifiedBy>ArjunKumar AS.</cp:lastModifiedBy>
  <cp:revision>1</cp:revision>
  <dcterms:created xsi:type="dcterms:W3CDTF">2020-05-27T08:55:00Z</dcterms:created>
  <dcterms:modified xsi:type="dcterms:W3CDTF">2020-05-27T08:56:00Z</dcterms:modified>
</cp:coreProperties>
</file>