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980" w:rsidRDefault="00724980" w:rsidP="00724980">
      <w:pPr>
        <w:rPr>
          <w:rFonts w:eastAsia="Calibri Light" w:cstheme="minorHAnsi"/>
          <w:b/>
          <w:spacing w:val="-9"/>
          <w:sz w:val="32"/>
          <w:szCs w:val="32"/>
        </w:rPr>
      </w:pPr>
      <w:r w:rsidRPr="000D4961">
        <w:rPr>
          <w:rFonts w:eastAsia="Calibri Light" w:cstheme="minorHAnsi"/>
          <w:b/>
          <w:spacing w:val="-9"/>
          <w:sz w:val="32"/>
          <w:szCs w:val="32"/>
        </w:rPr>
        <w:t xml:space="preserve">Evidence for oscillating circadian clock genes in the copepod </w:t>
      </w:r>
      <w:r w:rsidRPr="000D4961">
        <w:rPr>
          <w:rFonts w:eastAsia="Calibri Light" w:cstheme="minorHAnsi"/>
          <w:b/>
          <w:i/>
          <w:spacing w:val="-9"/>
          <w:sz w:val="32"/>
          <w:szCs w:val="32"/>
        </w:rPr>
        <w:t xml:space="preserve">Calanus </w:t>
      </w:r>
      <w:proofErr w:type="spellStart"/>
      <w:r w:rsidRPr="000D4961">
        <w:rPr>
          <w:rFonts w:eastAsia="Calibri Light" w:cstheme="minorHAnsi"/>
          <w:b/>
          <w:i/>
          <w:spacing w:val="-9"/>
          <w:sz w:val="32"/>
          <w:szCs w:val="32"/>
        </w:rPr>
        <w:t>finmarchicus</w:t>
      </w:r>
      <w:proofErr w:type="spellEnd"/>
      <w:r w:rsidRPr="000D4961">
        <w:rPr>
          <w:rFonts w:eastAsia="Calibri Light" w:cstheme="minorHAnsi"/>
          <w:b/>
          <w:i/>
          <w:spacing w:val="-9"/>
          <w:sz w:val="32"/>
          <w:szCs w:val="32"/>
        </w:rPr>
        <w:t xml:space="preserve"> </w:t>
      </w:r>
      <w:r w:rsidRPr="000D4961">
        <w:rPr>
          <w:rFonts w:eastAsia="Calibri Light" w:cstheme="minorHAnsi"/>
          <w:b/>
          <w:spacing w:val="-9"/>
          <w:sz w:val="32"/>
          <w:szCs w:val="32"/>
        </w:rPr>
        <w:t xml:space="preserve">during summer solstice in the high Arctic </w:t>
      </w:r>
    </w:p>
    <w:p w:rsidR="00724980" w:rsidRPr="000D4961" w:rsidRDefault="00724980" w:rsidP="00724980">
      <w:pPr>
        <w:rPr>
          <w:rFonts w:eastAsia="Calibri Light" w:cstheme="minorHAnsi"/>
          <w:b/>
          <w:spacing w:val="-9"/>
          <w:sz w:val="32"/>
          <w:szCs w:val="32"/>
        </w:rPr>
      </w:pPr>
    </w:p>
    <w:p w:rsidR="00724980" w:rsidRPr="004E487D" w:rsidRDefault="00724980" w:rsidP="00724980">
      <w:pPr>
        <w:rPr>
          <w:b/>
          <w:bCs/>
        </w:rPr>
      </w:pPr>
      <w:r w:rsidRPr="004E487D">
        <w:rPr>
          <w:rFonts w:eastAsia="Calibri Light" w:cstheme="minorHAnsi"/>
        </w:rPr>
        <w:t>L</w:t>
      </w:r>
      <w:r w:rsidRPr="004E487D">
        <w:rPr>
          <w:rFonts w:eastAsia="Calibri Light" w:cstheme="minorHAnsi"/>
          <w:spacing w:val="-3"/>
        </w:rPr>
        <w:t>u</w:t>
      </w:r>
      <w:r w:rsidRPr="004E487D">
        <w:rPr>
          <w:rFonts w:eastAsia="Calibri Light" w:cstheme="minorHAnsi"/>
        </w:rPr>
        <w:t>kas</w:t>
      </w:r>
      <w:r w:rsidRPr="004E487D">
        <w:rPr>
          <w:rFonts w:eastAsia="Calibri Light" w:cstheme="minorHAnsi"/>
          <w:spacing w:val="-11"/>
        </w:rPr>
        <w:t xml:space="preserve"> </w:t>
      </w:r>
      <w:r w:rsidRPr="004E487D">
        <w:rPr>
          <w:rFonts w:eastAsia="Calibri Light" w:cstheme="minorHAnsi"/>
          <w:spacing w:val="1"/>
        </w:rPr>
        <w:t>H</w:t>
      </w:r>
      <w:r w:rsidRPr="004E487D">
        <w:rPr>
          <w:rFonts w:eastAsia="Calibri Light" w:cstheme="minorHAnsi"/>
          <w:spacing w:val="-2"/>
        </w:rPr>
        <w:t>üpp</w:t>
      </w:r>
      <w:r w:rsidRPr="004E487D">
        <w:rPr>
          <w:rFonts w:eastAsia="Calibri Light" w:cstheme="minorHAnsi"/>
        </w:rPr>
        <w:t xml:space="preserve">e, Laura Payton, Kim Last, David </w:t>
      </w:r>
      <w:proofErr w:type="spellStart"/>
      <w:r w:rsidRPr="004E487D">
        <w:rPr>
          <w:rFonts w:eastAsia="Calibri Light" w:cstheme="minorHAnsi"/>
        </w:rPr>
        <w:t>Wilcockson</w:t>
      </w:r>
      <w:proofErr w:type="spellEnd"/>
      <w:r w:rsidRPr="004E487D">
        <w:rPr>
          <w:rFonts w:eastAsia="Calibri Light" w:cstheme="minorHAnsi"/>
        </w:rPr>
        <w:t>,</w:t>
      </w:r>
      <w:r>
        <w:rPr>
          <w:rFonts w:eastAsia="Calibri Light" w:cstheme="minorHAnsi"/>
        </w:rPr>
        <w:t xml:space="preserve"> </w:t>
      </w:r>
      <w:r w:rsidRPr="004E487D">
        <w:rPr>
          <w:rStyle w:val="peb"/>
        </w:rPr>
        <w:t xml:space="preserve">Elizaveta </w:t>
      </w:r>
      <w:proofErr w:type="spellStart"/>
      <w:r w:rsidRPr="004E487D">
        <w:rPr>
          <w:rStyle w:val="peb"/>
        </w:rPr>
        <w:t>Ershova</w:t>
      </w:r>
      <w:proofErr w:type="spellEnd"/>
      <w:r w:rsidRPr="004E487D">
        <w:rPr>
          <w:rFonts w:eastAsia="Calibri Light" w:cstheme="minorHAnsi"/>
        </w:rPr>
        <w:t>, Bettina Meyer</w:t>
      </w:r>
      <w:r w:rsidRPr="004E487D">
        <w:rPr>
          <w:b/>
          <w:bCs/>
        </w:rPr>
        <w:t xml:space="preserve"> </w:t>
      </w:r>
    </w:p>
    <w:p w:rsidR="00724980" w:rsidRPr="00C63047" w:rsidRDefault="00C63047" w:rsidP="006A4A34">
      <w:pPr>
        <w:rPr>
          <w:bCs/>
          <w:i/>
        </w:rPr>
      </w:pPr>
      <w:r w:rsidRPr="00C63047">
        <w:rPr>
          <w:bCs/>
        </w:rPr>
        <w:t>Pub</w:t>
      </w:r>
      <w:bookmarkStart w:id="0" w:name="_GoBack"/>
      <w:bookmarkEnd w:id="0"/>
      <w:r w:rsidRPr="00C63047">
        <w:rPr>
          <w:bCs/>
        </w:rPr>
        <w:t xml:space="preserve">lished in </w:t>
      </w:r>
      <w:r w:rsidRPr="00C63047">
        <w:rPr>
          <w:bCs/>
          <w:i/>
        </w:rPr>
        <w:t>Biology Letters</w:t>
      </w:r>
    </w:p>
    <w:p w:rsidR="00724980" w:rsidRDefault="00724980" w:rsidP="006A4A34">
      <w:pPr>
        <w:rPr>
          <w:b/>
          <w:bCs/>
        </w:rPr>
      </w:pPr>
    </w:p>
    <w:p w:rsidR="00724980" w:rsidRDefault="00724980" w:rsidP="006A4A34">
      <w:pPr>
        <w:rPr>
          <w:b/>
          <w:bCs/>
        </w:rPr>
      </w:pPr>
    </w:p>
    <w:p w:rsidR="00724980" w:rsidRDefault="00724980" w:rsidP="006A4A34">
      <w:pPr>
        <w:rPr>
          <w:b/>
          <w:bCs/>
        </w:rPr>
      </w:pPr>
    </w:p>
    <w:p w:rsidR="006A4A34" w:rsidRPr="005B2D44" w:rsidRDefault="006A4A34" w:rsidP="006A4A34">
      <w:r w:rsidRPr="00663EE4">
        <w:rPr>
          <w:b/>
          <w:bCs/>
        </w:rPr>
        <w:t xml:space="preserve">Supplementary </w:t>
      </w:r>
      <w:r>
        <w:rPr>
          <w:b/>
          <w:bCs/>
        </w:rPr>
        <w:t>Material 4. T</w:t>
      </w:r>
      <w:r w:rsidRPr="00663EE4">
        <w:rPr>
          <w:b/>
          <w:bCs/>
        </w:rPr>
        <w:t xml:space="preserve">able </w:t>
      </w:r>
      <w:r>
        <w:rPr>
          <w:b/>
          <w:bCs/>
        </w:rPr>
        <w:t>S2</w:t>
      </w:r>
      <w:r w:rsidRPr="00663EE4">
        <w:t xml:space="preserve">: </w:t>
      </w:r>
      <w:r w:rsidRPr="005B2D44">
        <w:t xml:space="preserve">Amplitude and phase of the </w:t>
      </w:r>
      <w:r w:rsidR="008F5F5A">
        <w:t>expression profiles of genes</w:t>
      </w:r>
      <w:r w:rsidR="00410431" w:rsidRPr="005B2D44">
        <w:t xml:space="preserve"> d</w:t>
      </w:r>
      <w:r w:rsidRPr="005B2D44">
        <w:t xml:space="preserve">isplaying </w:t>
      </w:r>
      <w:r w:rsidR="00326D50">
        <w:t>daily</w:t>
      </w:r>
      <w:r w:rsidRPr="005B2D44">
        <w:t xml:space="preserve"> oscillations at both JR85 and B13.</w:t>
      </w:r>
      <w:r w:rsidR="00410431" w:rsidRPr="005B2D44">
        <w:t xml:space="preserve"> The amplitude was calculated </w:t>
      </w:r>
      <w:r w:rsidR="00611976">
        <w:t xml:space="preserve">for each selected gene at each station, </w:t>
      </w:r>
      <w:r w:rsidR="00410431" w:rsidRPr="005B2D44">
        <w:t xml:space="preserve">by </w:t>
      </w:r>
      <w:r w:rsidR="008F0C11">
        <w:t>taking half the distance</w:t>
      </w:r>
      <w:r w:rsidR="00410431" w:rsidRPr="005B2D44">
        <w:t xml:space="preserve"> between the maximum and minimum value of expression</w:t>
      </w:r>
      <w:r w:rsidR="00CE0EDD">
        <w:t>.</w:t>
      </w:r>
      <w:r w:rsidR="00734D0A" w:rsidRPr="005B2D44">
        <w:t xml:space="preserve"> </w:t>
      </w:r>
      <w:r w:rsidR="00CE0EDD">
        <w:t>T</w:t>
      </w:r>
      <w:r w:rsidR="00734D0A" w:rsidRPr="005B2D44">
        <w:t xml:space="preserve">he phase estimates </w:t>
      </w:r>
      <w:r w:rsidR="005B2D44">
        <w:t>were</w:t>
      </w:r>
      <w:r w:rsidR="00734D0A" w:rsidRPr="005B2D44">
        <w:t xml:space="preserve"> </w:t>
      </w:r>
      <w:r w:rsidR="005B2D44">
        <w:t>obtained</w:t>
      </w:r>
      <w:r w:rsidR="00734D0A" w:rsidRPr="005B2D44">
        <w:t xml:space="preserve"> </w:t>
      </w:r>
      <w:r w:rsidR="005B2D44">
        <w:t>by</w:t>
      </w:r>
      <w:r w:rsidR="00734D0A" w:rsidRPr="005B2D44">
        <w:t xml:space="preserve"> RAIN</w:t>
      </w:r>
      <w:r w:rsidR="00ED643D">
        <w:t xml:space="preserve"> and are given in local time (UTC+2)</w:t>
      </w:r>
      <w:r w:rsidR="00734D0A" w:rsidRPr="005B2D44">
        <w:t xml:space="preserve">. </w:t>
      </w:r>
    </w:p>
    <w:p w:rsidR="006A4A34" w:rsidRDefault="006A4A34" w:rsidP="006A4A34"/>
    <w:tbl>
      <w:tblPr>
        <w:tblStyle w:val="Tabellenraster"/>
        <w:tblpPr w:leftFromText="141" w:rightFromText="141" w:vertAnchor="page" w:horzAnchor="margin" w:tblpY="5761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17"/>
        <w:gridCol w:w="1890"/>
        <w:gridCol w:w="1889"/>
        <w:gridCol w:w="1890"/>
        <w:gridCol w:w="1889"/>
      </w:tblGrid>
      <w:tr w:rsidR="00724980" w:rsidRPr="00F8387E" w:rsidTr="00724980">
        <w:trPr>
          <w:trHeight w:val="300"/>
        </w:trPr>
        <w:tc>
          <w:tcPr>
            <w:tcW w:w="21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24980" w:rsidRPr="009A4805" w:rsidRDefault="00724980" w:rsidP="00724980">
            <w:pPr>
              <w:rPr>
                <w:b/>
                <w:bCs/>
              </w:rPr>
            </w:pPr>
          </w:p>
        </w:tc>
        <w:tc>
          <w:tcPr>
            <w:tcW w:w="377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724980" w:rsidRPr="00F8387E" w:rsidRDefault="00724980" w:rsidP="00724980">
            <w:pPr>
              <w:rPr>
                <w:b/>
                <w:bCs/>
              </w:rPr>
            </w:pPr>
            <w:r w:rsidRPr="00F8387E">
              <w:rPr>
                <w:b/>
                <w:bCs/>
              </w:rPr>
              <w:t>JR85</w:t>
            </w:r>
          </w:p>
        </w:tc>
        <w:tc>
          <w:tcPr>
            <w:tcW w:w="377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24980" w:rsidRPr="00F8387E" w:rsidRDefault="00724980" w:rsidP="00724980">
            <w:pPr>
              <w:rPr>
                <w:b/>
                <w:bCs/>
              </w:rPr>
            </w:pPr>
            <w:r w:rsidRPr="00F8387E">
              <w:rPr>
                <w:b/>
                <w:bCs/>
              </w:rPr>
              <w:t>B13</w:t>
            </w:r>
          </w:p>
        </w:tc>
      </w:tr>
      <w:tr w:rsidR="00724980" w:rsidRPr="00F8387E" w:rsidTr="00724980">
        <w:trPr>
          <w:trHeight w:val="621"/>
        </w:trPr>
        <w:tc>
          <w:tcPr>
            <w:tcW w:w="2117" w:type="dxa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24980" w:rsidRPr="00F8387E" w:rsidRDefault="00724980" w:rsidP="00724980">
            <w:pPr>
              <w:jc w:val="both"/>
            </w:pPr>
            <w:r w:rsidRPr="00F8387E">
              <w:rPr>
                <w:b/>
                <w:bCs/>
              </w:rPr>
              <w:t>Target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24980" w:rsidRPr="00F8387E" w:rsidRDefault="00724980" w:rsidP="00724980">
            <w:pPr>
              <w:jc w:val="both"/>
            </w:pPr>
            <w:r>
              <w:t>Amplitude</w:t>
            </w:r>
          </w:p>
        </w:tc>
        <w:tc>
          <w:tcPr>
            <w:tcW w:w="1889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24980" w:rsidRPr="00F8387E" w:rsidRDefault="00724980" w:rsidP="00724980">
            <w:pPr>
              <w:jc w:val="both"/>
            </w:pPr>
            <w:r>
              <w:t>Phase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24980" w:rsidRPr="00F8387E" w:rsidRDefault="00724980" w:rsidP="00724980">
            <w:pPr>
              <w:jc w:val="both"/>
            </w:pPr>
            <w:r>
              <w:t>Amplitude</w:t>
            </w:r>
          </w:p>
        </w:tc>
        <w:tc>
          <w:tcPr>
            <w:tcW w:w="1889" w:type="dxa"/>
            <w:tcBorders>
              <w:top w:val="double" w:sz="4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724980" w:rsidRPr="00F8387E" w:rsidRDefault="00724980" w:rsidP="00724980">
            <w:pPr>
              <w:jc w:val="both"/>
            </w:pPr>
            <w:r>
              <w:t>Phase</w:t>
            </w:r>
          </w:p>
        </w:tc>
      </w:tr>
      <w:tr w:rsidR="00724980" w:rsidRPr="00F8387E" w:rsidTr="00724980">
        <w:trPr>
          <w:trHeight w:val="304"/>
        </w:trPr>
        <w:tc>
          <w:tcPr>
            <w:tcW w:w="2117" w:type="dxa"/>
            <w:tcBorders>
              <w:top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24980" w:rsidRPr="00F8387E" w:rsidRDefault="00724980" w:rsidP="00724980">
            <w:pPr>
              <w:jc w:val="both"/>
              <w:rPr>
                <w:i/>
                <w:iCs/>
              </w:rPr>
            </w:pPr>
            <w:r w:rsidRPr="00F8387E">
              <w:rPr>
                <w:i/>
                <w:iCs/>
              </w:rPr>
              <w:t>clock</w:t>
            </w:r>
          </w:p>
        </w:tc>
        <w:tc>
          <w:tcPr>
            <w:tcW w:w="1890" w:type="dxa"/>
            <w:tcBorders>
              <w:top w:val="single" w:sz="18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4980" w:rsidRPr="00CB10A6" w:rsidRDefault="00724980" w:rsidP="00724980">
            <w:pPr>
              <w:jc w:val="both"/>
              <w:rPr>
                <w:iCs/>
              </w:rPr>
            </w:pPr>
            <w:r>
              <w:rPr>
                <w:iCs/>
              </w:rPr>
              <w:t>2.1</w:t>
            </w:r>
          </w:p>
        </w:tc>
        <w:tc>
          <w:tcPr>
            <w:tcW w:w="1889" w:type="dxa"/>
            <w:tcBorders>
              <w:top w:val="single" w:sz="18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4980" w:rsidRPr="00CB10A6" w:rsidRDefault="00724980" w:rsidP="00724980">
            <w:pPr>
              <w:jc w:val="both"/>
              <w:rPr>
                <w:bCs/>
              </w:rPr>
            </w:pPr>
            <w:r w:rsidRPr="00CB10A6">
              <w:rPr>
                <w:bCs/>
              </w:rPr>
              <w:t>19:00</w:t>
            </w:r>
          </w:p>
        </w:tc>
        <w:tc>
          <w:tcPr>
            <w:tcW w:w="1890" w:type="dxa"/>
            <w:tcBorders>
              <w:top w:val="single" w:sz="18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4980" w:rsidRPr="00CB10A6" w:rsidRDefault="00724980" w:rsidP="00724980">
            <w:pPr>
              <w:jc w:val="both"/>
              <w:rPr>
                <w:iCs/>
              </w:rPr>
            </w:pPr>
            <w:r>
              <w:rPr>
                <w:iCs/>
              </w:rPr>
              <w:t>3.7</w:t>
            </w:r>
          </w:p>
        </w:tc>
        <w:tc>
          <w:tcPr>
            <w:tcW w:w="1889" w:type="dxa"/>
            <w:tcBorders>
              <w:top w:val="single" w:sz="18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724980" w:rsidRPr="00C025D9" w:rsidRDefault="00724980" w:rsidP="00724980">
            <w:pPr>
              <w:jc w:val="both"/>
              <w:rPr>
                <w:bCs/>
              </w:rPr>
            </w:pPr>
            <w:r w:rsidRPr="00C025D9">
              <w:rPr>
                <w:bCs/>
              </w:rPr>
              <w:t>06:00</w:t>
            </w:r>
          </w:p>
        </w:tc>
      </w:tr>
      <w:tr w:rsidR="00724980" w:rsidRPr="00F8387E" w:rsidTr="00724980">
        <w:trPr>
          <w:trHeight w:val="304"/>
        </w:trPr>
        <w:tc>
          <w:tcPr>
            <w:tcW w:w="2117" w:type="dxa"/>
            <w:tcBorders>
              <w:right w:val="nil"/>
            </w:tcBorders>
            <w:vAlign w:val="center"/>
          </w:tcPr>
          <w:p w:rsidR="00724980" w:rsidRPr="00DB72B4" w:rsidRDefault="00724980" w:rsidP="00724980">
            <w:pPr>
              <w:jc w:val="both"/>
              <w:rPr>
                <w:i/>
                <w:iCs/>
              </w:rPr>
            </w:pPr>
            <w:r w:rsidRPr="00DB72B4">
              <w:rPr>
                <w:i/>
                <w:iCs/>
              </w:rPr>
              <w:t>cycle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724980" w:rsidRPr="00DB72B4" w:rsidRDefault="00724980" w:rsidP="00724980">
            <w:pPr>
              <w:jc w:val="both"/>
              <w:rPr>
                <w:bCs/>
              </w:rPr>
            </w:pPr>
            <w:r w:rsidRPr="00DB72B4">
              <w:rPr>
                <w:bCs/>
              </w:rPr>
              <w:t>1.2</w:t>
            </w:r>
          </w:p>
        </w:tc>
        <w:tc>
          <w:tcPr>
            <w:tcW w:w="1889" w:type="dxa"/>
            <w:tcBorders>
              <w:left w:val="nil"/>
              <w:right w:val="nil"/>
            </w:tcBorders>
            <w:vAlign w:val="center"/>
          </w:tcPr>
          <w:p w:rsidR="00724980" w:rsidRPr="00CB10A6" w:rsidRDefault="00724980" w:rsidP="00724980">
            <w:pPr>
              <w:jc w:val="both"/>
              <w:rPr>
                <w:bCs/>
              </w:rPr>
            </w:pPr>
            <w:r w:rsidRPr="00CB10A6">
              <w:rPr>
                <w:bCs/>
              </w:rPr>
              <w:t>19:00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724980" w:rsidRPr="00DB72B4" w:rsidRDefault="00724980" w:rsidP="00724980">
            <w:pPr>
              <w:jc w:val="both"/>
              <w:rPr>
                <w:bCs/>
              </w:rPr>
            </w:pPr>
            <w:r w:rsidRPr="00DB72B4">
              <w:rPr>
                <w:bCs/>
              </w:rPr>
              <w:t>1.0</w:t>
            </w:r>
          </w:p>
        </w:tc>
        <w:tc>
          <w:tcPr>
            <w:tcW w:w="1889" w:type="dxa"/>
            <w:tcBorders>
              <w:left w:val="nil"/>
            </w:tcBorders>
            <w:vAlign w:val="center"/>
          </w:tcPr>
          <w:p w:rsidR="00724980" w:rsidRPr="004114E5" w:rsidRDefault="00724980" w:rsidP="00724980">
            <w:pPr>
              <w:jc w:val="both"/>
              <w:rPr>
                <w:bCs/>
              </w:rPr>
            </w:pPr>
            <w:r w:rsidRPr="004114E5">
              <w:rPr>
                <w:bCs/>
              </w:rPr>
              <w:t>22:00</w:t>
            </w:r>
          </w:p>
        </w:tc>
      </w:tr>
      <w:tr w:rsidR="00724980" w:rsidRPr="00F8387E" w:rsidTr="00724980">
        <w:trPr>
          <w:trHeight w:val="304"/>
        </w:trPr>
        <w:tc>
          <w:tcPr>
            <w:tcW w:w="211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724980" w:rsidRPr="00F8387E" w:rsidRDefault="00724980" w:rsidP="00724980">
            <w:pPr>
              <w:jc w:val="both"/>
              <w:rPr>
                <w:i/>
                <w:iCs/>
              </w:rPr>
            </w:pPr>
            <w:r w:rsidRPr="00F8387E">
              <w:rPr>
                <w:i/>
                <w:iCs/>
              </w:rPr>
              <w:t>period1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4980" w:rsidRPr="00CB10A6" w:rsidRDefault="00724980" w:rsidP="00724980">
            <w:pPr>
              <w:jc w:val="both"/>
              <w:rPr>
                <w:iCs/>
              </w:rPr>
            </w:pPr>
            <w:r>
              <w:rPr>
                <w:iCs/>
              </w:rPr>
              <w:t>3.6</w:t>
            </w:r>
          </w:p>
        </w:tc>
        <w:tc>
          <w:tcPr>
            <w:tcW w:w="18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4980" w:rsidRPr="00CB10A6" w:rsidRDefault="00724980" w:rsidP="00724980">
            <w:pPr>
              <w:jc w:val="both"/>
              <w:rPr>
                <w:bCs/>
              </w:rPr>
            </w:pPr>
            <w:r w:rsidRPr="00CB10A6">
              <w:rPr>
                <w:bCs/>
              </w:rPr>
              <w:t>19:00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4980" w:rsidRPr="00CB10A6" w:rsidRDefault="00724980" w:rsidP="00724980">
            <w:pPr>
              <w:jc w:val="both"/>
              <w:rPr>
                <w:iCs/>
              </w:rPr>
            </w:pPr>
            <w:r>
              <w:rPr>
                <w:iCs/>
              </w:rPr>
              <w:t>5.4</w:t>
            </w:r>
          </w:p>
        </w:tc>
        <w:tc>
          <w:tcPr>
            <w:tcW w:w="188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724980" w:rsidRPr="004114E5" w:rsidRDefault="00724980" w:rsidP="00724980">
            <w:pPr>
              <w:jc w:val="both"/>
              <w:rPr>
                <w:bCs/>
              </w:rPr>
            </w:pPr>
            <w:r>
              <w:rPr>
                <w:bCs/>
              </w:rPr>
              <w:t>18:00</w:t>
            </w:r>
          </w:p>
        </w:tc>
      </w:tr>
      <w:tr w:rsidR="00724980" w:rsidRPr="00F8387E" w:rsidTr="00724980">
        <w:trPr>
          <w:trHeight w:val="317"/>
        </w:trPr>
        <w:tc>
          <w:tcPr>
            <w:tcW w:w="2117" w:type="dxa"/>
            <w:tcBorders>
              <w:bottom w:val="single" w:sz="18" w:space="0" w:color="auto"/>
              <w:right w:val="nil"/>
            </w:tcBorders>
            <w:vAlign w:val="center"/>
          </w:tcPr>
          <w:p w:rsidR="00724980" w:rsidRPr="00F8387E" w:rsidRDefault="00724980" w:rsidP="00724980">
            <w:pPr>
              <w:jc w:val="both"/>
              <w:rPr>
                <w:i/>
                <w:iCs/>
              </w:rPr>
            </w:pPr>
            <w:r w:rsidRPr="00F8387E">
              <w:rPr>
                <w:i/>
                <w:iCs/>
              </w:rPr>
              <w:t>timeless</w:t>
            </w:r>
          </w:p>
        </w:tc>
        <w:tc>
          <w:tcPr>
            <w:tcW w:w="189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24980" w:rsidRPr="00CB10A6" w:rsidRDefault="00724980" w:rsidP="00724980">
            <w:pPr>
              <w:jc w:val="both"/>
              <w:rPr>
                <w:iCs/>
              </w:rPr>
            </w:pPr>
            <w:r>
              <w:rPr>
                <w:iCs/>
              </w:rPr>
              <w:t>0.5</w:t>
            </w:r>
          </w:p>
        </w:tc>
        <w:tc>
          <w:tcPr>
            <w:tcW w:w="1889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24980" w:rsidRPr="00CB10A6" w:rsidRDefault="00724980" w:rsidP="00724980">
            <w:pPr>
              <w:jc w:val="both"/>
              <w:rPr>
                <w:bCs/>
              </w:rPr>
            </w:pPr>
            <w:r w:rsidRPr="00CB10A6">
              <w:rPr>
                <w:bCs/>
              </w:rPr>
              <w:t>07:00</w:t>
            </w:r>
          </w:p>
        </w:tc>
        <w:tc>
          <w:tcPr>
            <w:tcW w:w="189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24980" w:rsidRPr="00CB10A6" w:rsidRDefault="00724980" w:rsidP="00724980">
            <w:pPr>
              <w:jc w:val="both"/>
              <w:rPr>
                <w:iCs/>
              </w:rPr>
            </w:pPr>
            <w:r>
              <w:rPr>
                <w:iCs/>
              </w:rPr>
              <w:t>2.2</w:t>
            </w:r>
          </w:p>
        </w:tc>
        <w:tc>
          <w:tcPr>
            <w:tcW w:w="1889" w:type="dxa"/>
            <w:tcBorders>
              <w:left w:val="nil"/>
              <w:bottom w:val="single" w:sz="18" w:space="0" w:color="auto"/>
            </w:tcBorders>
            <w:vAlign w:val="center"/>
          </w:tcPr>
          <w:p w:rsidR="00724980" w:rsidRPr="004114E5" w:rsidRDefault="00724980" w:rsidP="00724980">
            <w:pPr>
              <w:jc w:val="both"/>
              <w:rPr>
                <w:bCs/>
              </w:rPr>
            </w:pPr>
            <w:r>
              <w:rPr>
                <w:bCs/>
              </w:rPr>
              <w:t>22:00</w:t>
            </w:r>
          </w:p>
        </w:tc>
      </w:tr>
    </w:tbl>
    <w:p w:rsidR="006A4A34" w:rsidRDefault="006A4A34" w:rsidP="006A4A34"/>
    <w:p w:rsidR="00220A77" w:rsidRDefault="00220A77"/>
    <w:sectPr w:rsidR="00220A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34"/>
    <w:rsid w:val="00220A77"/>
    <w:rsid w:val="00257996"/>
    <w:rsid w:val="00276408"/>
    <w:rsid w:val="00326D50"/>
    <w:rsid w:val="00410431"/>
    <w:rsid w:val="004114E5"/>
    <w:rsid w:val="0051018E"/>
    <w:rsid w:val="005B2D44"/>
    <w:rsid w:val="005F1A0C"/>
    <w:rsid w:val="00611976"/>
    <w:rsid w:val="006A4A34"/>
    <w:rsid w:val="00724980"/>
    <w:rsid w:val="00734D0A"/>
    <w:rsid w:val="007A5561"/>
    <w:rsid w:val="008F0C11"/>
    <w:rsid w:val="008F5F5A"/>
    <w:rsid w:val="00A2742E"/>
    <w:rsid w:val="00C025D9"/>
    <w:rsid w:val="00C63047"/>
    <w:rsid w:val="00CB10A6"/>
    <w:rsid w:val="00CE0EDD"/>
    <w:rsid w:val="00DB72B4"/>
    <w:rsid w:val="00ED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5628"/>
  <w15:chartTrackingRefBased/>
  <w15:docId w15:val="{753E8B84-5716-42BC-8A93-6C618F7E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4A34"/>
    <w:pPr>
      <w:spacing w:after="0" w:line="240" w:lineRule="auto"/>
    </w:pPr>
    <w:rPr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A4A3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b">
    <w:name w:val="_pe_b"/>
    <w:basedOn w:val="Absatz-Standardschriftart"/>
    <w:rsid w:val="0072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Hüppe</dc:creator>
  <cp:keywords/>
  <dc:description/>
  <cp:lastModifiedBy>Lukas Hüppe</cp:lastModifiedBy>
  <cp:revision>25</cp:revision>
  <dcterms:created xsi:type="dcterms:W3CDTF">2020-06-05T10:26:00Z</dcterms:created>
  <dcterms:modified xsi:type="dcterms:W3CDTF">2020-06-08T12:23:00Z</dcterms:modified>
</cp:coreProperties>
</file>