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91FC" w14:textId="6B12750B" w:rsidR="008B7BBA" w:rsidRPr="00E46214" w:rsidRDefault="00E46214" w:rsidP="00E46214">
      <w:pPr>
        <w:pStyle w:val="Caption"/>
        <w:keepNext/>
        <w:spacing w:before="120" w:after="0"/>
        <w:jc w:val="center"/>
        <w:rPr>
          <w:color w:val="auto"/>
          <w:sz w:val="32"/>
          <w:szCs w:val="22"/>
          <w:lang w:val="en-US"/>
        </w:rPr>
      </w:pPr>
      <w:r w:rsidRPr="00E46214">
        <w:rPr>
          <w:color w:val="auto"/>
          <w:sz w:val="32"/>
          <w:szCs w:val="22"/>
          <w:lang w:val="en-US"/>
        </w:rPr>
        <w:t>Comparison of Myelotoxicity and Nephrotoxicity Between Daily Low-Dose Cisplatin with Concurrent R</w:t>
      </w:r>
      <w:r w:rsidR="009E3E7C" w:rsidRPr="00E46214">
        <w:rPr>
          <w:color w:val="auto"/>
          <w:sz w:val="32"/>
          <w:szCs w:val="22"/>
          <w:lang w:val="en-US"/>
        </w:rPr>
        <w:t xml:space="preserve">adiation </w:t>
      </w:r>
      <w:r w:rsidR="00381D85" w:rsidRPr="00E46214">
        <w:rPr>
          <w:color w:val="auto"/>
          <w:sz w:val="32"/>
          <w:szCs w:val="22"/>
          <w:lang w:val="en-US"/>
        </w:rPr>
        <w:t>and</w:t>
      </w:r>
      <w:r w:rsidRPr="00E46214">
        <w:rPr>
          <w:color w:val="auto"/>
          <w:sz w:val="32"/>
          <w:szCs w:val="22"/>
          <w:lang w:val="en-US"/>
        </w:rPr>
        <w:t xml:space="preserve"> Cyclic High-Dose Cisplatin in Non-Small Cell Lung Cancer P</w:t>
      </w:r>
      <w:r w:rsidR="009E3E7C" w:rsidRPr="00E46214">
        <w:rPr>
          <w:color w:val="auto"/>
          <w:sz w:val="32"/>
          <w:szCs w:val="22"/>
          <w:lang w:val="en-US"/>
        </w:rPr>
        <w:t>atients</w:t>
      </w:r>
    </w:p>
    <w:p w14:paraId="0A150DD6" w14:textId="64C085DC" w:rsidR="006C55C0" w:rsidRDefault="006C55C0" w:rsidP="006C55C0"/>
    <w:p w14:paraId="48DC2ED3" w14:textId="0D008241" w:rsidR="006C55C0" w:rsidRPr="006C55C0" w:rsidRDefault="006C55C0" w:rsidP="006C55C0">
      <w:pPr>
        <w:pStyle w:val="Caption"/>
        <w:keepNext/>
        <w:spacing w:before="120" w:after="0"/>
        <w:rPr>
          <w:color w:val="auto"/>
          <w:sz w:val="24"/>
          <w:szCs w:val="22"/>
          <w:lang w:val="en-US"/>
        </w:rPr>
      </w:pPr>
      <w:r>
        <w:rPr>
          <w:color w:val="auto"/>
          <w:sz w:val="24"/>
          <w:szCs w:val="22"/>
          <w:lang w:val="en-US"/>
        </w:rPr>
        <w:t>Short t</w:t>
      </w:r>
      <w:r w:rsidRPr="006C55C0">
        <w:rPr>
          <w:color w:val="auto"/>
          <w:sz w:val="24"/>
          <w:szCs w:val="22"/>
          <w:lang w:val="en-US"/>
        </w:rPr>
        <w:t xml:space="preserve">itle: </w:t>
      </w:r>
      <w:r>
        <w:rPr>
          <w:color w:val="auto"/>
          <w:sz w:val="24"/>
          <w:szCs w:val="22"/>
          <w:lang w:val="en-US"/>
        </w:rPr>
        <w:t>T</w:t>
      </w:r>
      <w:r w:rsidRPr="006C55C0">
        <w:rPr>
          <w:color w:val="auto"/>
          <w:sz w:val="24"/>
          <w:szCs w:val="22"/>
          <w:lang w:val="en-US"/>
        </w:rPr>
        <w:t xml:space="preserve">oxicity </w:t>
      </w:r>
      <w:r>
        <w:rPr>
          <w:color w:val="auto"/>
          <w:sz w:val="24"/>
          <w:szCs w:val="22"/>
          <w:lang w:val="en-US"/>
        </w:rPr>
        <w:t>of</w:t>
      </w:r>
      <w:r w:rsidRPr="006C55C0">
        <w:rPr>
          <w:color w:val="auto"/>
          <w:sz w:val="24"/>
          <w:szCs w:val="22"/>
          <w:lang w:val="en-US"/>
        </w:rPr>
        <w:t xml:space="preserve"> d</w:t>
      </w:r>
      <w:r>
        <w:rPr>
          <w:color w:val="auto"/>
          <w:sz w:val="24"/>
          <w:szCs w:val="22"/>
          <w:lang w:val="en-US"/>
        </w:rPr>
        <w:t>aily low- vs</w:t>
      </w:r>
      <w:r w:rsidRPr="006C55C0">
        <w:rPr>
          <w:color w:val="auto"/>
          <w:sz w:val="24"/>
          <w:szCs w:val="22"/>
          <w:lang w:val="en-US"/>
        </w:rPr>
        <w:t xml:space="preserve"> cyclic high-dose cisplatin</w:t>
      </w:r>
      <w:r w:rsidRPr="006C55C0" w:rsidDel="009E3E7C">
        <w:rPr>
          <w:color w:val="auto"/>
          <w:sz w:val="24"/>
          <w:szCs w:val="22"/>
          <w:lang w:val="en-US"/>
        </w:rPr>
        <w:t xml:space="preserve"> </w:t>
      </w:r>
    </w:p>
    <w:p w14:paraId="09E3205B" w14:textId="65B8DBF4" w:rsidR="004F4C9F" w:rsidRDefault="004F4C9F" w:rsidP="00F27BC9">
      <w:pPr>
        <w:spacing w:after="0"/>
      </w:pPr>
    </w:p>
    <w:p w14:paraId="7FDB1BF1" w14:textId="77777777" w:rsidR="006C55C0" w:rsidRPr="00280F57" w:rsidRDefault="006C55C0" w:rsidP="00F27BC9">
      <w:pPr>
        <w:spacing w:after="0"/>
      </w:pPr>
    </w:p>
    <w:p w14:paraId="3CA5AD16" w14:textId="03435E99" w:rsidR="006C55C0" w:rsidRPr="00C93591" w:rsidRDefault="004F4C9F" w:rsidP="00C93591">
      <w:pPr>
        <w:rPr>
          <w:vertAlign w:val="superscript"/>
          <w:lang w:val="nl-NL"/>
        </w:rPr>
      </w:pPr>
      <w:r w:rsidRPr="00280F57">
        <w:rPr>
          <w:lang w:val="nl-NL"/>
        </w:rPr>
        <w:t>Z Zazuli</w:t>
      </w:r>
      <w:r w:rsidRPr="00280F57">
        <w:rPr>
          <w:vertAlign w:val="superscript"/>
          <w:lang w:val="nl-NL"/>
        </w:rPr>
        <w:t>1,2</w:t>
      </w:r>
      <w:r w:rsidRPr="00280F57">
        <w:rPr>
          <w:lang w:val="nl-NL"/>
        </w:rPr>
        <w:t>, R Kos</w:t>
      </w:r>
      <w:r w:rsidRPr="00280F57">
        <w:rPr>
          <w:vertAlign w:val="superscript"/>
          <w:lang w:val="nl-NL"/>
        </w:rPr>
        <w:t>1</w:t>
      </w:r>
      <w:r w:rsidRPr="00280F57">
        <w:rPr>
          <w:lang w:val="nl-NL"/>
        </w:rPr>
        <w:t>, J</w:t>
      </w:r>
      <w:r w:rsidR="00FD59D6">
        <w:rPr>
          <w:lang w:val="nl-NL"/>
        </w:rPr>
        <w:t xml:space="preserve"> </w:t>
      </w:r>
      <w:r w:rsidRPr="00280F57">
        <w:rPr>
          <w:lang w:val="nl-NL"/>
        </w:rPr>
        <w:t>D Veltman</w:t>
      </w:r>
      <w:r w:rsidRPr="00280F57">
        <w:rPr>
          <w:vertAlign w:val="superscript"/>
          <w:lang w:val="nl-NL"/>
        </w:rPr>
        <w:t>1</w:t>
      </w:r>
      <w:r w:rsidRPr="00280F57">
        <w:rPr>
          <w:lang w:val="nl-NL"/>
        </w:rPr>
        <w:t>, W Uyterlinde</w:t>
      </w:r>
      <w:r w:rsidR="000B3271">
        <w:rPr>
          <w:vertAlign w:val="superscript"/>
          <w:lang w:val="nl-NL"/>
        </w:rPr>
        <w:t>3</w:t>
      </w:r>
      <w:r w:rsidRPr="00280F57">
        <w:rPr>
          <w:lang w:val="nl-NL"/>
        </w:rPr>
        <w:t xml:space="preserve">, </w:t>
      </w:r>
      <w:r w:rsidR="00FD59D6">
        <w:rPr>
          <w:lang w:val="nl-NL"/>
        </w:rPr>
        <w:t>C Longo</w:t>
      </w:r>
      <w:r w:rsidR="002867BC" w:rsidRPr="000A1441">
        <w:rPr>
          <w:vertAlign w:val="superscript"/>
          <w:lang w:val="nl-NL"/>
        </w:rPr>
        <w:t>1</w:t>
      </w:r>
      <w:r w:rsidR="002867BC">
        <w:rPr>
          <w:lang w:val="nl-NL"/>
        </w:rPr>
        <w:t xml:space="preserve"> , </w:t>
      </w:r>
      <w:r w:rsidRPr="00280F57">
        <w:rPr>
          <w:lang w:val="nl-NL"/>
        </w:rPr>
        <w:t>P Baas</w:t>
      </w:r>
      <w:r w:rsidR="000B3271">
        <w:rPr>
          <w:vertAlign w:val="superscript"/>
          <w:lang w:val="nl-NL"/>
        </w:rPr>
        <w:t>3</w:t>
      </w:r>
      <w:r w:rsidRPr="00280F57">
        <w:rPr>
          <w:lang w:val="nl-NL"/>
        </w:rPr>
        <w:t>, R Masereeuw</w:t>
      </w:r>
      <w:r w:rsidR="000B3271">
        <w:rPr>
          <w:vertAlign w:val="superscript"/>
          <w:lang w:val="nl-NL"/>
        </w:rPr>
        <w:t>4</w:t>
      </w:r>
      <w:r w:rsidRPr="00280F57">
        <w:rPr>
          <w:lang w:val="nl-NL"/>
        </w:rPr>
        <w:t>, S</w:t>
      </w:r>
      <w:r w:rsidR="00FD59D6">
        <w:rPr>
          <w:lang w:val="nl-NL"/>
        </w:rPr>
        <w:t xml:space="preserve"> </w:t>
      </w:r>
      <w:r w:rsidRPr="00280F57">
        <w:rPr>
          <w:lang w:val="nl-NL"/>
        </w:rPr>
        <w:t>J</w:t>
      </w:r>
      <w:r w:rsidR="00FD59D6">
        <w:rPr>
          <w:lang w:val="nl-NL"/>
        </w:rPr>
        <w:t xml:space="preserve"> </w:t>
      </w:r>
      <w:r w:rsidRPr="00280F57">
        <w:rPr>
          <w:lang w:val="nl-NL"/>
        </w:rPr>
        <w:t>H Vijverberg</w:t>
      </w:r>
      <w:r w:rsidRPr="00280F57">
        <w:rPr>
          <w:vertAlign w:val="superscript"/>
          <w:lang w:val="nl-NL"/>
        </w:rPr>
        <w:t>1</w:t>
      </w:r>
      <w:r w:rsidRPr="00280F57">
        <w:rPr>
          <w:lang w:val="nl-NL"/>
        </w:rPr>
        <w:t>, A</w:t>
      </w:r>
      <w:r w:rsidR="00FD59D6">
        <w:rPr>
          <w:lang w:val="nl-NL"/>
        </w:rPr>
        <w:t xml:space="preserve"> </w:t>
      </w:r>
      <w:r w:rsidRPr="00280F57">
        <w:rPr>
          <w:lang w:val="nl-NL"/>
        </w:rPr>
        <w:t>H Maitland-van der Zee</w:t>
      </w:r>
      <w:r w:rsidRPr="00280F57">
        <w:rPr>
          <w:vertAlign w:val="superscript"/>
          <w:lang w:val="nl-NL"/>
        </w:rPr>
        <w:t>1</w:t>
      </w:r>
      <w:r w:rsidR="00C22B92">
        <w:rPr>
          <w:vertAlign w:val="superscript"/>
          <w:lang w:val="nl-NL"/>
        </w:rPr>
        <w:t>*</w:t>
      </w:r>
    </w:p>
    <w:p w14:paraId="2DC40A72" w14:textId="3AEDEA60" w:rsidR="004F4C9F" w:rsidRPr="00280F57" w:rsidRDefault="004F4C9F" w:rsidP="00541BF6">
      <w:pPr>
        <w:spacing w:after="0"/>
      </w:pPr>
      <w:r w:rsidRPr="00280F57">
        <w:rPr>
          <w:vertAlign w:val="superscript"/>
        </w:rPr>
        <w:t>1</w:t>
      </w:r>
      <w:r w:rsidRPr="00280F57">
        <w:t xml:space="preserve">Department of Respiratory Medicine, Amsterdam UMC, University of Amsterdam, Amsterdam, the Netherlands. </w:t>
      </w:r>
    </w:p>
    <w:p w14:paraId="54D181E4" w14:textId="77777777" w:rsidR="004F4C9F" w:rsidRPr="00280F57" w:rsidRDefault="004F4C9F" w:rsidP="00541BF6">
      <w:pPr>
        <w:spacing w:after="0"/>
      </w:pPr>
      <w:r w:rsidRPr="00280F57">
        <w:rPr>
          <w:vertAlign w:val="superscript"/>
        </w:rPr>
        <w:t>2</w:t>
      </w:r>
      <w:r w:rsidRPr="00280F57">
        <w:t xml:space="preserve">Department of Pharmacology-Clinical Pharmacy, School of Pharmacy, Bandung Institute of Technology, Bandung, Indonesia. </w:t>
      </w:r>
    </w:p>
    <w:p w14:paraId="7CB8CA52" w14:textId="0525AFEF" w:rsidR="004F4C9F" w:rsidRDefault="000B3271" w:rsidP="00541BF6">
      <w:pPr>
        <w:spacing w:after="0"/>
      </w:pPr>
      <w:r>
        <w:rPr>
          <w:vertAlign w:val="superscript"/>
        </w:rPr>
        <w:t>3</w:t>
      </w:r>
      <w:r w:rsidR="004F4C9F" w:rsidRPr="00280F57">
        <w:t>Dep</w:t>
      </w:r>
      <w:r w:rsidR="001E336E">
        <w:t>artment</w:t>
      </w:r>
      <w:r w:rsidR="004F4C9F" w:rsidRPr="00280F57">
        <w:t xml:space="preserve"> of Thoracic Oncology, The Netherlands Cancer Institute/Antoni van Leeuwenhoek Hospital, Amsterdam, The Netherlands</w:t>
      </w:r>
      <w:r>
        <w:t>.</w:t>
      </w:r>
    </w:p>
    <w:p w14:paraId="5274703B" w14:textId="77777777" w:rsidR="000B3271" w:rsidRPr="00280F57" w:rsidRDefault="000B3271" w:rsidP="000B3271">
      <w:pPr>
        <w:spacing w:after="0"/>
      </w:pPr>
      <w:r>
        <w:rPr>
          <w:vertAlign w:val="superscript"/>
        </w:rPr>
        <w:t>4</w:t>
      </w:r>
      <w:r w:rsidRPr="00280F57">
        <w:t>Division of Pharmacology, Utrecht Institute for Pharmaceutical Sciences, Utrecht, the Netherlands.</w:t>
      </w:r>
    </w:p>
    <w:p w14:paraId="7FE64864" w14:textId="77777777" w:rsidR="000B3271" w:rsidRPr="00280F57" w:rsidRDefault="000B3271" w:rsidP="00541BF6">
      <w:pPr>
        <w:spacing w:after="0"/>
      </w:pPr>
    </w:p>
    <w:p w14:paraId="0ECE3158" w14:textId="1747BE62" w:rsidR="00DA53B1" w:rsidRDefault="00DA53B1" w:rsidP="00541BF6">
      <w:pPr>
        <w:spacing w:after="0"/>
      </w:pPr>
    </w:p>
    <w:p w14:paraId="34185529" w14:textId="44727C87" w:rsidR="00BA436B" w:rsidRPr="00A51A7C" w:rsidRDefault="00DA53B1" w:rsidP="00A51A7C">
      <w:pPr>
        <w:spacing w:after="0"/>
      </w:pPr>
      <w:r w:rsidRPr="00DA53B1">
        <w:rPr>
          <w:b/>
        </w:rPr>
        <w:t>Correspond</w:t>
      </w:r>
      <w:r w:rsidR="00436145">
        <w:rPr>
          <w:b/>
        </w:rPr>
        <w:t>ence</w:t>
      </w:r>
      <w:r>
        <w:t xml:space="preserve">: Anke-Hilse Maitland-van der Zee, Department of Respiratory Medicine, Amsterdam UMC location AMC, Room F5-227, Meibergdreef 9, 1105 AZ, Amsterdam, the Netherlands. E-mail: </w:t>
      </w:r>
      <w:r w:rsidRPr="00DA53B1">
        <w:t>a.h.maitland@amsterdamumc.nl; Tel.: +31-(0)20-566-813</w:t>
      </w:r>
      <w:r w:rsidR="00BA436B" w:rsidRPr="00A51A7C">
        <w:br w:type="page"/>
      </w:r>
    </w:p>
    <w:p w14:paraId="69C0CEFB" w14:textId="694555B3" w:rsidR="006E6849" w:rsidRPr="0099122F" w:rsidRDefault="00436145" w:rsidP="00E46214">
      <w:pPr>
        <w:pStyle w:val="Heading1"/>
      </w:pPr>
      <w:r>
        <w:lastRenderedPageBreak/>
        <w:t>Supplementary Material</w:t>
      </w:r>
    </w:p>
    <w:tbl>
      <w:tblPr>
        <w:tblStyle w:val="TableGrid"/>
        <w:tblpPr w:leftFromText="142" w:rightFromText="142" w:bottomFromText="142" w:vertAnchor="page" w:horzAnchor="margin" w:tblpY="1411"/>
        <w:tblW w:w="12753" w:type="dxa"/>
        <w:tblLayout w:type="fixed"/>
        <w:tblLook w:val="06A0" w:firstRow="1" w:lastRow="0" w:firstColumn="1" w:lastColumn="0" w:noHBand="1" w:noVBand="1"/>
      </w:tblPr>
      <w:tblGrid>
        <w:gridCol w:w="419"/>
        <w:gridCol w:w="680"/>
        <w:gridCol w:w="3292"/>
        <w:gridCol w:w="1417"/>
        <w:gridCol w:w="992"/>
        <w:gridCol w:w="1417"/>
        <w:gridCol w:w="998"/>
        <w:gridCol w:w="1270"/>
        <w:gridCol w:w="1276"/>
        <w:gridCol w:w="992"/>
      </w:tblGrid>
      <w:tr w:rsidR="00464B3B" w14:paraId="48899100" w14:textId="77777777" w:rsidTr="00464B3B">
        <w:trPr>
          <w:trHeight w:val="21"/>
        </w:trPr>
        <w:tc>
          <w:tcPr>
            <w:tcW w:w="12753" w:type="dxa"/>
            <w:gridSpan w:val="10"/>
            <w:tcBorders>
              <w:top w:val="nil"/>
              <w:left w:val="nil"/>
              <w:bottom w:val="single" w:sz="4" w:space="0" w:color="auto"/>
              <w:right w:val="nil"/>
            </w:tcBorders>
            <w:noWrap/>
          </w:tcPr>
          <w:p w14:paraId="6D35EB1C" w14:textId="77777777" w:rsidR="00464B3B" w:rsidRDefault="00464B3B" w:rsidP="00464B3B">
            <w:pPr>
              <w:jc w:val="both"/>
              <w:rPr>
                <w:b/>
                <w:color w:val="000000" w:themeColor="text1"/>
                <w:sz w:val="20"/>
                <w:szCs w:val="20"/>
              </w:rPr>
            </w:pPr>
            <w:r>
              <w:rPr>
                <w:b/>
              </w:rPr>
              <w:t xml:space="preserve">Table S1. </w:t>
            </w:r>
            <w:r w:rsidRPr="0094048F">
              <w:t>Comparison of DLD-treated patients’ characteristics between Amsterdam UMC and NKI</w:t>
            </w:r>
          </w:p>
        </w:tc>
      </w:tr>
      <w:tr w:rsidR="00464B3B" w14:paraId="542D788C"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608C8257" w14:textId="77777777" w:rsidR="00464B3B" w:rsidRPr="002D57D3" w:rsidRDefault="00464B3B" w:rsidP="00464B3B">
            <w:pPr>
              <w:rPr>
                <w:color w:val="000000" w:themeColor="text1"/>
                <w:sz w:val="20"/>
                <w:szCs w:val="20"/>
              </w:rPr>
            </w:pPr>
            <w:r w:rsidRPr="002D57D3">
              <w:rPr>
                <w:rFonts w:eastAsia="Times New Roman" w:cs="Times New Roman"/>
                <w:b/>
                <w:color w:val="000000" w:themeColor="text1"/>
                <w:sz w:val="20"/>
                <w:szCs w:val="20"/>
                <w:lang w:eastAsia="nl-NL"/>
              </w:rPr>
              <w:t>Characteristics</w:t>
            </w:r>
          </w:p>
        </w:tc>
        <w:tc>
          <w:tcPr>
            <w:tcW w:w="2409" w:type="dxa"/>
            <w:gridSpan w:val="2"/>
            <w:tcBorders>
              <w:top w:val="single" w:sz="4" w:space="0" w:color="auto"/>
              <w:left w:val="single" w:sz="4" w:space="0" w:color="auto"/>
              <w:bottom w:val="single" w:sz="4" w:space="0" w:color="auto"/>
              <w:right w:val="single" w:sz="4" w:space="0" w:color="auto"/>
            </w:tcBorders>
          </w:tcPr>
          <w:p w14:paraId="09713F8A" w14:textId="77777777" w:rsidR="00464B3B" w:rsidRDefault="00464B3B" w:rsidP="00464B3B">
            <w:pPr>
              <w:ind w:right="-203"/>
              <w:jc w:val="center"/>
              <w:rPr>
                <w:b/>
                <w:color w:val="000000" w:themeColor="text1"/>
                <w:sz w:val="20"/>
                <w:szCs w:val="20"/>
              </w:rPr>
            </w:pPr>
            <w:r>
              <w:rPr>
                <w:b/>
                <w:color w:val="000000" w:themeColor="text1"/>
                <w:sz w:val="20"/>
                <w:szCs w:val="20"/>
              </w:rPr>
              <w:t>All DLD</w:t>
            </w:r>
            <w:r w:rsidRPr="002D57D3">
              <w:rPr>
                <w:b/>
                <w:color w:val="000000" w:themeColor="text1"/>
                <w:sz w:val="20"/>
                <w:szCs w:val="20"/>
              </w:rPr>
              <w:t xml:space="preserve"> </w:t>
            </w:r>
            <w:r>
              <w:rPr>
                <w:b/>
                <w:color w:val="000000" w:themeColor="text1"/>
                <w:sz w:val="20"/>
                <w:szCs w:val="20"/>
              </w:rPr>
              <w:t>patients</w:t>
            </w:r>
          </w:p>
          <w:p w14:paraId="589F553E" w14:textId="77777777" w:rsidR="00464B3B" w:rsidRPr="002D57D3" w:rsidRDefault="00464B3B" w:rsidP="00464B3B">
            <w:pPr>
              <w:ind w:right="-203"/>
              <w:jc w:val="center"/>
              <w:rPr>
                <w:b/>
                <w:color w:val="000000" w:themeColor="text1"/>
                <w:sz w:val="20"/>
                <w:szCs w:val="20"/>
              </w:rPr>
            </w:pPr>
            <w:r w:rsidRPr="002D57D3">
              <w:rPr>
                <w:b/>
                <w:color w:val="000000" w:themeColor="text1"/>
                <w:sz w:val="20"/>
                <w:szCs w:val="20"/>
              </w:rPr>
              <w:t>(n=62)</w:t>
            </w:r>
          </w:p>
        </w:tc>
        <w:tc>
          <w:tcPr>
            <w:tcW w:w="2415" w:type="dxa"/>
            <w:gridSpan w:val="2"/>
            <w:tcBorders>
              <w:top w:val="single" w:sz="4" w:space="0" w:color="auto"/>
              <w:left w:val="single" w:sz="4" w:space="0" w:color="auto"/>
              <w:bottom w:val="single" w:sz="4" w:space="0" w:color="auto"/>
              <w:right w:val="single" w:sz="4" w:space="0" w:color="auto"/>
            </w:tcBorders>
          </w:tcPr>
          <w:p w14:paraId="739609A1" w14:textId="77777777" w:rsidR="00464B3B" w:rsidRDefault="00464B3B" w:rsidP="00464B3B">
            <w:pPr>
              <w:jc w:val="center"/>
              <w:rPr>
                <w:b/>
                <w:color w:val="000000" w:themeColor="text1"/>
                <w:sz w:val="20"/>
                <w:szCs w:val="20"/>
              </w:rPr>
            </w:pPr>
            <w:r>
              <w:rPr>
                <w:b/>
                <w:color w:val="000000" w:themeColor="text1"/>
                <w:sz w:val="20"/>
                <w:szCs w:val="20"/>
              </w:rPr>
              <w:t>From Amsterdam UMC</w:t>
            </w:r>
          </w:p>
          <w:p w14:paraId="5DFC6B15" w14:textId="77777777" w:rsidR="00464B3B" w:rsidRPr="002D57D3" w:rsidRDefault="00464B3B" w:rsidP="00464B3B">
            <w:pPr>
              <w:jc w:val="center"/>
              <w:rPr>
                <w:rFonts w:eastAsia="Times New Roman" w:cs="Times New Roman"/>
                <w:color w:val="000000" w:themeColor="text1"/>
                <w:sz w:val="20"/>
                <w:szCs w:val="20"/>
                <w:lang w:eastAsia="nl-NL"/>
              </w:rPr>
            </w:pPr>
            <w:r>
              <w:rPr>
                <w:b/>
                <w:color w:val="000000" w:themeColor="text1"/>
                <w:sz w:val="20"/>
                <w:szCs w:val="20"/>
              </w:rPr>
              <w:t>(n=25</w:t>
            </w:r>
            <w:r w:rsidRPr="002D57D3">
              <w:rPr>
                <w:b/>
                <w:color w:val="000000" w:themeColor="text1"/>
                <w:sz w:val="20"/>
                <w:szCs w:val="20"/>
              </w:rPr>
              <w:t>)</w:t>
            </w:r>
          </w:p>
        </w:tc>
        <w:tc>
          <w:tcPr>
            <w:tcW w:w="2546" w:type="dxa"/>
            <w:gridSpan w:val="2"/>
            <w:tcBorders>
              <w:top w:val="single" w:sz="4" w:space="0" w:color="auto"/>
              <w:left w:val="single" w:sz="4" w:space="0" w:color="auto"/>
              <w:bottom w:val="single" w:sz="4" w:space="0" w:color="auto"/>
              <w:right w:val="single" w:sz="4" w:space="0" w:color="auto"/>
            </w:tcBorders>
          </w:tcPr>
          <w:p w14:paraId="37A4FFBD" w14:textId="77777777" w:rsidR="00464B3B" w:rsidRPr="002D57D3" w:rsidRDefault="00464B3B" w:rsidP="00464B3B">
            <w:pPr>
              <w:jc w:val="center"/>
              <w:rPr>
                <w:b/>
                <w:color w:val="000000" w:themeColor="text1"/>
                <w:sz w:val="20"/>
                <w:szCs w:val="20"/>
              </w:rPr>
            </w:pPr>
            <w:r>
              <w:rPr>
                <w:b/>
                <w:color w:val="000000" w:themeColor="text1"/>
                <w:sz w:val="20"/>
                <w:szCs w:val="20"/>
              </w:rPr>
              <w:t>From Netherlands Cancer Institute (n=37)</w:t>
            </w:r>
          </w:p>
        </w:tc>
        <w:tc>
          <w:tcPr>
            <w:tcW w:w="992" w:type="dxa"/>
            <w:tcBorders>
              <w:top w:val="single" w:sz="4" w:space="0" w:color="auto"/>
              <w:left w:val="single" w:sz="4" w:space="0" w:color="auto"/>
              <w:bottom w:val="single" w:sz="4" w:space="0" w:color="auto"/>
              <w:right w:val="single" w:sz="4" w:space="0" w:color="auto"/>
            </w:tcBorders>
          </w:tcPr>
          <w:p w14:paraId="4FF3B9D8" w14:textId="77777777" w:rsidR="00464B3B" w:rsidRDefault="00464B3B" w:rsidP="00464B3B">
            <w:pPr>
              <w:jc w:val="center"/>
              <w:rPr>
                <w:b/>
                <w:color w:val="000000" w:themeColor="text1"/>
                <w:sz w:val="20"/>
                <w:szCs w:val="20"/>
              </w:rPr>
            </w:pPr>
            <w:r>
              <w:rPr>
                <w:b/>
                <w:color w:val="000000" w:themeColor="text1"/>
                <w:sz w:val="20"/>
                <w:szCs w:val="20"/>
              </w:rPr>
              <w:t>p-value</w:t>
            </w:r>
          </w:p>
        </w:tc>
      </w:tr>
      <w:tr w:rsidR="00464B3B" w14:paraId="03B72BB8"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6F766DF8" w14:textId="77777777" w:rsidR="00464B3B" w:rsidRPr="002D57D3" w:rsidRDefault="00464B3B" w:rsidP="00464B3B">
            <w:pPr>
              <w:rPr>
                <w:b/>
                <w:color w:val="000000" w:themeColor="text1"/>
                <w:sz w:val="20"/>
                <w:szCs w:val="20"/>
              </w:rPr>
            </w:pPr>
            <w:r w:rsidRPr="002D57D3">
              <w:rPr>
                <w:color w:val="000000" w:themeColor="text1"/>
                <w:sz w:val="20"/>
                <w:szCs w:val="20"/>
              </w:rPr>
              <w:t>Age at treatment, years (median; IQR)</w:t>
            </w:r>
          </w:p>
        </w:tc>
        <w:tc>
          <w:tcPr>
            <w:tcW w:w="1417" w:type="dxa"/>
            <w:tcBorders>
              <w:top w:val="single" w:sz="4" w:space="0" w:color="auto"/>
              <w:left w:val="single" w:sz="4" w:space="0" w:color="auto"/>
              <w:bottom w:val="single" w:sz="4" w:space="0" w:color="auto"/>
              <w:right w:val="single" w:sz="4" w:space="0" w:color="auto"/>
            </w:tcBorders>
            <w:noWrap/>
            <w:hideMark/>
          </w:tcPr>
          <w:p w14:paraId="2D65BE81"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66;</w:t>
            </w:r>
          </w:p>
        </w:tc>
        <w:tc>
          <w:tcPr>
            <w:tcW w:w="992" w:type="dxa"/>
            <w:tcBorders>
              <w:top w:val="single" w:sz="4" w:space="0" w:color="auto"/>
              <w:left w:val="single" w:sz="4" w:space="0" w:color="auto"/>
              <w:bottom w:val="single" w:sz="4" w:space="0" w:color="auto"/>
              <w:right w:val="single" w:sz="4" w:space="0" w:color="auto"/>
            </w:tcBorders>
            <w:noWrap/>
            <w:hideMark/>
          </w:tcPr>
          <w:p w14:paraId="334A14A2"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11</w:t>
            </w:r>
          </w:p>
        </w:tc>
        <w:tc>
          <w:tcPr>
            <w:tcW w:w="1417" w:type="dxa"/>
            <w:tcBorders>
              <w:top w:val="single" w:sz="4" w:space="0" w:color="auto"/>
              <w:left w:val="single" w:sz="4" w:space="0" w:color="auto"/>
              <w:bottom w:val="single" w:sz="4" w:space="0" w:color="auto"/>
              <w:right w:val="single" w:sz="4" w:space="0" w:color="auto"/>
            </w:tcBorders>
            <w:noWrap/>
          </w:tcPr>
          <w:p w14:paraId="3C06666A"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68;</w:t>
            </w:r>
          </w:p>
        </w:tc>
        <w:tc>
          <w:tcPr>
            <w:tcW w:w="998" w:type="dxa"/>
            <w:tcBorders>
              <w:top w:val="single" w:sz="4" w:space="0" w:color="auto"/>
              <w:left w:val="single" w:sz="4" w:space="0" w:color="auto"/>
              <w:bottom w:val="single" w:sz="4" w:space="0" w:color="auto"/>
              <w:right w:val="single" w:sz="4" w:space="0" w:color="auto"/>
            </w:tcBorders>
            <w:noWrap/>
          </w:tcPr>
          <w:p w14:paraId="5C93C8FF"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12</w:t>
            </w:r>
          </w:p>
        </w:tc>
        <w:tc>
          <w:tcPr>
            <w:tcW w:w="1270" w:type="dxa"/>
            <w:tcBorders>
              <w:top w:val="single" w:sz="4" w:space="0" w:color="auto"/>
              <w:left w:val="single" w:sz="4" w:space="0" w:color="auto"/>
              <w:bottom w:val="single" w:sz="4" w:space="0" w:color="auto"/>
              <w:right w:val="single" w:sz="4" w:space="0" w:color="auto"/>
            </w:tcBorders>
          </w:tcPr>
          <w:p w14:paraId="2C92CC5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65;</w:t>
            </w:r>
          </w:p>
        </w:tc>
        <w:tc>
          <w:tcPr>
            <w:tcW w:w="1276" w:type="dxa"/>
            <w:tcBorders>
              <w:top w:val="single" w:sz="4" w:space="0" w:color="auto"/>
              <w:left w:val="single" w:sz="4" w:space="0" w:color="auto"/>
              <w:bottom w:val="single" w:sz="4" w:space="0" w:color="auto"/>
              <w:right w:val="single" w:sz="4" w:space="0" w:color="auto"/>
            </w:tcBorders>
          </w:tcPr>
          <w:p w14:paraId="16B5AFB9"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14</w:t>
            </w:r>
          </w:p>
        </w:tc>
        <w:tc>
          <w:tcPr>
            <w:tcW w:w="992" w:type="dxa"/>
            <w:tcBorders>
              <w:top w:val="single" w:sz="4" w:space="0" w:color="auto"/>
              <w:left w:val="single" w:sz="4" w:space="0" w:color="auto"/>
              <w:bottom w:val="single" w:sz="4" w:space="0" w:color="auto"/>
              <w:right w:val="single" w:sz="4" w:space="0" w:color="auto"/>
            </w:tcBorders>
          </w:tcPr>
          <w:p w14:paraId="532313B0"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0.064</w:t>
            </w:r>
          </w:p>
        </w:tc>
      </w:tr>
      <w:tr w:rsidR="00464B3B" w14:paraId="494D645B" w14:textId="77777777" w:rsidTr="00464B3B">
        <w:trPr>
          <w:trHeight w:val="21"/>
        </w:trPr>
        <w:tc>
          <w:tcPr>
            <w:tcW w:w="1099" w:type="dxa"/>
            <w:gridSpan w:val="2"/>
            <w:tcBorders>
              <w:top w:val="single" w:sz="4" w:space="0" w:color="auto"/>
              <w:left w:val="single" w:sz="4" w:space="0" w:color="auto"/>
              <w:bottom w:val="single" w:sz="4" w:space="0" w:color="auto"/>
              <w:right w:val="single" w:sz="4" w:space="0" w:color="auto"/>
            </w:tcBorders>
            <w:noWrap/>
            <w:hideMark/>
          </w:tcPr>
          <w:p w14:paraId="2514F116" w14:textId="77777777" w:rsidR="00464B3B" w:rsidRPr="002D57D3" w:rsidRDefault="00464B3B" w:rsidP="00464B3B">
            <w:pPr>
              <w:rPr>
                <w:b/>
                <w:color w:val="000000" w:themeColor="text1"/>
                <w:sz w:val="20"/>
                <w:szCs w:val="20"/>
              </w:rPr>
            </w:pPr>
            <w:r w:rsidRPr="002D57D3">
              <w:rPr>
                <w:color w:val="000000" w:themeColor="text1"/>
                <w:sz w:val="20"/>
                <w:szCs w:val="20"/>
              </w:rPr>
              <w:t>Gender</w:t>
            </w:r>
          </w:p>
        </w:tc>
        <w:tc>
          <w:tcPr>
            <w:tcW w:w="3292" w:type="dxa"/>
            <w:tcBorders>
              <w:top w:val="single" w:sz="4" w:space="0" w:color="auto"/>
              <w:left w:val="single" w:sz="4" w:space="0" w:color="auto"/>
              <w:bottom w:val="single" w:sz="4" w:space="0" w:color="auto"/>
              <w:right w:val="single" w:sz="4" w:space="0" w:color="auto"/>
            </w:tcBorders>
            <w:noWrap/>
            <w:hideMark/>
          </w:tcPr>
          <w:p w14:paraId="2F719828"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Male</w:t>
            </w:r>
            <w:r w:rsidRPr="002D57D3">
              <w:rPr>
                <w:color w:val="000000" w:themeColor="text1"/>
                <w:sz w:val="20"/>
                <w:szCs w:val="20"/>
              </w:rPr>
              <w:t>, N (%)</w:t>
            </w:r>
          </w:p>
        </w:tc>
        <w:tc>
          <w:tcPr>
            <w:tcW w:w="1417" w:type="dxa"/>
            <w:tcBorders>
              <w:top w:val="single" w:sz="4" w:space="0" w:color="auto"/>
              <w:left w:val="single" w:sz="4" w:space="0" w:color="auto"/>
              <w:bottom w:val="single" w:sz="4" w:space="0" w:color="auto"/>
              <w:right w:val="single" w:sz="4" w:space="0" w:color="auto"/>
            </w:tcBorders>
            <w:noWrap/>
            <w:hideMark/>
          </w:tcPr>
          <w:p w14:paraId="33E71518"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35;</w:t>
            </w:r>
          </w:p>
        </w:tc>
        <w:tc>
          <w:tcPr>
            <w:tcW w:w="992" w:type="dxa"/>
            <w:tcBorders>
              <w:top w:val="single" w:sz="4" w:space="0" w:color="auto"/>
              <w:left w:val="single" w:sz="4" w:space="0" w:color="auto"/>
              <w:bottom w:val="single" w:sz="4" w:space="0" w:color="auto"/>
              <w:right w:val="single" w:sz="4" w:space="0" w:color="auto"/>
            </w:tcBorders>
            <w:noWrap/>
            <w:hideMark/>
          </w:tcPr>
          <w:p w14:paraId="4320F609"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(56.45)</w:t>
            </w:r>
          </w:p>
        </w:tc>
        <w:tc>
          <w:tcPr>
            <w:tcW w:w="1417" w:type="dxa"/>
            <w:tcBorders>
              <w:top w:val="single" w:sz="4" w:space="0" w:color="auto"/>
              <w:left w:val="single" w:sz="4" w:space="0" w:color="auto"/>
              <w:bottom w:val="single" w:sz="4" w:space="0" w:color="auto"/>
              <w:right w:val="single" w:sz="4" w:space="0" w:color="auto"/>
            </w:tcBorders>
            <w:noWrap/>
          </w:tcPr>
          <w:p w14:paraId="628B999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15</w:t>
            </w:r>
          </w:p>
        </w:tc>
        <w:tc>
          <w:tcPr>
            <w:tcW w:w="998" w:type="dxa"/>
            <w:tcBorders>
              <w:top w:val="single" w:sz="4" w:space="0" w:color="auto"/>
              <w:left w:val="single" w:sz="4" w:space="0" w:color="auto"/>
              <w:bottom w:val="single" w:sz="4" w:space="0" w:color="auto"/>
              <w:right w:val="single" w:sz="4" w:space="0" w:color="auto"/>
            </w:tcBorders>
            <w:noWrap/>
          </w:tcPr>
          <w:p w14:paraId="208F823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(60)</w:t>
            </w:r>
          </w:p>
        </w:tc>
        <w:tc>
          <w:tcPr>
            <w:tcW w:w="1270" w:type="dxa"/>
            <w:tcBorders>
              <w:top w:val="single" w:sz="4" w:space="0" w:color="auto"/>
              <w:left w:val="single" w:sz="4" w:space="0" w:color="auto"/>
              <w:bottom w:val="single" w:sz="4" w:space="0" w:color="auto"/>
              <w:right w:val="single" w:sz="4" w:space="0" w:color="auto"/>
            </w:tcBorders>
          </w:tcPr>
          <w:p w14:paraId="3C83E581"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20</w:t>
            </w:r>
          </w:p>
        </w:tc>
        <w:tc>
          <w:tcPr>
            <w:tcW w:w="1276" w:type="dxa"/>
            <w:tcBorders>
              <w:top w:val="single" w:sz="4" w:space="0" w:color="auto"/>
              <w:left w:val="single" w:sz="4" w:space="0" w:color="auto"/>
              <w:bottom w:val="single" w:sz="4" w:space="0" w:color="auto"/>
              <w:right w:val="single" w:sz="4" w:space="0" w:color="auto"/>
            </w:tcBorders>
          </w:tcPr>
          <w:p w14:paraId="2B085810"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(54.05)</w:t>
            </w:r>
          </w:p>
        </w:tc>
        <w:tc>
          <w:tcPr>
            <w:tcW w:w="992" w:type="dxa"/>
            <w:tcBorders>
              <w:top w:val="single" w:sz="4" w:space="0" w:color="auto"/>
              <w:left w:val="single" w:sz="4" w:space="0" w:color="auto"/>
              <w:bottom w:val="single" w:sz="4" w:space="0" w:color="auto"/>
              <w:right w:val="single" w:sz="4" w:space="0" w:color="auto"/>
            </w:tcBorders>
          </w:tcPr>
          <w:p w14:paraId="7A271B40"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0.795</w:t>
            </w:r>
          </w:p>
        </w:tc>
      </w:tr>
      <w:tr w:rsidR="00464B3B" w14:paraId="2C0CC3CE"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390FC582" w14:textId="77777777" w:rsidR="00464B3B" w:rsidRPr="002D57D3" w:rsidRDefault="00464B3B" w:rsidP="00464B3B">
            <w:pPr>
              <w:rPr>
                <w:b/>
                <w:color w:val="000000" w:themeColor="text1"/>
                <w:sz w:val="20"/>
                <w:szCs w:val="20"/>
              </w:rPr>
            </w:pPr>
            <w:r w:rsidRPr="002D57D3">
              <w:rPr>
                <w:color w:val="000000" w:themeColor="text1"/>
                <w:sz w:val="20"/>
                <w:szCs w:val="20"/>
              </w:rPr>
              <w:t>Ethnicity, N (%)</w:t>
            </w:r>
          </w:p>
        </w:tc>
        <w:tc>
          <w:tcPr>
            <w:tcW w:w="1417" w:type="dxa"/>
            <w:tcBorders>
              <w:top w:val="single" w:sz="4" w:space="0" w:color="auto"/>
              <w:left w:val="single" w:sz="4" w:space="0" w:color="auto"/>
              <w:bottom w:val="single" w:sz="4" w:space="0" w:color="auto"/>
              <w:right w:val="single" w:sz="4" w:space="0" w:color="auto"/>
            </w:tcBorders>
            <w:noWrap/>
          </w:tcPr>
          <w:p w14:paraId="2D18ECE3"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noWrap/>
          </w:tcPr>
          <w:p w14:paraId="30448015" w14:textId="77777777" w:rsidR="00464B3B" w:rsidRPr="002D57D3" w:rsidRDefault="00464B3B" w:rsidP="00464B3B">
            <w:pPr>
              <w:jc w:val="right"/>
              <w:rPr>
                <w:rFonts w:eastAsia="Times New Roman" w:cs="Times New Roman"/>
                <w:color w:val="000000" w:themeColor="text1"/>
                <w:sz w:val="20"/>
                <w:szCs w:val="20"/>
                <w:lang w:eastAsia="nl-NL"/>
              </w:rPr>
            </w:pPr>
          </w:p>
        </w:tc>
        <w:tc>
          <w:tcPr>
            <w:tcW w:w="1417" w:type="dxa"/>
            <w:tcBorders>
              <w:top w:val="single" w:sz="4" w:space="0" w:color="auto"/>
              <w:left w:val="single" w:sz="4" w:space="0" w:color="auto"/>
              <w:bottom w:val="single" w:sz="4" w:space="0" w:color="auto"/>
              <w:right w:val="single" w:sz="4" w:space="0" w:color="auto"/>
            </w:tcBorders>
            <w:noWrap/>
          </w:tcPr>
          <w:p w14:paraId="4EF26145" w14:textId="77777777" w:rsidR="00464B3B" w:rsidRPr="002D57D3" w:rsidRDefault="00464B3B" w:rsidP="00464B3B">
            <w:pPr>
              <w:jc w:val="right"/>
              <w:rPr>
                <w:rFonts w:eastAsia="Times New Roman" w:cs="Times New Roman"/>
                <w:color w:val="000000" w:themeColor="text1"/>
                <w:sz w:val="20"/>
                <w:szCs w:val="20"/>
                <w:lang w:eastAsia="nl-NL"/>
              </w:rPr>
            </w:pPr>
          </w:p>
        </w:tc>
        <w:tc>
          <w:tcPr>
            <w:tcW w:w="998" w:type="dxa"/>
            <w:tcBorders>
              <w:top w:val="single" w:sz="4" w:space="0" w:color="auto"/>
              <w:left w:val="single" w:sz="4" w:space="0" w:color="auto"/>
              <w:bottom w:val="single" w:sz="4" w:space="0" w:color="auto"/>
              <w:right w:val="single" w:sz="4" w:space="0" w:color="auto"/>
            </w:tcBorders>
            <w:noWrap/>
          </w:tcPr>
          <w:p w14:paraId="438A8462"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0" w:type="dxa"/>
            <w:tcBorders>
              <w:top w:val="single" w:sz="4" w:space="0" w:color="auto"/>
              <w:left w:val="single" w:sz="4" w:space="0" w:color="auto"/>
              <w:bottom w:val="single" w:sz="4" w:space="0" w:color="auto"/>
              <w:right w:val="single" w:sz="4" w:space="0" w:color="auto"/>
            </w:tcBorders>
          </w:tcPr>
          <w:p w14:paraId="34058828"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345373A"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tcPr>
          <w:p w14:paraId="21649DF7"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0.054</w:t>
            </w:r>
          </w:p>
        </w:tc>
      </w:tr>
      <w:tr w:rsidR="00464B3B" w14:paraId="6EE4B7A7"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00C07CB9"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737D723C"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Caucasian</w:t>
            </w:r>
          </w:p>
        </w:tc>
        <w:tc>
          <w:tcPr>
            <w:tcW w:w="1417" w:type="dxa"/>
            <w:tcBorders>
              <w:top w:val="single" w:sz="4" w:space="0" w:color="auto"/>
              <w:left w:val="single" w:sz="4" w:space="0" w:color="auto"/>
              <w:bottom w:val="single" w:sz="4" w:space="0" w:color="auto"/>
              <w:right w:val="single" w:sz="4" w:space="0" w:color="auto"/>
            </w:tcBorders>
            <w:noWrap/>
            <w:hideMark/>
          </w:tcPr>
          <w:p w14:paraId="2E946E5F"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54</w:t>
            </w:r>
          </w:p>
        </w:tc>
        <w:tc>
          <w:tcPr>
            <w:tcW w:w="992" w:type="dxa"/>
            <w:tcBorders>
              <w:top w:val="single" w:sz="4" w:space="0" w:color="auto"/>
              <w:left w:val="single" w:sz="4" w:space="0" w:color="auto"/>
              <w:bottom w:val="single" w:sz="4" w:space="0" w:color="auto"/>
              <w:right w:val="single" w:sz="4" w:space="0" w:color="auto"/>
            </w:tcBorders>
            <w:noWrap/>
            <w:hideMark/>
          </w:tcPr>
          <w:p w14:paraId="0F5AFA39"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(87.1)</w:t>
            </w:r>
          </w:p>
        </w:tc>
        <w:tc>
          <w:tcPr>
            <w:tcW w:w="1417" w:type="dxa"/>
            <w:tcBorders>
              <w:top w:val="single" w:sz="4" w:space="0" w:color="auto"/>
              <w:left w:val="single" w:sz="4" w:space="0" w:color="auto"/>
              <w:bottom w:val="single" w:sz="4" w:space="0" w:color="auto"/>
              <w:right w:val="single" w:sz="4" w:space="0" w:color="auto"/>
            </w:tcBorders>
            <w:noWrap/>
          </w:tcPr>
          <w:p w14:paraId="303E09AA"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19</w:t>
            </w:r>
          </w:p>
        </w:tc>
        <w:tc>
          <w:tcPr>
            <w:tcW w:w="998" w:type="dxa"/>
            <w:tcBorders>
              <w:top w:val="single" w:sz="4" w:space="0" w:color="auto"/>
              <w:left w:val="single" w:sz="4" w:space="0" w:color="auto"/>
              <w:bottom w:val="single" w:sz="4" w:space="0" w:color="auto"/>
              <w:right w:val="single" w:sz="4" w:space="0" w:color="auto"/>
            </w:tcBorders>
            <w:noWrap/>
          </w:tcPr>
          <w:p w14:paraId="570597FF"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(76)</w:t>
            </w:r>
          </w:p>
        </w:tc>
        <w:tc>
          <w:tcPr>
            <w:tcW w:w="1270" w:type="dxa"/>
            <w:tcBorders>
              <w:top w:val="single" w:sz="4" w:space="0" w:color="auto"/>
              <w:left w:val="single" w:sz="4" w:space="0" w:color="auto"/>
              <w:bottom w:val="single" w:sz="4" w:space="0" w:color="auto"/>
              <w:right w:val="single" w:sz="4" w:space="0" w:color="auto"/>
            </w:tcBorders>
          </w:tcPr>
          <w:p w14:paraId="0CA4F84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35</w:t>
            </w:r>
          </w:p>
        </w:tc>
        <w:tc>
          <w:tcPr>
            <w:tcW w:w="1276" w:type="dxa"/>
            <w:tcBorders>
              <w:top w:val="single" w:sz="4" w:space="0" w:color="auto"/>
              <w:left w:val="single" w:sz="4" w:space="0" w:color="auto"/>
              <w:bottom w:val="single" w:sz="4" w:space="0" w:color="auto"/>
              <w:right w:val="single" w:sz="4" w:space="0" w:color="auto"/>
            </w:tcBorders>
          </w:tcPr>
          <w:p w14:paraId="2FD602E1"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(94.59)</w:t>
            </w:r>
          </w:p>
        </w:tc>
        <w:tc>
          <w:tcPr>
            <w:tcW w:w="992" w:type="dxa"/>
            <w:tcBorders>
              <w:top w:val="single" w:sz="4" w:space="0" w:color="auto"/>
              <w:left w:val="single" w:sz="4" w:space="0" w:color="auto"/>
              <w:bottom w:val="single" w:sz="4" w:space="0" w:color="auto"/>
              <w:right w:val="single" w:sz="4" w:space="0" w:color="auto"/>
            </w:tcBorders>
          </w:tcPr>
          <w:p w14:paraId="40393CF7" w14:textId="77777777" w:rsidR="00464B3B" w:rsidRDefault="00464B3B" w:rsidP="00464B3B">
            <w:pPr>
              <w:jc w:val="right"/>
              <w:rPr>
                <w:rFonts w:eastAsia="Times New Roman" w:cs="Times New Roman"/>
                <w:color w:val="000000" w:themeColor="text1"/>
                <w:sz w:val="20"/>
                <w:szCs w:val="20"/>
                <w:lang w:eastAsia="nl-NL"/>
              </w:rPr>
            </w:pPr>
          </w:p>
        </w:tc>
      </w:tr>
      <w:tr w:rsidR="00464B3B" w14:paraId="6FCDE6AB"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57667F66"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12323E1B"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African</w:t>
            </w:r>
          </w:p>
        </w:tc>
        <w:tc>
          <w:tcPr>
            <w:tcW w:w="1417" w:type="dxa"/>
            <w:tcBorders>
              <w:top w:val="single" w:sz="4" w:space="0" w:color="auto"/>
              <w:left w:val="single" w:sz="4" w:space="0" w:color="auto"/>
              <w:bottom w:val="single" w:sz="4" w:space="0" w:color="auto"/>
              <w:right w:val="single" w:sz="4" w:space="0" w:color="auto"/>
            </w:tcBorders>
            <w:noWrap/>
            <w:hideMark/>
          </w:tcPr>
          <w:p w14:paraId="2C854151"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3</w:t>
            </w:r>
          </w:p>
        </w:tc>
        <w:tc>
          <w:tcPr>
            <w:tcW w:w="992" w:type="dxa"/>
            <w:tcBorders>
              <w:top w:val="single" w:sz="4" w:space="0" w:color="auto"/>
              <w:left w:val="single" w:sz="4" w:space="0" w:color="auto"/>
              <w:bottom w:val="single" w:sz="4" w:space="0" w:color="auto"/>
              <w:right w:val="single" w:sz="4" w:space="0" w:color="auto"/>
            </w:tcBorders>
            <w:noWrap/>
            <w:hideMark/>
          </w:tcPr>
          <w:p w14:paraId="0F277A0D"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(4.84)</w:t>
            </w:r>
          </w:p>
        </w:tc>
        <w:tc>
          <w:tcPr>
            <w:tcW w:w="1417" w:type="dxa"/>
            <w:tcBorders>
              <w:top w:val="single" w:sz="4" w:space="0" w:color="auto"/>
              <w:left w:val="single" w:sz="4" w:space="0" w:color="auto"/>
              <w:bottom w:val="single" w:sz="4" w:space="0" w:color="auto"/>
              <w:right w:val="single" w:sz="4" w:space="0" w:color="auto"/>
            </w:tcBorders>
            <w:noWrap/>
          </w:tcPr>
          <w:p w14:paraId="7881EBF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w:t>
            </w:r>
          </w:p>
        </w:tc>
        <w:tc>
          <w:tcPr>
            <w:tcW w:w="998" w:type="dxa"/>
            <w:tcBorders>
              <w:top w:val="single" w:sz="4" w:space="0" w:color="auto"/>
              <w:left w:val="single" w:sz="4" w:space="0" w:color="auto"/>
              <w:bottom w:val="single" w:sz="4" w:space="0" w:color="auto"/>
              <w:right w:val="single" w:sz="4" w:space="0" w:color="auto"/>
            </w:tcBorders>
            <w:noWrap/>
          </w:tcPr>
          <w:p w14:paraId="2B470348"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(12)</w:t>
            </w:r>
          </w:p>
        </w:tc>
        <w:tc>
          <w:tcPr>
            <w:tcW w:w="1270" w:type="dxa"/>
            <w:tcBorders>
              <w:top w:val="single" w:sz="4" w:space="0" w:color="auto"/>
              <w:left w:val="single" w:sz="4" w:space="0" w:color="auto"/>
              <w:bottom w:val="single" w:sz="4" w:space="0" w:color="auto"/>
              <w:right w:val="single" w:sz="4" w:space="0" w:color="auto"/>
            </w:tcBorders>
          </w:tcPr>
          <w:p w14:paraId="5E55A7D0"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1276" w:type="dxa"/>
            <w:tcBorders>
              <w:top w:val="single" w:sz="4" w:space="0" w:color="auto"/>
              <w:left w:val="single" w:sz="4" w:space="0" w:color="auto"/>
              <w:bottom w:val="single" w:sz="4" w:space="0" w:color="auto"/>
              <w:right w:val="single" w:sz="4" w:space="0" w:color="auto"/>
            </w:tcBorders>
          </w:tcPr>
          <w:p w14:paraId="1713BB6B"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6B09BE14" w14:textId="77777777" w:rsidR="00464B3B" w:rsidRPr="002D57D3" w:rsidRDefault="00464B3B" w:rsidP="00464B3B">
            <w:pPr>
              <w:jc w:val="right"/>
              <w:rPr>
                <w:rFonts w:eastAsia="Times New Roman" w:cs="Times New Roman"/>
                <w:color w:val="000000" w:themeColor="text1"/>
                <w:sz w:val="20"/>
                <w:szCs w:val="20"/>
                <w:lang w:eastAsia="nl-NL"/>
              </w:rPr>
            </w:pPr>
          </w:p>
        </w:tc>
      </w:tr>
      <w:tr w:rsidR="00464B3B" w14:paraId="77817153"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4917336B"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1A1C6F1C"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Arabic</w:t>
            </w:r>
          </w:p>
        </w:tc>
        <w:tc>
          <w:tcPr>
            <w:tcW w:w="1417" w:type="dxa"/>
            <w:tcBorders>
              <w:top w:val="single" w:sz="4" w:space="0" w:color="auto"/>
              <w:left w:val="single" w:sz="4" w:space="0" w:color="auto"/>
              <w:bottom w:val="single" w:sz="4" w:space="0" w:color="auto"/>
              <w:right w:val="single" w:sz="4" w:space="0" w:color="auto"/>
            </w:tcBorders>
            <w:noWrap/>
            <w:hideMark/>
          </w:tcPr>
          <w:p w14:paraId="4FDF337A"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5</w:t>
            </w:r>
          </w:p>
        </w:tc>
        <w:tc>
          <w:tcPr>
            <w:tcW w:w="992" w:type="dxa"/>
            <w:tcBorders>
              <w:top w:val="single" w:sz="4" w:space="0" w:color="auto"/>
              <w:left w:val="single" w:sz="4" w:space="0" w:color="auto"/>
              <w:bottom w:val="single" w:sz="4" w:space="0" w:color="auto"/>
              <w:right w:val="single" w:sz="4" w:space="0" w:color="auto"/>
            </w:tcBorders>
            <w:noWrap/>
            <w:hideMark/>
          </w:tcPr>
          <w:p w14:paraId="40C6B2E6"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(8.06)</w:t>
            </w:r>
          </w:p>
        </w:tc>
        <w:tc>
          <w:tcPr>
            <w:tcW w:w="1417" w:type="dxa"/>
            <w:tcBorders>
              <w:top w:val="single" w:sz="4" w:space="0" w:color="auto"/>
              <w:left w:val="single" w:sz="4" w:space="0" w:color="auto"/>
              <w:bottom w:val="single" w:sz="4" w:space="0" w:color="auto"/>
              <w:right w:val="single" w:sz="4" w:space="0" w:color="auto"/>
            </w:tcBorders>
            <w:noWrap/>
          </w:tcPr>
          <w:p w14:paraId="21CA0AC2"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w:t>
            </w:r>
          </w:p>
        </w:tc>
        <w:tc>
          <w:tcPr>
            <w:tcW w:w="998" w:type="dxa"/>
            <w:tcBorders>
              <w:top w:val="single" w:sz="4" w:space="0" w:color="auto"/>
              <w:left w:val="single" w:sz="4" w:space="0" w:color="auto"/>
              <w:bottom w:val="single" w:sz="4" w:space="0" w:color="auto"/>
              <w:right w:val="single" w:sz="4" w:space="0" w:color="auto"/>
            </w:tcBorders>
            <w:noWrap/>
          </w:tcPr>
          <w:p w14:paraId="5F0B68DA"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(12)</w:t>
            </w:r>
          </w:p>
        </w:tc>
        <w:tc>
          <w:tcPr>
            <w:tcW w:w="1270" w:type="dxa"/>
            <w:tcBorders>
              <w:top w:val="single" w:sz="4" w:space="0" w:color="auto"/>
              <w:left w:val="single" w:sz="4" w:space="0" w:color="auto"/>
              <w:bottom w:val="single" w:sz="4" w:space="0" w:color="auto"/>
              <w:right w:val="single" w:sz="4" w:space="0" w:color="auto"/>
            </w:tcBorders>
          </w:tcPr>
          <w:p w14:paraId="53C24BC2"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w:t>
            </w:r>
          </w:p>
        </w:tc>
        <w:tc>
          <w:tcPr>
            <w:tcW w:w="1276" w:type="dxa"/>
            <w:tcBorders>
              <w:top w:val="single" w:sz="4" w:space="0" w:color="auto"/>
              <w:left w:val="single" w:sz="4" w:space="0" w:color="auto"/>
              <w:bottom w:val="single" w:sz="4" w:space="0" w:color="auto"/>
              <w:right w:val="single" w:sz="4" w:space="0" w:color="auto"/>
            </w:tcBorders>
          </w:tcPr>
          <w:p w14:paraId="5FE1462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(5.41)</w:t>
            </w:r>
          </w:p>
        </w:tc>
        <w:tc>
          <w:tcPr>
            <w:tcW w:w="992" w:type="dxa"/>
            <w:tcBorders>
              <w:top w:val="single" w:sz="4" w:space="0" w:color="auto"/>
              <w:left w:val="single" w:sz="4" w:space="0" w:color="auto"/>
              <w:bottom w:val="single" w:sz="4" w:space="0" w:color="auto"/>
              <w:right w:val="single" w:sz="4" w:space="0" w:color="auto"/>
            </w:tcBorders>
          </w:tcPr>
          <w:p w14:paraId="604CA5CC" w14:textId="77777777" w:rsidR="00464B3B" w:rsidRDefault="00464B3B" w:rsidP="00464B3B">
            <w:pPr>
              <w:jc w:val="right"/>
              <w:rPr>
                <w:rFonts w:eastAsia="Times New Roman" w:cs="Times New Roman"/>
                <w:color w:val="000000" w:themeColor="text1"/>
                <w:sz w:val="20"/>
                <w:szCs w:val="20"/>
                <w:lang w:eastAsia="nl-NL"/>
              </w:rPr>
            </w:pPr>
          </w:p>
        </w:tc>
      </w:tr>
      <w:tr w:rsidR="00464B3B" w14:paraId="5EA6F114"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3BE584C6"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6F237113"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Hispanic</w:t>
            </w:r>
          </w:p>
        </w:tc>
        <w:tc>
          <w:tcPr>
            <w:tcW w:w="1417" w:type="dxa"/>
            <w:tcBorders>
              <w:top w:val="single" w:sz="4" w:space="0" w:color="auto"/>
              <w:left w:val="single" w:sz="4" w:space="0" w:color="auto"/>
              <w:bottom w:val="single" w:sz="4" w:space="0" w:color="auto"/>
              <w:right w:val="single" w:sz="4" w:space="0" w:color="auto"/>
            </w:tcBorders>
            <w:noWrap/>
            <w:hideMark/>
          </w:tcPr>
          <w:p w14:paraId="3DB5DB3E"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14:paraId="04A89E63"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417" w:type="dxa"/>
            <w:tcBorders>
              <w:top w:val="single" w:sz="4" w:space="0" w:color="auto"/>
              <w:left w:val="single" w:sz="4" w:space="0" w:color="auto"/>
              <w:bottom w:val="single" w:sz="4" w:space="0" w:color="auto"/>
              <w:right w:val="single" w:sz="4" w:space="0" w:color="auto"/>
            </w:tcBorders>
            <w:noWrap/>
          </w:tcPr>
          <w:p w14:paraId="53D0ECA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998" w:type="dxa"/>
            <w:tcBorders>
              <w:top w:val="single" w:sz="4" w:space="0" w:color="auto"/>
              <w:left w:val="single" w:sz="4" w:space="0" w:color="auto"/>
              <w:bottom w:val="single" w:sz="4" w:space="0" w:color="auto"/>
              <w:right w:val="single" w:sz="4" w:space="0" w:color="auto"/>
            </w:tcBorders>
            <w:noWrap/>
          </w:tcPr>
          <w:p w14:paraId="11143883"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270" w:type="dxa"/>
            <w:tcBorders>
              <w:top w:val="single" w:sz="4" w:space="0" w:color="auto"/>
              <w:left w:val="single" w:sz="4" w:space="0" w:color="auto"/>
              <w:bottom w:val="single" w:sz="4" w:space="0" w:color="auto"/>
              <w:right w:val="single" w:sz="4" w:space="0" w:color="auto"/>
            </w:tcBorders>
          </w:tcPr>
          <w:p w14:paraId="4FC8ABA4"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1276" w:type="dxa"/>
            <w:tcBorders>
              <w:top w:val="single" w:sz="4" w:space="0" w:color="auto"/>
              <w:left w:val="single" w:sz="4" w:space="0" w:color="auto"/>
              <w:bottom w:val="single" w:sz="4" w:space="0" w:color="auto"/>
              <w:right w:val="single" w:sz="4" w:space="0" w:color="auto"/>
            </w:tcBorders>
          </w:tcPr>
          <w:p w14:paraId="606D994E"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679F204C" w14:textId="77777777" w:rsidR="00464B3B" w:rsidRPr="002D57D3" w:rsidRDefault="00464B3B" w:rsidP="00464B3B">
            <w:pPr>
              <w:jc w:val="right"/>
              <w:rPr>
                <w:rFonts w:eastAsia="Times New Roman" w:cs="Times New Roman"/>
                <w:color w:val="000000" w:themeColor="text1"/>
                <w:sz w:val="20"/>
                <w:szCs w:val="20"/>
                <w:lang w:eastAsia="nl-NL"/>
              </w:rPr>
            </w:pPr>
          </w:p>
        </w:tc>
      </w:tr>
      <w:tr w:rsidR="00464B3B" w14:paraId="57A18DDD"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457B7491"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2C33B286"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Other</w:t>
            </w:r>
          </w:p>
        </w:tc>
        <w:tc>
          <w:tcPr>
            <w:tcW w:w="1417" w:type="dxa"/>
            <w:tcBorders>
              <w:top w:val="single" w:sz="4" w:space="0" w:color="auto"/>
              <w:left w:val="single" w:sz="4" w:space="0" w:color="auto"/>
              <w:bottom w:val="single" w:sz="4" w:space="0" w:color="auto"/>
              <w:right w:val="single" w:sz="4" w:space="0" w:color="auto"/>
            </w:tcBorders>
            <w:noWrap/>
            <w:hideMark/>
          </w:tcPr>
          <w:p w14:paraId="56547BF8"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14:paraId="0224C944"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417" w:type="dxa"/>
            <w:tcBorders>
              <w:top w:val="single" w:sz="4" w:space="0" w:color="auto"/>
              <w:left w:val="single" w:sz="4" w:space="0" w:color="auto"/>
              <w:bottom w:val="single" w:sz="4" w:space="0" w:color="auto"/>
              <w:right w:val="single" w:sz="4" w:space="0" w:color="auto"/>
            </w:tcBorders>
            <w:noWrap/>
          </w:tcPr>
          <w:p w14:paraId="5849E5F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998" w:type="dxa"/>
            <w:tcBorders>
              <w:top w:val="single" w:sz="4" w:space="0" w:color="auto"/>
              <w:left w:val="single" w:sz="4" w:space="0" w:color="auto"/>
              <w:bottom w:val="single" w:sz="4" w:space="0" w:color="auto"/>
              <w:right w:val="single" w:sz="4" w:space="0" w:color="auto"/>
            </w:tcBorders>
            <w:noWrap/>
          </w:tcPr>
          <w:p w14:paraId="2607C0F3"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270" w:type="dxa"/>
            <w:tcBorders>
              <w:top w:val="single" w:sz="4" w:space="0" w:color="auto"/>
              <w:left w:val="single" w:sz="4" w:space="0" w:color="auto"/>
              <w:bottom w:val="single" w:sz="4" w:space="0" w:color="auto"/>
              <w:right w:val="single" w:sz="4" w:space="0" w:color="auto"/>
            </w:tcBorders>
          </w:tcPr>
          <w:p w14:paraId="1281E5B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1276" w:type="dxa"/>
            <w:tcBorders>
              <w:top w:val="single" w:sz="4" w:space="0" w:color="auto"/>
              <w:left w:val="single" w:sz="4" w:space="0" w:color="auto"/>
              <w:bottom w:val="single" w:sz="4" w:space="0" w:color="auto"/>
              <w:right w:val="single" w:sz="4" w:space="0" w:color="auto"/>
            </w:tcBorders>
          </w:tcPr>
          <w:p w14:paraId="1C55B914"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1FA9FED2" w14:textId="77777777" w:rsidR="00464B3B" w:rsidRPr="002D57D3" w:rsidRDefault="00464B3B" w:rsidP="00464B3B">
            <w:pPr>
              <w:jc w:val="right"/>
              <w:rPr>
                <w:rFonts w:eastAsia="Times New Roman" w:cs="Times New Roman"/>
                <w:color w:val="000000" w:themeColor="text1"/>
                <w:sz w:val="20"/>
                <w:szCs w:val="20"/>
                <w:lang w:eastAsia="nl-NL"/>
              </w:rPr>
            </w:pPr>
          </w:p>
        </w:tc>
      </w:tr>
      <w:tr w:rsidR="00464B3B" w14:paraId="42285657"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6BCC2D60" w14:textId="77777777" w:rsidR="00464B3B" w:rsidRPr="002D57D3" w:rsidRDefault="00464B3B" w:rsidP="00464B3B">
            <w:pPr>
              <w:rPr>
                <w:b/>
                <w:color w:val="000000" w:themeColor="text1"/>
                <w:sz w:val="20"/>
                <w:szCs w:val="20"/>
              </w:rPr>
            </w:pPr>
            <w:r w:rsidRPr="002D57D3">
              <w:rPr>
                <w:color w:val="000000" w:themeColor="text1"/>
                <w:sz w:val="20"/>
                <w:szCs w:val="20"/>
              </w:rPr>
              <w:t>BMI, kg/m</w:t>
            </w:r>
            <w:r w:rsidRPr="002D57D3">
              <w:rPr>
                <w:color w:val="000000" w:themeColor="text1"/>
                <w:sz w:val="20"/>
                <w:szCs w:val="20"/>
                <w:vertAlign w:val="superscript"/>
              </w:rPr>
              <w:t>2</w:t>
            </w:r>
            <w:r w:rsidRPr="002D57D3">
              <w:rPr>
                <w:color w:val="000000" w:themeColor="text1"/>
                <w:sz w:val="20"/>
                <w:szCs w:val="20"/>
              </w:rPr>
              <w:t xml:space="preserve"> (median; IQR)</w:t>
            </w:r>
          </w:p>
        </w:tc>
        <w:tc>
          <w:tcPr>
            <w:tcW w:w="1417" w:type="dxa"/>
            <w:tcBorders>
              <w:top w:val="single" w:sz="4" w:space="0" w:color="auto"/>
              <w:left w:val="single" w:sz="4" w:space="0" w:color="auto"/>
              <w:bottom w:val="single" w:sz="4" w:space="0" w:color="auto"/>
              <w:right w:val="single" w:sz="4" w:space="0" w:color="auto"/>
            </w:tcBorders>
            <w:noWrap/>
            <w:hideMark/>
          </w:tcPr>
          <w:p w14:paraId="12F5B0C4"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26.66;</w:t>
            </w:r>
          </w:p>
        </w:tc>
        <w:tc>
          <w:tcPr>
            <w:tcW w:w="992" w:type="dxa"/>
            <w:tcBorders>
              <w:top w:val="single" w:sz="4" w:space="0" w:color="auto"/>
              <w:left w:val="single" w:sz="4" w:space="0" w:color="auto"/>
              <w:bottom w:val="single" w:sz="4" w:space="0" w:color="auto"/>
              <w:right w:val="single" w:sz="4" w:space="0" w:color="auto"/>
            </w:tcBorders>
            <w:noWrap/>
            <w:hideMark/>
          </w:tcPr>
          <w:p w14:paraId="768B1076"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5.49</w:t>
            </w:r>
          </w:p>
        </w:tc>
        <w:tc>
          <w:tcPr>
            <w:tcW w:w="1417" w:type="dxa"/>
            <w:tcBorders>
              <w:top w:val="single" w:sz="4" w:space="0" w:color="auto"/>
              <w:left w:val="single" w:sz="4" w:space="0" w:color="auto"/>
              <w:bottom w:val="single" w:sz="4" w:space="0" w:color="auto"/>
              <w:right w:val="single" w:sz="4" w:space="0" w:color="auto"/>
            </w:tcBorders>
            <w:noWrap/>
          </w:tcPr>
          <w:p w14:paraId="50038716"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25.71;</w:t>
            </w:r>
          </w:p>
        </w:tc>
        <w:tc>
          <w:tcPr>
            <w:tcW w:w="998" w:type="dxa"/>
            <w:tcBorders>
              <w:top w:val="single" w:sz="4" w:space="0" w:color="auto"/>
              <w:left w:val="single" w:sz="4" w:space="0" w:color="auto"/>
              <w:bottom w:val="single" w:sz="4" w:space="0" w:color="auto"/>
              <w:right w:val="single" w:sz="4" w:space="0" w:color="auto"/>
            </w:tcBorders>
            <w:noWrap/>
          </w:tcPr>
          <w:p w14:paraId="32623986"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8.39</w:t>
            </w:r>
          </w:p>
        </w:tc>
        <w:tc>
          <w:tcPr>
            <w:tcW w:w="1270" w:type="dxa"/>
            <w:tcBorders>
              <w:top w:val="single" w:sz="4" w:space="0" w:color="auto"/>
              <w:left w:val="single" w:sz="4" w:space="0" w:color="auto"/>
              <w:bottom w:val="single" w:sz="4" w:space="0" w:color="auto"/>
              <w:right w:val="single" w:sz="4" w:space="0" w:color="auto"/>
            </w:tcBorders>
          </w:tcPr>
          <w:p w14:paraId="7D459E0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28;</w:t>
            </w:r>
          </w:p>
        </w:tc>
        <w:tc>
          <w:tcPr>
            <w:tcW w:w="1276" w:type="dxa"/>
            <w:tcBorders>
              <w:top w:val="single" w:sz="4" w:space="0" w:color="auto"/>
              <w:left w:val="single" w:sz="4" w:space="0" w:color="auto"/>
              <w:bottom w:val="single" w:sz="4" w:space="0" w:color="auto"/>
              <w:right w:val="single" w:sz="4" w:space="0" w:color="auto"/>
            </w:tcBorders>
          </w:tcPr>
          <w:p w14:paraId="72CD206D"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5.06</w:t>
            </w:r>
          </w:p>
        </w:tc>
        <w:tc>
          <w:tcPr>
            <w:tcW w:w="992" w:type="dxa"/>
            <w:tcBorders>
              <w:top w:val="single" w:sz="4" w:space="0" w:color="auto"/>
              <w:left w:val="single" w:sz="4" w:space="0" w:color="auto"/>
              <w:bottom w:val="single" w:sz="4" w:space="0" w:color="auto"/>
              <w:right w:val="single" w:sz="4" w:space="0" w:color="auto"/>
            </w:tcBorders>
          </w:tcPr>
          <w:p w14:paraId="4261EF5B"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0.282</w:t>
            </w:r>
          </w:p>
        </w:tc>
      </w:tr>
      <w:tr w:rsidR="00464B3B" w14:paraId="087698DF"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2085311B" w14:textId="77777777" w:rsidR="00464B3B" w:rsidRPr="002D57D3" w:rsidRDefault="00464B3B" w:rsidP="00464B3B">
            <w:pPr>
              <w:rPr>
                <w:b/>
                <w:color w:val="000000" w:themeColor="text1"/>
                <w:sz w:val="20"/>
                <w:szCs w:val="20"/>
              </w:rPr>
            </w:pPr>
            <w:r w:rsidRPr="002D57D3">
              <w:rPr>
                <w:color w:val="000000" w:themeColor="text1"/>
                <w:sz w:val="20"/>
                <w:szCs w:val="20"/>
              </w:rPr>
              <w:t>BSA, m</w:t>
            </w:r>
            <w:r w:rsidRPr="002D57D3">
              <w:rPr>
                <w:color w:val="000000" w:themeColor="text1"/>
                <w:sz w:val="20"/>
                <w:szCs w:val="20"/>
                <w:vertAlign w:val="superscript"/>
              </w:rPr>
              <w:t>2</w:t>
            </w:r>
            <w:r w:rsidRPr="002D57D3">
              <w:rPr>
                <w:color w:val="000000" w:themeColor="text1"/>
                <w:sz w:val="20"/>
                <w:szCs w:val="20"/>
              </w:rPr>
              <w:t xml:space="preserve"> </w:t>
            </w:r>
            <w:r w:rsidRPr="002D57D3">
              <w:rPr>
                <w:rFonts w:eastAsia="Times New Roman" w:cs="Times New Roman"/>
                <w:color w:val="000000" w:themeColor="text1"/>
                <w:sz w:val="20"/>
                <w:szCs w:val="20"/>
                <w:lang w:eastAsia="nl-NL"/>
              </w:rPr>
              <w:t>(median; IQR)</w:t>
            </w:r>
          </w:p>
        </w:tc>
        <w:tc>
          <w:tcPr>
            <w:tcW w:w="1417" w:type="dxa"/>
            <w:tcBorders>
              <w:top w:val="single" w:sz="4" w:space="0" w:color="auto"/>
              <w:left w:val="single" w:sz="4" w:space="0" w:color="auto"/>
              <w:bottom w:val="single" w:sz="4" w:space="0" w:color="auto"/>
              <w:right w:val="single" w:sz="4" w:space="0" w:color="auto"/>
            </w:tcBorders>
            <w:noWrap/>
            <w:hideMark/>
          </w:tcPr>
          <w:p w14:paraId="30B9A90F"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1.94;</w:t>
            </w:r>
          </w:p>
        </w:tc>
        <w:tc>
          <w:tcPr>
            <w:tcW w:w="992" w:type="dxa"/>
            <w:tcBorders>
              <w:top w:val="single" w:sz="4" w:space="0" w:color="auto"/>
              <w:left w:val="single" w:sz="4" w:space="0" w:color="auto"/>
              <w:bottom w:val="single" w:sz="4" w:space="0" w:color="auto"/>
              <w:right w:val="single" w:sz="4" w:space="0" w:color="auto"/>
            </w:tcBorders>
            <w:noWrap/>
            <w:hideMark/>
          </w:tcPr>
          <w:p w14:paraId="5D976C87"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0.25</w:t>
            </w:r>
          </w:p>
        </w:tc>
        <w:tc>
          <w:tcPr>
            <w:tcW w:w="1417" w:type="dxa"/>
            <w:tcBorders>
              <w:top w:val="single" w:sz="4" w:space="0" w:color="auto"/>
              <w:left w:val="single" w:sz="4" w:space="0" w:color="auto"/>
              <w:bottom w:val="single" w:sz="4" w:space="0" w:color="auto"/>
              <w:right w:val="single" w:sz="4" w:space="0" w:color="auto"/>
            </w:tcBorders>
            <w:noWrap/>
          </w:tcPr>
          <w:p w14:paraId="152B6D3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1.92;</w:t>
            </w:r>
          </w:p>
        </w:tc>
        <w:tc>
          <w:tcPr>
            <w:tcW w:w="998" w:type="dxa"/>
            <w:tcBorders>
              <w:top w:val="single" w:sz="4" w:space="0" w:color="auto"/>
              <w:left w:val="single" w:sz="4" w:space="0" w:color="auto"/>
              <w:bottom w:val="single" w:sz="4" w:space="0" w:color="auto"/>
              <w:right w:val="single" w:sz="4" w:space="0" w:color="auto"/>
            </w:tcBorders>
            <w:noWrap/>
          </w:tcPr>
          <w:p w14:paraId="3E094EE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0.26</w:t>
            </w:r>
          </w:p>
        </w:tc>
        <w:tc>
          <w:tcPr>
            <w:tcW w:w="1270" w:type="dxa"/>
            <w:tcBorders>
              <w:top w:val="single" w:sz="4" w:space="0" w:color="auto"/>
              <w:left w:val="single" w:sz="4" w:space="0" w:color="auto"/>
              <w:bottom w:val="single" w:sz="4" w:space="0" w:color="auto"/>
              <w:right w:val="single" w:sz="4" w:space="0" w:color="auto"/>
            </w:tcBorders>
          </w:tcPr>
          <w:p w14:paraId="062442FE"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1.94;</w:t>
            </w:r>
          </w:p>
        </w:tc>
        <w:tc>
          <w:tcPr>
            <w:tcW w:w="1276" w:type="dxa"/>
            <w:tcBorders>
              <w:top w:val="single" w:sz="4" w:space="0" w:color="auto"/>
              <w:left w:val="single" w:sz="4" w:space="0" w:color="auto"/>
              <w:bottom w:val="single" w:sz="4" w:space="0" w:color="auto"/>
              <w:right w:val="single" w:sz="4" w:space="0" w:color="auto"/>
            </w:tcBorders>
          </w:tcPr>
          <w:p w14:paraId="382ACCA9"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0.22</w:t>
            </w:r>
          </w:p>
        </w:tc>
        <w:tc>
          <w:tcPr>
            <w:tcW w:w="992" w:type="dxa"/>
            <w:tcBorders>
              <w:top w:val="single" w:sz="4" w:space="0" w:color="auto"/>
              <w:left w:val="single" w:sz="4" w:space="0" w:color="auto"/>
              <w:bottom w:val="single" w:sz="4" w:space="0" w:color="auto"/>
              <w:right w:val="single" w:sz="4" w:space="0" w:color="auto"/>
            </w:tcBorders>
          </w:tcPr>
          <w:p w14:paraId="5CFA46AF"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0.824</w:t>
            </w:r>
          </w:p>
        </w:tc>
      </w:tr>
      <w:tr w:rsidR="00464B3B" w14:paraId="0603B926"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48D348B3" w14:textId="77777777" w:rsidR="00464B3B" w:rsidRPr="002D57D3" w:rsidRDefault="00464B3B" w:rsidP="00464B3B">
            <w:pPr>
              <w:rPr>
                <w:b/>
                <w:color w:val="000000" w:themeColor="text1"/>
                <w:sz w:val="20"/>
                <w:szCs w:val="20"/>
              </w:rPr>
            </w:pPr>
            <w:r w:rsidRPr="002D57D3">
              <w:rPr>
                <w:color w:val="000000" w:themeColor="text1"/>
                <w:sz w:val="20"/>
                <w:szCs w:val="20"/>
              </w:rPr>
              <w:t>Cancer Stage, N (%)</w:t>
            </w:r>
          </w:p>
        </w:tc>
        <w:tc>
          <w:tcPr>
            <w:tcW w:w="1417" w:type="dxa"/>
            <w:tcBorders>
              <w:top w:val="single" w:sz="4" w:space="0" w:color="auto"/>
              <w:left w:val="single" w:sz="4" w:space="0" w:color="auto"/>
              <w:bottom w:val="single" w:sz="4" w:space="0" w:color="auto"/>
              <w:right w:val="single" w:sz="4" w:space="0" w:color="auto"/>
            </w:tcBorders>
            <w:noWrap/>
          </w:tcPr>
          <w:p w14:paraId="6C98E2E0"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noWrap/>
          </w:tcPr>
          <w:p w14:paraId="4044A223" w14:textId="77777777" w:rsidR="00464B3B" w:rsidRPr="002D57D3" w:rsidRDefault="00464B3B" w:rsidP="00464B3B">
            <w:pPr>
              <w:jc w:val="right"/>
              <w:rPr>
                <w:rFonts w:eastAsia="Times New Roman" w:cs="Times New Roman"/>
                <w:color w:val="000000" w:themeColor="text1"/>
                <w:sz w:val="20"/>
                <w:szCs w:val="20"/>
                <w:lang w:eastAsia="nl-NL"/>
              </w:rPr>
            </w:pPr>
          </w:p>
        </w:tc>
        <w:tc>
          <w:tcPr>
            <w:tcW w:w="1417" w:type="dxa"/>
            <w:tcBorders>
              <w:top w:val="single" w:sz="4" w:space="0" w:color="auto"/>
              <w:left w:val="single" w:sz="4" w:space="0" w:color="auto"/>
              <w:bottom w:val="single" w:sz="4" w:space="0" w:color="auto"/>
              <w:right w:val="single" w:sz="4" w:space="0" w:color="auto"/>
            </w:tcBorders>
            <w:noWrap/>
          </w:tcPr>
          <w:p w14:paraId="240CEECF" w14:textId="77777777" w:rsidR="00464B3B" w:rsidRPr="002D57D3" w:rsidRDefault="00464B3B" w:rsidP="00464B3B">
            <w:pPr>
              <w:rPr>
                <w:rFonts w:eastAsia="Times New Roman" w:cs="Times New Roman"/>
                <w:color w:val="000000" w:themeColor="text1"/>
                <w:sz w:val="20"/>
                <w:szCs w:val="20"/>
                <w:lang w:eastAsia="nl-NL"/>
              </w:rPr>
            </w:pPr>
          </w:p>
        </w:tc>
        <w:tc>
          <w:tcPr>
            <w:tcW w:w="998" w:type="dxa"/>
            <w:tcBorders>
              <w:top w:val="single" w:sz="4" w:space="0" w:color="auto"/>
              <w:left w:val="single" w:sz="4" w:space="0" w:color="auto"/>
              <w:bottom w:val="single" w:sz="4" w:space="0" w:color="auto"/>
              <w:right w:val="single" w:sz="4" w:space="0" w:color="auto"/>
            </w:tcBorders>
            <w:noWrap/>
          </w:tcPr>
          <w:p w14:paraId="1F3249BA"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0" w:type="dxa"/>
            <w:tcBorders>
              <w:top w:val="single" w:sz="4" w:space="0" w:color="auto"/>
              <w:left w:val="single" w:sz="4" w:space="0" w:color="auto"/>
              <w:bottom w:val="single" w:sz="4" w:space="0" w:color="auto"/>
              <w:right w:val="single" w:sz="4" w:space="0" w:color="auto"/>
            </w:tcBorders>
          </w:tcPr>
          <w:p w14:paraId="674325D5"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60F3E3D"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tcPr>
          <w:p w14:paraId="61D3662D"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0.061</w:t>
            </w:r>
          </w:p>
        </w:tc>
      </w:tr>
      <w:tr w:rsidR="00464B3B" w14:paraId="68518619"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57E29064" w14:textId="77777777" w:rsidR="00464B3B" w:rsidRPr="002D57D3" w:rsidRDefault="00464B3B" w:rsidP="00464B3B">
            <w:pPr>
              <w:rPr>
                <w:rFonts w:eastAsia="Times New Roman" w:cs="Times New Roman"/>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29CA1EE7"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IA</w:t>
            </w:r>
          </w:p>
        </w:tc>
        <w:tc>
          <w:tcPr>
            <w:tcW w:w="1417" w:type="dxa"/>
            <w:tcBorders>
              <w:top w:val="single" w:sz="4" w:space="0" w:color="auto"/>
              <w:left w:val="single" w:sz="4" w:space="0" w:color="auto"/>
              <w:bottom w:val="single" w:sz="4" w:space="0" w:color="auto"/>
              <w:right w:val="single" w:sz="4" w:space="0" w:color="auto"/>
            </w:tcBorders>
            <w:noWrap/>
            <w:hideMark/>
          </w:tcPr>
          <w:p w14:paraId="4A103DD6"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3</w:t>
            </w:r>
          </w:p>
        </w:tc>
        <w:tc>
          <w:tcPr>
            <w:tcW w:w="992" w:type="dxa"/>
            <w:tcBorders>
              <w:top w:val="single" w:sz="4" w:space="0" w:color="auto"/>
              <w:left w:val="single" w:sz="4" w:space="0" w:color="auto"/>
              <w:bottom w:val="single" w:sz="4" w:space="0" w:color="auto"/>
              <w:right w:val="single" w:sz="4" w:space="0" w:color="auto"/>
            </w:tcBorders>
            <w:noWrap/>
            <w:hideMark/>
          </w:tcPr>
          <w:p w14:paraId="6C21243D"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(4.84)</w:t>
            </w:r>
          </w:p>
        </w:tc>
        <w:tc>
          <w:tcPr>
            <w:tcW w:w="1417" w:type="dxa"/>
            <w:tcBorders>
              <w:top w:val="single" w:sz="4" w:space="0" w:color="auto"/>
              <w:left w:val="single" w:sz="4" w:space="0" w:color="auto"/>
              <w:bottom w:val="single" w:sz="4" w:space="0" w:color="auto"/>
              <w:right w:val="single" w:sz="4" w:space="0" w:color="auto"/>
            </w:tcBorders>
            <w:noWrap/>
          </w:tcPr>
          <w:p w14:paraId="4E782EC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3</w:t>
            </w:r>
          </w:p>
        </w:tc>
        <w:tc>
          <w:tcPr>
            <w:tcW w:w="998" w:type="dxa"/>
            <w:tcBorders>
              <w:top w:val="single" w:sz="4" w:space="0" w:color="auto"/>
              <w:left w:val="single" w:sz="4" w:space="0" w:color="auto"/>
              <w:bottom w:val="single" w:sz="4" w:space="0" w:color="auto"/>
              <w:right w:val="single" w:sz="4" w:space="0" w:color="auto"/>
            </w:tcBorders>
            <w:noWrap/>
          </w:tcPr>
          <w:p w14:paraId="73A72A1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(12)</w:t>
            </w:r>
          </w:p>
        </w:tc>
        <w:tc>
          <w:tcPr>
            <w:tcW w:w="1270" w:type="dxa"/>
            <w:tcBorders>
              <w:top w:val="single" w:sz="4" w:space="0" w:color="auto"/>
              <w:left w:val="single" w:sz="4" w:space="0" w:color="auto"/>
              <w:bottom w:val="single" w:sz="4" w:space="0" w:color="auto"/>
              <w:right w:val="single" w:sz="4" w:space="0" w:color="auto"/>
            </w:tcBorders>
          </w:tcPr>
          <w:p w14:paraId="6F0664C2"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6" w:type="dxa"/>
            <w:tcBorders>
              <w:top w:val="single" w:sz="4" w:space="0" w:color="auto"/>
              <w:left w:val="single" w:sz="4" w:space="0" w:color="auto"/>
              <w:bottom w:val="single" w:sz="4" w:space="0" w:color="auto"/>
              <w:right w:val="single" w:sz="4" w:space="0" w:color="auto"/>
            </w:tcBorders>
          </w:tcPr>
          <w:p w14:paraId="63544D8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2" w:type="dxa"/>
            <w:tcBorders>
              <w:top w:val="single" w:sz="4" w:space="0" w:color="auto"/>
              <w:left w:val="single" w:sz="4" w:space="0" w:color="auto"/>
              <w:bottom w:val="single" w:sz="4" w:space="0" w:color="auto"/>
              <w:right w:val="single" w:sz="4" w:space="0" w:color="auto"/>
            </w:tcBorders>
          </w:tcPr>
          <w:p w14:paraId="342E1E6A"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678814A4"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1A9252C3"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7A7DC8F8"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IB</w:t>
            </w:r>
          </w:p>
        </w:tc>
        <w:tc>
          <w:tcPr>
            <w:tcW w:w="1417" w:type="dxa"/>
            <w:tcBorders>
              <w:top w:val="single" w:sz="4" w:space="0" w:color="auto"/>
              <w:left w:val="single" w:sz="4" w:space="0" w:color="auto"/>
              <w:bottom w:val="single" w:sz="4" w:space="0" w:color="auto"/>
              <w:right w:val="single" w:sz="4" w:space="0" w:color="auto"/>
            </w:tcBorders>
            <w:noWrap/>
            <w:hideMark/>
          </w:tcPr>
          <w:p w14:paraId="4693D2E5"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w:t>
            </w:r>
          </w:p>
        </w:tc>
        <w:tc>
          <w:tcPr>
            <w:tcW w:w="992" w:type="dxa"/>
            <w:tcBorders>
              <w:top w:val="single" w:sz="4" w:space="0" w:color="auto"/>
              <w:left w:val="single" w:sz="4" w:space="0" w:color="auto"/>
              <w:bottom w:val="single" w:sz="4" w:space="0" w:color="auto"/>
              <w:right w:val="single" w:sz="4" w:space="0" w:color="auto"/>
            </w:tcBorders>
            <w:noWrap/>
            <w:hideMark/>
          </w:tcPr>
          <w:p w14:paraId="300E7E53"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(1.61)</w:t>
            </w:r>
          </w:p>
        </w:tc>
        <w:tc>
          <w:tcPr>
            <w:tcW w:w="1417" w:type="dxa"/>
            <w:tcBorders>
              <w:top w:val="single" w:sz="4" w:space="0" w:color="auto"/>
              <w:left w:val="single" w:sz="4" w:space="0" w:color="auto"/>
              <w:bottom w:val="single" w:sz="4" w:space="0" w:color="auto"/>
              <w:right w:val="single" w:sz="4" w:space="0" w:color="auto"/>
            </w:tcBorders>
            <w:noWrap/>
          </w:tcPr>
          <w:p w14:paraId="3710F58B"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8" w:type="dxa"/>
            <w:tcBorders>
              <w:top w:val="single" w:sz="4" w:space="0" w:color="auto"/>
              <w:left w:val="single" w:sz="4" w:space="0" w:color="auto"/>
              <w:bottom w:val="single" w:sz="4" w:space="0" w:color="auto"/>
              <w:right w:val="single" w:sz="4" w:space="0" w:color="auto"/>
            </w:tcBorders>
            <w:noWrap/>
          </w:tcPr>
          <w:p w14:paraId="20A8A299"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0" w:type="dxa"/>
            <w:tcBorders>
              <w:top w:val="single" w:sz="4" w:space="0" w:color="auto"/>
              <w:left w:val="single" w:sz="4" w:space="0" w:color="auto"/>
              <w:bottom w:val="single" w:sz="4" w:space="0" w:color="auto"/>
              <w:right w:val="single" w:sz="4" w:space="0" w:color="auto"/>
            </w:tcBorders>
          </w:tcPr>
          <w:p w14:paraId="00729DE7"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w:t>
            </w:r>
          </w:p>
        </w:tc>
        <w:tc>
          <w:tcPr>
            <w:tcW w:w="1276" w:type="dxa"/>
            <w:tcBorders>
              <w:top w:val="single" w:sz="4" w:space="0" w:color="auto"/>
              <w:left w:val="single" w:sz="4" w:space="0" w:color="auto"/>
              <w:bottom w:val="single" w:sz="4" w:space="0" w:color="auto"/>
              <w:right w:val="single" w:sz="4" w:space="0" w:color="auto"/>
            </w:tcBorders>
          </w:tcPr>
          <w:p w14:paraId="482063FC"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(2.7)</w:t>
            </w:r>
          </w:p>
        </w:tc>
        <w:tc>
          <w:tcPr>
            <w:tcW w:w="992" w:type="dxa"/>
            <w:tcBorders>
              <w:top w:val="single" w:sz="4" w:space="0" w:color="auto"/>
              <w:left w:val="single" w:sz="4" w:space="0" w:color="auto"/>
              <w:bottom w:val="single" w:sz="4" w:space="0" w:color="auto"/>
              <w:right w:val="single" w:sz="4" w:space="0" w:color="auto"/>
            </w:tcBorders>
          </w:tcPr>
          <w:p w14:paraId="1DA895D0"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2BC0FB17"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6A8CCDBD"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36BDB6A9"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IIA</w:t>
            </w:r>
          </w:p>
        </w:tc>
        <w:tc>
          <w:tcPr>
            <w:tcW w:w="1417" w:type="dxa"/>
            <w:tcBorders>
              <w:top w:val="single" w:sz="4" w:space="0" w:color="auto"/>
              <w:left w:val="single" w:sz="4" w:space="0" w:color="auto"/>
              <w:bottom w:val="single" w:sz="4" w:space="0" w:color="auto"/>
              <w:right w:val="single" w:sz="4" w:space="0" w:color="auto"/>
            </w:tcBorders>
            <w:noWrap/>
            <w:hideMark/>
          </w:tcPr>
          <w:p w14:paraId="2715338F"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14:paraId="7367B75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(0)</w:t>
            </w:r>
          </w:p>
        </w:tc>
        <w:tc>
          <w:tcPr>
            <w:tcW w:w="1417" w:type="dxa"/>
            <w:tcBorders>
              <w:top w:val="single" w:sz="4" w:space="0" w:color="auto"/>
              <w:left w:val="single" w:sz="4" w:space="0" w:color="auto"/>
              <w:bottom w:val="single" w:sz="4" w:space="0" w:color="auto"/>
              <w:right w:val="single" w:sz="4" w:space="0" w:color="auto"/>
            </w:tcBorders>
            <w:noWrap/>
          </w:tcPr>
          <w:p w14:paraId="6CF13588"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8" w:type="dxa"/>
            <w:tcBorders>
              <w:top w:val="single" w:sz="4" w:space="0" w:color="auto"/>
              <w:left w:val="single" w:sz="4" w:space="0" w:color="auto"/>
              <w:bottom w:val="single" w:sz="4" w:space="0" w:color="auto"/>
              <w:right w:val="single" w:sz="4" w:space="0" w:color="auto"/>
            </w:tcBorders>
            <w:noWrap/>
          </w:tcPr>
          <w:p w14:paraId="7C9F93C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0" w:type="dxa"/>
            <w:tcBorders>
              <w:top w:val="single" w:sz="4" w:space="0" w:color="auto"/>
              <w:left w:val="single" w:sz="4" w:space="0" w:color="auto"/>
              <w:bottom w:val="single" w:sz="4" w:space="0" w:color="auto"/>
              <w:right w:val="single" w:sz="4" w:space="0" w:color="auto"/>
            </w:tcBorders>
          </w:tcPr>
          <w:p w14:paraId="10F4E607"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6" w:type="dxa"/>
            <w:tcBorders>
              <w:top w:val="single" w:sz="4" w:space="0" w:color="auto"/>
              <w:left w:val="single" w:sz="4" w:space="0" w:color="auto"/>
              <w:bottom w:val="single" w:sz="4" w:space="0" w:color="auto"/>
              <w:right w:val="single" w:sz="4" w:space="0" w:color="auto"/>
            </w:tcBorders>
          </w:tcPr>
          <w:p w14:paraId="1E295EF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2" w:type="dxa"/>
            <w:tcBorders>
              <w:top w:val="single" w:sz="4" w:space="0" w:color="auto"/>
              <w:left w:val="single" w:sz="4" w:space="0" w:color="auto"/>
              <w:bottom w:val="single" w:sz="4" w:space="0" w:color="auto"/>
              <w:right w:val="single" w:sz="4" w:space="0" w:color="auto"/>
            </w:tcBorders>
          </w:tcPr>
          <w:p w14:paraId="342C8A43"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6B4D08F1"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256D7786"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738F252C"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IIB</w:t>
            </w:r>
          </w:p>
        </w:tc>
        <w:tc>
          <w:tcPr>
            <w:tcW w:w="1417" w:type="dxa"/>
            <w:tcBorders>
              <w:top w:val="single" w:sz="4" w:space="0" w:color="auto"/>
              <w:left w:val="single" w:sz="4" w:space="0" w:color="auto"/>
              <w:bottom w:val="single" w:sz="4" w:space="0" w:color="auto"/>
              <w:right w:val="single" w:sz="4" w:space="0" w:color="auto"/>
            </w:tcBorders>
            <w:noWrap/>
            <w:hideMark/>
          </w:tcPr>
          <w:p w14:paraId="5591EC7D"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5</w:t>
            </w:r>
          </w:p>
        </w:tc>
        <w:tc>
          <w:tcPr>
            <w:tcW w:w="992" w:type="dxa"/>
            <w:tcBorders>
              <w:top w:val="single" w:sz="4" w:space="0" w:color="auto"/>
              <w:left w:val="single" w:sz="4" w:space="0" w:color="auto"/>
              <w:bottom w:val="single" w:sz="4" w:space="0" w:color="auto"/>
              <w:right w:val="single" w:sz="4" w:space="0" w:color="auto"/>
            </w:tcBorders>
            <w:noWrap/>
            <w:hideMark/>
          </w:tcPr>
          <w:p w14:paraId="5A2A59A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(8.06)</w:t>
            </w:r>
          </w:p>
        </w:tc>
        <w:tc>
          <w:tcPr>
            <w:tcW w:w="1417" w:type="dxa"/>
            <w:tcBorders>
              <w:top w:val="single" w:sz="4" w:space="0" w:color="auto"/>
              <w:left w:val="single" w:sz="4" w:space="0" w:color="auto"/>
              <w:bottom w:val="single" w:sz="4" w:space="0" w:color="auto"/>
              <w:right w:val="single" w:sz="4" w:space="0" w:color="auto"/>
            </w:tcBorders>
            <w:noWrap/>
          </w:tcPr>
          <w:p w14:paraId="25BDC77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3</w:t>
            </w:r>
          </w:p>
        </w:tc>
        <w:tc>
          <w:tcPr>
            <w:tcW w:w="998" w:type="dxa"/>
            <w:tcBorders>
              <w:top w:val="single" w:sz="4" w:space="0" w:color="auto"/>
              <w:left w:val="single" w:sz="4" w:space="0" w:color="auto"/>
              <w:bottom w:val="single" w:sz="4" w:space="0" w:color="auto"/>
              <w:right w:val="single" w:sz="4" w:space="0" w:color="auto"/>
            </w:tcBorders>
            <w:noWrap/>
          </w:tcPr>
          <w:p w14:paraId="7C98EBE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(12)</w:t>
            </w:r>
          </w:p>
        </w:tc>
        <w:tc>
          <w:tcPr>
            <w:tcW w:w="1270" w:type="dxa"/>
            <w:tcBorders>
              <w:top w:val="single" w:sz="4" w:space="0" w:color="auto"/>
              <w:left w:val="single" w:sz="4" w:space="0" w:color="auto"/>
              <w:bottom w:val="single" w:sz="4" w:space="0" w:color="auto"/>
              <w:right w:val="single" w:sz="4" w:space="0" w:color="auto"/>
            </w:tcBorders>
          </w:tcPr>
          <w:p w14:paraId="119DE89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w:t>
            </w:r>
          </w:p>
        </w:tc>
        <w:tc>
          <w:tcPr>
            <w:tcW w:w="1276" w:type="dxa"/>
            <w:tcBorders>
              <w:top w:val="single" w:sz="4" w:space="0" w:color="auto"/>
              <w:left w:val="single" w:sz="4" w:space="0" w:color="auto"/>
              <w:bottom w:val="single" w:sz="4" w:space="0" w:color="auto"/>
              <w:right w:val="single" w:sz="4" w:space="0" w:color="auto"/>
            </w:tcBorders>
          </w:tcPr>
          <w:p w14:paraId="71EF9D46"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(5.41)</w:t>
            </w:r>
          </w:p>
        </w:tc>
        <w:tc>
          <w:tcPr>
            <w:tcW w:w="992" w:type="dxa"/>
            <w:tcBorders>
              <w:top w:val="single" w:sz="4" w:space="0" w:color="auto"/>
              <w:left w:val="single" w:sz="4" w:space="0" w:color="auto"/>
              <w:bottom w:val="single" w:sz="4" w:space="0" w:color="auto"/>
              <w:right w:val="single" w:sz="4" w:space="0" w:color="auto"/>
            </w:tcBorders>
          </w:tcPr>
          <w:p w14:paraId="107172C7"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3AE03F4C"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055CFECA"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5BA73AF6"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IIIA</w:t>
            </w:r>
          </w:p>
        </w:tc>
        <w:tc>
          <w:tcPr>
            <w:tcW w:w="1417" w:type="dxa"/>
            <w:tcBorders>
              <w:top w:val="single" w:sz="4" w:space="0" w:color="auto"/>
              <w:left w:val="single" w:sz="4" w:space="0" w:color="auto"/>
              <w:bottom w:val="single" w:sz="4" w:space="0" w:color="auto"/>
              <w:right w:val="single" w:sz="4" w:space="0" w:color="auto"/>
            </w:tcBorders>
            <w:noWrap/>
            <w:hideMark/>
          </w:tcPr>
          <w:p w14:paraId="398DD652"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34</w:t>
            </w:r>
          </w:p>
        </w:tc>
        <w:tc>
          <w:tcPr>
            <w:tcW w:w="992" w:type="dxa"/>
            <w:tcBorders>
              <w:top w:val="single" w:sz="4" w:space="0" w:color="auto"/>
              <w:left w:val="single" w:sz="4" w:space="0" w:color="auto"/>
              <w:bottom w:val="single" w:sz="4" w:space="0" w:color="auto"/>
              <w:right w:val="single" w:sz="4" w:space="0" w:color="auto"/>
            </w:tcBorders>
            <w:noWrap/>
            <w:hideMark/>
          </w:tcPr>
          <w:p w14:paraId="1163D14C"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(54.84)</w:t>
            </w:r>
          </w:p>
        </w:tc>
        <w:tc>
          <w:tcPr>
            <w:tcW w:w="1417" w:type="dxa"/>
            <w:tcBorders>
              <w:top w:val="single" w:sz="4" w:space="0" w:color="auto"/>
              <w:left w:val="single" w:sz="4" w:space="0" w:color="auto"/>
              <w:bottom w:val="single" w:sz="4" w:space="0" w:color="auto"/>
              <w:right w:val="single" w:sz="4" w:space="0" w:color="auto"/>
            </w:tcBorders>
            <w:noWrap/>
          </w:tcPr>
          <w:p w14:paraId="3D610B5B"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10</w:t>
            </w:r>
          </w:p>
        </w:tc>
        <w:tc>
          <w:tcPr>
            <w:tcW w:w="998" w:type="dxa"/>
            <w:tcBorders>
              <w:top w:val="single" w:sz="4" w:space="0" w:color="auto"/>
              <w:left w:val="single" w:sz="4" w:space="0" w:color="auto"/>
              <w:bottom w:val="single" w:sz="4" w:space="0" w:color="auto"/>
              <w:right w:val="single" w:sz="4" w:space="0" w:color="auto"/>
            </w:tcBorders>
            <w:noWrap/>
          </w:tcPr>
          <w:p w14:paraId="4EFD651E"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(40)</w:t>
            </w:r>
          </w:p>
        </w:tc>
        <w:tc>
          <w:tcPr>
            <w:tcW w:w="1270" w:type="dxa"/>
            <w:tcBorders>
              <w:top w:val="single" w:sz="4" w:space="0" w:color="auto"/>
              <w:left w:val="single" w:sz="4" w:space="0" w:color="auto"/>
              <w:bottom w:val="single" w:sz="4" w:space="0" w:color="auto"/>
              <w:right w:val="single" w:sz="4" w:space="0" w:color="auto"/>
            </w:tcBorders>
          </w:tcPr>
          <w:p w14:paraId="6A1D1F8A"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24</w:t>
            </w:r>
          </w:p>
        </w:tc>
        <w:tc>
          <w:tcPr>
            <w:tcW w:w="1276" w:type="dxa"/>
            <w:tcBorders>
              <w:top w:val="single" w:sz="4" w:space="0" w:color="auto"/>
              <w:left w:val="single" w:sz="4" w:space="0" w:color="auto"/>
              <w:bottom w:val="single" w:sz="4" w:space="0" w:color="auto"/>
              <w:right w:val="single" w:sz="4" w:space="0" w:color="auto"/>
            </w:tcBorders>
          </w:tcPr>
          <w:p w14:paraId="7A4FE3B2"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(64.86)</w:t>
            </w:r>
          </w:p>
        </w:tc>
        <w:tc>
          <w:tcPr>
            <w:tcW w:w="992" w:type="dxa"/>
            <w:tcBorders>
              <w:top w:val="single" w:sz="4" w:space="0" w:color="auto"/>
              <w:left w:val="single" w:sz="4" w:space="0" w:color="auto"/>
              <w:bottom w:val="single" w:sz="4" w:space="0" w:color="auto"/>
              <w:right w:val="single" w:sz="4" w:space="0" w:color="auto"/>
            </w:tcBorders>
          </w:tcPr>
          <w:p w14:paraId="65DF1973"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5B766413" w14:textId="77777777" w:rsidTr="00464B3B">
        <w:trPr>
          <w:trHeight w:val="70"/>
        </w:trPr>
        <w:tc>
          <w:tcPr>
            <w:tcW w:w="419" w:type="dxa"/>
            <w:tcBorders>
              <w:top w:val="single" w:sz="4" w:space="0" w:color="auto"/>
              <w:left w:val="single" w:sz="4" w:space="0" w:color="auto"/>
              <w:bottom w:val="single" w:sz="4" w:space="0" w:color="auto"/>
              <w:right w:val="single" w:sz="4" w:space="0" w:color="auto"/>
            </w:tcBorders>
            <w:noWrap/>
            <w:hideMark/>
          </w:tcPr>
          <w:p w14:paraId="47E91D60"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5518D2C0"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IIIB</w:t>
            </w:r>
          </w:p>
        </w:tc>
        <w:tc>
          <w:tcPr>
            <w:tcW w:w="1417" w:type="dxa"/>
            <w:tcBorders>
              <w:top w:val="single" w:sz="4" w:space="0" w:color="auto"/>
              <w:left w:val="single" w:sz="4" w:space="0" w:color="auto"/>
              <w:bottom w:val="single" w:sz="4" w:space="0" w:color="auto"/>
              <w:right w:val="single" w:sz="4" w:space="0" w:color="auto"/>
            </w:tcBorders>
            <w:noWrap/>
            <w:hideMark/>
          </w:tcPr>
          <w:p w14:paraId="3459F8A7"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17</w:t>
            </w:r>
          </w:p>
        </w:tc>
        <w:tc>
          <w:tcPr>
            <w:tcW w:w="992" w:type="dxa"/>
            <w:tcBorders>
              <w:top w:val="single" w:sz="4" w:space="0" w:color="auto"/>
              <w:left w:val="single" w:sz="4" w:space="0" w:color="auto"/>
              <w:bottom w:val="single" w:sz="4" w:space="0" w:color="auto"/>
              <w:right w:val="single" w:sz="4" w:space="0" w:color="auto"/>
            </w:tcBorders>
            <w:noWrap/>
            <w:hideMark/>
          </w:tcPr>
          <w:p w14:paraId="7AA4DD88"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(27.42)</w:t>
            </w:r>
          </w:p>
        </w:tc>
        <w:tc>
          <w:tcPr>
            <w:tcW w:w="1417" w:type="dxa"/>
            <w:tcBorders>
              <w:top w:val="single" w:sz="4" w:space="0" w:color="auto"/>
              <w:left w:val="single" w:sz="4" w:space="0" w:color="auto"/>
              <w:bottom w:val="single" w:sz="4" w:space="0" w:color="auto"/>
              <w:right w:val="single" w:sz="4" w:space="0" w:color="auto"/>
            </w:tcBorders>
            <w:noWrap/>
          </w:tcPr>
          <w:p w14:paraId="21D3937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7</w:t>
            </w:r>
          </w:p>
        </w:tc>
        <w:tc>
          <w:tcPr>
            <w:tcW w:w="998" w:type="dxa"/>
            <w:tcBorders>
              <w:top w:val="single" w:sz="4" w:space="0" w:color="auto"/>
              <w:left w:val="single" w:sz="4" w:space="0" w:color="auto"/>
              <w:bottom w:val="single" w:sz="4" w:space="0" w:color="auto"/>
              <w:right w:val="single" w:sz="4" w:space="0" w:color="auto"/>
            </w:tcBorders>
            <w:noWrap/>
          </w:tcPr>
          <w:p w14:paraId="4CCCBC7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(28)</w:t>
            </w:r>
          </w:p>
        </w:tc>
        <w:tc>
          <w:tcPr>
            <w:tcW w:w="1270" w:type="dxa"/>
            <w:tcBorders>
              <w:top w:val="single" w:sz="4" w:space="0" w:color="auto"/>
              <w:left w:val="single" w:sz="4" w:space="0" w:color="auto"/>
              <w:bottom w:val="single" w:sz="4" w:space="0" w:color="auto"/>
              <w:right w:val="single" w:sz="4" w:space="0" w:color="auto"/>
            </w:tcBorders>
          </w:tcPr>
          <w:p w14:paraId="65669CE2"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10</w:t>
            </w:r>
          </w:p>
        </w:tc>
        <w:tc>
          <w:tcPr>
            <w:tcW w:w="1276" w:type="dxa"/>
            <w:tcBorders>
              <w:top w:val="single" w:sz="4" w:space="0" w:color="auto"/>
              <w:left w:val="single" w:sz="4" w:space="0" w:color="auto"/>
              <w:bottom w:val="single" w:sz="4" w:space="0" w:color="auto"/>
              <w:right w:val="single" w:sz="4" w:space="0" w:color="auto"/>
            </w:tcBorders>
          </w:tcPr>
          <w:p w14:paraId="2C9D75C6"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(27.03)</w:t>
            </w:r>
          </w:p>
        </w:tc>
        <w:tc>
          <w:tcPr>
            <w:tcW w:w="992" w:type="dxa"/>
            <w:tcBorders>
              <w:top w:val="single" w:sz="4" w:space="0" w:color="auto"/>
              <w:left w:val="single" w:sz="4" w:space="0" w:color="auto"/>
              <w:bottom w:val="single" w:sz="4" w:space="0" w:color="auto"/>
              <w:right w:val="single" w:sz="4" w:space="0" w:color="auto"/>
            </w:tcBorders>
          </w:tcPr>
          <w:p w14:paraId="2FBC0772"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13CC88E2"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hideMark/>
          </w:tcPr>
          <w:p w14:paraId="67EA0790" w14:textId="77777777" w:rsidR="00464B3B" w:rsidRPr="002D57D3" w:rsidRDefault="00464B3B" w:rsidP="00464B3B">
            <w:pPr>
              <w:rPr>
                <w:rFonts w:cs="Arial"/>
                <w:color w:val="000000" w:themeColor="text1"/>
                <w:sz w:val="20"/>
                <w:szCs w:val="20"/>
                <w:lang w:val="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18311747"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IV</w:t>
            </w:r>
          </w:p>
        </w:tc>
        <w:tc>
          <w:tcPr>
            <w:tcW w:w="1417" w:type="dxa"/>
            <w:tcBorders>
              <w:top w:val="single" w:sz="4" w:space="0" w:color="auto"/>
              <w:left w:val="single" w:sz="4" w:space="0" w:color="auto"/>
              <w:bottom w:val="single" w:sz="4" w:space="0" w:color="auto"/>
              <w:right w:val="single" w:sz="4" w:space="0" w:color="auto"/>
            </w:tcBorders>
            <w:noWrap/>
            <w:hideMark/>
          </w:tcPr>
          <w:p w14:paraId="2E56AADA"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2</w:t>
            </w:r>
          </w:p>
        </w:tc>
        <w:tc>
          <w:tcPr>
            <w:tcW w:w="992" w:type="dxa"/>
            <w:tcBorders>
              <w:top w:val="single" w:sz="4" w:space="0" w:color="auto"/>
              <w:left w:val="single" w:sz="4" w:space="0" w:color="auto"/>
              <w:bottom w:val="single" w:sz="4" w:space="0" w:color="auto"/>
              <w:right w:val="single" w:sz="4" w:space="0" w:color="auto"/>
            </w:tcBorders>
            <w:noWrap/>
            <w:hideMark/>
          </w:tcPr>
          <w:p w14:paraId="4DE53F8A"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(3.23)</w:t>
            </w:r>
          </w:p>
        </w:tc>
        <w:tc>
          <w:tcPr>
            <w:tcW w:w="1417" w:type="dxa"/>
            <w:tcBorders>
              <w:top w:val="single" w:sz="4" w:space="0" w:color="auto"/>
              <w:left w:val="single" w:sz="4" w:space="0" w:color="auto"/>
              <w:bottom w:val="single" w:sz="4" w:space="0" w:color="auto"/>
              <w:right w:val="single" w:sz="4" w:space="0" w:color="auto"/>
            </w:tcBorders>
            <w:noWrap/>
          </w:tcPr>
          <w:p w14:paraId="6EC382D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w:t>
            </w:r>
          </w:p>
        </w:tc>
        <w:tc>
          <w:tcPr>
            <w:tcW w:w="998" w:type="dxa"/>
            <w:tcBorders>
              <w:top w:val="single" w:sz="4" w:space="0" w:color="auto"/>
              <w:left w:val="single" w:sz="4" w:space="0" w:color="auto"/>
              <w:bottom w:val="single" w:sz="4" w:space="0" w:color="auto"/>
              <w:right w:val="single" w:sz="4" w:space="0" w:color="auto"/>
            </w:tcBorders>
            <w:noWrap/>
          </w:tcPr>
          <w:p w14:paraId="5D809AD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(8)</w:t>
            </w:r>
          </w:p>
        </w:tc>
        <w:tc>
          <w:tcPr>
            <w:tcW w:w="1270" w:type="dxa"/>
            <w:tcBorders>
              <w:top w:val="single" w:sz="4" w:space="0" w:color="auto"/>
              <w:left w:val="single" w:sz="4" w:space="0" w:color="auto"/>
              <w:bottom w:val="single" w:sz="4" w:space="0" w:color="auto"/>
              <w:right w:val="single" w:sz="4" w:space="0" w:color="auto"/>
            </w:tcBorders>
          </w:tcPr>
          <w:p w14:paraId="29C25293"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6" w:type="dxa"/>
            <w:tcBorders>
              <w:top w:val="single" w:sz="4" w:space="0" w:color="auto"/>
              <w:left w:val="single" w:sz="4" w:space="0" w:color="auto"/>
              <w:bottom w:val="single" w:sz="4" w:space="0" w:color="auto"/>
              <w:right w:val="single" w:sz="4" w:space="0" w:color="auto"/>
            </w:tcBorders>
          </w:tcPr>
          <w:p w14:paraId="1EE6AB0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2" w:type="dxa"/>
            <w:tcBorders>
              <w:top w:val="single" w:sz="4" w:space="0" w:color="auto"/>
              <w:left w:val="single" w:sz="4" w:space="0" w:color="auto"/>
              <w:bottom w:val="single" w:sz="4" w:space="0" w:color="auto"/>
              <w:right w:val="single" w:sz="4" w:space="0" w:color="auto"/>
            </w:tcBorders>
          </w:tcPr>
          <w:p w14:paraId="123B9B96"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21BCDC45"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28AC1334" w14:textId="77777777" w:rsidR="00464B3B" w:rsidRPr="002D57D3" w:rsidRDefault="00464B3B" w:rsidP="00464B3B">
            <w:pPr>
              <w:rPr>
                <w:rFonts w:eastAsia="Times New Roman" w:cs="Times New Roman"/>
                <w:color w:val="000000" w:themeColor="text1"/>
                <w:sz w:val="20"/>
                <w:szCs w:val="20"/>
                <w:lang w:eastAsia="nl-NL"/>
              </w:rPr>
            </w:pPr>
            <w:r w:rsidRPr="002D57D3">
              <w:rPr>
                <w:color w:val="000000" w:themeColor="text1"/>
                <w:sz w:val="20"/>
                <w:szCs w:val="20"/>
              </w:rPr>
              <w:t>Histology of cancer, N (%)</w:t>
            </w:r>
          </w:p>
        </w:tc>
        <w:tc>
          <w:tcPr>
            <w:tcW w:w="1417" w:type="dxa"/>
            <w:tcBorders>
              <w:top w:val="single" w:sz="4" w:space="0" w:color="auto"/>
              <w:left w:val="single" w:sz="4" w:space="0" w:color="auto"/>
              <w:bottom w:val="single" w:sz="4" w:space="0" w:color="auto"/>
              <w:right w:val="single" w:sz="4" w:space="0" w:color="auto"/>
            </w:tcBorders>
            <w:noWrap/>
          </w:tcPr>
          <w:p w14:paraId="6C698835"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noWrap/>
          </w:tcPr>
          <w:p w14:paraId="279B3CB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p>
        </w:tc>
        <w:tc>
          <w:tcPr>
            <w:tcW w:w="1417" w:type="dxa"/>
            <w:tcBorders>
              <w:top w:val="single" w:sz="4" w:space="0" w:color="auto"/>
              <w:left w:val="single" w:sz="4" w:space="0" w:color="auto"/>
              <w:bottom w:val="single" w:sz="4" w:space="0" w:color="auto"/>
              <w:right w:val="single" w:sz="4" w:space="0" w:color="auto"/>
            </w:tcBorders>
            <w:noWrap/>
          </w:tcPr>
          <w:p w14:paraId="0973E0EA"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p>
        </w:tc>
        <w:tc>
          <w:tcPr>
            <w:tcW w:w="998" w:type="dxa"/>
            <w:tcBorders>
              <w:top w:val="single" w:sz="4" w:space="0" w:color="auto"/>
              <w:left w:val="single" w:sz="4" w:space="0" w:color="auto"/>
              <w:bottom w:val="single" w:sz="4" w:space="0" w:color="auto"/>
              <w:right w:val="single" w:sz="4" w:space="0" w:color="auto"/>
            </w:tcBorders>
            <w:noWrap/>
          </w:tcPr>
          <w:p w14:paraId="3D883498"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p>
        </w:tc>
        <w:tc>
          <w:tcPr>
            <w:tcW w:w="1270" w:type="dxa"/>
            <w:tcBorders>
              <w:top w:val="single" w:sz="4" w:space="0" w:color="auto"/>
              <w:left w:val="single" w:sz="4" w:space="0" w:color="auto"/>
              <w:bottom w:val="single" w:sz="4" w:space="0" w:color="auto"/>
              <w:right w:val="single" w:sz="4" w:space="0" w:color="auto"/>
            </w:tcBorders>
          </w:tcPr>
          <w:p w14:paraId="2D567EEA"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6A4FACB9"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p>
        </w:tc>
        <w:tc>
          <w:tcPr>
            <w:tcW w:w="992" w:type="dxa"/>
            <w:tcBorders>
              <w:top w:val="single" w:sz="4" w:space="0" w:color="auto"/>
              <w:left w:val="single" w:sz="4" w:space="0" w:color="auto"/>
              <w:bottom w:val="single" w:sz="4" w:space="0" w:color="auto"/>
              <w:right w:val="single" w:sz="4" w:space="0" w:color="auto"/>
            </w:tcBorders>
          </w:tcPr>
          <w:p w14:paraId="0DA22D9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0.132</w:t>
            </w:r>
          </w:p>
        </w:tc>
      </w:tr>
      <w:tr w:rsidR="00464B3B" w14:paraId="18A07DB0"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655AFCAF"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6E9CB990" w14:textId="77777777" w:rsidR="00464B3B" w:rsidRPr="002D57D3" w:rsidRDefault="00464B3B" w:rsidP="00464B3B">
            <w:pPr>
              <w:autoSpaceDE w:val="0"/>
              <w:autoSpaceDN w:val="0"/>
              <w:adjustRightInd w:val="0"/>
              <w:ind w:left="60" w:right="60"/>
              <w:rPr>
                <w:rFonts w:cs="Arial"/>
                <w:color w:val="000000" w:themeColor="text1"/>
                <w:sz w:val="20"/>
                <w:szCs w:val="20"/>
                <w:lang w:val="nl-NL"/>
              </w:rPr>
            </w:pPr>
            <w:r w:rsidRPr="002D57D3">
              <w:rPr>
                <w:rFonts w:cs="Arial"/>
                <w:color w:val="000000" w:themeColor="text1"/>
                <w:sz w:val="20"/>
                <w:szCs w:val="20"/>
                <w:lang w:val="nl-NL"/>
              </w:rPr>
              <w:t>Adeno</w:t>
            </w:r>
          </w:p>
        </w:tc>
        <w:tc>
          <w:tcPr>
            <w:tcW w:w="1417" w:type="dxa"/>
            <w:tcBorders>
              <w:top w:val="single" w:sz="4" w:space="0" w:color="auto"/>
              <w:left w:val="single" w:sz="4" w:space="0" w:color="auto"/>
              <w:bottom w:val="single" w:sz="4" w:space="0" w:color="auto"/>
              <w:right w:val="single" w:sz="4" w:space="0" w:color="auto"/>
            </w:tcBorders>
            <w:noWrap/>
            <w:hideMark/>
          </w:tcPr>
          <w:p w14:paraId="0D87AA0C"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29</w:t>
            </w:r>
          </w:p>
        </w:tc>
        <w:tc>
          <w:tcPr>
            <w:tcW w:w="992" w:type="dxa"/>
            <w:tcBorders>
              <w:top w:val="single" w:sz="4" w:space="0" w:color="auto"/>
              <w:left w:val="single" w:sz="4" w:space="0" w:color="auto"/>
              <w:bottom w:val="single" w:sz="4" w:space="0" w:color="auto"/>
              <w:right w:val="single" w:sz="4" w:space="0" w:color="auto"/>
            </w:tcBorders>
            <w:noWrap/>
            <w:hideMark/>
          </w:tcPr>
          <w:p w14:paraId="28935505"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(46.77)</w:t>
            </w:r>
          </w:p>
        </w:tc>
        <w:tc>
          <w:tcPr>
            <w:tcW w:w="1417" w:type="dxa"/>
            <w:tcBorders>
              <w:top w:val="single" w:sz="4" w:space="0" w:color="auto"/>
              <w:left w:val="single" w:sz="4" w:space="0" w:color="auto"/>
              <w:bottom w:val="single" w:sz="4" w:space="0" w:color="auto"/>
              <w:right w:val="single" w:sz="4" w:space="0" w:color="auto"/>
            </w:tcBorders>
            <w:noWrap/>
          </w:tcPr>
          <w:p w14:paraId="37315F4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11</w:t>
            </w:r>
          </w:p>
        </w:tc>
        <w:tc>
          <w:tcPr>
            <w:tcW w:w="998" w:type="dxa"/>
            <w:tcBorders>
              <w:top w:val="single" w:sz="4" w:space="0" w:color="auto"/>
              <w:left w:val="single" w:sz="4" w:space="0" w:color="auto"/>
              <w:bottom w:val="single" w:sz="4" w:space="0" w:color="auto"/>
              <w:right w:val="single" w:sz="4" w:space="0" w:color="auto"/>
            </w:tcBorders>
            <w:noWrap/>
          </w:tcPr>
          <w:p w14:paraId="7C221FE7"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(44)</w:t>
            </w:r>
          </w:p>
        </w:tc>
        <w:tc>
          <w:tcPr>
            <w:tcW w:w="1270" w:type="dxa"/>
            <w:tcBorders>
              <w:top w:val="single" w:sz="4" w:space="0" w:color="auto"/>
              <w:left w:val="single" w:sz="4" w:space="0" w:color="auto"/>
              <w:bottom w:val="single" w:sz="4" w:space="0" w:color="auto"/>
              <w:right w:val="single" w:sz="4" w:space="0" w:color="auto"/>
            </w:tcBorders>
          </w:tcPr>
          <w:p w14:paraId="442EE8B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18</w:t>
            </w:r>
          </w:p>
        </w:tc>
        <w:tc>
          <w:tcPr>
            <w:tcW w:w="1276" w:type="dxa"/>
            <w:tcBorders>
              <w:top w:val="single" w:sz="4" w:space="0" w:color="auto"/>
              <w:left w:val="single" w:sz="4" w:space="0" w:color="auto"/>
              <w:bottom w:val="single" w:sz="4" w:space="0" w:color="auto"/>
              <w:right w:val="single" w:sz="4" w:space="0" w:color="auto"/>
            </w:tcBorders>
          </w:tcPr>
          <w:p w14:paraId="56A186D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(48.65)</w:t>
            </w:r>
          </w:p>
        </w:tc>
        <w:tc>
          <w:tcPr>
            <w:tcW w:w="992" w:type="dxa"/>
            <w:tcBorders>
              <w:top w:val="single" w:sz="4" w:space="0" w:color="auto"/>
              <w:left w:val="single" w:sz="4" w:space="0" w:color="auto"/>
              <w:bottom w:val="single" w:sz="4" w:space="0" w:color="auto"/>
              <w:right w:val="single" w:sz="4" w:space="0" w:color="auto"/>
            </w:tcBorders>
          </w:tcPr>
          <w:p w14:paraId="0DBFF82D"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386518AA"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60028A46"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5C7F8841" w14:textId="77777777" w:rsidR="00464B3B" w:rsidRPr="002D57D3" w:rsidRDefault="00464B3B" w:rsidP="00464B3B">
            <w:pPr>
              <w:autoSpaceDE w:val="0"/>
              <w:autoSpaceDN w:val="0"/>
              <w:adjustRightInd w:val="0"/>
              <w:ind w:left="60" w:right="60"/>
              <w:rPr>
                <w:rFonts w:cs="Arial"/>
                <w:color w:val="000000" w:themeColor="text1"/>
                <w:sz w:val="20"/>
                <w:szCs w:val="20"/>
                <w:lang w:val="nl-NL"/>
              </w:rPr>
            </w:pPr>
            <w:r w:rsidRPr="002D57D3">
              <w:rPr>
                <w:rFonts w:cs="Arial"/>
                <w:color w:val="000000" w:themeColor="text1"/>
                <w:sz w:val="20"/>
                <w:szCs w:val="20"/>
                <w:lang w:val="nl-NL"/>
              </w:rPr>
              <w:t>Squamous</w:t>
            </w:r>
          </w:p>
        </w:tc>
        <w:tc>
          <w:tcPr>
            <w:tcW w:w="1417" w:type="dxa"/>
            <w:tcBorders>
              <w:top w:val="single" w:sz="4" w:space="0" w:color="auto"/>
              <w:left w:val="single" w:sz="4" w:space="0" w:color="auto"/>
              <w:bottom w:val="single" w:sz="4" w:space="0" w:color="auto"/>
              <w:right w:val="single" w:sz="4" w:space="0" w:color="auto"/>
            </w:tcBorders>
            <w:noWrap/>
            <w:hideMark/>
          </w:tcPr>
          <w:p w14:paraId="239B03E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21</w:t>
            </w:r>
          </w:p>
        </w:tc>
        <w:tc>
          <w:tcPr>
            <w:tcW w:w="992" w:type="dxa"/>
            <w:tcBorders>
              <w:top w:val="single" w:sz="4" w:space="0" w:color="auto"/>
              <w:left w:val="single" w:sz="4" w:space="0" w:color="auto"/>
              <w:bottom w:val="single" w:sz="4" w:space="0" w:color="auto"/>
              <w:right w:val="single" w:sz="4" w:space="0" w:color="auto"/>
            </w:tcBorders>
            <w:noWrap/>
            <w:hideMark/>
          </w:tcPr>
          <w:p w14:paraId="0CF06F3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(33.87)</w:t>
            </w:r>
          </w:p>
        </w:tc>
        <w:tc>
          <w:tcPr>
            <w:tcW w:w="1417" w:type="dxa"/>
            <w:tcBorders>
              <w:top w:val="single" w:sz="4" w:space="0" w:color="auto"/>
              <w:left w:val="single" w:sz="4" w:space="0" w:color="auto"/>
              <w:bottom w:val="single" w:sz="4" w:space="0" w:color="auto"/>
              <w:right w:val="single" w:sz="4" w:space="0" w:color="auto"/>
            </w:tcBorders>
            <w:noWrap/>
          </w:tcPr>
          <w:p w14:paraId="7EE62A7F"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12</w:t>
            </w:r>
          </w:p>
        </w:tc>
        <w:tc>
          <w:tcPr>
            <w:tcW w:w="998" w:type="dxa"/>
            <w:tcBorders>
              <w:top w:val="single" w:sz="4" w:space="0" w:color="auto"/>
              <w:left w:val="single" w:sz="4" w:space="0" w:color="auto"/>
              <w:bottom w:val="single" w:sz="4" w:space="0" w:color="auto"/>
              <w:right w:val="single" w:sz="4" w:space="0" w:color="auto"/>
            </w:tcBorders>
            <w:noWrap/>
          </w:tcPr>
          <w:p w14:paraId="5EF954D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(48)</w:t>
            </w:r>
          </w:p>
        </w:tc>
        <w:tc>
          <w:tcPr>
            <w:tcW w:w="1270" w:type="dxa"/>
            <w:tcBorders>
              <w:top w:val="single" w:sz="4" w:space="0" w:color="auto"/>
              <w:left w:val="single" w:sz="4" w:space="0" w:color="auto"/>
              <w:bottom w:val="single" w:sz="4" w:space="0" w:color="auto"/>
              <w:right w:val="single" w:sz="4" w:space="0" w:color="auto"/>
            </w:tcBorders>
          </w:tcPr>
          <w:p w14:paraId="1E382B4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9</w:t>
            </w:r>
          </w:p>
        </w:tc>
        <w:tc>
          <w:tcPr>
            <w:tcW w:w="1276" w:type="dxa"/>
            <w:tcBorders>
              <w:top w:val="single" w:sz="4" w:space="0" w:color="auto"/>
              <w:left w:val="single" w:sz="4" w:space="0" w:color="auto"/>
              <w:bottom w:val="single" w:sz="4" w:space="0" w:color="auto"/>
              <w:right w:val="single" w:sz="4" w:space="0" w:color="auto"/>
            </w:tcBorders>
          </w:tcPr>
          <w:p w14:paraId="6BDFEEBE"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(24.32)</w:t>
            </w:r>
          </w:p>
        </w:tc>
        <w:tc>
          <w:tcPr>
            <w:tcW w:w="992" w:type="dxa"/>
            <w:tcBorders>
              <w:top w:val="single" w:sz="4" w:space="0" w:color="auto"/>
              <w:left w:val="single" w:sz="4" w:space="0" w:color="auto"/>
              <w:bottom w:val="single" w:sz="4" w:space="0" w:color="auto"/>
              <w:right w:val="single" w:sz="4" w:space="0" w:color="auto"/>
            </w:tcBorders>
          </w:tcPr>
          <w:p w14:paraId="08D6ED95"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5FFF7111"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196FF9B1"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77CABD29" w14:textId="77777777" w:rsidR="00464B3B" w:rsidRPr="002D57D3" w:rsidRDefault="00464B3B" w:rsidP="00464B3B">
            <w:pPr>
              <w:autoSpaceDE w:val="0"/>
              <w:autoSpaceDN w:val="0"/>
              <w:adjustRightInd w:val="0"/>
              <w:ind w:left="60" w:right="60"/>
              <w:rPr>
                <w:rFonts w:cs="Arial"/>
                <w:color w:val="000000" w:themeColor="text1"/>
                <w:sz w:val="20"/>
                <w:szCs w:val="20"/>
                <w:lang w:val="nl-NL"/>
              </w:rPr>
            </w:pPr>
            <w:r w:rsidRPr="002D57D3">
              <w:rPr>
                <w:rFonts w:cs="Arial"/>
                <w:color w:val="000000" w:themeColor="text1"/>
                <w:sz w:val="20"/>
                <w:szCs w:val="20"/>
                <w:lang w:val="nl-NL"/>
              </w:rPr>
              <w:t>Large cell</w:t>
            </w:r>
          </w:p>
        </w:tc>
        <w:tc>
          <w:tcPr>
            <w:tcW w:w="1417" w:type="dxa"/>
            <w:tcBorders>
              <w:top w:val="single" w:sz="4" w:space="0" w:color="auto"/>
              <w:left w:val="single" w:sz="4" w:space="0" w:color="auto"/>
              <w:bottom w:val="single" w:sz="4" w:space="0" w:color="auto"/>
              <w:right w:val="single" w:sz="4" w:space="0" w:color="auto"/>
            </w:tcBorders>
            <w:noWrap/>
            <w:hideMark/>
          </w:tcPr>
          <w:p w14:paraId="37C7C123"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10</w:t>
            </w:r>
          </w:p>
        </w:tc>
        <w:tc>
          <w:tcPr>
            <w:tcW w:w="992" w:type="dxa"/>
            <w:tcBorders>
              <w:top w:val="single" w:sz="4" w:space="0" w:color="auto"/>
              <w:left w:val="single" w:sz="4" w:space="0" w:color="auto"/>
              <w:bottom w:val="single" w:sz="4" w:space="0" w:color="auto"/>
              <w:right w:val="single" w:sz="4" w:space="0" w:color="auto"/>
            </w:tcBorders>
            <w:noWrap/>
            <w:hideMark/>
          </w:tcPr>
          <w:p w14:paraId="05491D48"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(16.13)</w:t>
            </w:r>
          </w:p>
        </w:tc>
        <w:tc>
          <w:tcPr>
            <w:tcW w:w="1417" w:type="dxa"/>
            <w:tcBorders>
              <w:top w:val="single" w:sz="4" w:space="0" w:color="auto"/>
              <w:left w:val="single" w:sz="4" w:space="0" w:color="auto"/>
              <w:bottom w:val="single" w:sz="4" w:space="0" w:color="auto"/>
              <w:right w:val="single" w:sz="4" w:space="0" w:color="auto"/>
            </w:tcBorders>
            <w:noWrap/>
          </w:tcPr>
          <w:p w14:paraId="60F50428"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w:t>
            </w:r>
          </w:p>
        </w:tc>
        <w:tc>
          <w:tcPr>
            <w:tcW w:w="998" w:type="dxa"/>
            <w:tcBorders>
              <w:top w:val="single" w:sz="4" w:space="0" w:color="auto"/>
              <w:left w:val="single" w:sz="4" w:space="0" w:color="auto"/>
              <w:bottom w:val="single" w:sz="4" w:space="0" w:color="auto"/>
              <w:right w:val="single" w:sz="4" w:space="0" w:color="auto"/>
            </w:tcBorders>
            <w:noWrap/>
          </w:tcPr>
          <w:p w14:paraId="32AD6ACB"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(8)</w:t>
            </w:r>
          </w:p>
        </w:tc>
        <w:tc>
          <w:tcPr>
            <w:tcW w:w="1270" w:type="dxa"/>
            <w:tcBorders>
              <w:top w:val="single" w:sz="4" w:space="0" w:color="auto"/>
              <w:left w:val="single" w:sz="4" w:space="0" w:color="auto"/>
              <w:bottom w:val="single" w:sz="4" w:space="0" w:color="auto"/>
              <w:right w:val="single" w:sz="4" w:space="0" w:color="auto"/>
            </w:tcBorders>
          </w:tcPr>
          <w:p w14:paraId="41E6B5AD"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8</w:t>
            </w:r>
          </w:p>
        </w:tc>
        <w:tc>
          <w:tcPr>
            <w:tcW w:w="1276" w:type="dxa"/>
            <w:tcBorders>
              <w:top w:val="single" w:sz="4" w:space="0" w:color="auto"/>
              <w:left w:val="single" w:sz="4" w:space="0" w:color="auto"/>
              <w:bottom w:val="single" w:sz="4" w:space="0" w:color="auto"/>
              <w:right w:val="single" w:sz="4" w:space="0" w:color="auto"/>
            </w:tcBorders>
          </w:tcPr>
          <w:p w14:paraId="4AD49613"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(21.62)</w:t>
            </w:r>
          </w:p>
        </w:tc>
        <w:tc>
          <w:tcPr>
            <w:tcW w:w="992" w:type="dxa"/>
            <w:tcBorders>
              <w:top w:val="single" w:sz="4" w:space="0" w:color="auto"/>
              <w:left w:val="single" w:sz="4" w:space="0" w:color="auto"/>
              <w:bottom w:val="single" w:sz="4" w:space="0" w:color="auto"/>
              <w:right w:val="single" w:sz="4" w:space="0" w:color="auto"/>
            </w:tcBorders>
          </w:tcPr>
          <w:p w14:paraId="588E23C7"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22E5676D"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65A188F8"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noWrap/>
            <w:hideMark/>
          </w:tcPr>
          <w:p w14:paraId="01106C3D" w14:textId="77777777" w:rsidR="00464B3B" w:rsidRPr="002D57D3" w:rsidRDefault="00464B3B" w:rsidP="00464B3B">
            <w:pPr>
              <w:autoSpaceDE w:val="0"/>
              <w:autoSpaceDN w:val="0"/>
              <w:adjustRightInd w:val="0"/>
              <w:ind w:left="60" w:right="60"/>
              <w:rPr>
                <w:rFonts w:cs="Arial"/>
                <w:color w:val="000000" w:themeColor="text1"/>
                <w:sz w:val="20"/>
                <w:szCs w:val="20"/>
                <w:lang w:val="nl-NL"/>
              </w:rPr>
            </w:pPr>
            <w:r w:rsidRPr="002D57D3">
              <w:rPr>
                <w:rFonts w:cs="Arial"/>
                <w:color w:val="000000" w:themeColor="text1"/>
                <w:sz w:val="20"/>
                <w:szCs w:val="20"/>
                <w:lang w:val="nl-NL"/>
              </w:rPr>
              <w:t>Other</w:t>
            </w:r>
          </w:p>
        </w:tc>
        <w:tc>
          <w:tcPr>
            <w:tcW w:w="1417" w:type="dxa"/>
            <w:tcBorders>
              <w:top w:val="single" w:sz="4" w:space="0" w:color="auto"/>
              <w:left w:val="single" w:sz="4" w:space="0" w:color="auto"/>
              <w:bottom w:val="single" w:sz="4" w:space="0" w:color="auto"/>
              <w:right w:val="single" w:sz="4" w:space="0" w:color="auto"/>
            </w:tcBorders>
            <w:noWrap/>
            <w:hideMark/>
          </w:tcPr>
          <w:p w14:paraId="6E1500FA"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noWrap/>
            <w:hideMark/>
          </w:tcPr>
          <w:p w14:paraId="36D36617"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(3.23)</w:t>
            </w:r>
          </w:p>
        </w:tc>
        <w:tc>
          <w:tcPr>
            <w:tcW w:w="1417" w:type="dxa"/>
            <w:tcBorders>
              <w:top w:val="single" w:sz="4" w:space="0" w:color="auto"/>
              <w:left w:val="single" w:sz="4" w:space="0" w:color="auto"/>
              <w:bottom w:val="single" w:sz="4" w:space="0" w:color="auto"/>
              <w:right w:val="single" w:sz="4" w:space="0" w:color="auto"/>
            </w:tcBorders>
            <w:noWrap/>
          </w:tcPr>
          <w:p w14:paraId="67005BB1"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998" w:type="dxa"/>
            <w:tcBorders>
              <w:top w:val="single" w:sz="4" w:space="0" w:color="auto"/>
              <w:left w:val="single" w:sz="4" w:space="0" w:color="auto"/>
              <w:bottom w:val="single" w:sz="4" w:space="0" w:color="auto"/>
              <w:right w:val="single" w:sz="4" w:space="0" w:color="auto"/>
            </w:tcBorders>
            <w:noWrap/>
          </w:tcPr>
          <w:p w14:paraId="13CA7F41"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(0)</w:t>
            </w:r>
          </w:p>
        </w:tc>
        <w:tc>
          <w:tcPr>
            <w:tcW w:w="1270" w:type="dxa"/>
            <w:tcBorders>
              <w:top w:val="single" w:sz="4" w:space="0" w:color="auto"/>
              <w:left w:val="single" w:sz="4" w:space="0" w:color="auto"/>
              <w:bottom w:val="single" w:sz="4" w:space="0" w:color="auto"/>
              <w:right w:val="single" w:sz="4" w:space="0" w:color="auto"/>
            </w:tcBorders>
          </w:tcPr>
          <w:p w14:paraId="5A808DF2"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w:t>
            </w:r>
          </w:p>
        </w:tc>
        <w:tc>
          <w:tcPr>
            <w:tcW w:w="1276" w:type="dxa"/>
            <w:tcBorders>
              <w:top w:val="single" w:sz="4" w:space="0" w:color="auto"/>
              <w:left w:val="single" w:sz="4" w:space="0" w:color="auto"/>
              <w:bottom w:val="single" w:sz="4" w:space="0" w:color="auto"/>
              <w:right w:val="single" w:sz="4" w:space="0" w:color="auto"/>
            </w:tcBorders>
          </w:tcPr>
          <w:p w14:paraId="10D252A3"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(5.41)</w:t>
            </w:r>
          </w:p>
        </w:tc>
        <w:tc>
          <w:tcPr>
            <w:tcW w:w="992" w:type="dxa"/>
            <w:tcBorders>
              <w:top w:val="single" w:sz="4" w:space="0" w:color="auto"/>
              <w:left w:val="single" w:sz="4" w:space="0" w:color="auto"/>
              <w:bottom w:val="single" w:sz="4" w:space="0" w:color="auto"/>
              <w:right w:val="single" w:sz="4" w:space="0" w:color="auto"/>
            </w:tcBorders>
          </w:tcPr>
          <w:p w14:paraId="6FB8E2E5" w14:textId="77777777" w:rsidR="00464B3B" w:rsidRDefault="00464B3B" w:rsidP="00464B3B">
            <w:pPr>
              <w:autoSpaceDE w:val="0"/>
              <w:autoSpaceDN w:val="0"/>
              <w:adjustRightInd w:val="0"/>
              <w:ind w:left="60" w:right="60"/>
              <w:jc w:val="right"/>
              <w:rPr>
                <w:rFonts w:cs="Arial"/>
                <w:color w:val="000000" w:themeColor="text1"/>
                <w:sz w:val="20"/>
                <w:szCs w:val="20"/>
                <w:lang w:val="nl-NL"/>
              </w:rPr>
            </w:pPr>
          </w:p>
        </w:tc>
      </w:tr>
      <w:tr w:rsidR="00464B3B" w14:paraId="12BB61E4"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55BD7A5E" w14:textId="77777777" w:rsidR="00464B3B" w:rsidRPr="002D57D3" w:rsidRDefault="00464B3B" w:rsidP="00464B3B">
            <w:pPr>
              <w:rPr>
                <w:b/>
                <w:color w:val="000000" w:themeColor="text1"/>
                <w:sz w:val="20"/>
                <w:szCs w:val="20"/>
              </w:rPr>
            </w:pPr>
            <w:r w:rsidRPr="002D57D3">
              <w:rPr>
                <w:color w:val="000000" w:themeColor="text1"/>
                <w:sz w:val="20"/>
                <w:szCs w:val="20"/>
              </w:rPr>
              <w:t xml:space="preserve">Karnofsky Performance Status </w:t>
            </w:r>
          </w:p>
          <w:p w14:paraId="610C43B6" w14:textId="77777777" w:rsidR="00464B3B" w:rsidRPr="002D57D3" w:rsidRDefault="00464B3B" w:rsidP="00464B3B">
            <w:pPr>
              <w:rPr>
                <w:b/>
                <w:color w:val="000000" w:themeColor="text1"/>
                <w:sz w:val="20"/>
                <w:szCs w:val="20"/>
              </w:rPr>
            </w:pPr>
            <w:r w:rsidRPr="002D57D3">
              <w:rPr>
                <w:color w:val="000000" w:themeColor="text1"/>
                <w:sz w:val="20"/>
                <w:szCs w:val="20"/>
              </w:rPr>
              <w:t>(median; IQR)</w:t>
            </w:r>
          </w:p>
        </w:tc>
        <w:tc>
          <w:tcPr>
            <w:tcW w:w="1417" w:type="dxa"/>
            <w:tcBorders>
              <w:top w:val="single" w:sz="4" w:space="0" w:color="auto"/>
              <w:left w:val="single" w:sz="4" w:space="0" w:color="auto"/>
              <w:bottom w:val="single" w:sz="4" w:space="0" w:color="auto"/>
              <w:right w:val="single" w:sz="4" w:space="0" w:color="auto"/>
            </w:tcBorders>
            <w:noWrap/>
            <w:hideMark/>
          </w:tcPr>
          <w:p w14:paraId="2E8E759C"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90</w:t>
            </w:r>
          </w:p>
        </w:tc>
        <w:tc>
          <w:tcPr>
            <w:tcW w:w="992" w:type="dxa"/>
            <w:tcBorders>
              <w:top w:val="single" w:sz="4" w:space="0" w:color="auto"/>
              <w:left w:val="single" w:sz="4" w:space="0" w:color="auto"/>
              <w:bottom w:val="single" w:sz="4" w:space="0" w:color="auto"/>
              <w:right w:val="single" w:sz="4" w:space="0" w:color="auto"/>
            </w:tcBorders>
            <w:noWrap/>
            <w:hideMark/>
          </w:tcPr>
          <w:p w14:paraId="2A42A901"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(10)</w:t>
            </w:r>
          </w:p>
        </w:tc>
        <w:tc>
          <w:tcPr>
            <w:tcW w:w="1417" w:type="dxa"/>
            <w:tcBorders>
              <w:top w:val="single" w:sz="4" w:space="0" w:color="auto"/>
              <w:left w:val="single" w:sz="4" w:space="0" w:color="auto"/>
              <w:bottom w:val="single" w:sz="4" w:space="0" w:color="auto"/>
              <w:right w:val="single" w:sz="4" w:space="0" w:color="auto"/>
            </w:tcBorders>
            <w:noWrap/>
          </w:tcPr>
          <w:p w14:paraId="5A5A6234"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80;</w:t>
            </w:r>
          </w:p>
        </w:tc>
        <w:tc>
          <w:tcPr>
            <w:tcW w:w="998" w:type="dxa"/>
            <w:tcBorders>
              <w:top w:val="single" w:sz="4" w:space="0" w:color="auto"/>
              <w:left w:val="single" w:sz="4" w:space="0" w:color="auto"/>
              <w:bottom w:val="single" w:sz="4" w:space="0" w:color="auto"/>
              <w:right w:val="single" w:sz="4" w:space="0" w:color="auto"/>
            </w:tcBorders>
            <w:noWrap/>
          </w:tcPr>
          <w:p w14:paraId="587652B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20</w:t>
            </w:r>
          </w:p>
        </w:tc>
        <w:tc>
          <w:tcPr>
            <w:tcW w:w="1270" w:type="dxa"/>
            <w:tcBorders>
              <w:top w:val="single" w:sz="4" w:space="0" w:color="auto"/>
              <w:left w:val="single" w:sz="4" w:space="0" w:color="auto"/>
              <w:bottom w:val="single" w:sz="4" w:space="0" w:color="auto"/>
              <w:right w:val="single" w:sz="4" w:space="0" w:color="auto"/>
            </w:tcBorders>
          </w:tcPr>
          <w:p w14:paraId="4E50DB1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90;</w:t>
            </w:r>
          </w:p>
        </w:tc>
        <w:tc>
          <w:tcPr>
            <w:tcW w:w="1276" w:type="dxa"/>
            <w:tcBorders>
              <w:top w:val="single" w:sz="4" w:space="0" w:color="auto"/>
              <w:left w:val="single" w:sz="4" w:space="0" w:color="auto"/>
              <w:bottom w:val="single" w:sz="4" w:space="0" w:color="auto"/>
              <w:right w:val="single" w:sz="4" w:space="0" w:color="auto"/>
            </w:tcBorders>
          </w:tcPr>
          <w:p w14:paraId="0EF14D82"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5A373364"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&lt;0.001*</w:t>
            </w:r>
          </w:p>
        </w:tc>
      </w:tr>
      <w:tr w:rsidR="00464B3B" w14:paraId="5A1CAC9F"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39A72425" w14:textId="77777777" w:rsidR="00464B3B" w:rsidRPr="002D57D3" w:rsidRDefault="00464B3B" w:rsidP="00464B3B">
            <w:pPr>
              <w:rPr>
                <w:b/>
                <w:color w:val="000000" w:themeColor="text1"/>
                <w:sz w:val="20"/>
                <w:szCs w:val="20"/>
              </w:rPr>
            </w:pPr>
            <w:r w:rsidRPr="002D57D3">
              <w:rPr>
                <w:color w:val="000000" w:themeColor="text1"/>
                <w:sz w:val="20"/>
                <w:szCs w:val="20"/>
              </w:rPr>
              <w:t>WHO Performance Status, N (%)</w:t>
            </w:r>
          </w:p>
        </w:tc>
        <w:tc>
          <w:tcPr>
            <w:tcW w:w="1417" w:type="dxa"/>
            <w:tcBorders>
              <w:top w:val="single" w:sz="4" w:space="0" w:color="auto"/>
              <w:left w:val="single" w:sz="4" w:space="0" w:color="auto"/>
              <w:bottom w:val="single" w:sz="4" w:space="0" w:color="auto"/>
              <w:right w:val="single" w:sz="4" w:space="0" w:color="auto"/>
            </w:tcBorders>
            <w:noWrap/>
          </w:tcPr>
          <w:p w14:paraId="5C2281BF"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noWrap/>
          </w:tcPr>
          <w:p w14:paraId="32D86237" w14:textId="77777777" w:rsidR="00464B3B" w:rsidRPr="002D57D3" w:rsidRDefault="00464B3B" w:rsidP="00464B3B">
            <w:pPr>
              <w:rPr>
                <w:rFonts w:eastAsia="Times New Roman" w:cs="Times New Roman"/>
                <w:color w:val="000000" w:themeColor="text1"/>
                <w:sz w:val="20"/>
                <w:szCs w:val="20"/>
                <w:lang w:eastAsia="nl-NL"/>
              </w:rPr>
            </w:pPr>
          </w:p>
        </w:tc>
        <w:tc>
          <w:tcPr>
            <w:tcW w:w="1417" w:type="dxa"/>
            <w:tcBorders>
              <w:top w:val="single" w:sz="4" w:space="0" w:color="auto"/>
              <w:left w:val="single" w:sz="4" w:space="0" w:color="auto"/>
              <w:bottom w:val="single" w:sz="4" w:space="0" w:color="auto"/>
              <w:right w:val="single" w:sz="4" w:space="0" w:color="auto"/>
            </w:tcBorders>
            <w:noWrap/>
          </w:tcPr>
          <w:p w14:paraId="323CAC0D" w14:textId="77777777" w:rsidR="00464B3B" w:rsidRPr="002D57D3" w:rsidRDefault="00464B3B" w:rsidP="00464B3B">
            <w:pPr>
              <w:jc w:val="right"/>
              <w:rPr>
                <w:rFonts w:eastAsia="Times New Roman" w:cs="Times New Roman"/>
                <w:color w:val="000000" w:themeColor="text1"/>
                <w:sz w:val="20"/>
                <w:szCs w:val="20"/>
                <w:lang w:eastAsia="nl-NL"/>
              </w:rPr>
            </w:pPr>
          </w:p>
        </w:tc>
        <w:tc>
          <w:tcPr>
            <w:tcW w:w="998" w:type="dxa"/>
            <w:tcBorders>
              <w:top w:val="single" w:sz="4" w:space="0" w:color="auto"/>
              <w:left w:val="single" w:sz="4" w:space="0" w:color="auto"/>
              <w:bottom w:val="single" w:sz="4" w:space="0" w:color="auto"/>
              <w:right w:val="single" w:sz="4" w:space="0" w:color="auto"/>
            </w:tcBorders>
            <w:noWrap/>
          </w:tcPr>
          <w:p w14:paraId="5CA140EB"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0" w:type="dxa"/>
            <w:tcBorders>
              <w:top w:val="single" w:sz="4" w:space="0" w:color="auto"/>
              <w:left w:val="single" w:sz="4" w:space="0" w:color="auto"/>
              <w:bottom w:val="single" w:sz="4" w:space="0" w:color="auto"/>
              <w:right w:val="single" w:sz="4" w:space="0" w:color="auto"/>
            </w:tcBorders>
          </w:tcPr>
          <w:p w14:paraId="31445B2D"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266AA517"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tcPr>
          <w:p w14:paraId="644C31B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0.022*</w:t>
            </w:r>
          </w:p>
        </w:tc>
      </w:tr>
      <w:tr w:rsidR="00464B3B" w14:paraId="5EDBB83D"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191739DD" w14:textId="77777777" w:rsidR="00464B3B" w:rsidRPr="002D57D3" w:rsidRDefault="00464B3B" w:rsidP="00464B3B">
            <w:pPr>
              <w:rPr>
                <w:rFonts w:eastAsia="Times New Roman" w:cs="Times New Roman"/>
                <w:b/>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2B138E8E"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417" w:type="dxa"/>
            <w:tcBorders>
              <w:top w:val="single" w:sz="4" w:space="0" w:color="auto"/>
              <w:left w:val="single" w:sz="4" w:space="0" w:color="auto"/>
              <w:bottom w:val="single" w:sz="4" w:space="0" w:color="auto"/>
              <w:right w:val="single" w:sz="4" w:space="0" w:color="auto"/>
            </w:tcBorders>
            <w:noWrap/>
            <w:hideMark/>
          </w:tcPr>
          <w:p w14:paraId="2850AB1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34</w:t>
            </w:r>
          </w:p>
        </w:tc>
        <w:tc>
          <w:tcPr>
            <w:tcW w:w="992" w:type="dxa"/>
            <w:tcBorders>
              <w:top w:val="single" w:sz="4" w:space="0" w:color="auto"/>
              <w:left w:val="single" w:sz="4" w:space="0" w:color="auto"/>
              <w:bottom w:val="single" w:sz="4" w:space="0" w:color="auto"/>
              <w:right w:val="single" w:sz="4" w:space="0" w:color="auto"/>
            </w:tcBorders>
            <w:noWrap/>
          </w:tcPr>
          <w:p w14:paraId="39BF579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(54.84)</w:t>
            </w:r>
          </w:p>
        </w:tc>
        <w:tc>
          <w:tcPr>
            <w:tcW w:w="1417" w:type="dxa"/>
            <w:tcBorders>
              <w:top w:val="single" w:sz="4" w:space="0" w:color="auto"/>
              <w:left w:val="single" w:sz="4" w:space="0" w:color="auto"/>
              <w:bottom w:val="single" w:sz="4" w:space="0" w:color="auto"/>
              <w:right w:val="single" w:sz="4" w:space="0" w:color="auto"/>
            </w:tcBorders>
            <w:noWrap/>
          </w:tcPr>
          <w:p w14:paraId="7C90CA7E"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9</w:t>
            </w:r>
          </w:p>
        </w:tc>
        <w:tc>
          <w:tcPr>
            <w:tcW w:w="998" w:type="dxa"/>
            <w:tcBorders>
              <w:top w:val="single" w:sz="4" w:space="0" w:color="auto"/>
              <w:left w:val="single" w:sz="4" w:space="0" w:color="auto"/>
              <w:bottom w:val="single" w:sz="4" w:space="0" w:color="auto"/>
              <w:right w:val="single" w:sz="4" w:space="0" w:color="auto"/>
            </w:tcBorders>
            <w:noWrap/>
          </w:tcPr>
          <w:p w14:paraId="59B5474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(36)</w:t>
            </w:r>
          </w:p>
        </w:tc>
        <w:tc>
          <w:tcPr>
            <w:tcW w:w="1270" w:type="dxa"/>
            <w:tcBorders>
              <w:top w:val="single" w:sz="4" w:space="0" w:color="auto"/>
              <w:left w:val="single" w:sz="4" w:space="0" w:color="auto"/>
              <w:bottom w:val="single" w:sz="4" w:space="0" w:color="auto"/>
              <w:right w:val="single" w:sz="4" w:space="0" w:color="auto"/>
            </w:tcBorders>
          </w:tcPr>
          <w:p w14:paraId="1A7C19E1"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25</w:t>
            </w:r>
          </w:p>
        </w:tc>
        <w:tc>
          <w:tcPr>
            <w:tcW w:w="1276" w:type="dxa"/>
            <w:tcBorders>
              <w:top w:val="single" w:sz="4" w:space="0" w:color="auto"/>
              <w:left w:val="single" w:sz="4" w:space="0" w:color="auto"/>
              <w:bottom w:val="single" w:sz="4" w:space="0" w:color="auto"/>
              <w:right w:val="single" w:sz="4" w:space="0" w:color="auto"/>
            </w:tcBorders>
          </w:tcPr>
          <w:p w14:paraId="25F9913A"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(67.57)</w:t>
            </w:r>
          </w:p>
        </w:tc>
        <w:tc>
          <w:tcPr>
            <w:tcW w:w="992" w:type="dxa"/>
            <w:tcBorders>
              <w:top w:val="single" w:sz="4" w:space="0" w:color="auto"/>
              <w:left w:val="single" w:sz="4" w:space="0" w:color="auto"/>
              <w:bottom w:val="single" w:sz="4" w:space="0" w:color="auto"/>
              <w:right w:val="single" w:sz="4" w:space="0" w:color="auto"/>
            </w:tcBorders>
          </w:tcPr>
          <w:p w14:paraId="7245124B" w14:textId="77777777" w:rsidR="00464B3B" w:rsidRDefault="00464B3B" w:rsidP="00464B3B">
            <w:pPr>
              <w:jc w:val="right"/>
              <w:rPr>
                <w:rFonts w:eastAsia="Times New Roman" w:cs="Times New Roman"/>
                <w:color w:val="000000" w:themeColor="text1"/>
                <w:sz w:val="20"/>
                <w:szCs w:val="20"/>
                <w:lang w:eastAsia="nl-NL"/>
              </w:rPr>
            </w:pPr>
          </w:p>
        </w:tc>
      </w:tr>
      <w:tr w:rsidR="00464B3B" w14:paraId="75434E3C"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2E37D2B4" w14:textId="77777777" w:rsidR="00464B3B" w:rsidRPr="002D57D3" w:rsidRDefault="00464B3B" w:rsidP="00464B3B">
            <w:pPr>
              <w:rPr>
                <w:rFonts w:eastAsia="Times New Roman" w:cs="Times New Roman"/>
                <w:b/>
                <w:bCs/>
                <w:caps/>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2E9B155D"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w:t>
            </w:r>
          </w:p>
        </w:tc>
        <w:tc>
          <w:tcPr>
            <w:tcW w:w="1417" w:type="dxa"/>
            <w:tcBorders>
              <w:top w:val="single" w:sz="4" w:space="0" w:color="auto"/>
              <w:left w:val="single" w:sz="4" w:space="0" w:color="auto"/>
              <w:bottom w:val="single" w:sz="4" w:space="0" w:color="auto"/>
              <w:right w:val="single" w:sz="4" w:space="0" w:color="auto"/>
            </w:tcBorders>
            <w:noWrap/>
            <w:hideMark/>
          </w:tcPr>
          <w:p w14:paraId="0E8F5FB0"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26</w:t>
            </w:r>
          </w:p>
        </w:tc>
        <w:tc>
          <w:tcPr>
            <w:tcW w:w="992" w:type="dxa"/>
            <w:tcBorders>
              <w:top w:val="single" w:sz="4" w:space="0" w:color="auto"/>
              <w:left w:val="single" w:sz="4" w:space="0" w:color="auto"/>
              <w:bottom w:val="single" w:sz="4" w:space="0" w:color="auto"/>
              <w:right w:val="single" w:sz="4" w:space="0" w:color="auto"/>
            </w:tcBorders>
            <w:noWrap/>
          </w:tcPr>
          <w:p w14:paraId="2D56A0AE"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(41.94)</w:t>
            </w:r>
          </w:p>
        </w:tc>
        <w:tc>
          <w:tcPr>
            <w:tcW w:w="1417" w:type="dxa"/>
            <w:tcBorders>
              <w:top w:val="single" w:sz="4" w:space="0" w:color="auto"/>
              <w:left w:val="single" w:sz="4" w:space="0" w:color="auto"/>
              <w:bottom w:val="single" w:sz="4" w:space="0" w:color="auto"/>
              <w:right w:val="single" w:sz="4" w:space="0" w:color="auto"/>
            </w:tcBorders>
            <w:noWrap/>
          </w:tcPr>
          <w:p w14:paraId="6F5F0076"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14</w:t>
            </w:r>
          </w:p>
        </w:tc>
        <w:tc>
          <w:tcPr>
            <w:tcW w:w="998" w:type="dxa"/>
            <w:tcBorders>
              <w:top w:val="single" w:sz="4" w:space="0" w:color="auto"/>
              <w:left w:val="single" w:sz="4" w:space="0" w:color="auto"/>
              <w:bottom w:val="single" w:sz="4" w:space="0" w:color="auto"/>
              <w:right w:val="single" w:sz="4" w:space="0" w:color="auto"/>
            </w:tcBorders>
            <w:noWrap/>
          </w:tcPr>
          <w:p w14:paraId="2AA1931F"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(56)</w:t>
            </w:r>
          </w:p>
        </w:tc>
        <w:tc>
          <w:tcPr>
            <w:tcW w:w="1270" w:type="dxa"/>
            <w:tcBorders>
              <w:top w:val="single" w:sz="4" w:space="0" w:color="auto"/>
              <w:left w:val="single" w:sz="4" w:space="0" w:color="auto"/>
              <w:bottom w:val="single" w:sz="4" w:space="0" w:color="auto"/>
              <w:right w:val="single" w:sz="4" w:space="0" w:color="auto"/>
            </w:tcBorders>
          </w:tcPr>
          <w:p w14:paraId="1395E79A"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12</w:t>
            </w:r>
          </w:p>
        </w:tc>
        <w:tc>
          <w:tcPr>
            <w:tcW w:w="1276" w:type="dxa"/>
            <w:tcBorders>
              <w:top w:val="single" w:sz="4" w:space="0" w:color="auto"/>
              <w:left w:val="single" w:sz="4" w:space="0" w:color="auto"/>
              <w:bottom w:val="single" w:sz="4" w:space="0" w:color="auto"/>
              <w:right w:val="single" w:sz="4" w:space="0" w:color="auto"/>
            </w:tcBorders>
          </w:tcPr>
          <w:p w14:paraId="78E2C287"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(32.43)</w:t>
            </w:r>
          </w:p>
        </w:tc>
        <w:tc>
          <w:tcPr>
            <w:tcW w:w="992" w:type="dxa"/>
            <w:tcBorders>
              <w:top w:val="single" w:sz="4" w:space="0" w:color="auto"/>
              <w:left w:val="single" w:sz="4" w:space="0" w:color="auto"/>
              <w:bottom w:val="single" w:sz="4" w:space="0" w:color="auto"/>
              <w:right w:val="single" w:sz="4" w:space="0" w:color="auto"/>
            </w:tcBorders>
          </w:tcPr>
          <w:p w14:paraId="2E4DAF1A" w14:textId="77777777" w:rsidR="00464B3B" w:rsidRDefault="00464B3B" w:rsidP="00464B3B">
            <w:pPr>
              <w:jc w:val="right"/>
              <w:rPr>
                <w:rFonts w:eastAsia="Times New Roman" w:cs="Times New Roman"/>
                <w:color w:val="000000" w:themeColor="text1"/>
                <w:sz w:val="20"/>
                <w:szCs w:val="20"/>
                <w:lang w:eastAsia="nl-NL"/>
              </w:rPr>
            </w:pPr>
          </w:p>
        </w:tc>
      </w:tr>
      <w:tr w:rsidR="00464B3B" w14:paraId="21DE8F73"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321D532D" w14:textId="77777777" w:rsidR="00464B3B" w:rsidRPr="002D57D3" w:rsidRDefault="00464B3B" w:rsidP="00464B3B">
            <w:pPr>
              <w:rPr>
                <w:rFonts w:eastAsia="Times New Roman" w:cs="Times New Roman"/>
                <w:b/>
                <w:bCs/>
                <w:caps/>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2A0CB719"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II</w:t>
            </w:r>
          </w:p>
        </w:tc>
        <w:tc>
          <w:tcPr>
            <w:tcW w:w="1417" w:type="dxa"/>
            <w:tcBorders>
              <w:top w:val="single" w:sz="4" w:space="0" w:color="auto"/>
              <w:left w:val="single" w:sz="4" w:space="0" w:color="auto"/>
              <w:bottom w:val="single" w:sz="4" w:space="0" w:color="auto"/>
              <w:right w:val="single" w:sz="4" w:space="0" w:color="auto"/>
            </w:tcBorders>
            <w:noWrap/>
            <w:hideMark/>
          </w:tcPr>
          <w:p w14:paraId="44D8F41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sidRPr="002D57D3">
              <w:rPr>
                <w:rFonts w:cs="Arial"/>
                <w:color w:val="000000" w:themeColor="text1"/>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noWrap/>
          </w:tcPr>
          <w:p w14:paraId="52186D5E"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(3.22)</w:t>
            </w:r>
          </w:p>
        </w:tc>
        <w:tc>
          <w:tcPr>
            <w:tcW w:w="1417" w:type="dxa"/>
            <w:tcBorders>
              <w:top w:val="single" w:sz="4" w:space="0" w:color="auto"/>
              <w:left w:val="single" w:sz="4" w:space="0" w:color="auto"/>
              <w:bottom w:val="single" w:sz="4" w:space="0" w:color="auto"/>
              <w:right w:val="single" w:sz="4" w:space="0" w:color="auto"/>
            </w:tcBorders>
            <w:noWrap/>
          </w:tcPr>
          <w:p w14:paraId="0E28A1A4" w14:textId="77777777" w:rsidR="00464B3B" w:rsidRPr="002D57D3" w:rsidRDefault="00464B3B" w:rsidP="00464B3B">
            <w:pPr>
              <w:autoSpaceDE w:val="0"/>
              <w:autoSpaceDN w:val="0"/>
              <w:adjustRightInd w:val="0"/>
              <w:ind w:left="60" w:right="60"/>
              <w:jc w:val="right"/>
              <w:rPr>
                <w:rFonts w:cs="Arial"/>
                <w:color w:val="000000" w:themeColor="text1"/>
                <w:sz w:val="20"/>
                <w:szCs w:val="20"/>
                <w:lang w:val="nl-NL"/>
              </w:rPr>
            </w:pPr>
            <w:r>
              <w:rPr>
                <w:rFonts w:cs="Arial"/>
                <w:color w:val="000000" w:themeColor="text1"/>
                <w:sz w:val="20"/>
                <w:szCs w:val="20"/>
                <w:lang w:val="nl-NL"/>
              </w:rPr>
              <w:t>2</w:t>
            </w:r>
          </w:p>
        </w:tc>
        <w:tc>
          <w:tcPr>
            <w:tcW w:w="998" w:type="dxa"/>
            <w:tcBorders>
              <w:top w:val="single" w:sz="4" w:space="0" w:color="auto"/>
              <w:left w:val="single" w:sz="4" w:space="0" w:color="auto"/>
              <w:bottom w:val="single" w:sz="4" w:space="0" w:color="auto"/>
              <w:right w:val="single" w:sz="4" w:space="0" w:color="auto"/>
            </w:tcBorders>
            <w:noWrap/>
          </w:tcPr>
          <w:p w14:paraId="47CDD909"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(8)</w:t>
            </w:r>
          </w:p>
        </w:tc>
        <w:tc>
          <w:tcPr>
            <w:tcW w:w="1270" w:type="dxa"/>
            <w:tcBorders>
              <w:top w:val="single" w:sz="4" w:space="0" w:color="auto"/>
              <w:left w:val="single" w:sz="4" w:space="0" w:color="auto"/>
              <w:bottom w:val="single" w:sz="4" w:space="0" w:color="auto"/>
              <w:right w:val="single" w:sz="4" w:space="0" w:color="auto"/>
            </w:tcBorders>
          </w:tcPr>
          <w:p w14:paraId="3F0BFA8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1276" w:type="dxa"/>
            <w:tcBorders>
              <w:top w:val="single" w:sz="4" w:space="0" w:color="auto"/>
              <w:left w:val="single" w:sz="4" w:space="0" w:color="auto"/>
              <w:bottom w:val="single" w:sz="4" w:space="0" w:color="auto"/>
              <w:right w:val="single" w:sz="4" w:space="0" w:color="auto"/>
            </w:tcBorders>
          </w:tcPr>
          <w:p w14:paraId="4997A340"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595EB8A6" w14:textId="77777777" w:rsidR="00464B3B" w:rsidRDefault="00464B3B" w:rsidP="00464B3B">
            <w:pPr>
              <w:jc w:val="right"/>
              <w:rPr>
                <w:rFonts w:eastAsia="Times New Roman" w:cs="Times New Roman"/>
                <w:color w:val="000000" w:themeColor="text1"/>
                <w:sz w:val="20"/>
                <w:szCs w:val="20"/>
                <w:lang w:eastAsia="nl-NL"/>
              </w:rPr>
            </w:pPr>
          </w:p>
        </w:tc>
      </w:tr>
      <w:tr w:rsidR="00464B3B" w14:paraId="67B90E93"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tcPr>
          <w:p w14:paraId="7231EBC4" w14:textId="77777777" w:rsidR="00464B3B" w:rsidRPr="002D57D3" w:rsidRDefault="00464B3B" w:rsidP="00464B3B">
            <w:pPr>
              <w:rPr>
                <w:rFonts w:eastAsia="Times New Roman" w:cs="Times New Roman"/>
                <w:color w:val="000000" w:themeColor="text1"/>
                <w:sz w:val="20"/>
                <w:szCs w:val="20"/>
                <w:lang w:eastAsia="nl-NL"/>
              </w:rPr>
            </w:pPr>
            <w:r w:rsidRPr="002D57D3">
              <w:rPr>
                <w:color w:val="000000" w:themeColor="text1"/>
                <w:sz w:val="20"/>
                <w:szCs w:val="20"/>
              </w:rPr>
              <w:t>Cumulative Cisplatin Dose, mg/m</w:t>
            </w:r>
            <w:r w:rsidRPr="002D57D3">
              <w:rPr>
                <w:color w:val="000000" w:themeColor="text1"/>
                <w:sz w:val="20"/>
                <w:szCs w:val="20"/>
                <w:vertAlign w:val="superscript"/>
              </w:rPr>
              <w:t>2</w:t>
            </w:r>
            <w:r w:rsidRPr="002D57D3">
              <w:rPr>
                <w:color w:val="000000" w:themeColor="text1"/>
                <w:sz w:val="20"/>
                <w:szCs w:val="20"/>
              </w:rPr>
              <w:t xml:space="preserve"> (median;</w:t>
            </w:r>
            <w:r w:rsidRPr="002D57D3">
              <w:rPr>
                <w:rFonts w:eastAsia="Times New Roman" w:cs="Times New Roman"/>
                <w:color w:val="000000" w:themeColor="text1"/>
                <w:sz w:val="20"/>
                <w:szCs w:val="20"/>
                <w:lang w:eastAsia="nl-NL"/>
              </w:rPr>
              <w:t xml:space="preserve"> IQR</w:t>
            </w:r>
            <w:r w:rsidRPr="002D57D3">
              <w:rPr>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14:paraId="002EB8DD"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144</w:t>
            </w:r>
          </w:p>
        </w:tc>
        <w:tc>
          <w:tcPr>
            <w:tcW w:w="992" w:type="dxa"/>
            <w:tcBorders>
              <w:top w:val="single" w:sz="4" w:space="0" w:color="auto"/>
              <w:left w:val="single" w:sz="4" w:space="0" w:color="auto"/>
              <w:bottom w:val="single" w:sz="4" w:space="0" w:color="auto"/>
              <w:right w:val="single" w:sz="4" w:space="0" w:color="auto"/>
            </w:tcBorders>
            <w:noWrap/>
          </w:tcPr>
          <w:p w14:paraId="1B76B71A"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417" w:type="dxa"/>
            <w:tcBorders>
              <w:top w:val="single" w:sz="4" w:space="0" w:color="auto"/>
              <w:left w:val="single" w:sz="4" w:space="0" w:color="auto"/>
              <w:bottom w:val="single" w:sz="4" w:space="0" w:color="auto"/>
              <w:right w:val="single" w:sz="4" w:space="0" w:color="auto"/>
            </w:tcBorders>
            <w:noWrap/>
          </w:tcPr>
          <w:p w14:paraId="345B187F"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144</w:t>
            </w:r>
          </w:p>
        </w:tc>
        <w:tc>
          <w:tcPr>
            <w:tcW w:w="998" w:type="dxa"/>
            <w:tcBorders>
              <w:top w:val="single" w:sz="4" w:space="0" w:color="auto"/>
              <w:left w:val="single" w:sz="4" w:space="0" w:color="auto"/>
              <w:bottom w:val="single" w:sz="4" w:space="0" w:color="auto"/>
              <w:right w:val="single" w:sz="4" w:space="0" w:color="auto"/>
            </w:tcBorders>
            <w:noWrap/>
          </w:tcPr>
          <w:p w14:paraId="25C77CE8"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w:t>
            </w:r>
          </w:p>
        </w:tc>
        <w:tc>
          <w:tcPr>
            <w:tcW w:w="1270" w:type="dxa"/>
            <w:tcBorders>
              <w:top w:val="single" w:sz="4" w:space="0" w:color="auto"/>
              <w:left w:val="single" w:sz="4" w:space="0" w:color="auto"/>
              <w:bottom w:val="single" w:sz="4" w:space="0" w:color="auto"/>
              <w:right w:val="single" w:sz="4" w:space="0" w:color="auto"/>
            </w:tcBorders>
          </w:tcPr>
          <w:p w14:paraId="710F8FA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144;</w:t>
            </w:r>
          </w:p>
        </w:tc>
        <w:tc>
          <w:tcPr>
            <w:tcW w:w="1276" w:type="dxa"/>
            <w:tcBorders>
              <w:top w:val="single" w:sz="4" w:space="0" w:color="auto"/>
              <w:left w:val="single" w:sz="4" w:space="0" w:color="auto"/>
              <w:bottom w:val="single" w:sz="4" w:space="0" w:color="auto"/>
              <w:right w:val="single" w:sz="4" w:space="0" w:color="auto"/>
            </w:tcBorders>
          </w:tcPr>
          <w:p w14:paraId="7D07869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w:t>
            </w:r>
          </w:p>
        </w:tc>
        <w:tc>
          <w:tcPr>
            <w:tcW w:w="992" w:type="dxa"/>
            <w:tcBorders>
              <w:top w:val="single" w:sz="4" w:space="0" w:color="auto"/>
              <w:left w:val="single" w:sz="4" w:space="0" w:color="auto"/>
              <w:bottom w:val="single" w:sz="4" w:space="0" w:color="auto"/>
              <w:right w:val="single" w:sz="4" w:space="0" w:color="auto"/>
            </w:tcBorders>
          </w:tcPr>
          <w:p w14:paraId="24C2FEE3" w14:textId="77777777" w:rsidR="00464B3B"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0.224</w:t>
            </w:r>
          </w:p>
        </w:tc>
      </w:tr>
      <w:tr w:rsidR="00464B3B" w14:paraId="49EFBCE4" w14:textId="77777777" w:rsidTr="00464B3B">
        <w:trPr>
          <w:trHeight w:val="21"/>
        </w:trPr>
        <w:tc>
          <w:tcPr>
            <w:tcW w:w="4391" w:type="dxa"/>
            <w:gridSpan w:val="3"/>
            <w:tcBorders>
              <w:top w:val="single" w:sz="4" w:space="0" w:color="auto"/>
              <w:left w:val="single" w:sz="4" w:space="0" w:color="auto"/>
              <w:bottom w:val="single" w:sz="4" w:space="0" w:color="auto"/>
              <w:right w:val="single" w:sz="4" w:space="0" w:color="auto"/>
            </w:tcBorders>
            <w:noWrap/>
            <w:hideMark/>
          </w:tcPr>
          <w:p w14:paraId="4170FB83"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Number of comorbidities, N (%)</w:t>
            </w:r>
          </w:p>
        </w:tc>
        <w:tc>
          <w:tcPr>
            <w:tcW w:w="1417" w:type="dxa"/>
            <w:tcBorders>
              <w:top w:val="single" w:sz="4" w:space="0" w:color="auto"/>
              <w:left w:val="single" w:sz="4" w:space="0" w:color="auto"/>
              <w:bottom w:val="single" w:sz="4" w:space="0" w:color="auto"/>
              <w:right w:val="single" w:sz="4" w:space="0" w:color="auto"/>
            </w:tcBorders>
            <w:noWrap/>
          </w:tcPr>
          <w:p w14:paraId="266DAFD3"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noWrap/>
          </w:tcPr>
          <w:p w14:paraId="58FF0652" w14:textId="77777777" w:rsidR="00464B3B" w:rsidRPr="002D57D3" w:rsidRDefault="00464B3B" w:rsidP="00464B3B">
            <w:pPr>
              <w:jc w:val="right"/>
              <w:rPr>
                <w:rFonts w:eastAsia="Times New Roman" w:cs="Times New Roman"/>
                <w:color w:val="000000" w:themeColor="text1"/>
                <w:sz w:val="20"/>
                <w:szCs w:val="20"/>
                <w:lang w:eastAsia="nl-NL"/>
              </w:rPr>
            </w:pPr>
          </w:p>
        </w:tc>
        <w:tc>
          <w:tcPr>
            <w:tcW w:w="1417" w:type="dxa"/>
            <w:tcBorders>
              <w:top w:val="single" w:sz="4" w:space="0" w:color="auto"/>
              <w:left w:val="single" w:sz="4" w:space="0" w:color="auto"/>
              <w:bottom w:val="single" w:sz="4" w:space="0" w:color="auto"/>
              <w:right w:val="single" w:sz="4" w:space="0" w:color="auto"/>
            </w:tcBorders>
            <w:noWrap/>
          </w:tcPr>
          <w:p w14:paraId="4AA25B5E" w14:textId="77777777" w:rsidR="00464B3B" w:rsidRPr="002D57D3" w:rsidRDefault="00464B3B" w:rsidP="00464B3B">
            <w:pPr>
              <w:jc w:val="right"/>
              <w:rPr>
                <w:rFonts w:eastAsia="Times New Roman" w:cs="Times New Roman"/>
                <w:color w:val="000000" w:themeColor="text1"/>
                <w:sz w:val="20"/>
                <w:szCs w:val="20"/>
                <w:lang w:eastAsia="nl-NL"/>
              </w:rPr>
            </w:pPr>
          </w:p>
        </w:tc>
        <w:tc>
          <w:tcPr>
            <w:tcW w:w="998" w:type="dxa"/>
            <w:tcBorders>
              <w:top w:val="single" w:sz="4" w:space="0" w:color="auto"/>
              <w:left w:val="single" w:sz="4" w:space="0" w:color="auto"/>
              <w:bottom w:val="single" w:sz="4" w:space="0" w:color="auto"/>
              <w:right w:val="single" w:sz="4" w:space="0" w:color="auto"/>
            </w:tcBorders>
            <w:noWrap/>
          </w:tcPr>
          <w:p w14:paraId="51980E59"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0" w:type="dxa"/>
            <w:tcBorders>
              <w:top w:val="single" w:sz="4" w:space="0" w:color="auto"/>
              <w:left w:val="single" w:sz="4" w:space="0" w:color="auto"/>
              <w:bottom w:val="single" w:sz="4" w:space="0" w:color="auto"/>
              <w:right w:val="single" w:sz="4" w:space="0" w:color="auto"/>
            </w:tcBorders>
          </w:tcPr>
          <w:p w14:paraId="516B4712" w14:textId="77777777" w:rsidR="00464B3B" w:rsidRPr="002D57D3" w:rsidRDefault="00464B3B" w:rsidP="00464B3B">
            <w:pPr>
              <w:jc w:val="right"/>
              <w:rPr>
                <w:rFonts w:eastAsia="Times New Roman" w:cs="Times New Roman"/>
                <w:color w:val="000000" w:themeColor="text1"/>
                <w:sz w:val="20"/>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B92561B" w14:textId="77777777" w:rsidR="00464B3B" w:rsidRPr="002D57D3" w:rsidRDefault="00464B3B" w:rsidP="00464B3B">
            <w:pPr>
              <w:jc w:val="right"/>
              <w:rPr>
                <w:rFonts w:eastAsia="Times New Roman" w:cs="Times New Roman"/>
                <w:color w:val="000000" w:themeColor="text1"/>
                <w:sz w:val="20"/>
                <w:szCs w:val="20"/>
                <w:lang w:eastAsia="nl-NL"/>
              </w:rPr>
            </w:pPr>
          </w:p>
        </w:tc>
        <w:tc>
          <w:tcPr>
            <w:tcW w:w="992" w:type="dxa"/>
            <w:tcBorders>
              <w:top w:val="single" w:sz="4" w:space="0" w:color="auto"/>
              <w:left w:val="single" w:sz="4" w:space="0" w:color="auto"/>
              <w:bottom w:val="single" w:sz="4" w:space="0" w:color="auto"/>
              <w:right w:val="single" w:sz="4" w:space="0" w:color="auto"/>
            </w:tcBorders>
          </w:tcPr>
          <w:p w14:paraId="57FE181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0.2</w:t>
            </w:r>
          </w:p>
        </w:tc>
      </w:tr>
      <w:tr w:rsidR="00464B3B" w14:paraId="41C3817C"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0D2E650D" w14:textId="77777777" w:rsidR="00464B3B" w:rsidRPr="002D57D3" w:rsidRDefault="00464B3B" w:rsidP="00464B3B">
            <w:pPr>
              <w:rPr>
                <w:rFonts w:eastAsia="Times New Roman" w:cs="Times New Roman"/>
                <w:b/>
                <w:bCs/>
                <w:caps/>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47E75E9E"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0</w:t>
            </w:r>
          </w:p>
        </w:tc>
        <w:tc>
          <w:tcPr>
            <w:tcW w:w="1417" w:type="dxa"/>
            <w:tcBorders>
              <w:top w:val="single" w:sz="4" w:space="0" w:color="auto"/>
              <w:left w:val="single" w:sz="4" w:space="0" w:color="auto"/>
              <w:bottom w:val="single" w:sz="4" w:space="0" w:color="auto"/>
              <w:right w:val="single" w:sz="4" w:space="0" w:color="auto"/>
            </w:tcBorders>
            <w:noWrap/>
            <w:hideMark/>
          </w:tcPr>
          <w:p w14:paraId="1225A466"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19</w:t>
            </w:r>
          </w:p>
        </w:tc>
        <w:tc>
          <w:tcPr>
            <w:tcW w:w="992" w:type="dxa"/>
            <w:tcBorders>
              <w:top w:val="single" w:sz="4" w:space="0" w:color="auto"/>
              <w:left w:val="single" w:sz="4" w:space="0" w:color="auto"/>
              <w:bottom w:val="single" w:sz="4" w:space="0" w:color="auto"/>
              <w:right w:val="single" w:sz="4" w:space="0" w:color="auto"/>
            </w:tcBorders>
            <w:noWrap/>
            <w:hideMark/>
          </w:tcPr>
          <w:p w14:paraId="49209E18"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(30.6)</w:t>
            </w:r>
          </w:p>
        </w:tc>
        <w:tc>
          <w:tcPr>
            <w:tcW w:w="1417" w:type="dxa"/>
            <w:tcBorders>
              <w:top w:val="single" w:sz="4" w:space="0" w:color="auto"/>
              <w:left w:val="single" w:sz="4" w:space="0" w:color="auto"/>
              <w:bottom w:val="single" w:sz="4" w:space="0" w:color="auto"/>
              <w:right w:val="single" w:sz="4" w:space="0" w:color="auto"/>
            </w:tcBorders>
            <w:noWrap/>
          </w:tcPr>
          <w:p w14:paraId="035DCBAD"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7</w:t>
            </w:r>
          </w:p>
        </w:tc>
        <w:tc>
          <w:tcPr>
            <w:tcW w:w="998" w:type="dxa"/>
            <w:tcBorders>
              <w:top w:val="single" w:sz="4" w:space="0" w:color="auto"/>
              <w:left w:val="single" w:sz="4" w:space="0" w:color="auto"/>
              <w:bottom w:val="single" w:sz="4" w:space="0" w:color="auto"/>
              <w:right w:val="single" w:sz="4" w:space="0" w:color="auto"/>
            </w:tcBorders>
            <w:noWrap/>
          </w:tcPr>
          <w:p w14:paraId="405B4DDE"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(28)</w:t>
            </w:r>
          </w:p>
        </w:tc>
        <w:tc>
          <w:tcPr>
            <w:tcW w:w="1270" w:type="dxa"/>
            <w:tcBorders>
              <w:top w:val="single" w:sz="4" w:space="0" w:color="auto"/>
              <w:left w:val="single" w:sz="4" w:space="0" w:color="auto"/>
              <w:bottom w:val="single" w:sz="4" w:space="0" w:color="auto"/>
              <w:right w:val="single" w:sz="4" w:space="0" w:color="auto"/>
            </w:tcBorders>
          </w:tcPr>
          <w:p w14:paraId="09C702F6"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12</w:t>
            </w:r>
          </w:p>
        </w:tc>
        <w:tc>
          <w:tcPr>
            <w:tcW w:w="1276" w:type="dxa"/>
            <w:tcBorders>
              <w:top w:val="single" w:sz="4" w:space="0" w:color="auto"/>
              <w:left w:val="single" w:sz="4" w:space="0" w:color="auto"/>
              <w:bottom w:val="single" w:sz="4" w:space="0" w:color="auto"/>
              <w:right w:val="single" w:sz="4" w:space="0" w:color="auto"/>
            </w:tcBorders>
          </w:tcPr>
          <w:p w14:paraId="32C94B85"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(32.43)</w:t>
            </w:r>
          </w:p>
        </w:tc>
        <w:tc>
          <w:tcPr>
            <w:tcW w:w="992" w:type="dxa"/>
            <w:tcBorders>
              <w:top w:val="single" w:sz="4" w:space="0" w:color="auto"/>
              <w:left w:val="single" w:sz="4" w:space="0" w:color="auto"/>
              <w:bottom w:val="single" w:sz="4" w:space="0" w:color="auto"/>
              <w:right w:val="single" w:sz="4" w:space="0" w:color="auto"/>
            </w:tcBorders>
          </w:tcPr>
          <w:p w14:paraId="6F62F0F9" w14:textId="77777777" w:rsidR="00464B3B" w:rsidRDefault="00464B3B" w:rsidP="00464B3B">
            <w:pPr>
              <w:jc w:val="right"/>
              <w:rPr>
                <w:rFonts w:eastAsia="Times New Roman" w:cs="Times New Roman"/>
                <w:color w:val="000000" w:themeColor="text1"/>
                <w:sz w:val="20"/>
                <w:szCs w:val="20"/>
                <w:lang w:eastAsia="nl-NL"/>
              </w:rPr>
            </w:pPr>
          </w:p>
        </w:tc>
      </w:tr>
      <w:tr w:rsidR="00464B3B" w14:paraId="1337E72D"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044B43CC" w14:textId="77777777" w:rsidR="00464B3B" w:rsidRPr="002D57D3" w:rsidRDefault="00464B3B" w:rsidP="00464B3B">
            <w:pPr>
              <w:rPr>
                <w:rFonts w:eastAsia="Times New Roman" w:cs="Times New Roman"/>
                <w:b/>
                <w:bCs/>
                <w:caps/>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5674A31A" w14:textId="77777777" w:rsidR="00464B3B" w:rsidRPr="002D57D3" w:rsidRDefault="00464B3B" w:rsidP="00464B3B">
            <w:pPr>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w:t>
            </w:r>
          </w:p>
        </w:tc>
        <w:tc>
          <w:tcPr>
            <w:tcW w:w="1417" w:type="dxa"/>
            <w:tcBorders>
              <w:top w:val="single" w:sz="4" w:space="0" w:color="auto"/>
              <w:left w:val="single" w:sz="4" w:space="0" w:color="auto"/>
              <w:bottom w:val="single" w:sz="4" w:space="0" w:color="auto"/>
              <w:right w:val="single" w:sz="4" w:space="0" w:color="auto"/>
            </w:tcBorders>
            <w:noWrap/>
            <w:hideMark/>
          </w:tcPr>
          <w:p w14:paraId="53A20CE9"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27</w:t>
            </w:r>
          </w:p>
        </w:tc>
        <w:tc>
          <w:tcPr>
            <w:tcW w:w="992" w:type="dxa"/>
            <w:tcBorders>
              <w:top w:val="single" w:sz="4" w:space="0" w:color="auto"/>
              <w:left w:val="single" w:sz="4" w:space="0" w:color="auto"/>
              <w:bottom w:val="single" w:sz="4" w:space="0" w:color="auto"/>
              <w:right w:val="single" w:sz="4" w:space="0" w:color="auto"/>
            </w:tcBorders>
            <w:noWrap/>
            <w:hideMark/>
          </w:tcPr>
          <w:p w14:paraId="0AD63923"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(43.5)</w:t>
            </w:r>
          </w:p>
        </w:tc>
        <w:tc>
          <w:tcPr>
            <w:tcW w:w="1417" w:type="dxa"/>
            <w:tcBorders>
              <w:top w:val="single" w:sz="4" w:space="0" w:color="auto"/>
              <w:left w:val="single" w:sz="4" w:space="0" w:color="auto"/>
              <w:bottom w:val="single" w:sz="4" w:space="0" w:color="auto"/>
              <w:right w:val="single" w:sz="4" w:space="0" w:color="auto"/>
            </w:tcBorders>
            <w:noWrap/>
          </w:tcPr>
          <w:p w14:paraId="575ABC2B"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8</w:t>
            </w:r>
          </w:p>
        </w:tc>
        <w:tc>
          <w:tcPr>
            <w:tcW w:w="998" w:type="dxa"/>
            <w:tcBorders>
              <w:top w:val="single" w:sz="4" w:space="0" w:color="auto"/>
              <w:left w:val="single" w:sz="4" w:space="0" w:color="auto"/>
              <w:bottom w:val="single" w:sz="4" w:space="0" w:color="auto"/>
              <w:right w:val="single" w:sz="4" w:space="0" w:color="auto"/>
            </w:tcBorders>
            <w:noWrap/>
          </w:tcPr>
          <w:p w14:paraId="4EF1B043"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(32)</w:t>
            </w:r>
          </w:p>
        </w:tc>
        <w:tc>
          <w:tcPr>
            <w:tcW w:w="1270" w:type="dxa"/>
            <w:tcBorders>
              <w:top w:val="single" w:sz="4" w:space="0" w:color="auto"/>
              <w:left w:val="single" w:sz="4" w:space="0" w:color="auto"/>
              <w:bottom w:val="single" w:sz="4" w:space="0" w:color="auto"/>
              <w:right w:val="single" w:sz="4" w:space="0" w:color="auto"/>
            </w:tcBorders>
          </w:tcPr>
          <w:p w14:paraId="2903D0B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19</w:t>
            </w:r>
          </w:p>
        </w:tc>
        <w:tc>
          <w:tcPr>
            <w:tcW w:w="1276" w:type="dxa"/>
            <w:tcBorders>
              <w:top w:val="single" w:sz="4" w:space="0" w:color="auto"/>
              <w:left w:val="single" w:sz="4" w:space="0" w:color="auto"/>
              <w:bottom w:val="single" w:sz="4" w:space="0" w:color="auto"/>
              <w:right w:val="single" w:sz="4" w:space="0" w:color="auto"/>
            </w:tcBorders>
          </w:tcPr>
          <w:p w14:paraId="126B8056"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(51.35)</w:t>
            </w:r>
          </w:p>
        </w:tc>
        <w:tc>
          <w:tcPr>
            <w:tcW w:w="992" w:type="dxa"/>
            <w:tcBorders>
              <w:top w:val="single" w:sz="4" w:space="0" w:color="auto"/>
              <w:left w:val="single" w:sz="4" w:space="0" w:color="auto"/>
              <w:bottom w:val="single" w:sz="4" w:space="0" w:color="auto"/>
              <w:right w:val="single" w:sz="4" w:space="0" w:color="auto"/>
            </w:tcBorders>
          </w:tcPr>
          <w:p w14:paraId="41271405" w14:textId="77777777" w:rsidR="00464B3B" w:rsidRDefault="00464B3B" w:rsidP="00464B3B">
            <w:pPr>
              <w:jc w:val="right"/>
              <w:rPr>
                <w:rFonts w:eastAsia="Times New Roman" w:cs="Times New Roman"/>
                <w:color w:val="000000" w:themeColor="text1"/>
                <w:sz w:val="20"/>
                <w:szCs w:val="20"/>
                <w:lang w:eastAsia="nl-NL"/>
              </w:rPr>
            </w:pPr>
          </w:p>
        </w:tc>
      </w:tr>
      <w:tr w:rsidR="00464B3B" w14:paraId="6C2CD485" w14:textId="77777777" w:rsidTr="00464B3B">
        <w:trPr>
          <w:trHeight w:val="21"/>
        </w:trPr>
        <w:tc>
          <w:tcPr>
            <w:tcW w:w="419" w:type="dxa"/>
            <w:tcBorders>
              <w:top w:val="single" w:sz="4" w:space="0" w:color="auto"/>
              <w:left w:val="single" w:sz="4" w:space="0" w:color="auto"/>
              <w:bottom w:val="single" w:sz="4" w:space="0" w:color="auto"/>
              <w:right w:val="single" w:sz="4" w:space="0" w:color="auto"/>
            </w:tcBorders>
            <w:noWrap/>
          </w:tcPr>
          <w:p w14:paraId="62AC5747" w14:textId="77777777" w:rsidR="00464B3B" w:rsidRPr="002D57D3" w:rsidRDefault="00464B3B" w:rsidP="00464B3B">
            <w:pPr>
              <w:rPr>
                <w:rFonts w:eastAsia="Times New Roman" w:cs="Times New Roman"/>
                <w:b/>
                <w:bCs/>
                <w:caps/>
                <w:color w:val="000000" w:themeColor="text1"/>
                <w:sz w:val="20"/>
                <w:szCs w:val="20"/>
                <w:lang w:eastAsia="nl-NL"/>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089D25E6" w14:textId="77777777" w:rsidR="00464B3B" w:rsidRPr="002D57D3" w:rsidRDefault="00464B3B" w:rsidP="00464B3B">
            <w:pPr>
              <w:rPr>
                <w:rFonts w:eastAsia="Times New Roman" w:cs="Times New Roman"/>
                <w:color w:val="000000" w:themeColor="text1"/>
                <w:sz w:val="20"/>
                <w:szCs w:val="20"/>
                <w:lang w:eastAsia="nl-NL"/>
              </w:rPr>
            </w:pPr>
            <w:r>
              <w:rPr>
                <w:rFonts w:eastAsia="Times New Roman" w:cstheme="minorHAnsi"/>
                <w:color w:val="000000" w:themeColor="text1"/>
                <w:sz w:val="20"/>
                <w:szCs w:val="20"/>
                <w:lang w:eastAsia="nl-NL"/>
              </w:rPr>
              <w:t>≥</w:t>
            </w:r>
            <w:r w:rsidRPr="002D57D3">
              <w:rPr>
                <w:rFonts w:eastAsia="Times New Roman" w:cs="Times New Roman"/>
                <w:color w:val="000000" w:themeColor="text1"/>
                <w:sz w:val="20"/>
                <w:szCs w:val="20"/>
                <w:lang w:eastAsia="nl-NL"/>
              </w:rPr>
              <w:t xml:space="preserve">2 </w:t>
            </w:r>
          </w:p>
        </w:tc>
        <w:tc>
          <w:tcPr>
            <w:tcW w:w="1417" w:type="dxa"/>
            <w:tcBorders>
              <w:top w:val="single" w:sz="4" w:space="0" w:color="auto"/>
              <w:left w:val="single" w:sz="4" w:space="0" w:color="auto"/>
              <w:bottom w:val="single" w:sz="4" w:space="0" w:color="auto"/>
              <w:right w:val="single" w:sz="4" w:space="0" w:color="auto"/>
            </w:tcBorders>
            <w:noWrap/>
            <w:hideMark/>
          </w:tcPr>
          <w:p w14:paraId="0FC399A3"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16</w:t>
            </w:r>
          </w:p>
        </w:tc>
        <w:tc>
          <w:tcPr>
            <w:tcW w:w="992" w:type="dxa"/>
            <w:tcBorders>
              <w:top w:val="single" w:sz="4" w:space="0" w:color="auto"/>
              <w:left w:val="single" w:sz="4" w:space="0" w:color="auto"/>
              <w:bottom w:val="single" w:sz="4" w:space="0" w:color="auto"/>
              <w:right w:val="single" w:sz="4" w:space="0" w:color="auto"/>
            </w:tcBorders>
            <w:noWrap/>
            <w:hideMark/>
          </w:tcPr>
          <w:p w14:paraId="5DE9B4B7" w14:textId="77777777" w:rsidR="00464B3B" w:rsidRPr="002D57D3" w:rsidRDefault="00464B3B" w:rsidP="00464B3B">
            <w:pPr>
              <w:jc w:val="right"/>
              <w:rPr>
                <w:rFonts w:eastAsia="Times New Roman" w:cs="Times New Roman"/>
                <w:color w:val="000000" w:themeColor="text1"/>
                <w:sz w:val="20"/>
                <w:szCs w:val="20"/>
                <w:lang w:eastAsia="nl-NL"/>
              </w:rPr>
            </w:pPr>
            <w:r w:rsidRPr="002D57D3">
              <w:rPr>
                <w:rFonts w:eastAsia="Times New Roman" w:cs="Times New Roman"/>
                <w:color w:val="000000" w:themeColor="text1"/>
                <w:sz w:val="20"/>
                <w:szCs w:val="20"/>
                <w:lang w:eastAsia="nl-NL"/>
              </w:rPr>
              <w:t>(25.8)</w:t>
            </w:r>
          </w:p>
        </w:tc>
        <w:tc>
          <w:tcPr>
            <w:tcW w:w="1417" w:type="dxa"/>
            <w:tcBorders>
              <w:top w:val="single" w:sz="4" w:space="0" w:color="auto"/>
              <w:left w:val="single" w:sz="4" w:space="0" w:color="auto"/>
              <w:bottom w:val="single" w:sz="4" w:space="0" w:color="auto"/>
              <w:right w:val="single" w:sz="4" w:space="0" w:color="auto"/>
            </w:tcBorders>
            <w:noWrap/>
          </w:tcPr>
          <w:p w14:paraId="69C6BAA7"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10</w:t>
            </w:r>
          </w:p>
        </w:tc>
        <w:tc>
          <w:tcPr>
            <w:tcW w:w="998" w:type="dxa"/>
            <w:tcBorders>
              <w:top w:val="single" w:sz="4" w:space="0" w:color="auto"/>
              <w:left w:val="single" w:sz="4" w:space="0" w:color="auto"/>
              <w:bottom w:val="single" w:sz="4" w:space="0" w:color="auto"/>
              <w:right w:val="single" w:sz="4" w:space="0" w:color="auto"/>
            </w:tcBorders>
            <w:noWrap/>
          </w:tcPr>
          <w:p w14:paraId="07F38146"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(40)</w:t>
            </w:r>
          </w:p>
        </w:tc>
        <w:tc>
          <w:tcPr>
            <w:tcW w:w="1270" w:type="dxa"/>
            <w:tcBorders>
              <w:top w:val="single" w:sz="4" w:space="0" w:color="auto"/>
              <w:left w:val="single" w:sz="4" w:space="0" w:color="auto"/>
              <w:bottom w:val="single" w:sz="4" w:space="0" w:color="auto"/>
              <w:right w:val="single" w:sz="4" w:space="0" w:color="auto"/>
            </w:tcBorders>
          </w:tcPr>
          <w:p w14:paraId="23B2FD6C"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6</w:t>
            </w:r>
          </w:p>
        </w:tc>
        <w:tc>
          <w:tcPr>
            <w:tcW w:w="1276" w:type="dxa"/>
            <w:tcBorders>
              <w:top w:val="single" w:sz="4" w:space="0" w:color="auto"/>
              <w:left w:val="single" w:sz="4" w:space="0" w:color="auto"/>
              <w:bottom w:val="single" w:sz="4" w:space="0" w:color="auto"/>
              <w:right w:val="single" w:sz="4" w:space="0" w:color="auto"/>
            </w:tcBorders>
          </w:tcPr>
          <w:p w14:paraId="24B0EB68" w14:textId="77777777" w:rsidR="00464B3B" w:rsidRPr="002D57D3" w:rsidRDefault="00464B3B" w:rsidP="00464B3B">
            <w:pPr>
              <w:jc w:val="right"/>
              <w:rPr>
                <w:rFonts w:eastAsia="Times New Roman" w:cs="Times New Roman"/>
                <w:color w:val="000000" w:themeColor="text1"/>
                <w:sz w:val="20"/>
                <w:szCs w:val="20"/>
                <w:lang w:eastAsia="nl-NL"/>
              </w:rPr>
            </w:pPr>
            <w:r>
              <w:rPr>
                <w:rFonts w:eastAsia="Times New Roman" w:cs="Times New Roman"/>
                <w:color w:val="000000" w:themeColor="text1"/>
                <w:sz w:val="20"/>
                <w:szCs w:val="20"/>
                <w:lang w:eastAsia="nl-NL"/>
              </w:rPr>
              <w:t>(16.22)</w:t>
            </w:r>
          </w:p>
        </w:tc>
        <w:tc>
          <w:tcPr>
            <w:tcW w:w="992" w:type="dxa"/>
            <w:tcBorders>
              <w:top w:val="single" w:sz="4" w:space="0" w:color="auto"/>
              <w:left w:val="single" w:sz="4" w:space="0" w:color="auto"/>
              <w:bottom w:val="single" w:sz="4" w:space="0" w:color="auto"/>
              <w:right w:val="single" w:sz="4" w:space="0" w:color="auto"/>
            </w:tcBorders>
          </w:tcPr>
          <w:p w14:paraId="3243C016" w14:textId="77777777" w:rsidR="00464B3B" w:rsidRDefault="00464B3B" w:rsidP="00464B3B">
            <w:pPr>
              <w:jc w:val="right"/>
              <w:rPr>
                <w:rFonts w:eastAsia="Times New Roman" w:cs="Times New Roman"/>
                <w:color w:val="000000" w:themeColor="text1"/>
                <w:sz w:val="20"/>
                <w:szCs w:val="20"/>
                <w:lang w:eastAsia="nl-NL"/>
              </w:rPr>
            </w:pPr>
          </w:p>
        </w:tc>
      </w:tr>
      <w:tr w:rsidR="00464B3B" w14:paraId="7751A1CA" w14:textId="77777777" w:rsidTr="00464B3B">
        <w:trPr>
          <w:trHeight w:val="21"/>
        </w:trPr>
        <w:tc>
          <w:tcPr>
            <w:tcW w:w="11761" w:type="dxa"/>
            <w:gridSpan w:val="9"/>
            <w:tcBorders>
              <w:top w:val="single" w:sz="4" w:space="0" w:color="auto"/>
              <w:left w:val="nil"/>
              <w:bottom w:val="nil"/>
              <w:right w:val="nil"/>
            </w:tcBorders>
          </w:tcPr>
          <w:p w14:paraId="0EE1EBEE" w14:textId="77777777" w:rsidR="00464B3B" w:rsidRDefault="00464B3B" w:rsidP="00464B3B">
            <w:pPr>
              <w:rPr>
                <w:b/>
                <w:color w:val="000000" w:themeColor="text1"/>
              </w:rPr>
            </w:pPr>
            <w:r w:rsidRPr="00BB4AC5">
              <w:rPr>
                <w:color w:val="000000" w:themeColor="text1"/>
                <w:sz w:val="20"/>
              </w:rPr>
              <w:t>Abbreviations: BMI=Body Mass Index; BSA=Body Surface Area; WHO=World Health Organization, IQR: interquartile range)</w:t>
            </w:r>
          </w:p>
        </w:tc>
        <w:tc>
          <w:tcPr>
            <w:tcW w:w="992" w:type="dxa"/>
            <w:tcBorders>
              <w:top w:val="single" w:sz="4" w:space="0" w:color="auto"/>
              <w:left w:val="nil"/>
              <w:bottom w:val="nil"/>
              <w:right w:val="nil"/>
            </w:tcBorders>
          </w:tcPr>
          <w:p w14:paraId="0C24B573" w14:textId="77777777" w:rsidR="00464B3B" w:rsidRDefault="00464B3B" w:rsidP="00464B3B">
            <w:pPr>
              <w:rPr>
                <w:color w:val="000000" w:themeColor="text1"/>
              </w:rPr>
            </w:pPr>
          </w:p>
        </w:tc>
      </w:tr>
    </w:tbl>
    <w:p w14:paraId="6DA225BF" w14:textId="3DDBF103" w:rsidR="00CE647C" w:rsidRDefault="00CE647C" w:rsidP="00C93591">
      <w:pPr>
        <w:spacing w:after="0"/>
        <w:rPr>
          <w:b/>
        </w:rPr>
      </w:pPr>
    </w:p>
    <w:p w14:paraId="7DF018A9" w14:textId="77777777" w:rsidR="00CE647C" w:rsidRDefault="00CE647C" w:rsidP="002A3A8C">
      <w:pPr>
        <w:rPr>
          <w:b/>
        </w:rPr>
      </w:pPr>
    </w:p>
    <w:p w14:paraId="73FF30A2" w14:textId="77777777" w:rsidR="00CE647C" w:rsidRDefault="00CE647C" w:rsidP="002A3A8C">
      <w:pPr>
        <w:rPr>
          <w:b/>
        </w:rPr>
      </w:pPr>
    </w:p>
    <w:p w14:paraId="498EAA3B" w14:textId="77777777" w:rsidR="00CE647C" w:rsidRDefault="00CE647C" w:rsidP="002A3A8C">
      <w:pPr>
        <w:rPr>
          <w:b/>
        </w:rPr>
      </w:pPr>
    </w:p>
    <w:p w14:paraId="13BE81E0" w14:textId="77777777" w:rsidR="00CE647C" w:rsidRDefault="00CE647C" w:rsidP="002A3A8C">
      <w:pPr>
        <w:rPr>
          <w:b/>
        </w:rPr>
      </w:pPr>
    </w:p>
    <w:p w14:paraId="3C88B505" w14:textId="77777777" w:rsidR="00CE647C" w:rsidRDefault="00CE647C" w:rsidP="002A3A8C">
      <w:pPr>
        <w:rPr>
          <w:b/>
        </w:rPr>
      </w:pPr>
    </w:p>
    <w:p w14:paraId="7021CA80" w14:textId="77777777" w:rsidR="00CE647C" w:rsidRDefault="00CE647C" w:rsidP="002A3A8C">
      <w:pPr>
        <w:rPr>
          <w:b/>
        </w:rPr>
      </w:pPr>
    </w:p>
    <w:p w14:paraId="6D50B26A" w14:textId="77777777" w:rsidR="00CE647C" w:rsidRDefault="00CE647C" w:rsidP="002A3A8C">
      <w:pPr>
        <w:rPr>
          <w:b/>
        </w:rPr>
      </w:pPr>
    </w:p>
    <w:p w14:paraId="7120B4A8" w14:textId="77777777" w:rsidR="00CE647C" w:rsidRDefault="00CE647C" w:rsidP="002A3A8C">
      <w:pPr>
        <w:rPr>
          <w:b/>
        </w:rPr>
      </w:pPr>
    </w:p>
    <w:p w14:paraId="637EBBC9" w14:textId="77777777" w:rsidR="00CE647C" w:rsidRDefault="00CE647C" w:rsidP="002A3A8C">
      <w:pPr>
        <w:rPr>
          <w:b/>
        </w:rPr>
      </w:pPr>
    </w:p>
    <w:p w14:paraId="0F8B44B1" w14:textId="77777777" w:rsidR="00CE647C" w:rsidRDefault="00CE647C" w:rsidP="002A3A8C">
      <w:pPr>
        <w:rPr>
          <w:b/>
        </w:rPr>
      </w:pPr>
    </w:p>
    <w:p w14:paraId="0B222BD7" w14:textId="77777777" w:rsidR="00CE647C" w:rsidRDefault="00CE647C" w:rsidP="002A3A8C">
      <w:pPr>
        <w:rPr>
          <w:b/>
        </w:rPr>
      </w:pPr>
    </w:p>
    <w:p w14:paraId="33E3310A" w14:textId="77777777" w:rsidR="00CE647C" w:rsidRDefault="00CE647C" w:rsidP="002A3A8C">
      <w:pPr>
        <w:rPr>
          <w:b/>
        </w:rPr>
      </w:pPr>
    </w:p>
    <w:p w14:paraId="46B37649" w14:textId="77777777" w:rsidR="00CE647C" w:rsidRDefault="00CE647C" w:rsidP="002A3A8C">
      <w:pPr>
        <w:rPr>
          <w:b/>
        </w:rPr>
      </w:pPr>
      <w:r>
        <w:rPr>
          <w:b/>
        </w:rPr>
        <w:br w:type="page"/>
      </w:r>
    </w:p>
    <w:p w14:paraId="7E6F183C" w14:textId="18927C33" w:rsidR="002A3A8C" w:rsidRPr="00DC14E1" w:rsidRDefault="002A3A8C" w:rsidP="0094048F">
      <w:pPr>
        <w:spacing w:after="0"/>
        <w:rPr>
          <w:b/>
        </w:rPr>
      </w:pPr>
      <w:r w:rsidRPr="00DC14E1">
        <w:rPr>
          <w:b/>
        </w:rPr>
        <w:t>Result of subgroup analysis between CHD-pemetrexed and CHD-</w:t>
      </w:r>
      <w:r>
        <w:rPr>
          <w:b/>
        </w:rPr>
        <w:t>gemcitabine</w:t>
      </w:r>
    </w:p>
    <w:p w14:paraId="73865DEA" w14:textId="77777777" w:rsidR="002A3A8C" w:rsidRPr="006329A9" w:rsidRDefault="002A3A8C" w:rsidP="006329A9">
      <w:pPr>
        <w:pStyle w:val="ListParagraph"/>
        <w:numPr>
          <w:ilvl w:val="0"/>
          <w:numId w:val="8"/>
        </w:numPr>
        <w:rPr>
          <w:b/>
        </w:rPr>
      </w:pPr>
      <w:r w:rsidRPr="006329A9">
        <w:t xml:space="preserve">Difference in cisplatin </w:t>
      </w:r>
      <w:r w:rsidRPr="00F04354">
        <w:t xml:space="preserve">cumulative dose </w:t>
      </w:r>
      <w:r w:rsidRPr="006329A9">
        <w:t xml:space="preserve">between CHD-pemetrexed and CHD-gemcitabine didn’t </w:t>
      </w:r>
      <w:r w:rsidRPr="00F04354">
        <w:t>alter the risk of myelotoxicity and nephrotoxicity in both groups</w:t>
      </w:r>
      <w:r w:rsidRPr="006329A9">
        <w:t>. N</w:t>
      </w:r>
      <w:r w:rsidRPr="00F04354">
        <w:t>o</w:t>
      </w:r>
      <w:r w:rsidRPr="00DC14E1">
        <w:t xml:space="preserve"> significant differences in cisplatin cumulative dose between patient receiving CHD+pemetrexed and CHD-gemcitabine (median (IQR) = 225 (98.44); median (IQR) = 240 (100) p=0.165).</w:t>
      </w:r>
    </w:p>
    <w:p w14:paraId="0953E285" w14:textId="6432AF1A" w:rsidR="002A3A8C" w:rsidRDefault="002A3A8C" w:rsidP="002A3A8C">
      <w:pPr>
        <w:pStyle w:val="ListParagraph"/>
        <w:numPr>
          <w:ilvl w:val="0"/>
          <w:numId w:val="8"/>
        </w:numPr>
      </w:pPr>
      <w:r>
        <w:t>Differences in antineoplastic combination (gemcitabine and pemetrexed) alter the risk of myelotoxicity and nephrotoxicity. CHD-gemcitabine combination has higher risk of ≥grade 2 leukopenia, neutropenia, and chronic nephrotoxicity than CHD-pemetrexed combination.</w:t>
      </w:r>
    </w:p>
    <w:p w14:paraId="2B2F1F72" w14:textId="7DE2AE63" w:rsidR="002A3A8C" w:rsidRDefault="002A3A8C" w:rsidP="006329A9">
      <w:pPr>
        <w:pStyle w:val="Caption"/>
        <w:keepNext/>
        <w:spacing w:before="120" w:after="0"/>
        <w:ind w:left="720"/>
        <w:rPr>
          <w:noProof/>
          <w:color w:val="auto"/>
          <w:sz w:val="22"/>
          <w:szCs w:val="22"/>
          <w:lang w:val="en-US"/>
        </w:rPr>
      </w:pPr>
      <w:r>
        <w:rPr>
          <w:color w:val="auto"/>
          <w:sz w:val="22"/>
          <w:szCs w:val="22"/>
          <w:lang w:val="en-US"/>
        </w:rPr>
        <w:t xml:space="preserve">Table </w:t>
      </w:r>
      <w:r w:rsidR="00F04354">
        <w:rPr>
          <w:color w:val="auto"/>
          <w:sz w:val="22"/>
          <w:szCs w:val="22"/>
          <w:lang w:val="en-US"/>
        </w:rPr>
        <w:t>S</w:t>
      </w:r>
      <w:r w:rsidR="00AE7F34">
        <w:rPr>
          <w:color w:val="auto"/>
          <w:sz w:val="22"/>
          <w:szCs w:val="22"/>
          <w:lang w:val="en-US"/>
        </w:rPr>
        <w:t>2</w:t>
      </w:r>
      <w:r>
        <w:rPr>
          <w:noProof/>
          <w:color w:val="auto"/>
          <w:sz w:val="22"/>
          <w:szCs w:val="22"/>
          <w:lang w:val="en-US"/>
        </w:rPr>
        <w:t>. Occurrence of myelotoxicity and nephrotoxicity per treatment group and relative risk of CHD+pemetrexed compared to CHD+gemcitabine for each toxicity. Toxicity recorded as mild toxicity (grade≥1) and moderate-to-severe toxicity (grade ≥2)</w:t>
      </w:r>
    </w:p>
    <w:tbl>
      <w:tblPr>
        <w:tblStyle w:val="TableGrid"/>
        <w:tblW w:w="9643" w:type="dxa"/>
        <w:tblInd w:w="704" w:type="dxa"/>
        <w:tblLayout w:type="fixed"/>
        <w:tblLook w:val="04A0" w:firstRow="1" w:lastRow="0" w:firstColumn="1" w:lastColumn="0" w:noHBand="0" w:noVBand="1"/>
      </w:tblPr>
      <w:tblGrid>
        <w:gridCol w:w="2126"/>
        <w:gridCol w:w="1275"/>
        <w:gridCol w:w="765"/>
        <w:gridCol w:w="936"/>
        <w:gridCol w:w="765"/>
        <w:gridCol w:w="1083"/>
        <w:gridCol w:w="1066"/>
        <w:gridCol w:w="776"/>
        <w:gridCol w:w="851"/>
      </w:tblGrid>
      <w:tr w:rsidR="00AF474A" w:rsidRPr="00BB4AC5" w14:paraId="57D5D0E0" w14:textId="77777777" w:rsidTr="00E018D1">
        <w:tc>
          <w:tcPr>
            <w:tcW w:w="3401" w:type="dxa"/>
            <w:gridSpan w:val="2"/>
          </w:tcPr>
          <w:p w14:paraId="365BDB6E" w14:textId="77777777" w:rsidR="00AF474A" w:rsidRPr="00BB4AC5" w:rsidRDefault="00AF474A" w:rsidP="00626D18">
            <w:pPr>
              <w:autoSpaceDE w:val="0"/>
              <w:autoSpaceDN w:val="0"/>
              <w:adjustRightInd w:val="0"/>
              <w:jc w:val="center"/>
              <w:rPr>
                <w:rFonts w:cs="Times New Roman"/>
                <w:b/>
                <w:sz w:val="20"/>
                <w:szCs w:val="20"/>
              </w:rPr>
            </w:pPr>
            <w:r w:rsidRPr="00BB4AC5">
              <w:rPr>
                <w:rFonts w:cs="Times New Roman"/>
                <w:b/>
                <w:sz w:val="20"/>
                <w:szCs w:val="20"/>
              </w:rPr>
              <w:t>Toxicities</w:t>
            </w:r>
          </w:p>
        </w:tc>
        <w:tc>
          <w:tcPr>
            <w:tcW w:w="1701" w:type="dxa"/>
            <w:gridSpan w:val="2"/>
            <w:hideMark/>
          </w:tcPr>
          <w:p w14:paraId="7CFDCBC5" w14:textId="77777777" w:rsidR="00AF474A" w:rsidRPr="00BB4AC5" w:rsidRDefault="00AF474A" w:rsidP="00626D18">
            <w:pPr>
              <w:jc w:val="center"/>
              <w:rPr>
                <w:rFonts w:cs="Times New Roman"/>
                <w:b/>
                <w:sz w:val="20"/>
                <w:szCs w:val="20"/>
              </w:rPr>
            </w:pPr>
            <w:r w:rsidRPr="00BB4AC5">
              <w:rPr>
                <w:rFonts w:cs="Times New Roman"/>
                <w:b/>
                <w:sz w:val="20"/>
                <w:szCs w:val="20"/>
              </w:rPr>
              <w:t>CHD+pemetrexed</w:t>
            </w:r>
          </w:p>
          <w:p w14:paraId="2F7F4957" w14:textId="77777777" w:rsidR="00AF474A" w:rsidRPr="00BB4AC5" w:rsidRDefault="00AF474A" w:rsidP="00626D18">
            <w:pPr>
              <w:jc w:val="center"/>
              <w:rPr>
                <w:rFonts w:cs="Times New Roman"/>
                <w:b/>
                <w:sz w:val="20"/>
                <w:szCs w:val="20"/>
              </w:rPr>
            </w:pPr>
            <w:r w:rsidRPr="00BB4AC5">
              <w:rPr>
                <w:rFonts w:cs="Times New Roman"/>
                <w:b/>
                <w:sz w:val="20"/>
                <w:szCs w:val="20"/>
              </w:rPr>
              <w:t>(n=39)</w:t>
            </w:r>
          </w:p>
        </w:tc>
        <w:tc>
          <w:tcPr>
            <w:tcW w:w="1848" w:type="dxa"/>
            <w:gridSpan w:val="2"/>
            <w:hideMark/>
          </w:tcPr>
          <w:p w14:paraId="412D635A" w14:textId="77777777" w:rsidR="00AF474A" w:rsidRPr="00BB4AC5" w:rsidRDefault="00AF474A" w:rsidP="00626D18">
            <w:pPr>
              <w:jc w:val="center"/>
              <w:rPr>
                <w:rFonts w:cs="Times New Roman"/>
                <w:b/>
                <w:sz w:val="20"/>
                <w:szCs w:val="20"/>
              </w:rPr>
            </w:pPr>
            <w:r w:rsidRPr="00BB4AC5">
              <w:rPr>
                <w:rFonts w:cs="Times New Roman"/>
                <w:b/>
                <w:sz w:val="20"/>
                <w:szCs w:val="20"/>
              </w:rPr>
              <w:t>CHD+gemcitabine</w:t>
            </w:r>
          </w:p>
          <w:p w14:paraId="054937E2" w14:textId="77777777" w:rsidR="00AF474A" w:rsidRPr="00BB4AC5" w:rsidRDefault="00AF474A" w:rsidP="00626D18">
            <w:pPr>
              <w:jc w:val="center"/>
              <w:rPr>
                <w:rFonts w:cs="Times New Roman"/>
                <w:b/>
                <w:sz w:val="20"/>
                <w:szCs w:val="20"/>
              </w:rPr>
            </w:pPr>
            <w:r w:rsidRPr="00BB4AC5">
              <w:rPr>
                <w:rFonts w:cs="Times New Roman"/>
                <w:b/>
                <w:sz w:val="20"/>
                <w:szCs w:val="20"/>
              </w:rPr>
              <w:t>(n=11)</w:t>
            </w:r>
          </w:p>
        </w:tc>
        <w:tc>
          <w:tcPr>
            <w:tcW w:w="1066" w:type="dxa"/>
            <w:hideMark/>
          </w:tcPr>
          <w:p w14:paraId="4FF33CAD" w14:textId="77777777" w:rsidR="00AF474A" w:rsidRPr="00BB4AC5" w:rsidRDefault="00AF474A" w:rsidP="00626D18">
            <w:pPr>
              <w:jc w:val="right"/>
              <w:rPr>
                <w:rFonts w:cs="Times New Roman"/>
                <w:b/>
                <w:sz w:val="20"/>
                <w:szCs w:val="20"/>
              </w:rPr>
            </w:pPr>
            <w:r w:rsidRPr="00BB4AC5">
              <w:rPr>
                <w:rFonts w:cs="Times New Roman"/>
                <w:b/>
                <w:sz w:val="20"/>
                <w:szCs w:val="20"/>
              </w:rPr>
              <w:t>adjRR</w:t>
            </w:r>
            <w:r w:rsidRPr="00BB4AC5">
              <w:rPr>
                <w:rFonts w:cs="Times New Roman"/>
                <w:b/>
                <w:sz w:val="20"/>
                <w:szCs w:val="20"/>
                <w:vertAlign w:val="superscript"/>
              </w:rPr>
              <w:t>#</w:t>
            </w:r>
          </w:p>
        </w:tc>
        <w:tc>
          <w:tcPr>
            <w:tcW w:w="1627" w:type="dxa"/>
            <w:gridSpan w:val="2"/>
            <w:hideMark/>
          </w:tcPr>
          <w:p w14:paraId="416B98E8" w14:textId="77777777" w:rsidR="00AF474A" w:rsidRPr="00BB4AC5" w:rsidRDefault="00AF474A" w:rsidP="00626D18">
            <w:pPr>
              <w:jc w:val="center"/>
              <w:rPr>
                <w:rFonts w:cs="Times New Roman"/>
                <w:b/>
                <w:sz w:val="20"/>
                <w:szCs w:val="20"/>
              </w:rPr>
            </w:pPr>
            <w:r w:rsidRPr="00BB4AC5">
              <w:rPr>
                <w:rFonts w:cs="Times New Roman"/>
                <w:b/>
                <w:sz w:val="20"/>
                <w:szCs w:val="20"/>
              </w:rPr>
              <w:t>95% CI</w:t>
            </w:r>
          </w:p>
        </w:tc>
      </w:tr>
      <w:tr w:rsidR="00AF474A" w:rsidRPr="00BB4AC5" w14:paraId="266E48EA" w14:textId="77777777" w:rsidTr="00E018D1">
        <w:tc>
          <w:tcPr>
            <w:tcW w:w="2126" w:type="dxa"/>
            <w:vMerge w:val="restart"/>
            <w:hideMark/>
          </w:tcPr>
          <w:p w14:paraId="40BAFDFD" w14:textId="77777777" w:rsidR="00AF474A" w:rsidRPr="00BB4AC5" w:rsidRDefault="00AF474A" w:rsidP="00626D18">
            <w:pPr>
              <w:autoSpaceDE w:val="0"/>
              <w:autoSpaceDN w:val="0"/>
              <w:adjustRightInd w:val="0"/>
              <w:rPr>
                <w:rFonts w:cs="Times New Roman"/>
                <w:sz w:val="20"/>
                <w:szCs w:val="20"/>
                <w:lang w:val="nl-NL"/>
              </w:rPr>
            </w:pPr>
            <w:r w:rsidRPr="00BB4AC5">
              <w:rPr>
                <w:rFonts w:cs="Times New Roman"/>
                <w:sz w:val="20"/>
                <w:szCs w:val="20"/>
                <w:lang w:val="nl-NL"/>
              </w:rPr>
              <w:t>Anemia</w:t>
            </w:r>
          </w:p>
        </w:tc>
        <w:tc>
          <w:tcPr>
            <w:tcW w:w="1275" w:type="dxa"/>
            <w:hideMark/>
          </w:tcPr>
          <w:p w14:paraId="60AE99DE"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2551B404"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25</w:t>
            </w:r>
          </w:p>
        </w:tc>
        <w:tc>
          <w:tcPr>
            <w:tcW w:w="936" w:type="dxa"/>
          </w:tcPr>
          <w:p w14:paraId="4A73B32D"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64.1%</w:t>
            </w:r>
          </w:p>
        </w:tc>
        <w:tc>
          <w:tcPr>
            <w:tcW w:w="765" w:type="dxa"/>
          </w:tcPr>
          <w:p w14:paraId="53ADA84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8</w:t>
            </w:r>
          </w:p>
        </w:tc>
        <w:tc>
          <w:tcPr>
            <w:tcW w:w="1083" w:type="dxa"/>
          </w:tcPr>
          <w:p w14:paraId="481C9676"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72,7%</w:t>
            </w:r>
          </w:p>
        </w:tc>
        <w:tc>
          <w:tcPr>
            <w:tcW w:w="1066" w:type="dxa"/>
          </w:tcPr>
          <w:p w14:paraId="70F5341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1.10</w:t>
            </w:r>
          </w:p>
        </w:tc>
        <w:tc>
          <w:tcPr>
            <w:tcW w:w="776" w:type="dxa"/>
          </w:tcPr>
          <w:p w14:paraId="09DD66B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0.69</w:t>
            </w:r>
          </w:p>
        </w:tc>
        <w:tc>
          <w:tcPr>
            <w:tcW w:w="851" w:type="dxa"/>
          </w:tcPr>
          <w:p w14:paraId="0DB9A7FD"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1.75</w:t>
            </w:r>
          </w:p>
        </w:tc>
      </w:tr>
      <w:tr w:rsidR="00AF474A" w:rsidRPr="00BB4AC5" w14:paraId="24388A90" w14:textId="77777777" w:rsidTr="00E018D1">
        <w:tc>
          <w:tcPr>
            <w:tcW w:w="2126" w:type="dxa"/>
            <w:vMerge/>
            <w:hideMark/>
          </w:tcPr>
          <w:p w14:paraId="6FEFEEBB" w14:textId="77777777" w:rsidR="00AF474A" w:rsidRPr="00BB4AC5" w:rsidRDefault="00AF474A" w:rsidP="00626D18">
            <w:pPr>
              <w:rPr>
                <w:rFonts w:cs="Times New Roman"/>
                <w:sz w:val="20"/>
                <w:szCs w:val="20"/>
                <w:lang w:val="nl-NL"/>
              </w:rPr>
            </w:pPr>
          </w:p>
        </w:tc>
        <w:tc>
          <w:tcPr>
            <w:tcW w:w="1275" w:type="dxa"/>
            <w:hideMark/>
          </w:tcPr>
          <w:p w14:paraId="62A65ED6"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23912EF5"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11</w:t>
            </w:r>
          </w:p>
        </w:tc>
        <w:tc>
          <w:tcPr>
            <w:tcW w:w="936" w:type="dxa"/>
          </w:tcPr>
          <w:p w14:paraId="13C3201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28,2%</w:t>
            </w:r>
          </w:p>
        </w:tc>
        <w:tc>
          <w:tcPr>
            <w:tcW w:w="765" w:type="dxa"/>
          </w:tcPr>
          <w:p w14:paraId="3FB3810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6</w:t>
            </w:r>
          </w:p>
        </w:tc>
        <w:tc>
          <w:tcPr>
            <w:tcW w:w="1083" w:type="dxa"/>
          </w:tcPr>
          <w:p w14:paraId="6468CAF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54,5%</w:t>
            </w:r>
          </w:p>
        </w:tc>
        <w:tc>
          <w:tcPr>
            <w:tcW w:w="1066" w:type="dxa"/>
          </w:tcPr>
          <w:p w14:paraId="20C46390"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1.91</w:t>
            </w:r>
          </w:p>
        </w:tc>
        <w:tc>
          <w:tcPr>
            <w:tcW w:w="776" w:type="dxa"/>
          </w:tcPr>
          <w:p w14:paraId="292C4BC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0.88</w:t>
            </w:r>
          </w:p>
        </w:tc>
        <w:tc>
          <w:tcPr>
            <w:tcW w:w="851" w:type="dxa"/>
          </w:tcPr>
          <w:p w14:paraId="2362E6AF"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4.14</w:t>
            </w:r>
          </w:p>
        </w:tc>
      </w:tr>
      <w:tr w:rsidR="00AF474A" w:rsidRPr="00BB4AC5" w14:paraId="5D358BF5" w14:textId="77777777" w:rsidTr="00E018D1">
        <w:tc>
          <w:tcPr>
            <w:tcW w:w="2126" w:type="dxa"/>
            <w:vMerge w:val="restart"/>
            <w:hideMark/>
          </w:tcPr>
          <w:p w14:paraId="282878A0" w14:textId="77777777" w:rsidR="00AF474A" w:rsidRPr="00BB4AC5" w:rsidRDefault="00AF474A" w:rsidP="00626D18">
            <w:pPr>
              <w:autoSpaceDE w:val="0"/>
              <w:autoSpaceDN w:val="0"/>
              <w:adjustRightInd w:val="0"/>
              <w:rPr>
                <w:rFonts w:cs="Times New Roman"/>
                <w:sz w:val="20"/>
                <w:szCs w:val="20"/>
                <w:lang w:val="nl-NL"/>
              </w:rPr>
            </w:pPr>
            <w:r w:rsidRPr="00BB4AC5">
              <w:rPr>
                <w:rFonts w:cs="Times New Roman"/>
                <w:sz w:val="20"/>
                <w:szCs w:val="20"/>
                <w:lang w:val="nl-NL"/>
              </w:rPr>
              <w:t>Leukopenia</w:t>
            </w:r>
          </w:p>
        </w:tc>
        <w:tc>
          <w:tcPr>
            <w:tcW w:w="1275" w:type="dxa"/>
            <w:hideMark/>
          </w:tcPr>
          <w:p w14:paraId="33A86273"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5DD5A4D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10</w:t>
            </w:r>
          </w:p>
        </w:tc>
        <w:tc>
          <w:tcPr>
            <w:tcW w:w="936" w:type="dxa"/>
          </w:tcPr>
          <w:p w14:paraId="682124B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25.6%</w:t>
            </w:r>
          </w:p>
        </w:tc>
        <w:tc>
          <w:tcPr>
            <w:tcW w:w="765" w:type="dxa"/>
          </w:tcPr>
          <w:p w14:paraId="5A8985A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w:t>
            </w:r>
          </w:p>
        </w:tc>
        <w:tc>
          <w:tcPr>
            <w:tcW w:w="1083" w:type="dxa"/>
          </w:tcPr>
          <w:p w14:paraId="68D9FC7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18,2%</w:t>
            </w:r>
          </w:p>
        </w:tc>
        <w:tc>
          <w:tcPr>
            <w:tcW w:w="1066" w:type="dxa"/>
          </w:tcPr>
          <w:p w14:paraId="61D8128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0.46</w:t>
            </w:r>
          </w:p>
        </w:tc>
        <w:tc>
          <w:tcPr>
            <w:tcW w:w="776" w:type="dxa"/>
          </w:tcPr>
          <w:p w14:paraId="394B23C7"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0.15</w:t>
            </w:r>
          </w:p>
        </w:tc>
        <w:tc>
          <w:tcPr>
            <w:tcW w:w="851" w:type="dxa"/>
          </w:tcPr>
          <w:p w14:paraId="12A84A42"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1.37</w:t>
            </w:r>
          </w:p>
        </w:tc>
      </w:tr>
      <w:tr w:rsidR="00AF474A" w:rsidRPr="00BB4AC5" w14:paraId="31AEE3A0" w14:textId="77777777" w:rsidTr="00E018D1">
        <w:tc>
          <w:tcPr>
            <w:tcW w:w="2126" w:type="dxa"/>
            <w:vMerge/>
            <w:hideMark/>
          </w:tcPr>
          <w:p w14:paraId="6A4728DE" w14:textId="77777777" w:rsidR="00AF474A" w:rsidRPr="00BB4AC5" w:rsidRDefault="00AF474A" w:rsidP="00626D18">
            <w:pPr>
              <w:rPr>
                <w:rFonts w:cs="Times New Roman"/>
                <w:sz w:val="20"/>
                <w:szCs w:val="20"/>
                <w:lang w:val="nl-NL"/>
              </w:rPr>
            </w:pPr>
          </w:p>
        </w:tc>
        <w:tc>
          <w:tcPr>
            <w:tcW w:w="1275" w:type="dxa"/>
            <w:hideMark/>
          </w:tcPr>
          <w:p w14:paraId="46F7B7F2"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28589CF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4</w:t>
            </w:r>
          </w:p>
        </w:tc>
        <w:tc>
          <w:tcPr>
            <w:tcW w:w="936" w:type="dxa"/>
          </w:tcPr>
          <w:p w14:paraId="6A89EE8A"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10,3%</w:t>
            </w:r>
          </w:p>
        </w:tc>
        <w:tc>
          <w:tcPr>
            <w:tcW w:w="765" w:type="dxa"/>
          </w:tcPr>
          <w:p w14:paraId="48912349"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6</w:t>
            </w:r>
          </w:p>
        </w:tc>
        <w:tc>
          <w:tcPr>
            <w:tcW w:w="1083" w:type="dxa"/>
          </w:tcPr>
          <w:p w14:paraId="03038AB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54,5%</w:t>
            </w:r>
          </w:p>
        </w:tc>
        <w:tc>
          <w:tcPr>
            <w:tcW w:w="1066" w:type="dxa"/>
          </w:tcPr>
          <w:p w14:paraId="38B8903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6.41</w:t>
            </w:r>
          </w:p>
        </w:tc>
        <w:tc>
          <w:tcPr>
            <w:tcW w:w="776" w:type="dxa"/>
          </w:tcPr>
          <w:p w14:paraId="1B81EEE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1.73</w:t>
            </w:r>
          </w:p>
        </w:tc>
        <w:tc>
          <w:tcPr>
            <w:tcW w:w="851" w:type="dxa"/>
          </w:tcPr>
          <w:p w14:paraId="62B76BC9"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23.82</w:t>
            </w:r>
          </w:p>
        </w:tc>
      </w:tr>
      <w:tr w:rsidR="00AF474A" w:rsidRPr="00BB4AC5" w14:paraId="364FBC14" w14:textId="77777777" w:rsidTr="00E018D1">
        <w:tc>
          <w:tcPr>
            <w:tcW w:w="2126" w:type="dxa"/>
            <w:vMerge w:val="restart"/>
            <w:hideMark/>
          </w:tcPr>
          <w:p w14:paraId="1D5F304B" w14:textId="77777777" w:rsidR="00AF474A" w:rsidRPr="00BB4AC5" w:rsidRDefault="00AF474A" w:rsidP="00626D18">
            <w:pPr>
              <w:autoSpaceDE w:val="0"/>
              <w:autoSpaceDN w:val="0"/>
              <w:adjustRightInd w:val="0"/>
              <w:rPr>
                <w:rFonts w:cs="Times New Roman"/>
                <w:sz w:val="20"/>
                <w:szCs w:val="20"/>
                <w:lang w:val="nl-NL"/>
              </w:rPr>
            </w:pPr>
            <w:r w:rsidRPr="00BB4AC5">
              <w:rPr>
                <w:rFonts w:cs="Times New Roman"/>
                <w:sz w:val="20"/>
                <w:szCs w:val="20"/>
                <w:lang w:val="nl-NL"/>
              </w:rPr>
              <w:t>Neutropenia</w:t>
            </w:r>
          </w:p>
        </w:tc>
        <w:tc>
          <w:tcPr>
            <w:tcW w:w="1275" w:type="dxa"/>
            <w:hideMark/>
          </w:tcPr>
          <w:p w14:paraId="67CC6571"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275C82B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14</w:t>
            </w:r>
          </w:p>
        </w:tc>
        <w:tc>
          <w:tcPr>
            <w:tcW w:w="936" w:type="dxa"/>
          </w:tcPr>
          <w:p w14:paraId="2310223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35.9%</w:t>
            </w:r>
          </w:p>
        </w:tc>
        <w:tc>
          <w:tcPr>
            <w:tcW w:w="765" w:type="dxa"/>
          </w:tcPr>
          <w:p w14:paraId="3CFE63FD"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w:t>
            </w:r>
          </w:p>
        </w:tc>
        <w:tc>
          <w:tcPr>
            <w:tcW w:w="1083" w:type="dxa"/>
          </w:tcPr>
          <w:p w14:paraId="064EB4F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45,5%</w:t>
            </w:r>
          </w:p>
        </w:tc>
        <w:tc>
          <w:tcPr>
            <w:tcW w:w="1066" w:type="dxa"/>
          </w:tcPr>
          <w:p w14:paraId="2D5D3E09"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1.19</w:t>
            </w:r>
          </w:p>
        </w:tc>
        <w:tc>
          <w:tcPr>
            <w:tcW w:w="776" w:type="dxa"/>
          </w:tcPr>
          <w:p w14:paraId="6D21B8F5"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0.52</w:t>
            </w:r>
          </w:p>
        </w:tc>
        <w:tc>
          <w:tcPr>
            <w:tcW w:w="851" w:type="dxa"/>
          </w:tcPr>
          <w:p w14:paraId="41C1791A"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2.73</w:t>
            </w:r>
          </w:p>
        </w:tc>
      </w:tr>
      <w:tr w:rsidR="00AF474A" w:rsidRPr="00BB4AC5" w14:paraId="5C74A08B" w14:textId="77777777" w:rsidTr="00E018D1">
        <w:tc>
          <w:tcPr>
            <w:tcW w:w="2126" w:type="dxa"/>
            <w:vMerge/>
            <w:hideMark/>
          </w:tcPr>
          <w:p w14:paraId="2BEF18BE" w14:textId="77777777" w:rsidR="00AF474A" w:rsidRPr="00BB4AC5" w:rsidRDefault="00AF474A" w:rsidP="00626D18">
            <w:pPr>
              <w:rPr>
                <w:rFonts w:cs="Times New Roman"/>
                <w:sz w:val="20"/>
                <w:szCs w:val="20"/>
                <w:lang w:val="nl-NL"/>
              </w:rPr>
            </w:pPr>
          </w:p>
        </w:tc>
        <w:tc>
          <w:tcPr>
            <w:tcW w:w="1275" w:type="dxa"/>
            <w:hideMark/>
          </w:tcPr>
          <w:p w14:paraId="0E9503D3"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05C05E1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w:t>
            </w:r>
          </w:p>
        </w:tc>
        <w:tc>
          <w:tcPr>
            <w:tcW w:w="936" w:type="dxa"/>
          </w:tcPr>
          <w:p w14:paraId="3FE75BA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12,8%</w:t>
            </w:r>
          </w:p>
        </w:tc>
        <w:tc>
          <w:tcPr>
            <w:tcW w:w="765" w:type="dxa"/>
          </w:tcPr>
          <w:p w14:paraId="29B4A6D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w:t>
            </w:r>
          </w:p>
        </w:tc>
        <w:tc>
          <w:tcPr>
            <w:tcW w:w="1083" w:type="dxa"/>
          </w:tcPr>
          <w:p w14:paraId="1272037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45,5%</w:t>
            </w:r>
          </w:p>
        </w:tc>
        <w:tc>
          <w:tcPr>
            <w:tcW w:w="1066" w:type="dxa"/>
          </w:tcPr>
          <w:p w14:paraId="72A9B06A"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3.41</w:t>
            </w:r>
          </w:p>
        </w:tc>
        <w:tc>
          <w:tcPr>
            <w:tcW w:w="776" w:type="dxa"/>
          </w:tcPr>
          <w:p w14:paraId="72E1C5E5"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1.31</w:t>
            </w:r>
          </w:p>
        </w:tc>
        <w:tc>
          <w:tcPr>
            <w:tcW w:w="851" w:type="dxa"/>
          </w:tcPr>
          <w:p w14:paraId="5A71D7E7"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8.92</w:t>
            </w:r>
          </w:p>
        </w:tc>
      </w:tr>
      <w:tr w:rsidR="00AF474A" w:rsidRPr="00BB4AC5" w14:paraId="5337660B" w14:textId="77777777" w:rsidTr="00E018D1">
        <w:tc>
          <w:tcPr>
            <w:tcW w:w="2126" w:type="dxa"/>
            <w:vMerge w:val="restart"/>
            <w:hideMark/>
          </w:tcPr>
          <w:p w14:paraId="013FD65B" w14:textId="77777777" w:rsidR="00AF474A" w:rsidRPr="00BB4AC5" w:rsidRDefault="00AF474A" w:rsidP="00626D18">
            <w:pPr>
              <w:autoSpaceDE w:val="0"/>
              <w:autoSpaceDN w:val="0"/>
              <w:adjustRightInd w:val="0"/>
              <w:spacing w:line="320" w:lineRule="atLeast"/>
              <w:ind w:right="60"/>
              <w:rPr>
                <w:rFonts w:cs="Times New Roman"/>
                <w:sz w:val="20"/>
                <w:szCs w:val="20"/>
                <w:lang w:val="nl-NL"/>
              </w:rPr>
            </w:pPr>
            <w:r w:rsidRPr="00BB4AC5">
              <w:rPr>
                <w:rFonts w:cs="Times New Roman"/>
                <w:sz w:val="20"/>
                <w:szCs w:val="20"/>
                <w:lang w:val="nl-NL"/>
              </w:rPr>
              <w:t>Thrombocytopenia</w:t>
            </w:r>
          </w:p>
        </w:tc>
        <w:tc>
          <w:tcPr>
            <w:tcW w:w="1275" w:type="dxa"/>
            <w:hideMark/>
          </w:tcPr>
          <w:p w14:paraId="090F1D14"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23DB4EB4"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w:t>
            </w:r>
          </w:p>
        </w:tc>
        <w:tc>
          <w:tcPr>
            <w:tcW w:w="936" w:type="dxa"/>
          </w:tcPr>
          <w:p w14:paraId="2F67047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12,8%</w:t>
            </w:r>
          </w:p>
        </w:tc>
        <w:tc>
          <w:tcPr>
            <w:tcW w:w="765" w:type="dxa"/>
          </w:tcPr>
          <w:p w14:paraId="1E239D8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w:t>
            </w:r>
          </w:p>
        </w:tc>
        <w:tc>
          <w:tcPr>
            <w:tcW w:w="1083" w:type="dxa"/>
          </w:tcPr>
          <w:p w14:paraId="575F97D4"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18,2%</w:t>
            </w:r>
          </w:p>
        </w:tc>
        <w:tc>
          <w:tcPr>
            <w:tcW w:w="1066" w:type="dxa"/>
          </w:tcPr>
          <w:p w14:paraId="03A79E61"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0.70</w:t>
            </w:r>
          </w:p>
        </w:tc>
        <w:tc>
          <w:tcPr>
            <w:tcW w:w="776" w:type="dxa"/>
          </w:tcPr>
          <w:p w14:paraId="5073A93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0.10</w:t>
            </w:r>
          </w:p>
        </w:tc>
        <w:tc>
          <w:tcPr>
            <w:tcW w:w="851" w:type="dxa"/>
          </w:tcPr>
          <w:p w14:paraId="00302CE8"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4.76</w:t>
            </w:r>
          </w:p>
        </w:tc>
      </w:tr>
      <w:tr w:rsidR="00AF474A" w:rsidRPr="00BB4AC5" w14:paraId="39849CE6" w14:textId="77777777" w:rsidTr="00E018D1">
        <w:tc>
          <w:tcPr>
            <w:tcW w:w="2126" w:type="dxa"/>
            <w:vMerge/>
            <w:hideMark/>
          </w:tcPr>
          <w:p w14:paraId="0F52A2D2" w14:textId="77777777" w:rsidR="00AF474A" w:rsidRPr="00BB4AC5" w:rsidRDefault="00AF474A" w:rsidP="00626D18">
            <w:pPr>
              <w:rPr>
                <w:rFonts w:cs="Times New Roman"/>
                <w:sz w:val="20"/>
                <w:szCs w:val="20"/>
                <w:lang w:val="nl-NL"/>
              </w:rPr>
            </w:pPr>
          </w:p>
        </w:tc>
        <w:tc>
          <w:tcPr>
            <w:tcW w:w="1275" w:type="dxa"/>
            <w:hideMark/>
          </w:tcPr>
          <w:p w14:paraId="703D0696"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7032A07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0</w:t>
            </w:r>
          </w:p>
        </w:tc>
        <w:tc>
          <w:tcPr>
            <w:tcW w:w="936" w:type="dxa"/>
          </w:tcPr>
          <w:p w14:paraId="614254A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0,0%</w:t>
            </w:r>
          </w:p>
        </w:tc>
        <w:tc>
          <w:tcPr>
            <w:tcW w:w="765" w:type="dxa"/>
          </w:tcPr>
          <w:p w14:paraId="48B5CA9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3</w:t>
            </w:r>
          </w:p>
        </w:tc>
        <w:tc>
          <w:tcPr>
            <w:tcW w:w="1083" w:type="dxa"/>
          </w:tcPr>
          <w:p w14:paraId="012A6A8A"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27,3%</w:t>
            </w:r>
          </w:p>
        </w:tc>
        <w:tc>
          <w:tcPr>
            <w:tcW w:w="1066" w:type="dxa"/>
          </w:tcPr>
          <w:p w14:paraId="0F9D73B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c>
          <w:tcPr>
            <w:tcW w:w="776" w:type="dxa"/>
          </w:tcPr>
          <w:p w14:paraId="266E04F6"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c>
          <w:tcPr>
            <w:tcW w:w="851" w:type="dxa"/>
          </w:tcPr>
          <w:p w14:paraId="65C10909"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r>
      <w:tr w:rsidR="00AF474A" w:rsidRPr="00BB4AC5" w14:paraId="26EF8197" w14:textId="77777777" w:rsidTr="00E018D1">
        <w:tc>
          <w:tcPr>
            <w:tcW w:w="2126" w:type="dxa"/>
            <w:vMerge w:val="restart"/>
            <w:hideMark/>
          </w:tcPr>
          <w:p w14:paraId="2F83FC59" w14:textId="13723444" w:rsidR="00AF474A" w:rsidRPr="00BB4AC5" w:rsidRDefault="00AF474A" w:rsidP="00626D18">
            <w:pPr>
              <w:autoSpaceDE w:val="0"/>
              <w:autoSpaceDN w:val="0"/>
              <w:adjustRightInd w:val="0"/>
              <w:rPr>
                <w:rFonts w:cs="Times New Roman"/>
                <w:sz w:val="20"/>
                <w:szCs w:val="20"/>
              </w:rPr>
            </w:pPr>
            <w:r w:rsidRPr="00BB4AC5">
              <w:rPr>
                <w:rFonts w:cs="Times New Roman"/>
                <w:sz w:val="20"/>
                <w:szCs w:val="20"/>
              </w:rPr>
              <w:t>Acute nephrotoxicity</w:t>
            </w:r>
            <w:r w:rsidR="008C6965" w:rsidRPr="00BB4AC5">
              <w:rPr>
                <w:rFonts w:cs="Times New Roman"/>
                <w:sz w:val="20"/>
                <w:szCs w:val="20"/>
              </w:rPr>
              <w:t xml:space="preserve"> (combination of SCr- and electrolyte-based)</w:t>
            </w:r>
          </w:p>
        </w:tc>
        <w:tc>
          <w:tcPr>
            <w:tcW w:w="1275" w:type="dxa"/>
            <w:hideMark/>
          </w:tcPr>
          <w:p w14:paraId="75749F2C"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160B47B5"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10</w:t>
            </w:r>
          </w:p>
        </w:tc>
        <w:tc>
          <w:tcPr>
            <w:tcW w:w="936" w:type="dxa"/>
          </w:tcPr>
          <w:p w14:paraId="49CAB3CF"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25,6%</w:t>
            </w:r>
          </w:p>
        </w:tc>
        <w:tc>
          <w:tcPr>
            <w:tcW w:w="765" w:type="dxa"/>
          </w:tcPr>
          <w:p w14:paraId="0060E9DD"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w:t>
            </w:r>
          </w:p>
        </w:tc>
        <w:tc>
          <w:tcPr>
            <w:tcW w:w="1083" w:type="dxa"/>
          </w:tcPr>
          <w:p w14:paraId="20F878B6"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18,2%</w:t>
            </w:r>
          </w:p>
        </w:tc>
        <w:tc>
          <w:tcPr>
            <w:tcW w:w="1066" w:type="dxa"/>
          </w:tcPr>
          <w:p w14:paraId="65FDE35E"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0.76</w:t>
            </w:r>
          </w:p>
        </w:tc>
        <w:tc>
          <w:tcPr>
            <w:tcW w:w="776" w:type="dxa"/>
          </w:tcPr>
          <w:p w14:paraId="58087812"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0.25</w:t>
            </w:r>
          </w:p>
        </w:tc>
        <w:tc>
          <w:tcPr>
            <w:tcW w:w="851" w:type="dxa"/>
          </w:tcPr>
          <w:p w14:paraId="57F32C18"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2.33</w:t>
            </w:r>
          </w:p>
        </w:tc>
      </w:tr>
      <w:tr w:rsidR="00AF474A" w:rsidRPr="00BB4AC5" w14:paraId="294BADA4" w14:textId="77777777" w:rsidTr="00E018D1">
        <w:tc>
          <w:tcPr>
            <w:tcW w:w="2126" w:type="dxa"/>
            <w:vMerge/>
            <w:hideMark/>
          </w:tcPr>
          <w:p w14:paraId="4D4B54C6" w14:textId="77777777" w:rsidR="00AF474A" w:rsidRPr="00BB4AC5" w:rsidRDefault="00AF474A" w:rsidP="00626D18">
            <w:pPr>
              <w:rPr>
                <w:rFonts w:cs="Times New Roman"/>
                <w:sz w:val="20"/>
                <w:szCs w:val="20"/>
                <w:lang w:val="nl-NL"/>
              </w:rPr>
            </w:pPr>
          </w:p>
        </w:tc>
        <w:tc>
          <w:tcPr>
            <w:tcW w:w="1275" w:type="dxa"/>
            <w:hideMark/>
          </w:tcPr>
          <w:p w14:paraId="5DFFFE61" w14:textId="77777777" w:rsidR="00AF474A" w:rsidRPr="00BB4AC5" w:rsidRDefault="00AF474A" w:rsidP="00626D18">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40CEAFE5"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7</w:t>
            </w:r>
          </w:p>
        </w:tc>
        <w:tc>
          <w:tcPr>
            <w:tcW w:w="936" w:type="dxa"/>
          </w:tcPr>
          <w:p w14:paraId="543ECA2B"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17,9%</w:t>
            </w:r>
          </w:p>
        </w:tc>
        <w:tc>
          <w:tcPr>
            <w:tcW w:w="765" w:type="dxa"/>
          </w:tcPr>
          <w:p w14:paraId="07DEB5A2"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w:t>
            </w:r>
          </w:p>
        </w:tc>
        <w:tc>
          <w:tcPr>
            <w:tcW w:w="1083" w:type="dxa"/>
          </w:tcPr>
          <w:p w14:paraId="05EAAB72"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9,1%</w:t>
            </w:r>
          </w:p>
        </w:tc>
        <w:tc>
          <w:tcPr>
            <w:tcW w:w="1066" w:type="dxa"/>
          </w:tcPr>
          <w:p w14:paraId="5DA3B00C"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0.65</w:t>
            </w:r>
          </w:p>
        </w:tc>
        <w:tc>
          <w:tcPr>
            <w:tcW w:w="776" w:type="dxa"/>
          </w:tcPr>
          <w:p w14:paraId="6BA5A9AD"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0.08</w:t>
            </w:r>
          </w:p>
        </w:tc>
        <w:tc>
          <w:tcPr>
            <w:tcW w:w="851" w:type="dxa"/>
          </w:tcPr>
          <w:p w14:paraId="4D6B5293" w14:textId="77777777" w:rsidR="00AF474A" w:rsidRPr="00BB4AC5" w:rsidRDefault="00AF474A" w:rsidP="00626D18">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5.23</w:t>
            </w:r>
          </w:p>
        </w:tc>
      </w:tr>
      <w:tr w:rsidR="002D1A3C" w:rsidRPr="00BB4AC5" w14:paraId="1122EF87" w14:textId="77777777" w:rsidTr="00E018D1">
        <w:tc>
          <w:tcPr>
            <w:tcW w:w="2126" w:type="dxa"/>
            <w:vMerge w:val="restart"/>
          </w:tcPr>
          <w:p w14:paraId="20D0DE79" w14:textId="65AC3B60" w:rsidR="002D1A3C" w:rsidRPr="00BB4AC5" w:rsidRDefault="002D1A3C" w:rsidP="002D1A3C">
            <w:pPr>
              <w:rPr>
                <w:rFonts w:cs="Times New Roman"/>
                <w:sz w:val="20"/>
                <w:szCs w:val="20"/>
                <w:lang w:val="nl-NL"/>
              </w:rPr>
            </w:pPr>
            <w:r w:rsidRPr="00BB4AC5">
              <w:rPr>
                <w:rFonts w:cs="Times New Roman"/>
                <w:sz w:val="20"/>
                <w:szCs w:val="20"/>
              </w:rPr>
              <w:t>Acute nephrotoxicity (SCr-based)</w:t>
            </w:r>
          </w:p>
        </w:tc>
        <w:tc>
          <w:tcPr>
            <w:tcW w:w="1275" w:type="dxa"/>
          </w:tcPr>
          <w:p w14:paraId="07F388B3" w14:textId="26C6E69C"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24CFEC1B" w14:textId="6AD06862"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6</w:t>
            </w:r>
          </w:p>
        </w:tc>
        <w:tc>
          <w:tcPr>
            <w:tcW w:w="936" w:type="dxa"/>
          </w:tcPr>
          <w:p w14:paraId="57A1A0AC" w14:textId="40FB341B"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15.4%</w:t>
            </w:r>
          </w:p>
        </w:tc>
        <w:tc>
          <w:tcPr>
            <w:tcW w:w="765" w:type="dxa"/>
          </w:tcPr>
          <w:p w14:paraId="6E9DD0A8" w14:textId="7D5C2662"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1</w:t>
            </w:r>
          </w:p>
        </w:tc>
        <w:tc>
          <w:tcPr>
            <w:tcW w:w="1083" w:type="dxa"/>
          </w:tcPr>
          <w:p w14:paraId="375AA5A2" w14:textId="53398273"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9.1%</w:t>
            </w:r>
          </w:p>
        </w:tc>
        <w:tc>
          <w:tcPr>
            <w:tcW w:w="1066" w:type="dxa"/>
          </w:tcPr>
          <w:p w14:paraId="2B910135" w14:textId="4DB3D2B1"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0.57</w:t>
            </w:r>
          </w:p>
        </w:tc>
        <w:tc>
          <w:tcPr>
            <w:tcW w:w="776" w:type="dxa"/>
          </w:tcPr>
          <w:p w14:paraId="74E8216C" w14:textId="495428AE"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0.13</w:t>
            </w:r>
          </w:p>
        </w:tc>
        <w:tc>
          <w:tcPr>
            <w:tcW w:w="851" w:type="dxa"/>
          </w:tcPr>
          <w:p w14:paraId="08571DE8" w14:textId="71E96B49"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2.43</w:t>
            </w:r>
          </w:p>
        </w:tc>
      </w:tr>
      <w:tr w:rsidR="002D1A3C" w:rsidRPr="00BB4AC5" w14:paraId="60E7EF41" w14:textId="77777777" w:rsidTr="00E018D1">
        <w:tc>
          <w:tcPr>
            <w:tcW w:w="2126" w:type="dxa"/>
            <w:vMerge/>
          </w:tcPr>
          <w:p w14:paraId="6755BC1C" w14:textId="77777777" w:rsidR="002D1A3C" w:rsidRPr="00BB4AC5" w:rsidRDefault="002D1A3C" w:rsidP="002D1A3C">
            <w:pPr>
              <w:rPr>
                <w:rFonts w:cs="Times New Roman"/>
                <w:sz w:val="20"/>
                <w:szCs w:val="20"/>
              </w:rPr>
            </w:pPr>
          </w:p>
        </w:tc>
        <w:tc>
          <w:tcPr>
            <w:tcW w:w="1275" w:type="dxa"/>
          </w:tcPr>
          <w:p w14:paraId="5F1E7B27" w14:textId="3789AA17"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2F67601C" w14:textId="62052631"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5</w:t>
            </w:r>
          </w:p>
        </w:tc>
        <w:tc>
          <w:tcPr>
            <w:tcW w:w="936" w:type="dxa"/>
          </w:tcPr>
          <w:p w14:paraId="2BDEDCF4" w14:textId="6C513A29"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9.1%</w:t>
            </w:r>
          </w:p>
        </w:tc>
        <w:tc>
          <w:tcPr>
            <w:tcW w:w="765" w:type="dxa"/>
          </w:tcPr>
          <w:p w14:paraId="1FCF3AC2" w14:textId="604E5190"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1</w:t>
            </w:r>
          </w:p>
        </w:tc>
        <w:tc>
          <w:tcPr>
            <w:tcW w:w="1083" w:type="dxa"/>
          </w:tcPr>
          <w:p w14:paraId="6C0DEE34" w14:textId="379BEEB5"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9.1%</w:t>
            </w:r>
          </w:p>
        </w:tc>
        <w:tc>
          <w:tcPr>
            <w:tcW w:w="1066" w:type="dxa"/>
          </w:tcPr>
          <w:p w14:paraId="6D7836E6" w14:textId="1F69E992"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0.59</w:t>
            </w:r>
          </w:p>
        </w:tc>
        <w:tc>
          <w:tcPr>
            <w:tcW w:w="776" w:type="dxa"/>
          </w:tcPr>
          <w:p w14:paraId="37DF190E" w14:textId="1775AE42"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0.09</w:t>
            </w:r>
          </w:p>
        </w:tc>
        <w:tc>
          <w:tcPr>
            <w:tcW w:w="851" w:type="dxa"/>
          </w:tcPr>
          <w:p w14:paraId="04D0FF89" w14:textId="01B2CD36"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3.92</w:t>
            </w:r>
          </w:p>
        </w:tc>
      </w:tr>
      <w:tr w:rsidR="002D1A3C" w:rsidRPr="00BB4AC5" w14:paraId="1DB2BC8E" w14:textId="77777777" w:rsidTr="00E018D1">
        <w:tc>
          <w:tcPr>
            <w:tcW w:w="2126" w:type="dxa"/>
            <w:vMerge w:val="restart"/>
          </w:tcPr>
          <w:p w14:paraId="7015AE08" w14:textId="1B6EC1AC" w:rsidR="002D1A3C" w:rsidRPr="00BB4AC5" w:rsidRDefault="002D1A3C" w:rsidP="002D1A3C">
            <w:pPr>
              <w:rPr>
                <w:rFonts w:cs="Times New Roman"/>
                <w:sz w:val="20"/>
                <w:szCs w:val="20"/>
                <w:lang w:val="nl-NL"/>
              </w:rPr>
            </w:pPr>
            <w:r w:rsidRPr="00BB4AC5">
              <w:rPr>
                <w:rFonts w:cs="Times New Roman"/>
                <w:sz w:val="20"/>
                <w:szCs w:val="20"/>
              </w:rPr>
              <w:t>Electrolyte abnormalities</w:t>
            </w:r>
          </w:p>
        </w:tc>
        <w:tc>
          <w:tcPr>
            <w:tcW w:w="1275" w:type="dxa"/>
          </w:tcPr>
          <w:p w14:paraId="0AC25721" w14:textId="310C6E02"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5C9547F5" w14:textId="4B2F795B"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5</w:t>
            </w:r>
          </w:p>
        </w:tc>
        <w:tc>
          <w:tcPr>
            <w:tcW w:w="936" w:type="dxa"/>
          </w:tcPr>
          <w:p w14:paraId="65F659F8" w14:textId="0CA29931" w:rsidR="002D1A3C" w:rsidRPr="00BB4AC5" w:rsidRDefault="002D1A3C" w:rsidP="00C93591">
            <w:pPr>
              <w:autoSpaceDE w:val="0"/>
              <w:autoSpaceDN w:val="0"/>
              <w:adjustRightInd w:val="0"/>
              <w:spacing w:line="320" w:lineRule="atLeast"/>
              <w:ind w:right="60"/>
              <w:jc w:val="right"/>
              <w:rPr>
                <w:rFonts w:cs="Times New Roman"/>
                <w:color w:val="000000"/>
                <w:sz w:val="18"/>
                <w:szCs w:val="18"/>
              </w:rPr>
            </w:pPr>
            <w:r w:rsidRPr="00BB4AC5">
              <w:rPr>
                <w:rFonts w:cs="Times New Roman"/>
                <w:color w:val="000000"/>
                <w:sz w:val="18"/>
                <w:szCs w:val="18"/>
              </w:rPr>
              <w:t>12.8%</w:t>
            </w:r>
          </w:p>
        </w:tc>
        <w:tc>
          <w:tcPr>
            <w:tcW w:w="765" w:type="dxa"/>
          </w:tcPr>
          <w:p w14:paraId="36E66260" w14:textId="74217715"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2</w:t>
            </w:r>
          </w:p>
        </w:tc>
        <w:tc>
          <w:tcPr>
            <w:tcW w:w="1083" w:type="dxa"/>
          </w:tcPr>
          <w:p w14:paraId="3F58CA34" w14:textId="42E25EF5"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18.2%</w:t>
            </w:r>
          </w:p>
        </w:tc>
        <w:tc>
          <w:tcPr>
            <w:tcW w:w="1066" w:type="dxa"/>
          </w:tcPr>
          <w:p w14:paraId="4C51F1C0" w14:textId="1F2BEE5F"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2.16</w:t>
            </w:r>
          </w:p>
        </w:tc>
        <w:tc>
          <w:tcPr>
            <w:tcW w:w="776" w:type="dxa"/>
          </w:tcPr>
          <w:p w14:paraId="7EB429D0" w14:textId="7F5DE9C3"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0.41</w:t>
            </w:r>
          </w:p>
        </w:tc>
        <w:tc>
          <w:tcPr>
            <w:tcW w:w="851" w:type="dxa"/>
          </w:tcPr>
          <w:p w14:paraId="60B51350" w14:textId="7509FFD1"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11.48</w:t>
            </w:r>
          </w:p>
        </w:tc>
      </w:tr>
      <w:tr w:rsidR="002D1A3C" w:rsidRPr="00BB4AC5" w14:paraId="145F3072" w14:textId="77777777" w:rsidTr="00E018D1">
        <w:tc>
          <w:tcPr>
            <w:tcW w:w="2126" w:type="dxa"/>
            <w:vMerge/>
          </w:tcPr>
          <w:p w14:paraId="7217917A" w14:textId="77777777" w:rsidR="002D1A3C" w:rsidRPr="00BB4AC5" w:rsidRDefault="002D1A3C" w:rsidP="002D1A3C">
            <w:pPr>
              <w:rPr>
                <w:rFonts w:cs="Times New Roman"/>
                <w:sz w:val="20"/>
                <w:szCs w:val="20"/>
                <w:lang w:val="nl-NL"/>
              </w:rPr>
            </w:pPr>
          </w:p>
        </w:tc>
        <w:tc>
          <w:tcPr>
            <w:tcW w:w="1275" w:type="dxa"/>
          </w:tcPr>
          <w:p w14:paraId="0D34E019" w14:textId="44E52243"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4085CC6A" w14:textId="661D75F3"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3</w:t>
            </w:r>
          </w:p>
        </w:tc>
        <w:tc>
          <w:tcPr>
            <w:tcW w:w="936" w:type="dxa"/>
          </w:tcPr>
          <w:p w14:paraId="67FFD439" w14:textId="4377BEE3"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7.7%</w:t>
            </w:r>
          </w:p>
        </w:tc>
        <w:tc>
          <w:tcPr>
            <w:tcW w:w="765" w:type="dxa"/>
          </w:tcPr>
          <w:p w14:paraId="5C7D871E" w14:textId="0161C070"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0</w:t>
            </w:r>
          </w:p>
        </w:tc>
        <w:tc>
          <w:tcPr>
            <w:tcW w:w="1083" w:type="dxa"/>
          </w:tcPr>
          <w:p w14:paraId="56B55FC4" w14:textId="1E203D97" w:rsidR="002D1A3C" w:rsidRPr="00BB4AC5" w:rsidRDefault="002D1A3C" w:rsidP="002D1A3C">
            <w:pPr>
              <w:autoSpaceDE w:val="0"/>
              <w:autoSpaceDN w:val="0"/>
              <w:adjustRightInd w:val="0"/>
              <w:spacing w:line="320" w:lineRule="atLeast"/>
              <w:ind w:left="60" w:right="60"/>
              <w:jc w:val="right"/>
              <w:rPr>
                <w:rFonts w:cs="Times New Roman"/>
                <w:color w:val="000000"/>
                <w:sz w:val="18"/>
                <w:szCs w:val="18"/>
              </w:rPr>
            </w:pPr>
            <w:r w:rsidRPr="00BB4AC5">
              <w:rPr>
                <w:rFonts w:cs="Times New Roman"/>
                <w:color w:val="000000"/>
                <w:sz w:val="18"/>
                <w:szCs w:val="18"/>
              </w:rPr>
              <w:t>0%</w:t>
            </w:r>
          </w:p>
        </w:tc>
        <w:tc>
          <w:tcPr>
            <w:tcW w:w="1066" w:type="dxa"/>
          </w:tcPr>
          <w:p w14:paraId="0727C231" w14:textId="146B50A3"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c>
          <w:tcPr>
            <w:tcW w:w="776" w:type="dxa"/>
          </w:tcPr>
          <w:p w14:paraId="1B517911" w14:textId="6D03647A"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c>
          <w:tcPr>
            <w:tcW w:w="851" w:type="dxa"/>
          </w:tcPr>
          <w:p w14:paraId="1F9E3B8C" w14:textId="4F2FCC7A"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NA</w:t>
            </w:r>
          </w:p>
        </w:tc>
      </w:tr>
      <w:tr w:rsidR="002D1A3C" w:rsidRPr="00BB4AC5" w14:paraId="1CEBF0BC" w14:textId="77777777" w:rsidTr="00E018D1">
        <w:tc>
          <w:tcPr>
            <w:tcW w:w="2126" w:type="dxa"/>
            <w:vMerge w:val="restart"/>
            <w:hideMark/>
          </w:tcPr>
          <w:p w14:paraId="5751370E" w14:textId="77777777" w:rsidR="002D1A3C" w:rsidRPr="00BB4AC5" w:rsidRDefault="002D1A3C" w:rsidP="002D1A3C">
            <w:pPr>
              <w:autoSpaceDE w:val="0"/>
              <w:autoSpaceDN w:val="0"/>
              <w:adjustRightInd w:val="0"/>
              <w:rPr>
                <w:rFonts w:cs="Times New Roman"/>
                <w:sz w:val="20"/>
                <w:szCs w:val="20"/>
                <w:lang w:val="nl-NL"/>
              </w:rPr>
            </w:pPr>
            <w:r w:rsidRPr="00BB4AC5">
              <w:rPr>
                <w:rFonts w:cs="Times New Roman"/>
                <w:sz w:val="20"/>
                <w:szCs w:val="20"/>
                <w:lang w:val="nl-NL"/>
              </w:rPr>
              <w:t>Chronic nephrotoxicity</w:t>
            </w:r>
          </w:p>
        </w:tc>
        <w:tc>
          <w:tcPr>
            <w:tcW w:w="1275" w:type="dxa"/>
            <w:hideMark/>
          </w:tcPr>
          <w:p w14:paraId="61BA030E" w14:textId="77777777"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1</w:t>
            </w:r>
          </w:p>
        </w:tc>
        <w:tc>
          <w:tcPr>
            <w:tcW w:w="765" w:type="dxa"/>
          </w:tcPr>
          <w:p w14:paraId="38140A4D"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19</w:t>
            </w:r>
          </w:p>
        </w:tc>
        <w:tc>
          <w:tcPr>
            <w:tcW w:w="936" w:type="dxa"/>
          </w:tcPr>
          <w:p w14:paraId="73DBFA1F"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48,7%</w:t>
            </w:r>
          </w:p>
        </w:tc>
        <w:tc>
          <w:tcPr>
            <w:tcW w:w="765" w:type="dxa"/>
          </w:tcPr>
          <w:p w14:paraId="59176268"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6</w:t>
            </w:r>
          </w:p>
        </w:tc>
        <w:tc>
          <w:tcPr>
            <w:tcW w:w="1083" w:type="dxa"/>
          </w:tcPr>
          <w:p w14:paraId="71272664"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54,5%</w:t>
            </w:r>
          </w:p>
        </w:tc>
        <w:tc>
          <w:tcPr>
            <w:tcW w:w="1066" w:type="dxa"/>
          </w:tcPr>
          <w:p w14:paraId="6F4203FB"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1.07</w:t>
            </w:r>
          </w:p>
        </w:tc>
        <w:tc>
          <w:tcPr>
            <w:tcW w:w="776" w:type="dxa"/>
          </w:tcPr>
          <w:p w14:paraId="529F9DAF"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0.32</w:t>
            </w:r>
          </w:p>
        </w:tc>
        <w:tc>
          <w:tcPr>
            <w:tcW w:w="851" w:type="dxa"/>
          </w:tcPr>
          <w:p w14:paraId="507112D2"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3.64</w:t>
            </w:r>
          </w:p>
        </w:tc>
      </w:tr>
      <w:tr w:rsidR="002D1A3C" w:rsidRPr="00BB4AC5" w14:paraId="17C06C08" w14:textId="77777777" w:rsidTr="00E018D1">
        <w:tc>
          <w:tcPr>
            <w:tcW w:w="2126" w:type="dxa"/>
            <w:vMerge/>
            <w:hideMark/>
          </w:tcPr>
          <w:p w14:paraId="227F2C19" w14:textId="77777777" w:rsidR="002D1A3C" w:rsidRPr="00BB4AC5" w:rsidRDefault="002D1A3C" w:rsidP="002D1A3C">
            <w:pPr>
              <w:rPr>
                <w:rFonts w:cs="Times New Roman"/>
                <w:sz w:val="20"/>
                <w:szCs w:val="20"/>
                <w:lang w:val="nl-NL"/>
              </w:rPr>
            </w:pPr>
          </w:p>
        </w:tc>
        <w:tc>
          <w:tcPr>
            <w:tcW w:w="1275" w:type="dxa"/>
            <w:hideMark/>
          </w:tcPr>
          <w:p w14:paraId="03CB7FB8" w14:textId="77777777" w:rsidR="002D1A3C" w:rsidRPr="00BB4AC5" w:rsidRDefault="002D1A3C" w:rsidP="002D1A3C">
            <w:pPr>
              <w:autoSpaceDE w:val="0"/>
              <w:autoSpaceDN w:val="0"/>
              <w:adjustRightInd w:val="0"/>
              <w:spacing w:line="320" w:lineRule="atLeast"/>
              <w:ind w:left="60" w:right="60"/>
              <w:rPr>
                <w:rFonts w:cs="Times New Roman"/>
                <w:sz w:val="20"/>
                <w:szCs w:val="20"/>
                <w:lang w:val="nl-NL"/>
              </w:rPr>
            </w:pPr>
            <w:r w:rsidRPr="00BB4AC5">
              <w:rPr>
                <w:rFonts w:cs="Times New Roman"/>
                <w:sz w:val="20"/>
                <w:szCs w:val="20"/>
                <w:lang w:val="nl-NL"/>
              </w:rPr>
              <w:t>≥Grade 2</w:t>
            </w:r>
          </w:p>
        </w:tc>
        <w:tc>
          <w:tcPr>
            <w:tcW w:w="765" w:type="dxa"/>
          </w:tcPr>
          <w:p w14:paraId="30EF7802"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11</w:t>
            </w:r>
          </w:p>
        </w:tc>
        <w:tc>
          <w:tcPr>
            <w:tcW w:w="936" w:type="dxa"/>
          </w:tcPr>
          <w:p w14:paraId="6DDBA71C"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28,2%</w:t>
            </w:r>
          </w:p>
        </w:tc>
        <w:tc>
          <w:tcPr>
            <w:tcW w:w="765" w:type="dxa"/>
          </w:tcPr>
          <w:p w14:paraId="1EA6DAD4"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3</w:t>
            </w:r>
          </w:p>
        </w:tc>
        <w:tc>
          <w:tcPr>
            <w:tcW w:w="1083" w:type="dxa"/>
          </w:tcPr>
          <w:p w14:paraId="0225C206"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color w:val="000000"/>
                <w:sz w:val="18"/>
                <w:szCs w:val="18"/>
              </w:rPr>
              <w:t>27,3%</w:t>
            </w:r>
          </w:p>
        </w:tc>
        <w:tc>
          <w:tcPr>
            <w:tcW w:w="1066" w:type="dxa"/>
          </w:tcPr>
          <w:p w14:paraId="0C27D3BB"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27.85</w:t>
            </w:r>
          </w:p>
        </w:tc>
        <w:tc>
          <w:tcPr>
            <w:tcW w:w="776" w:type="dxa"/>
          </w:tcPr>
          <w:p w14:paraId="6EF260B5"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1.16</w:t>
            </w:r>
          </w:p>
        </w:tc>
        <w:tc>
          <w:tcPr>
            <w:tcW w:w="851" w:type="dxa"/>
          </w:tcPr>
          <w:p w14:paraId="6374ED4C" w14:textId="77777777" w:rsidR="002D1A3C" w:rsidRPr="00BB4AC5" w:rsidRDefault="002D1A3C" w:rsidP="002D1A3C">
            <w:pPr>
              <w:autoSpaceDE w:val="0"/>
              <w:autoSpaceDN w:val="0"/>
              <w:adjustRightInd w:val="0"/>
              <w:spacing w:line="320" w:lineRule="atLeast"/>
              <w:ind w:left="60" w:right="60"/>
              <w:jc w:val="right"/>
              <w:rPr>
                <w:rFonts w:cs="Times New Roman"/>
                <w:sz w:val="20"/>
                <w:szCs w:val="20"/>
                <w:lang w:val="nl-NL"/>
              </w:rPr>
            </w:pPr>
            <w:r w:rsidRPr="00BB4AC5">
              <w:rPr>
                <w:rFonts w:cs="Times New Roman"/>
                <w:sz w:val="20"/>
                <w:szCs w:val="20"/>
                <w:lang w:val="nl-NL"/>
              </w:rPr>
              <w:t>671</w:t>
            </w:r>
          </w:p>
        </w:tc>
      </w:tr>
    </w:tbl>
    <w:p w14:paraId="4BFD2634" w14:textId="77777777" w:rsidR="002A3A8C" w:rsidRPr="00BB4AC5" w:rsidRDefault="002A3A8C" w:rsidP="006329A9">
      <w:pPr>
        <w:pStyle w:val="ListParagraph"/>
        <w:autoSpaceDE w:val="0"/>
        <w:autoSpaceDN w:val="0"/>
        <w:adjustRightInd w:val="0"/>
        <w:spacing w:after="0" w:line="240" w:lineRule="auto"/>
        <w:rPr>
          <w:rFonts w:cs="Times New Roman"/>
          <w:sz w:val="20"/>
        </w:rPr>
      </w:pPr>
      <w:r w:rsidRPr="00BB4AC5">
        <w:rPr>
          <w:rFonts w:cs="Times New Roman"/>
          <w:sz w:val="20"/>
          <w:vertAlign w:val="superscript"/>
        </w:rPr>
        <w:t>#</w:t>
      </w:r>
      <w:r w:rsidRPr="00BB4AC5">
        <w:rPr>
          <w:rFonts w:cs="Times New Roman"/>
          <w:sz w:val="20"/>
        </w:rPr>
        <w:t xml:space="preserve"> Modified Poisson regression was conducted by including adjustment for confounder and covariates. All outcomes were adjusted for age at treatment and gender except for chronic nephrotoxicity. Myelotoxicity outcome were adjusted for age at treatment, gender, number of comorbidities, and any of the following baseline disease states as defined by blood cell counts; anemia by hemoglobin, leukop</w:t>
      </w:r>
      <w:bookmarkStart w:id="0" w:name="_GoBack"/>
      <w:bookmarkEnd w:id="0"/>
      <w:r w:rsidRPr="00BB4AC5">
        <w:rPr>
          <w:rFonts w:cs="Times New Roman"/>
          <w:sz w:val="20"/>
        </w:rPr>
        <w:t>enia by leukocytes, neutropenia by neutrophils, thrombocytopenia by platelets. Acute nephrotoxicity outcome was adjusted for number of comorbidities, baseline serum creatinine, albumin, magnesium, phosphate, and potassium while chronic nephrotoxicity was adjusted for baseline albumin and eGFR.</w:t>
      </w:r>
    </w:p>
    <w:p w14:paraId="49AF74AD" w14:textId="77777777" w:rsidR="002A3A8C" w:rsidRPr="00BB4AC5" w:rsidRDefault="002A3A8C" w:rsidP="006329A9">
      <w:pPr>
        <w:pStyle w:val="ListParagraph"/>
        <w:autoSpaceDE w:val="0"/>
        <w:autoSpaceDN w:val="0"/>
        <w:adjustRightInd w:val="0"/>
        <w:spacing w:after="0" w:line="240" w:lineRule="auto"/>
        <w:rPr>
          <w:rFonts w:cs="Times New Roman"/>
          <w:sz w:val="20"/>
        </w:rPr>
      </w:pPr>
      <w:r w:rsidRPr="00BB4AC5">
        <w:rPr>
          <w:rFonts w:cs="Times New Roman"/>
          <w:sz w:val="20"/>
        </w:rPr>
        <w:t>* CHD+pemetrexed regimen was the reference group for each toxicity analysis.</w:t>
      </w:r>
    </w:p>
    <w:sectPr w:rsidR="002A3A8C" w:rsidRPr="00BB4AC5" w:rsidSect="004C0841">
      <w:footerReference w:type="default" r:id="rId8"/>
      <w:pgSz w:w="15840" w:h="12240" w:orient="landscape"/>
      <w:pgMar w:top="851" w:right="1417" w:bottom="426" w:left="709"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BAEE" w14:textId="77777777" w:rsidR="00E46214" w:rsidRDefault="00E46214" w:rsidP="008B7BBA">
      <w:pPr>
        <w:spacing w:after="0" w:line="240" w:lineRule="auto"/>
      </w:pPr>
      <w:r>
        <w:separator/>
      </w:r>
    </w:p>
  </w:endnote>
  <w:endnote w:type="continuationSeparator" w:id="0">
    <w:p w14:paraId="7004D2CE" w14:textId="77777777" w:rsidR="00E46214" w:rsidRDefault="00E46214" w:rsidP="008B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88573"/>
      <w:docPartObj>
        <w:docPartGallery w:val="Page Numbers (Bottom of Page)"/>
        <w:docPartUnique/>
      </w:docPartObj>
    </w:sdtPr>
    <w:sdtEndPr>
      <w:rPr>
        <w:noProof/>
      </w:rPr>
    </w:sdtEndPr>
    <w:sdtContent>
      <w:p w14:paraId="76296F34" w14:textId="0629DC39" w:rsidR="001C5162" w:rsidRDefault="001C5162">
        <w:pPr>
          <w:pStyle w:val="Footer"/>
          <w:jc w:val="center"/>
        </w:pPr>
        <w:r>
          <w:fldChar w:fldCharType="begin"/>
        </w:r>
        <w:r>
          <w:instrText xml:space="preserve"> PAGE   \* MERGEFORMAT </w:instrText>
        </w:r>
        <w:r>
          <w:fldChar w:fldCharType="separate"/>
        </w:r>
        <w:r w:rsidR="004C0841">
          <w:rPr>
            <w:noProof/>
          </w:rPr>
          <w:t>1</w:t>
        </w:r>
        <w:r>
          <w:rPr>
            <w:noProof/>
          </w:rPr>
          <w:fldChar w:fldCharType="end"/>
        </w:r>
      </w:p>
    </w:sdtContent>
  </w:sdt>
  <w:p w14:paraId="76C7D61F" w14:textId="77777777" w:rsidR="001C5162" w:rsidRDefault="001C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380A" w14:textId="77777777" w:rsidR="00E46214" w:rsidRDefault="00E46214" w:rsidP="008B7BBA">
      <w:pPr>
        <w:spacing w:after="0" w:line="240" w:lineRule="auto"/>
      </w:pPr>
      <w:r>
        <w:separator/>
      </w:r>
    </w:p>
  </w:footnote>
  <w:footnote w:type="continuationSeparator" w:id="0">
    <w:p w14:paraId="633E150F" w14:textId="77777777" w:rsidR="00E46214" w:rsidRDefault="00E46214" w:rsidP="008B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9E5"/>
    <w:multiLevelType w:val="multilevel"/>
    <w:tmpl w:val="150A6DD0"/>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7DA0974"/>
    <w:multiLevelType w:val="hybridMultilevel"/>
    <w:tmpl w:val="7206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B7734"/>
    <w:multiLevelType w:val="hybridMultilevel"/>
    <w:tmpl w:val="D910BAB4"/>
    <w:lvl w:ilvl="0" w:tplc="177C4E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5D9F"/>
    <w:multiLevelType w:val="hybridMultilevel"/>
    <w:tmpl w:val="C4B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67E2"/>
    <w:multiLevelType w:val="multilevel"/>
    <w:tmpl w:val="2A5690AA"/>
    <w:lvl w:ilvl="0">
      <w:start w:val="1"/>
      <w:numFmt w:val="decimal"/>
      <w:lvlText w:val="%1."/>
      <w:lvlJc w:val="left"/>
      <w:pPr>
        <w:ind w:left="360" w:hanging="360"/>
      </w:pPr>
      <w:rPr>
        <w:rFonts w:hint="default"/>
      </w:rPr>
    </w:lvl>
    <w:lvl w:ilvl="1">
      <w:start w:val="1"/>
      <w:numFmt w:val="decimal"/>
      <w:isLgl/>
      <w:lvlText w:val="3.%2."/>
      <w:lvlJc w:val="left"/>
      <w:pPr>
        <w:ind w:left="720" w:hanging="720"/>
      </w:pPr>
      <w:rPr>
        <w:rFonts w:asciiTheme="minorHAnsi" w:hAnsiTheme="minorHAnsi"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35956E0"/>
    <w:multiLevelType w:val="hybridMultilevel"/>
    <w:tmpl w:val="0B6C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217A3"/>
    <w:multiLevelType w:val="multilevel"/>
    <w:tmpl w:val="9FBC6730"/>
    <w:lvl w:ilvl="0">
      <w:start w:val="6"/>
      <w:numFmt w:val="decimal"/>
      <w:lvlText w:val="%1."/>
      <w:lvlJc w:val="left"/>
      <w:pPr>
        <w:ind w:left="360" w:hanging="360"/>
      </w:pPr>
      <w:rPr>
        <w:rFonts w:hint="default"/>
      </w:rPr>
    </w:lvl>
    <w:lvl w:ilvl="1">
      <w:start w:val="1"/>
      <w:numFmt w:val="decimal"/>
      <w:isLgl/>
      <w:lvlText w:val="3.%2."/>
      <w:lvlJc w:val="left"/>
      <w:pPr>
        <w:ind w:left="720" w:hanging="720"/>
      </w:pPr>
      <w:rPr>
        <w:rFonts w:asciiTheme="minorHAnsi" w:hAnsiTheme="minorHAnsi"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6DF407B9"/>
    <w:multiLevelType w:val="hybridMultilevel"/>
    <w:tmpl w:val="FBAC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30053"/>
    <w:multiLevelType w:val="multilevel"/>
    <w:tmpl w:val="E272E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1E53F1A"/>
    <w:multiLevelType w:val="hybridMultilevel"/>
    <w:tmpl w:val="0B3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702DD"/>
    <w:multiLevelType w:val="hybridMultilevel"/>
    <w:tmpl w:val="F252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2"/>
  </w:num>
  <w:num w:numId="7">
    <w:abstractNumId w:val="1"/>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axxrexidrt21ez925pezae999vzfsp22a0&quot;&gt;restrospective lung cancer amc&lt;record-ids&gt;&lt;item&gt;2&lt;/item&gt;&lt;item&gt;26&lt;/item&gt;&lt;item&gt;44&lt;/item&gt;&lt;item&gt;48&lt;/item&gt;&lt;item&gt;51&lt;/item&gt;&lt;item&gt;69&lt;/item&gt;&lt;item&gt;70&lt;/item&gt;&lt;item&gt;71&lt;/item&gt;&lt;/record-ids&gt;&lt;/item&gt;&lt;/Libraries&gt;"/>
  </w:docVars>
  <w:rsids>
    <w:rsidRoot w:val="00FE31E3"/>
    <w:rsid w:val="00000029"/>
    <w:rsid w:val="00003ED1"/>
    <w:rsid w:val="0000418F"/>
    <w:rsid w:val="00004901"/>
    <w:rsid w:val="00004C3D"/>
    <w:rsid w:val="000100D4"/>
    <w:rsid w:val="00010DA1"/>
    <w:rsid w:val="00012207"/>
    <w:rsid w:val="0001561B"/>
    <w:rsid w:val="000317D7"/>
    <w:rsid w:val="00031C2E"/>
    <w:rsid w:val="0003517C"/>
    <w:rsid w:val="00035D1E"/>
    <w:rsid w:val="000406A2"/>
    <w:rsid w:val="00040B1F"/>
    <w:rsid w:val="00044721"/>
    <w:rsid w:val="000457DD"/>
    <w:rsid w:val="00045EC7"/>
    <w:rsid w:val="000541CA"/>
    <w:rsid w:val="00054DF7"/>
    <w:rsid w:val="00056891"/>
    <w:rsid w:val="00071815"/>
    <w:rsid w:val="00071AC1"/>
    <w:rsid w:val="000757D1"/>
    <w:rsid w:val="00075A63"/>
    <w:rsid w:val="00075D19"/>
    <w:rsid w:val="00077259"/>
    <w:rsid w:val="000839FF"/>
    <w:rsid w:val="00087D0D"/>
    <w:rsid w:val="000908DF"/>
    <w:rsid w:val="00090F45"/>
    <w:rsid w:val="0009221D"/>
    <w:rsid w:val="00092FDD"/>
    <w:rsid w:val="000966D5"/>
    <w:rsid w:val="00096F45"/>
    <w:rsid w:val="000A1441"/>
    <w:rsid w:val="000A566F"/>
    <w:rsid w:val="000B2ED9"/>
    <w:rsid w:val="000B3271"/>
    <w:rsid w:val="000B4C4C"/>
    <w:rsid w:val="000B50E6"/>
    <w:rsid w:val="000B7908"/>
    <w:rsid w:val="000C2498"/>
    <w:rsid w:val="000C650C"/>
    <w:rsid w:val="000C6DC7"/>
    <w:rsid w:val="000D31A6"/>
    <w:rsid w:val="000D4892"/>
    <w:rsid w:val="000D5367"/>
    <w:rsid w:val="000D5DE1"/>
    <w:rsid w:val="000E10B2"/>
    <w:rsid w:val="000E1B01"/>
    <w:rsid w:val="000F1E90"/>
    <w:rsid w:val="000F1FEB"/>
    <w:rsid w:val="000F2C3A"/>
    <w:rsid w:val="00102153"/>
    <w:rsid w:val="00103B35"/>
    <w:rsid w:val="00103E62"/>
    <w:rsid w:val="001049AA"/>
    <w:rsid w:val="0010680F"/>
    <w:rsid w:val="00107707"/>
    <w:rsid w:val="0011006A"/>
    <w:rsid w:val="0011357B"/>
    <w:rsid w:val="00115F2F"/>
    <w:rsid w:val="001172B1"/>
    <w:rsid w:val="001177D6"/>
    <w:rsid w:val="00120E46"/>
    <w:rsid w:val="00122B3A"/>
    <w:rsid w:val="00125C43"/>
    <w:rsid w:val="00130A9B"/>
    <w:rsid w:val="0013221B"/>
    <w:rsid w:val="0013504D"/>
    <w:rsid w:val="00135759"/>
    <w:rsid w:val="0013642F"/>
    <w:rsid w:val="00136548"/>
    <w:rsid w:val="001366AA"/>
    <w:rsid w:val="00137EF9"/>
    <w:rsid w:val="001416EA"/>
    <w:rsid w:val="00143D90"/>
    <w:rsid w:val="00144693"/>
    <w:rsid w:val="001463A6"/>
    <w:rsid w:val="00147D27"/>
    <w:rsid w:val="0015509E"/>
    <w:rsid w:val="00160DAB"/>
    <w:rsid w:val="00166F25"/>
    <w:rsid w:val="001704D1"/>
    <w:rsid w:val="00170943"/>
    <w:rsid w:val="00174671"/>
    <w:rsid w:val="001754D5"/>
    <w:rsid w:val="0017769E"/>
    <w:rsid w:val="001802CA"/>
    <w:rsid w:val="001818D0"/>
    <w:rsid w:val="00182813"/>
    <w:rsid w:val="001836A3"/>
    <w:rsid w:val="00183B56"/>
    <w:rsid w:val="0018596A"/>
    <w:rsid w:val="001924AB"/>
    <w:rsid w:val="001A185F"/>
    <w:rsid w:val="001A231C"/>
    <w:rsid w:val="001A51AC"/>
    <w:rsid w:val="001B2C34"/>
    <w:rsid w:val="001B7F00"/>
    <w:rsid w:val="001C5162"/>
    <w:rsid w:val="001D022D"/>
    <w:rsid w:val="001D20D9"/>
    <w:rsid w:val="001D2F6A"/>
    <w:rsid w:val="001D61E0"/>
    <w:rsid w:val="001D723B"/>
    <w:rsid w:val="001D7331"/>
    <w:rsid w:val="001D7931"/>
    <w:rsid w:val="001E1122"/>
    <w:rsid w:val="001E3306"/>
    <w:rsid w:val="001E336E"/>
    <w:rsid w:val="001E3C16"/>
    <w:rsid w:val="001E72AF"/>
    <w:rsid w:val="001E7D9B"/>
    <w:rsid w:val="001F34C9"/>
    <w:rsid w:val="00200CFF"/>
    <w:rsid w:val="002029FD"/>
    <w:rsid w:val="002035C5"/>
    <w:rsid w:val="00205D43"/>
    <w:rsid w:val="00207843"/>
    <w:rsid w:val="002118DD"/>
    <w:rsid w:val="00212F07"/>
    <w:rsid w:val="002137A9"/>
    <w:rsid w:val="00213CEE"/>
    <w:rsid w:val="00215E05"/>
    <w:rsid w:val="00220C67"/>
    <w:rsid w:val="002248DE"/>
    <w:rsid w:val="002333C7"/>
    <w:rsid w:val="002335C6"/>
    <w:rsid w:val="00240CFE"/>
    <w:rsid w:val="00241AEE"/>
    <w:rsid w:val="00242F58"/>
    <w:rsid w:val="002436F8"/>
    <w:rsid w:val="002449AF"/>
    <w:rsid w:val="00244A6B"/>
    <w:rsid w:val="00245580"/>
    <w:rsid w:val="00250BE9"/>
    <w:rsid w:val="0025121B"/>
    <w:rsid w:val="002515E5"/>
    <w:rsid w:val="00252AFB"/>
    <w:rsid w:val="002541E7"/>
    <w:rsid w:val="00254F03"/>
    <w:rsid w:val="00256BAB"/>
    <w:rsid w:val="00257CCA"/>
    <w:rsid w:val="00261756"/>
    <w:rsid w:val="002638C5"/>
    <w:rsid w:val="0026533F"/>
    <w:rsid w:val="00265410"/>
    <w:rsid w:val="002657D7"/>
    <w:rsid w:val="00265A25"/>
    <w:rsid w:val="002662B0"/>
    <w:rsid w:val="00272DEB"/>
    <w:rsid w:val="00273BAF"/>
    <w:rsid w:val="00273BD3"/>
    <w:rsid w:val="00274F68"/>
    <w:rsid w:val="00274FBD"/>
    <w:rsid w:val="00280062"/>
    <w:rsid w:val="0028037E"/>
    <w:rsid w:val="00280F57"/>
    <w:rsid w:val="00282710"/>
    <w:rsid w:val="00285BD2"/>
    <w:rsid w:val="002867BC"/>
    <w:rsid w:val="0029221F"/>
    <w:rsid w:val="00294E81"/>
    <w:rsid w:val="00295E81"/>
    <w:rsid w:val="00296647"/>
    <w:rsid w:val="002972F4"/>
    <w:rsid w:val="002A0C17"/>
    <w:rsid w:val="002A2742"/>
    <w:rsid w:val="002A39AB"/>
    <w:rsid w:val="002A3A8C"/>
    <w:rsid w:val="002A4378"/>
    <w:rsid w:val="002A6C76"/>
    <w:rsid w:val="002B0171"/>
    <w:rsid w:val="002B02CF"/>
    <w:rsid w:val="002B1A9A"/>
    <w:rsid w:val="002B2D73"/>
    <w:rsid w:val="002B3A7B"/>
    <w:rsid w:val="002B6CB9"/>
    <w:rsid w:val="002C47C8"/>
    <w:rsid w:val="002C6243"/>
    <w:rsid w:val="002C6481"/>
    <w:rsid w:val="002D1A3C"/>
    <w:rsid w:val="002D3723"/>
    <w:rsid w:val="002D57D3"/>
    <w:rsid w:val="002D6B45"/>
    <w:rsid w:val="002E09C9"/>
    <w:rsid w:val="002E39C7"/>
    <w:rsid w:val="002E4C9F"/>
    <w:rsid w:val="002E62BE"/>
    <w:rsid w:val="002F1947"/>
    <w:rsid w:val="002F2618"/>
    <w:rsid w:val="002F48BB"/>
    <w:rsid w:val="002F528B"/>
    <w:rsid w:val="002F7677"/>
    <w:rsid w:val="00300E42"/>
    <w:rsid w:val="0030173F"/>
    <w:rsid w:val="00301B7A"/>
    <w:rsid w:val="00302D7C"/>
    <w:rsid w:val="00305C10"/>
    <w:rsid w:val="00306AC6"/>
    <w:rsid w:val="003172B1"/>
    <w:rsid w:val="0031747F"/>
    <w:rsid w:val="00322A2A"/>
    <w:rsid w:val="0032616B"/>
    <w:rsid w:val="00326DE3"/>
    <w:rsid w:val="0033275C"/>
    <w:rsid w:val="003337DE"/>
    <w:rsid w:val="00342410"/>
    <w:rsid w:val="00343095"/>
    <w:rsid w:val="00351F02"/>
    <w:rsid w:val="0035391B"/>
    <w:rsid w:val="00355469"/>
    <w:rsid w:val="0036436D"/>
    <w:rsid w:val="00367A29"/>
    <w:rsid w:val="003709D4"/>
    <w:rsid w:val="00375AC0"/>
    <w:rsid w:val="00381D85"/>
    <w:rsid w:val="00383009"/>
    <w:rsid w:val="00383215"/>
    <w:rsid w:val="00384030"/>
    <w:rsid w:val="003840A0"/>
    <w:rsid w:val="003859A8"/>
    <w:rsid w:val="00386871"/>
    <w:rsid w:val="0039086A"/>
    <w:rsid w:val="00390D06"/>
    <w:rsid w:val="003945CD"/>
    <w:rsid w:val="0039548D"/>
    <w:rsid w:val="003954A1"/>
    <w:rsid w:val="003A157B"/>
    <w:rsid w:val="003B0D45"/>
    <w:rsid w:val="003B287A"/>
    <w:rsid w:val="003B2CE3"/>
    <w:rsid w:val="003B78D8"/>
    <w:rsid w:val="003C1D89"/>
    <w:rsid w:val="003C1F8D"/>
    <w:rsid w:val="003D4835"/>
    <w:rsid w:val="003D4851"/>
    <w:rsid w:val="003D6DCB"/>
    <w:rsid w:val="003E0BCD"/>
    <w:rsid w:val="003E2B64"/>
    <w:rsid w:val="003E2F5D"/>
    <w:rsid w:val="003F0CEB"/>
    <w:rsid w:val="003F1AE3"/>
    <w:rsid w:val="003F1ED9"/>
    <w:rsid w:val="003F28C6"/>
    <w:rsid w:val="003F365B"/>
    <w:rsid w:val="003F612D"/>
    <w:rsid w:val="003F6601"/>
    <w:rsid w:val="0040029E"/>
    <w:rsid w:val="0040155E"/>
    <w:rsid w:val="00402D4D"/>
    <w:rsid w:val="00402E61"/>
    <w:rsid w:val="0040478A"/>
    <w:rsid w:val="004048A6"/>
    <w:rsid w:val="00405C2D"/>
    <w:rsid w:val="004079D1"/>
    <w:rsid w:val="00411B19"/>
    <w:rsid w:val="00425837"/>
    <w:rsid w:val="00430057"/>
    <w:rsid w:val="00430566"/>
    <w:rsid w:val="00430EE7"/>
    <w:rsid w:val="00430F2A"/>
    <w:rsid w:val="00430F47"/>
    <w:rsid w:val="00433C7E"/>
    <w:rsid w:val="00436145"/>
    <w:rsid w:val="00436C4F"/>
    <w:rsid w:val="0044523C"/>
    <w:rsid w:val="00451449"/>
    <w:rsid w:val="0045651D"/>
    <w:rsid w:val="00460495"/>
    <w:rsid w:val="00464B3B"/>
    <w:rsid w:val="0047488E"/>
    <w:rsid w:val="004748FF"/>
    <w:rsid w:val="004753C8"/>
    <w:rsid w:val="00476A9A"/>
    <w:rsid w:val="0048098B"/>
    <w:rsid w:val="00480F29"/>
    <w:rsid w:val="00486E22"/>
    <w:rsid w:val="0048794B"/>
    <w:rsid w:val="00491688"/>
    <w:rsid w:val="004920F2"/>
    <w:rsid w:val="00493169"/>
    <w:rsid w:val="004A1600"/>
    <w:rsid w:val="004A50A5"/>
    <w:rsid w:val="004B0AF2"/>
    <w:rsid w:val="004B5DA3"/>
    <w:rsid w:val="004C0841"/>
    <w:rsid w:val="004C093A"/>
    <w:rsid w:val="004C1FDD"/>
    <w:rsid w:val="004C36F3"/>
    <w:rsid w:val="004C5964"/>
    <w:rsid w:val="004D4A28"/>
    <w:rsid w:val="004D4C84"/>
    <w:rsid w:val="004E444C"/>
    <w:rsid w:val="004E7231"/>
    <w:rsid w:val="004F1AA8"/>
    <w:rsid w:val="004F47D5"/>
    <w:rsid w:val="004F4C9F"/>
    <w:rsid w:val="0050016D"/>
    <w:rsid w:val="005001E2"/>
    <w:rsid w:val="00501891"/>
    <w:rsid w:val="00502F0E"/>
    <w:rsid w:val="005039E8"/>
    <w:rsid w:val="00505138"/>
    <w:rsid w:val="00513B4C"/>
    <w:rsid w:val="00513EB7"/>
    <w:rsid w:val="0051414D"/>
    <w:rsid w:val="00517596"/>
    <w:rsid w:val="00520CEF"/>
    <w:rsid w:val="00522CEF"/>
    <w:rsid w:val="00523112"/>
    <w:rsid w:val="0052478C"/>
    <w:rsid w:val="00524AB0"/>
    <w:rsid w:val="005250AD"/>
    <w:rsid w:val="0053231A"/>
    <w:rsid w:val="0053328A"/>
    <w:rsid w:val="00540E81"/>
    <w:rsid w:val="0054160C"/>
    <w:rsid w:val="00541BF6"/>
    <w:rsid w:val="00542386"/>
    <w:rsid w:val="005429A8"/>
    <w:rsid w:val="005438D9"/>
    <w:rsid w:val="0055179C"/>
    <w:rsid w:val="005531AA"/>
    <w:rsid w:val="00553D38"/>
    <w:rsid w:val="0055514A"/>
    <w:rsid w:val="00566838"/>
    <w:rsid w:val="00572AFB"/>
    <w:rsid w:val="005770EA"/>
    <w:rsid w:val="00580DDA"/>
    <w:rsid w:val="00582A47"/>
    <w:rsid w:val="00583698"/>
    <w:rsid w:val="00586092"/>
    <w:rsid w:val="00586ED9"/>
    <w:rsid w:val="005949AD"/>
    <w:rsid w:val="00596FEC"/>
    <w:rsid w:val="005A4A54"/>
    <w:rsid w:val="005A7CDC"/>
    <w:rsid w:val="005B2C6F"/>
    <w:rsid w:val="005B544B"/>
    <w:rsid w:val="005B7BD7"/>
    <w:rsid w:val="005C10DF"/>
    <w:rsid w:val="005C62A2"/>
    <w:rsid w:val="005C6610"/>
    <w:rsid w:val="005C6677"/>
    <w:rsid w:val="005C71A7"/>
    <w:rsid w:val="005C71D7"/>
    <w:rsid w:val="005D0AEB"/>
    <w:rsid w:val="005D5668"/>
    <w:rsid w:val="005D589B"/>
    <w:rsid w:val="005D5A0F"/>
    <w:rsid w:val="005D5E53"/>
    <w:rsid w:val="005E23A1"/>
    <w:rsid w:val="005F3ECB"/>
    <w:rsid w:val="005F45F0"/>
    <w:rsid w:val="005F5D23"/>
    <w:rsid w:val="00600409"/>
    <w:rsid w:val="00602581"/>
    <w:rsid w:val="0061688D"/>
    <w:rsid w:val="006174AE"/>
    <w:rsid w:val="00620F42"/>
    <w:rsid w:val="00626D18"/>
    <w:rsid w:val="00627CF4"/>
    <w:rsid w:val="00631848"/>
    <w:rsid w:val="00631B47"/>
    <w:rsid w:val="00632926"/>
    <w:rsid w:val="006329A9"/>
    <w:rsid w:val="00633E56"/>
    <w:rsid w:val="00635D12"/>
    <w:rsid w:val="00636F44"/>
    <w:rsid w:val="00642486"/>
    <w:rsid w:val="00642B66"/>
    <w:rsid w:val="00644175"/>
    <w:rsid w:val="006457F5"/>
    <w:rsid w:val="00646E1D"/>
    <w:rsid w:val="00647D3C"/>
    <w:rsid w:val="00647F0E"/>
    <w:rsid w:val="00651726"/>
    <w:rsid w:val="006550F0"/>
    <w:rsid w:val="006608BC"/>
    <w:rsid w:val="00663CA4"/>
    <w:rsid w:val="00666E33"/>
    <w:rsid w:val="00667E81"/>
    <w:rsid w:val="00672057"/>
    <w:rsid w:val="006741C7"/>
    <w:rsid w:val="006744F0"/>
    <w:rsid w:val="006825F7"/>
    <w:rsid w:val="006846B2"/>
    <w:rsid w:val="006979EB"/>
    <w:rsid w:val="006A33E0"/>
    <w:rsid w:val="006A590D"/>
    <w:rsid w:val="006B0CF6"/>
    <w:rsid w:val="006B2351"/>
    <w:rsid w:val="006B2479"/>
    <w:rsid w:val="006B43EE"/>
    <w:rsid w:val="006C10F0"/>
    <w:rsid w:val="006C2946"/>
    <w:rsid w:val="006C38C4"/>
    <w:rsid w:val="006C430C"/>
    <w:rsid w:val="006C55C0"/>
    <w:rsid w:val="006C5A05"/>
    <w:rsid w:val="006D2B8F"/>
    <w:rsid w:val="006D2E90"/>
    <w:rsid w:val="006D5BC3"/>
    <w:rsid w:val="006D71A3"/>
    <w:rsid w:val="006E04C8"/>
    <w:rsid w:val="006E055E"/>
    <w:rsid w:val="006E13ED"/>
    <w:rsid w:val="006E238A"/>
    <w:rsid w:val="006E29C2"/>
    <w:rsid w:val="006E2C19"/>
    <w:rsid w:val="006E6849"/>
    <w:rsid w:val="006E7AE4"/>
    <w:rsid w:val="006F017C"/>
    <w:rsid w:val="006F0505"/>
    <w:rsid w:val="006F067C"/>
    <w:rsid w:val="006F71C1"/>
    <w:rsid w:val="006F75F7"/>
    <w:rsid w:val="00700FE2"/>
    <w:rsid w:val="0070584B"/>
    <w:rsid w:val="0070647D"/>
    <w:rsid w:val="00707331"/>
    <w:rsid w:val="00710E4F"/>
    <w:rsid w:val="00712A19"/>
    <w:rsid w:val="0071331F"/>
    <w:rsid w:val="007145E2"/>
    <w:rsid w:val="00715016"/>
    <w:rsid w:val="00720015"/>
    <w:rsid w:val="00720B9D"/>
    <w:rsid w:val="0072267A"/>
    <w:rsid w:val="007232D3"/>
    <w:rsid w:val="0072781F"/>
    <w:rsid w:val="007328D2"/>
    <w:rsid w:val="00734DB1"/>
    <w:rsid w:val="00736397"/>
    <w:rsid w:val="00736EEC"/>
    <w:rsid w:val="0074277F"/>
    <w:rsid w:val="007460E6"/>
    <w:rsid w:val="00747FBC"/>
    <w:rsid w:val="0075125B"/>
    <w:rsid w:val="007519C5"/>
    <w:rsid w:val="00755394"/>
    <w:rsid w:val="0075548E"/>
    <w:rsid w:val="007659D5"/>
    <w:rsid w:val="00767A66"/>
    <w:rsid w:val="00767FFB"/>
    <w:rsid w:val="00770549"/>
    <w:rsid w:val="007708C0"/>
    <w:rsid w:val="007718F4"/>
    <w:rsid w:val="00775D2C"/>
    <w:rsid w:val="00780276"/>
    <w:rsid w:val="00782CBD"/>
    <w:rsid w:val="00783076"/>
    <w:rsid w:val="007857B2"/>
    <w:rsid w:val="007869D6"/>
    <w:rsid w:val="00791C30"/>
    <w:rsid w:val="00795DDA"/>
    <w:rsid w:val="007A4F41"/>
    <w:rsid w:val="007B16DB"/>
    <w:rsid w:val="007B20F1"/>
    <w:rsid w:val="007B7890"/>
    <w:rsid w:val="007B7B47"/>
    <w:rsid w:val="007C1181"/>
    <w:rsid w:val="007C2247"/>
    <w:rsid w:val="007C50BA"/>
    <w:rsid w:val="007C5717"/>
    <w:rsid w:val="007C74B8"/>
    <w:rsid w:val="007E074E"/>
    <w:rsid w:val="007E0841"/>
    <w:rsid w:val="007E4D81"/>
    <w:rsid w:val="007F0264"/>
    <w:rsid w:val="007F08D3"/>
    <w:rsid w:val="007F1602"/>
    <w:rsid w:val="007F670F"/>
    <w:rsid w:val="007F6839"/>
    <w:rsid w:val="00801D62"/>
    <w:rsid w:val="00803548"/>
    <w:rsid w:val="00803734"/>
    <w:rsid w:val="0080430F"/>
    <w:rsid w:val="008056DD"/>
    <w:rsid w:val="008059F3"/>
    <w:rsid w:val="00806ACD"/>
    <w:rsid w:val="00807582"/>
    <w:rsid w:val="00811816"/>
    <w:rsid w:val="00811FC4"/>
    <w:rsid w:val="00815D5F"/>
    <w:rsid w:val="00816AA6"/>
    <w:rsid w:val="0081720E"/>
    <w:rsid w:val="008211F6"/>
    <w:rsid w:val="00826AA9"/>
    <w:rsid w:val="00831CFA"/>
    <w:rsid w:val="00833677"/>
    <w:rsid w:val="0083603E"/>
    <w:rsid w:val="0084118D"/>
    <w:rsid w:val="008414F1"/>
    <w:rsid w:val="00844C53"/>
    <w:rsid w:val="00845DEC"/>
    <w:rsid w:val="00846753"/>
    <w:rsid w:val="0085205E"/>
    <w:rsid w:val="00853BE5"/>
    <w:rsid w:val="00855CC8"/>
    <w:rsid w:val="00856CA5"/>
    <w:rsid w:val="008627E4"/>
    <w:rsid w:val="0086289E"/>
    <w:rsid w:val="00872953"/>
    <w:rsid w:val="00877A35"/>
    <w:rsid w:val="0088266B"/>
    <w:rsid w:val="008855AB"/>
    <w:rsid w:val="00890581"/>
    <w:rsid w:val="00892541"/>
    <w:rsid w:val="00896465"/>
    <w:rsid w:val="008971D5"/>
    <w:rsid w:val="008A0272"/>
    <w:rsid w:val="008A16BC"/>
    <w:rsid w:val="008A6FDB"/>
    <w:rsid w:val="008A79E2"/>
    <w:rsid w:val="008B0A6C"/>
    <w:rsid w:val="008B2713"/>
    <w:rsid w:val="008B5B31"/>
    <w:rsid w:val="008B6E98"/>
    <w:rsid w:val="008B7BBA"/>
    <w:rsid w:val="008C0D6E"/>
    <w:rsid w:val="008C4390"/>
    <w:rsid w:val="008C4DC9"/>
    <w:rsid w:val="008C4EF6"/>
    <w:rsid w:val="008C6965"/>
    <w:rsid w:val="008C6E4B"/>
    <w:rsid w:val="008C79ED"/>
    <w:rsid w:val="008D16A6"/>
    <w:rsid w:val="008D1EEC"/>
    <w:rsid w:val="008D2B71"/>
    <w:rsid w:val="008D2D9A"/>
    <w:rsid w:val="008F197F"/>
    <w:rsid w:val="008F3A90"/>
    <w:rsid w:val="008F4F03"/>
    <w:rsid w:val="008F63F5"/>
    <w:rsid w:val="008F7467"/>
    <w:rsid w:val="00900D7A"/>
    <w:rsid w:val="00906652"/>
    <w:rsid w:val="00907718"/>
    <w:rsid w:val="00912E9E"/>
    <w:rsid w:val="00913C5B"/>
    <w:rsid w:val="00914FB2"/>
    <w:rsid w:val="0091693C"/>
    <w:rsid w:val="009173BF"/>
    <w:rsid w:val="00925D47"/>
    <w:rsid w:val="009333D2"/>
    <w:rsid w:val="009336A3"/>
    <w:rsid w:val="00933B3E"/>
    <w:rsid w:val="00935D5C"/>
    <w:rsid w:val="0094048F"/>
    <w:rsid w:val="00944389"/>
    <w:rsid w:val="00944864"/>
    <w:rsid w:val="00944D23"/>
    <w:rsid w:val="0095021E"/>
    <w:rsid w:val="00952DC9"/>
    <w:rsid w:val="009555EE"/>
    <w:rsid w:val="00957F20"/>
    <w:rsid w:val="0096416A"/>
    <w:rsid w:val="00964CB5"/>
    <w:rsid w:val="0096741A"/>
    <w:rsid w:val="00967720"/>
    <w:rsid w:val="00971E2A"/>
    <w:rsid w:val="009727C8"/>
    <w:rsid w:val="00975DB3"/>
    <w:rsid w:val="009802AF"/>
    <w:rsid w:val="00981AB4"/>
    <w:rsid w:val="00983C30"/>
    <w:rsid w:val="00984A96"/>
    <w:rsid w:val="00987EF7"/>
    <w:rsid w:val="0099053A"/>
    <w:rsid w:val="00990F55"/>
    <w:rsid w:val="0099122F"/>
    <w:rsid w:val="00992682"/>
    <w:rsid w:val="00992E71"/>
    <w:rsid w:val="009A1C1B"/>
    <w:rsid w:val="009A5326"/>
    <w:rsid w:val="009A6D72"/>
    <w:rsid w:val="009A7CE7"/>
    <w:rsid w:val="009B011D"/>
    <w:rsid w:val="009B0E5B"/>
    <w:rsid w:val="009B0F79"/>
    <w:rsid w:val="009C6202"/>
    <w:rsid w:val="009D13BB"/>
    <w:rsid w:val="009D220B"/>
    <w:rsid w:val="009D23F4"/>
    <w:rsid w:val="009D3D7A"/>
    <w:rsid w:val="009D5D7C"/>
    <w:rsid w:val="009D7061"/>
    <w:rsid w:val="009E0EED"/>
    <w:rsid w:val="009E13FC"/>
    <w:rsid w:val="009E1C40"/>
    <w:rsid w:val="009E3E7C"/>
    <w:rsid w:val="009F33DE"/>
    <w:rsid w:val="009F4AAD"/>
    <w:rsid w:val="009F4D99"/>
    <w:rsid w:val="009F4E5F"/>
    <w:rsid w:val="009F4FBC"/>
    <w:rsid w:val="009F67FA"/>
    <w:rsid w:val="009F69E2"/>
    <w:rsid w:val="00A04DBE"/>
    <w:rsid w:val="00A05F11"/>
    <w:rsid w:val="00A0751B"/>
    <w:rsid w:val="00A10ACA"/>
    <w:rsid w:val="00A152B7"/>
    <w:rsid w:val="00A2166B"/>
    <w:rsid w:val="00A21AA5"/>
    <w:rsid w:val="00A310ED"/>
    <w:rsid w:val="00A3425B"/>
    <w:rsid w:val="00A34FFC"/>
    <w:rsid w:val="00A41B6D"/>
    <w:rsid w:val="00A41F96"/>
    <w:rsid w:val="00A444F4"/>
    <w:rsid w:val="00A45F3E"/>
    <w:rsid w:val="00A51A7C"/>
    <w:rsid w:val="00A64F29"/>
    <w:rsid w:val="00A65283"/>
    <w:rsid w:val="00A6643C"/>
    <w:rsid w:val="00A67CC7"/>
    <w:rsid w:val="00A7138E"/>
    <w:rsid w:val="00A71C54"/>
    <w:rsid w:val="00A74EDD"/>
    <w:rsid w:val="00A75E0F"/>
    <w:rsid w:val="00A763E5"/>
    <w:rsid w:val="00A771AE"/>
    <w:rsid w:val="00A85C5D"/>
    <w:rsid w:val="00A907B5"/>
    <w:rsid w:val="00AA226E"/>
    <w:rsid w:val="00AA46DB"/>
    <w:rsid w:val="00AA47B7"/>
    <w:rsid w:val="00AA62CB"/>
    <w:rsid w:val="00AB0933"/>
    <w:rsid w:val="00AC22C4"/>
    <w:rsid w:val="00AC399A"/>
    <w:rsid w:val="00AC5D0C"/>
    <w:rsid w:val="00AC5F6F"/>
    <w:rsid w:val="00AD0FBF"/>
    <w:rsid w:val="00AD76A1"/>
    <w:rsid w:val="00AE44AF"/>
    <w:rsid w:val="00AE4732"/>
    <w:rsid w:val="00AE6479"/>
    <w:rsid w:val="00AE7E37"/>
    <w:rsid w:val="00AE7F34"/>
    <w:rsid w:val="00AF447D"/>
    <w:rsid w:val="00AF474A"/>
    <w:rsid w:val="00AF6B75"/>
    <w:rsid w:val="00B02E50"/>
    <w:rsid w:val="00B03277"/>
    <w:rsid w:val="00B04AAE"/>
    <w:rsid w:val="00B0517E"/>
    <w:rsid w:val="00B077FD"/>
    <w:rsid w:val="00B143F9"/>
    <w:rsid w:val="00B177B7"/>
    <w:rsid w:val="00B2366C"/>
    <w:rsid w:val="00B24F1C"/>
    <w:rsid w:val="00B3171A"/>
    <w:rsid w:val="00B36977"/>
    <w:rsid w:val="00B406BA"/>
    <w:rsid w:val="00B40BFC"/>
    <w:rsid w:val="00B41BE1"/>
    <w:rsid w:val="00B41D5E"/>
    <w:rsid w:val="00B43F01"/>
    <w:rsid w:val="00B46663"/>
    <w:rsid w:val="00B46A76"/>
    <w:rsid w:val="00B47DD4"/>
    <w:rsid w:val="00B509D3"/>
    <w:rsid w:val="00B52FB4"/>
    <w:rsid w:val="00B54F58"/>
    <w:rsid w:val="00B55C3B"/>
    <w:rsid w:val="00B56E04"/>
    <w:rsid w:val="00B5737F"/>
    <w:rsid w:val="00B6181F"/>
    <w:rsid w:val="00B6392D"/>
    <w:rsid w:val="00B63BFF"/>
    <w:rsid w:val="00B64C9C"/>
    <w:rsid w:val="00B64F8C"/>
    <w:rsid w:val="00B65D0C"/>
    <w:rsid w:val="00B65F37"/>
    <w:rsid w:val="00B70FA9"/>
    <w:rsid w:val="00B75226"/>
    <w:rsid w:val="00B75BEC"/>
    <w:rsid w:val="00B77D52"/>
    <w:rsid w:val="00B77EF5"/>
    <w:rsid w:val="00B80304"/>
    <w:rsid w:val="00B81BF6"/>
    <w:rsid w:val="00B81F19"/>
    <w:rsid w:val="00B82159"/>
    <w:rsid w:val="00B835F8"/>
    <w:rsid w:val="00B84760"/>
    <w:rsid w:val="00B87B4A"/>
    <w:rsid w:val="00B94DF3"/>
    <w:rsid w:val="00BA306C"/>
    <w:rsid w:val="00BA436B"/>
    <w:rsid w:val="00BA5406"/>
    <w:rsid w:val="00BA5A4B"/>
    <w:rsid w:val="00BA5CF0"/>
    <w:rsid w:val="00BB14EE"/>
    <w:rsid w:val="00BB1D3B"/>
    <w:rsid w:val="00BB26C5"/>
    <w:rsid w:val="00BB36EE"/>
    <w:rsid w:val="00BB4AC5"/>
    <w:rsid w:val="00BB503D"/>
    <w:rsid w:val="00BB6296"/>
    <w:rsid w:val="00BB7591"/>
    <w:rsid w:val="00BC6D53"/>
    <w:rsid w:val="00BC737B"/>
    <w:rsid w:val="00BD0DDE"/>
    <w:rsid w:val="00BD3A10"/>
    <w:rsid w:val="00BD4CBB"/>
    <w:rsid w:val="00BD70FB"/>
    <w:rsid w:val="00BD75BB"/>
    <w:rsid w:val="00BE0A8A"/>
    <w:rsid w:val="00BE1B21"/>
    <w:rsid w:val="00BE3445"/>
    <w:rsid w:val="00BE5BA7"/>
    <w:rsid w:val="00BE6FCE"/>
    <w:rsid w:val="00BF1FAE"/>
    <w:rsid w:val="00BF59A2"/>
    <w:rsid w:val="00C049E6"/>
    <w:rsid w:val="00C0760D"/>
    <w:rsid w:val="00C10CA6"/>
    <w:rsid w:val="00C21C96"/>
    <w:rsid w:val="00C22B92"/>
    <w:rsid w:val="00C24B85"/>
    <w:rsid w:val="00C25BDE"/>
    <w:rsid w:val="00C275ED"/>
    <w:rsid w:val="00C30CDB"/>
    <w:rsid w:val="00C32552"/>
    <w:rsid w:val="00C342EF"/>
    <w:rsid w:val="00C34990"/>
    <w:rsid w:val="00C35ACD"/>
    <w:rsid w:val="00C40432"/>
    <w:rsid w:val="00C41C09"/>
    <w:rsid w:val="00C42AE9"/>
    <w:rsid w:val="00C45E5D"/>
    <w:rsid w:val="00C505D4"/>
    <w:rsid w:val="00C51CB7"/>
    <w:rsid w:val="00C55AD2"/>
    <w:rsid w:val="00C5637E"/>
    <w:rsid w:val="00C56DF4"/>
    <w:rsid w:val="00C60CDE"/>
    <w:rsid w:val="00C629D1"/>
    <w:rsid w:val="00C6638F"/>
    <w:rsid w:val="00C67D56"/>
    <w:rsid w:val="00C7252A"/>
    <w:rsid w:val="00C73151"/>
    <w:rsid w:val="00C8099E"/>
    <w:rsid w:val="00C83D7C"/>
    <w:rsid w:val="00C83EB2"/>
    <w:rsid w:val="00C8636C"/>
    <w:rsid w:val="00C879FF"/>
    <w:rsid w:val="00C915BD"/>
    <w:rsid w:val="00C9176D"/>
    <w:rsid w:val="00C92F0E"/>
    <w:rsid w:val="00C93591"/>
    <w:rsid w:val="00C93789"/>
    <w:rsid w:val="00CA293D"/>
    <w:rsid w:val="00CA3072"/>
    <w:rsid w:val="00CA45C3"/>
    <w:rsid w:val="00CA5F36"/>
    <w:rsid w:val="00CA699A"/>
    <w:rsid w:val="00CB03BA"/>
    <w:rsid w:val="00CB4E34"/>
    <w:rsid w:val="00CB5641"/>
    <w:rsid w:val="00CB77BB"/>
    <w:rsid w:val="00CC3292"/>
    <w:rsid w:val="00CC3B63"/>
    <w:rsid w:val="00CC5FB1"/>
    <w:rsid w:val="00CC7358"/>
    <w:rsid w:val="00CC738E"/>
    <w:rsid w:val="00CD3002"/>
    <w:rsid w:val="00CD7292"/>
    <w:rsid w:val="00CD7A47"/>
    <w:rsid w:val="00CE08EA"/>
    <w:rsid w:val="00CE3741"/>
    <w:rsid w:val="00CE4033"/>
    <w:rsid w:val="00CE4E79"/>
    <w:rsid w:val="00CE5034"/>
    <w:rsid w:val="00CE647C"/>
    <w:rsid w:val="00CF25F1"/>
    <w:rsid w:val="00CF44BB"/>
    <w:rsid w:val="00CF7B2F"/>
    <w:rsid w:val="00D051E2"/>
    <w:rsid w:val="00D05F7A"/>
    <w:rsid w:val="00D0664D"/>
    <w:rsid w:val="00D116D7"/>
    <w:rsid w:val="00D1501B"/>
    <w:rsid w:val="00D158DD"/>
    <w:rsid w:val="00D15B84"/>
    <w:rsid w:val="00D20CE8"/>
    <w:rsid w:val="00D221E8"/>
    <w:rsid w:val="00D22D76"/>
    <w:rsid w:val="00D251E3"/>
    <w:rsid w:val="00D30397"/>
    <w:rsid w:val="00D32E07"/>
    <w:rsid w:val="00D34E3C"/>
    <w:rsid w:val="00D369F6"/>
    <w:rsid w:val="00D40B32"/>
    <w:rsid w:val="00D42723"/>
    <w:rsid w:val="00D52713"/>
    <w:rsid w:val="00D56600"/>
    <w:rsid w:val="00D570F2"/>
    <w:rsid w:val="00D60AF0"/>
    <w:rsid w:val="00D61037"/>
    <w:rsid w:val="00D612F5"/>
    <w:rsid w:val="00D64537"/>
    <w:rsid w:val="00D65FA6"/>
    <w:rsid w:val="00D7099B"/>
    <w:rsid w:val="00D70BD6"/>
    <w:rsid w:val="00D71382"/>
    <w:rsid w:val="00D71D41"/>
    <w:rsid w:val="00D75233"/>
    <w:rsid w:val="00D76BF5"/>
    <w:rsid w:val="00D82D00"/>
    <w:rsid w:val="00D905A4"/>
    <w:rsid w:val="00D92BF8"/>
    <w:rsid w:val="00D965E7"/>
    <w:rsid w:val="00DA3342"/>
    <w:rsid w:val="00DA4B1C"/>
    <w:rsid w:val="00DA53B1"/>
    <w:rsid w:val="00DA7624"/>
    <w:rsid w:val="00DB2106"/>
    <w:rsid w:val="00DB2534"/>
    <w:rsid w:val="00DB6378"/>
    <w:rsid w:val="00DC0074"/>
    <w:rsid w:val="00DC12B9"/>
    <w:rsid w:val="00DC6F27"/>
    <w:rsid w:val="00DD35C5"/>
    <w:rsid w:val="00DD41CF"/>
    <w:rsid w:val="00DD630E"/>
    <w:rsid w:val="00DD6DF0"/>
    <w:rsid w:val="00DD71A8"/>
    <w:rsid w:val="00DE0D2F"/>
    <w:rsid w:val="00DE2C86"/>
    <w:rsid w:val="00DE5E24"/>
    <w:rsid w:val="00DF4748"/>
    <w:rsid w:val="00DF4DFE"/>
    <w:rsid w:val="00E018D1"/>
    <w:rsid w:val="00E02242"/>
    <w:rsid w:val="00E02904"/>
    <w:rsid w:val="00E02F2E"/>
    <w:rsid w:val="00E07149"/>
    <w:rsid w:val="00E16E2A"/>
    <w:rsid w:val="00E2570D"/>
    <w:rsid w:val="00E263A7"/>
    <w:rsid w:val="00E2742D"/>
    <w:rsid w:val="00E318AD"/>
    <w:rsid w:val="00E3590E"/>
    <w:rsid w:val="00E359DE"/>
    <w:rsid w:val="00E37782"/>
    <w:rsid w:val="00E37DB2"/>
    <w:rsid w:val="00E43A54"/>
    <w:rsid w:val="00E44373"/>
    <w:rsid w:val="00E45486"/>
    <w:rsid w:val="00E46214"/>
    <w:rsid w:val="00E47D4F"/>
    <w:rsid w:val="00E5162A"/>
    <w:rsid w:val="00E520B7"/>
    <w:rsid w:val="00E543AD"/>
    <w:rsid w:val="00E57D0A"/>
    <w:rsid w:val="00E6172E"/>
    <w:rsid w:val="00E62AE7"/>
    <w:rsid w:val="00E63045"/>
    <w:rsid w:val="00E63930"/>
    <w:rsid w:val="00E65CAD"/>
    <w:rsid w:val="00E72F08"/>
    <w:rsid w:val="00E73212"/>
    <w:rsid w:val="00E73474"/>
    <w:rsid w:val="00E75117"/>
    <w:rsid w:val="00E81239"/>
    <w:rsid w:val="00E833A0"/>
    <w:rsid w:val="00E84245"/>
    <w:rsid w:val="00E84988"/>
    <w:rsid w:val="00E8521E"/>
    <w:rsid w:val="00E930D0"/>
    <w:rsid w:val="00EA21F3"/>
    <w:rsid w:val="00EA43D0"/>
    <w:rsid w:val="00EA5532"/>
    <w:rsid w:val="00EA5950"/>
    <w:rsid w:val="00EA7715"/>
    <w:rsid w:val="00EB03DE"/>
    <w:rsid w:val="00EB1AE0"/>
    <w:rsid w:val="00EB26E1"/>
    <w:rsid w:val="00EB2875"/>
    <w:rsid w:val="00EB3731"/>
    <w:rsid w:val="00EB4D1E"/>
    <w:rsid w:val="00EB603D"/>
    <w:rsid w:val="00EB6C9A"/>
    <w:rsid w:val="00EC3B69"/>
    <w:rsid w:val="00EC4AE9"/>
    <w:rsid w:val="00EC7A5D"/>
    <w:rsid w:val="00ED44C6"/>
    <w:rsid w:val="00ED473F"/>
    <w:rsid w:val="00ED6F99"/>
    <w:rsid w:val="00ED7498"/>
    <w:rsid w:val="00ED78E0"/>
    <w:rsid w:val="00EE3427"/>
    <w:rsid w:val="00EE4BBD"/>
    <w:rsid w:val="00EE530C"/>
    <w:rsid w:val="00EF0EE0"/>
    <w:rsid w:val="00EF1BDB"/>
    <w:rsid w:val="00EF2268"/>
    <w:rsid w:val="00EF446E"/>
    <w:rsid w:val="00F00A5D"/>
    <w:rsid w:val="00F04354"/>
    <w:rsid w:val="00F048F0"/>
    <w:rsid w:val="00F06B80"/>
    <w:rsid w:val="00F1073A"/>
    <w:rsid w:val="00F112F2"/>
    <w:rsid w:val="00F14EBF"/>
    <w:rsid w:val="00F15360"/>
    <w:rsid w:val="00F2172F"/>
    <w:rsid w:val="00F229F5"/>
    <w:rsid w:val="00F22AEE"/>
    <w:rsid w:val="00F2325D"/>
    <w:rsid w:val="00F27BC9"/>
    <w:rsid w:val="00F3559E"/>
    <w:rsid w:val="00F417C0"/>
    <w:rsid w:val="00F424C9"/>
    <w:rsid w:val="00F53555"/>
    <w:rsid w:val="00F55D69"/>
    <w:rsid w:val="00F60A60"/>
    <w:rsid w:val="00F64904"/>
    <w:rsid w:val="00F653EE"/>
    <w:rsid w:val="00F669E2"/>
    <w:rsid w:val="00F67B9F"/>
    <w:rsid w:val="00F703D1"/>
    <w:rsid w:val="00F719D9"/>
    <w:rsid w:val="00F735BA"/>
    <w:rsid w:val="00F743A4"/>
    <w:rsid w:val="00F74C3F"/>
    <w:rsid w:val="00F75930"/>
    <w:rsid w:val="00F80C18"/>
    <w:rsid w:val="00F8117F"/>
    <w:rsid w:val="00F81531"/>
    <w:rsid w:val="00F816FE"/>
    <w:rsid w:val="00F90A31"/>
    <w:rsid w:val="00F92263"/>
    <w:rsid w:val="00F942FF"/>
    <w:rsid w:val="00FA1335"/>
    <w:rsid w:val="00FA2108"/>
    <w:rsid w:val="00FA6484"/>
    <w:rsid w:val="00FA7311"/>
    <w:rsid w:val="00FB26A4"/>
    <w:rsid w:val="00FB2728"/>
    <w:rsid w:val="00FB285C"/>
    <w:rsid w:val="00FB3777"/>
    <w:rsid w:val="00FB38C9"/>
    <w:rsid w:val="00FB3A28"/>
    <w:rsid w:val="00FB439E"/>
    <w:rsid w:val="00FB472C"/>
    <w:rsid w:val="00FB541F"/>
    <w:rsid w:val="00FB6E39"/>
    <w:rsid w:val="00FB76CB"/>
    <w:rsid w:val="00FB7ACB"/>
    <w:rsid w:val="00FC1309"/>
    <w:rsid w:val="00FC1F08"/>
    <w:rsid w:val="00FC353B"/>
    <w:rsid w:val="00FC4462"/>
    <w:rsid w:val="00FC5B88"/>
    <w:rsid w:val="00FC5C23"/>
    <w:rsid w:val="00FD122E"/>
    <w:rsid w:val="00FD2F82"/>
    <w:rsid w:val="00FD4276"/>
    <w:rsid w:val="00FD59D6"/>
    <w:rsid w:val="00FD5F6E"/>
    <w:rsid w:val="00FE0643"/>
    <w:rsid w:val="00FE31E3"/>
    <w:rsid w:val="00FF0B82"/>
    <w:rsid w:val="00FF2B97"/>
    <w:rsid w:val="00FF30A2"/>
    <w:rsid w:val="00FF6944"/>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482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14"/>
    <w:rPr>
      <w:rFonts w:ascii="Times New Roman" w:hAnsi="Times New Roman"/>
      <w:sz w:val="24"/>
    </w:rPr>
  </w:style>
  <w:style w:type="paragraph" w:styleId="Heading1">
    <w:name w:val="heading 1"/>
    <w:basedOn w:val="Normal"/>
    <w:next w:val="Normal"/>
    <w:link w:val="Heading1Char"/>
    <w:autoRedefine/>
    <w:uiPriority w:val="9"/>
    <w:qFormat/>
    <w:rsid w:val="00E46214"/>
    <w:pPr>
      <w:keepNext/>
      <w:keepLines/>
      <w:spacing w:before="320" w:after="80" w:line="240" w:lineRule="auto"/>
      <w:jc w:val="both"/>
      <w:outlineLvl w:val="0"/>
    </w:pPr>
    <w:rPr>
      <w:rFonts w:eastAsiaTheme="majorEastAsia" w:cs="Times New Roman"/>
      <w:b/>
      <w:szCs w:val="40"/>
    </w:rPr>
  </w:style>
  <w:style w:type="paragraph" w:styleId="Heading2">
    <w:name w:val="heading 2"/>
    <w:basedOn w:val="Normal"/>
    <w:next w:val="Normal"/>
    <w:link w:val="Heading2Char"/>
    <w:uiPriority w:val="9"/>
    <w:unhideWhenUsed/>
    <w:qFormat/>
    <w:rsid w:val="00E46214"/>
    <w:pPr>
      <w:keepNext/>
      <w:keepLines/>
      <w:spacing w:before="160" w:after="40" w:line="240" w:lineRule="auto"/>
      <w:outlineLvl w:val="1"/>
    </w:pPr>
    <w:rPr>
      <w:rFonts w:eastAsiaTheme="majorEastAsia" w:cstheme="majorBidi"/>
      <w:b/>
      <w:szCs w:val="32"/>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31E3"/>
    <w:pPr>
      <w:spacing w:after="160" w:line="240" w:lineRule="auto"/>
      <w:jc w:val="both"/>
    </w:pPr>
    <w:rPr>
      <w:rFonts w:eastAsiaTheme="minorEastAsia"/>
      <w:b/>
      <w:bCs/>
      <w:color w:val="404040" w:themeColor="text1" w:themeTint="BF"/>
      <w:sz w:val="16"/>
      <w:szCs w:val="16"/>
      <w:lang w:val="nl-NL"/>
    </w:rPr>
  </w:style>
  <w:style w:type="table" w:customStyle="1" w:styleId="Onopgemaaktetabel41">
    <w:name w:val="Onopgemaakte tabel 41"/>
    <w:basedOn w:val="TableNormal"/>
    <w:uiPriority w:val="44"/>
    <w:rsid w:val="00FE31E3"/>
    <w:pPr>
      <w:spacing w:after="0" w:line="240" w:lineRule="auto"/>
    </w:pPr>
    <w:rPr>
      <w:lang w:val="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47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06A"/>
    <w:pPr>
      <w:ind w:left="720"/>
      <w:contextualSpacing/>
    </w:pPr>
  </w:style>
  <w:style w:type="paragraph" w:styleId="BalloonText">
    <w:name w:val="Balloon Text"/>
    <w:basedOn w:val="Normal"/>
    <w:link w:val="BalloonTextChar"/>
    <w:uiPriority w:val="99"/>
    <w:semiHidden/>
    <w:unhideWhenUsed/>
    <w:rsid w:val="00D7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D6"/>
    <w:rPr>
      <w:rFonts w:ascii="Segoe UI" w:hAnsi="Segoe UI" w:cs="Segoe UI"/>
      <w:sz w:val="18"/>
      <w:szCs w:val="18"/>
    </w:rPr>
  </w:style>
  <w:style w:type="paragraph" w:styleId="Header">
    <w:name w:val="header"/>
    <w:basedOn w:val="Normal"/>
    <w:link w:val="HeaderChar"/>
    <w:uiPriority w:val="99"/>
    <w:unhideWhenUsed/>
    <w:rsid w:val="008B7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BBA"/>
  </w:style>
  <w:style w:type="paragraph" w:styleId="Footer">
    <w:name w:val="footer"/>
    <w:basedOn w:val="Normal"/>
    <w:link w:val="FooterChar"/>
    <w:uiPriority w:val="99"/>
    <w:unhideWhenUsed/>
    <w:rsid w:val="008B7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BBA"/>
  </w:style>
  <w:style w:type="character" w:customStyle="1" w:styleId="Heading1Char">
    <w:name w:val="Heading 1 Char"/>
    <w:basedOn w:val="DefaultParagraphFont"/>
    <w:link w:val="Heading1"/>
    <w:uiPriority w:val="9"/>
    <w:rsid w:val="00E46214"/>
    <w:rPr>
      <w:rFonts w:ascii="Times New Roman" w:eastAsiaTheme="majorEastAsia" w:hAnsi="Times New Roman" w:cs="Times New Roman"/>
      <w:b/>
      <w:sz w:val="24"/>
      <w:szCs w:val="40"/>
    </w:rPr>
  </w:style>
  <w:style w:type="character" w:customStyle="1" w:styleId="Heading2Char">
    <w:name w:val="Heading 2 Char"/>
    <w:basedOn w:val="DefaultParagraphFont"/>
    <w:link w:val="Heading2"/>
    <w:uiPriority w:val="9"/>
    <w:rsid w:val="00E46214"/>
    <w:rPr>
      <w:rFonts w:ascii="Times New Roman" w:eastAsiaTheme="majorEastAsia" w:hAnsi="Times New Roman" w:cstheme="majorBidi"/>
      <w:b/>
      <w:sz w:val="24"/>
      <w:szCs w:val="32"/>
      <w:lang w:val="nl-NL"/>
    </w:rPr>
  </w:style>
  <w:style w:type="character" w:styleId="CommentReference">
    <w:name w:val="annotation reference"/>
    <w:basedOn w:val="DefaultParagraphFont"/>
    <w:uiPriority w:val="99"/>
    <w:semiHidden/>
    <w:unhideWhenUsed/>
    <w:rsid w:val="00E3590E"/>
    <w:rPr>
      <w:sz w:val="16"/>
      <w:szCs w:val="16"/>
    </w:rPr>
  </w:style>
  <w:style w:type="paragraph" w:styleId="CommentText">
    <w:name w:val="annotation text"/>
    <w:basedOn w:val="Normal"/>
    <w:link w:val="CommentTextChar"/>
    <w:uiPriority w:val="99"/>
    <w:semiHidden/>
    <w:unhideWhenUsed/>
    <w:rsid w:val="007718F4"/>
    <w:pPr>
      <w:spacing w:line="240" w:lineRule="auto"/>
    </w:pPr>
    <w:rPr>
      <w:sz w:val="20"/>
      <w:szCs w:val="20"/>
    </w:rPr>
  </w:style>
  <w:style w:type="character" w:customStyle="1" w:styleId="CommentTextChar">
    <w:name w:val="Comment Text Char"/>
    <w:basedOn w:val="DefaultParagraphFont"/>
    <w:link w:val="CommentText"/>
    <w:uiPriority w:val="99"/>
    <w:semiHidden/>
    <w:rsid w:val="007718F4"/>
    <w:rPr>
      <w:sz w:val="20"/>
      <w:szCs w:val="20"/>
    </w:rPr>
  </w:style>
  <w:style w:type="paragraph" w:styleId="CommentSubject">
    <w:name w:val="annotation subject"/>
    <w:basedOn w:val="CommentText"/>
    <w:next w:val="CommentText"/>
    <w:link w:val="CommentSubjectChar"/>
    <w:uiPriority w:val="99"/>
    <w:semiHidden/>
    <w:unhideWhenUsed/>
    <w:rsid w:val="007718F4"/>
    <w:rPr>
      <w:b/>
      <w:bCs/>
    </w:rPr>
  </w:style>
  <w:style w:type="character" w:customStyle="1" w:styleId="CommentSubjectChar">
    <w:name w:val="Comment Subject Char"/>
    <w:basedOn w:val="CommentTextChar"/>
    <w:link w:val="CommentSubject"/>
    <w:uiPriority w:val="99"/>
    <w:semiHidden/>
    <w:rsid w:val="007718F4"/>
    <w:rPr>
      <w:b/>
      <w:bCs/>
      <w:sz w:val="20"/>
      <w:szCs w:val="20"/>
    </w:rPr>
  </w:style>
  <w:style w:type="paragraph" w:customStyle="1" w:styleId="EndNoteBibliographyTitle">
    <w:name w:val="EndNote Bibliography Title"/>
    <w:basedOn w:val="Normal"/>
    <w:link w:val="EndNoteBibliographyTitleChar"/>
    <w:rsid w:val="007C50BA"/>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7C50BA"/>
    <w:rPr>
      <w:rFonts w:ascii="Calibri" w:hAnsi="Calibri"/>
      <w:noProof/>
    </w:rPr>
  </w:style>
  <w:style w:type="paragraph" w:customStyle="1" w:styleId="EndNoteBibliography">
    <w:name w:val="EndNote Bibliography"/>
    <w:basedOn w:val="Normal"/>
    <w:link w:val="EndNoteBibliographyChar"/>
    <w:rsid w:val="007C50BA"/>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7C50BA"/>
    <w:rPr>
      <w:rFonts w:ascii="Calibri" w:hAnsi="Calibri"/>
      <w:noProof/>
    </w:rPr>
  </w:style>
  <w:style w:type="paragraph" w:styleId="Revision">
    <w:name w:val="Revision"/>
    <w:hidden/>
    <w:uiPriority w:val="99"/>
    <w:semiHidden/>
    <w:rsid w:val="005E23A1"/>
    <w:pPr>
      <w:spacing w:after="0" w:line="240" w:lineRule="auto"/>
    </w:pPr>
  </w:style>
  <w:style w:type="paragraph" w:styleId="NormalWeb">
    <w:name w:val="Normal (Web)"/>
    <w:basedOn w:val="Normal"/>
    <w:uiPriority w:val="99"/>
    <w:unhideWhenUsed/>
    <w:rsid w:val="00D61037"/>
    <w:pPr>
      <w:spacing w:after="0" w:line="240" w:lineRule="auto"/>
    </w:pPr>
    <w:rPr>
      <w:rFonts w:cs="Times New Roman"/>
      <w:szCs w:val="24"/>
    </w:rPr>
  </w:style>
  <w:style w:type="character" w:styleId="LineNumber">
    <w:name w:val="line number"/>
    <w:basedOn w:val="DefaultParagraphFont"/>
    <w:uiPriority w:val="99"/>
    <w:semiHidden/>
    <w:unhideWhenUsed/>
    <w:rsid w:val="00CB5641"/>
  </w:style>
  <w:style w:type="paragraph" w:styleId="FootnoteText">
    <w:name w:val="footnote text"/>
    <w:basedOn w:val="Normal"/>
    <w:link w:val="FootnoteTextChar"/>
    <w:uiPriority w:val="99"/>
    <w:semiHidden/>
    <w:unhideWhenUsed/>
    <w:rsid w:val="00A51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A7C"/>
    <w:rPr>
      <w:sz w:val="20"/>
      <w:szCs w:val="20"/>
    </w:rPr>
  </w:style>
  <w:style w:type="character" w:styleId="FootnoteReference">
    <w:name w:val="footnote reference"/>
    <w:basedOn w:val="DefaultParagraphFont"/>
    <w:uiPriority w:val="99"/>
    <w:semiHidden/>
    <w:unhideWhenUsed/>
    <w:rsid w:val="00A51A7C"/>
    <w:rPr>
      <w:vertAlign w:val="superscript"/>
    </w:rPr>
  </w:style>
  <w:style w:type="paragraph" w:styleId="EndnoteText">
    <w:name w:val="endnote text"/>
    <w:basedOn w:val="Normal"/>
    <w:link w:val="EndnoteTextChar"/>
    <w:uiPriority w:val="99"/>
    <w:semiHidden/>
    <w:unhideWhenUsed/>
    <w:rsid w:val="00A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A7C"/>
    <w:rPr>
      <w:sz w:val="20"/>
      <w:szCs w:val="20"/>
    </w:rPr>
  </w:style>
  <w:style w:type="character" w:styleId="EndnoteReference">
    <w:name w:val="endnote reference"/>
    <w:basedOn w:val="DefaultParagraphFont"/>
    <w:uiPriority w:val="99"/>
    <w:semiHidden/>
    <w:unhideWhenUsed/>
    <w:rsid w:val="00A51A7C"/>
    <w:rPr>
      <w:vertAlign w:val="superscript"/>
    </w:rPr>
  </w:style>
  <w:style w:type="character" w:styleId="Hyperlink">
    <w:name w:val="Hyperlink"/>
    <w:basedOn w:val="DefaultParagraphFont"/>
    <w:uiPriority w:val="99"/>
    <w:unhideWhenUsed/>
    <w:rsid w:val="00035D1E"/>
    <w:rPr>
      <w:color w:val="0000FF" w:themeColor="hyperlink"/>
      <w:u w:val="single"/>
    </w:rPr>
  </w:style>
  <w:style w:type="character" w:customStyle="1" w:styleId="st1">
    <w:name w:val="st1"/>
    <w:basedOn w:val="DefaultParagraphFont"/>
    <w:rsid w:val="009F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754">
      <w:bodyDiv w:val="1"/>
      <w:marLeft w:val="0"/>
      <w:marRight w:val="0"/>
      <w:marTop w:val="0"/>
      <w:marBottom w:val="0"/>
      <w:divBdr>
        <w:top w:val="none" w:sz="0" w:space="0" w:color="auto"/>
        <w:left w:val="none" w:sz="0" w:space="0" w:color="auto"/>
        <w:bottom w:val="none" w:sz="0" w:space="0" w:color="auto"/>
        <w:right w:val="none" w:sz="0" w:space="0" w:color="auto"/>
      </w:divBdr>
    </w:div>
    <w:div w:id="266617033">
      <w:bodyDiv w:val="1"/>
      <w:marLeft w:val="0"/>
      <w:marRight w:val="0"/>
      <w:marTop w:val="0"/>
      <w:marBottom w:val="0"/>
      <w:divBdr>
        <w:top w:val="none" w:sz="0" w:space="0" w:color="auto"/>
        <w:left w:val="none" w:sz="0" w:space="0" w:color="auto"/>
        <w:bottom w:val="none" w:sz="0" w:space="0" w:color="auto"/>
        <w:right w:val="none" w:sz="0" w:space="0" w:color="auto"/>
      </w:divBdr>
    </w:div>
    <w:div w:id="572551218">
      <w:bodyDiv w:val="1"/>
      <w:marLeft w:val="0"/>
      <w:marRight w:val="0"/>
      <w:marTop w:val="0"/>
      <w:marBottom w:val="0"/>
      <w:divBdr>
        <w:top w:val="none" w:sz="0" w:space="0" w:color="auto"/>
        <w:left w:val="none" w:sz="0" w:space="0" w:color="auto"/>
        <w:bottom w:val="none" w:sz="0" w:space="0" w:color="auto"/>
        <w:right w:val="none" w:sz="0" w:space="0" w:color="auto"/>
      </w:divBdr>
    </w:div>
    <w:div w:id="591163282">
      <w:bodyDiv w:val="1"/>
      <w:marLeft w:val="0"/>
      <w:marRight w:val="0"/>
      <w:marTop w:val="0"/>
      <w:marBottom w:val="0"/>
      <w:divBdr>
        <w:top w:val="none" w:sz="0" w:space="0" w:color="auto"/>
        <w:left w:val="none" w:sz="0" w:space="0" w:color="auto"/>
        <w:bottom w:val="none" w:sz="0" w:space="0" w:color="auto"/>
        <w:right w:val="none" w:sz="0" w:space="0" w:color="auto"/>
      </w:divBdr>
    </w:div>
    <w:div w:id="675767816">
      <w:bodyDiv w:val="1"/>
      <w:marLeft w:val="0"/>
      <w:marRight w:val="0"/>
      <w:marTop w:val="0"/>
      <w:marBottom w:val="0"/>
      <w:divBdr>
        <w:top w:val="none" w:sz="0" w:space="0" w:color="auto"/>
        <w:left w:val="none" w:sz="0" w:space="0" w:color="auto"/>
        <w:bottom w:val="none" w:sz="0" w:space="0" w:color="auto"/>
        <w:right w:val="none" w:sz="0" w:space="0" w:color="auto"/>
      </w:divBdr>
    </w:div>
    <w:div w:id="743338319">
      <w:bodyDiv w:val="1"/>
      <w:marLeft w:val="0"/>
      <w:marRight w:val="0"/>
      <w:marTop w:val="0"/>
      <w:marBottom w:val="0"/>
      <w:divBdr>
        <w:top w:val="none" w:sz="0" w:space="0" w:color="auto"/>
        <w:left w:val="none" w:sz="0" w:space="0" w:color="auto"/>
        <w:bottom w:val="none" w:sz="0" w:space="0" w:color="auto"/>
        <w:right w:val="none" w:sz="0" w:space="0" w:color="auto"/>
      </w:divBdr>
    </w:div>
    <w:div w:id="854004870">
      <w:bodyDiv w:val="1"/>
      <w:marLeft w:val="0"/>
      <w:marRight w:val="0"/>
      <w:marTop w:val="0"/>
      <w:marBottom w:val="0"/>
      <w:divBdr>
        <w:top w:val="none" w:sz="0" w:space="0" w:color="auto"/>
        <w:left w:val="none" w:sz="0" w:space="0" w:color="auto"/>
        <w:bottom w:val="none" w:sz="0" w:space="0" w:color="auto"/>
        <w:right w:val="none" w:sz="0" w:space="0" w:color="auto"/>
      </w:divBdr>
    </w:div>
    <w:div w:id="871459335">
      <w:bodyDiv w:val="1"/>
      <w:marLeft w:val="0"/>
      <w:marRight w:val="0"/>
      <w:marTop w:val="0"/>
      <w:marBottom w:val="0"/>
      <w:divBdr>
        <w:top w:val="none" w:sz="0" w:space="0" w:color="auto"/>
        <w:left w:val="none" w:sz="0" w:space="0" w:color="auto"/>
        <w:bottom w:val="none" w:sz="0" w:space="0" w:color="auto"/>
        <w:right w:val="none" w:sz="0" w:space="0" w:color="auto"/>
      </w:divBdr>
    </w:div>
    <w:div w:id="1007291079">
      <w:bodyDiv w:val="1"/>
      <w:marLeft w:val="0"/>
      <w:marRight w:val="0"/>
      <w:marTop w:val="0"/>
      <w:marBottom w:val="0"/>
      <w:divBdr>
        <w:top w:val="none" w:sz="0" w:space="0" w:color="auto"/>
        <w:left w:val="none" w:sz="0" w:space="0" w:color="auto"/>
        <w:bottom w:val="none" w:sz="0" w:space="0" w:color="auto"/>
        <w:right w:val="none" w:sz="0" w:space="0" w:color="auto"/>
      </w:divBdr>
    </w:div>
    <w:div w:id="1107850733">
      <w:bodyDiv w:val="1"/>
      <w:marLeft w:val="0"/>
      <w:marRight w:val="0"/>
      <w:marTop w:val="0"/>
      <w:marBottom w:val="0"/>
      <w:divBdr>
        <w:top w:val="none" w:sz="0" w:space="0" w:color="auto"/>
        <w:left w:val="none" w:sz="0" w:space="0" w:color="auto"/>
        <w:bottom w:val="none" w:sz="0" w:space="0" w:color="auto"/>
        <w:right w:val="none" w:sz="0" w:space="0" w:color="auto"/>
      </w:divBdr>
    </w:div>
    <w:div w:id="1246575316">
      <w:bodyDiv w:val="1"/>
      <w:marLeft w:val="0"/>
      <w:marRight w:val="0"/>
      <w:marTop w:val="0"/>
      <w:marBottom w:val="0"/>
      <w:divBdr>
        <w:top w:val="none" w:sz="0" w:space="0" w:color="auto"/>
        <w:left w:val="none" w:sz="0" w:space="0" w:color="auto"/>
        <w:bottom w:val="none" w:sz="0" w:space="0" w:color="auto"/>
        <w:right w:val="none" w:sz="0" w:space="0" w:color="auto"/>
      </w:divBdr>
    </w:div>
    <w:div w:id="1273317623">
      <w:bodyDiv w:val="1"/>
      <w:marLeft w:val="0"/>
      <w:marRight w:val="0"/>
      <w:marTop w:val="0"/>
      <w:marBottom w:val="0"/>
      <w:divBdr>
        <w:top w:val="none" w:sz="0" w:space="0" w:color="auto"/>
        <w:left w:val="none" w:sz="0" w:space="0" w:color="auto"/>
        <w:bottom w:val="none" w:sz="0" w:space="0" w:color="auto"/>
        <w:right w:val="none" w:sz="0" w:space="0" w:color="auto"/>
      </w:divBdr>
    </w:div>
    <w:div w:id="1328250253">
      <w:bodyDiv w:val="1"/>
      <w:marLeft w:val="0"/>
      <w:marRight w:val="0"/>
      <w:marTop w:val="0"/>
      <w:marBottom w:val="0"/>
      <w:divBdr>
        <w:top w:val="none" w:sz="0" w:space="0" w:color="auto"/>
        <w:left w:val="none" w:sz="0" w:space="0" w:color="auto"/>
        <w:bottom w:val="none" w:sz="0" w:space="0" w:color="auto"/>
        <w:right w:val="none" w:sz="0" w:space="0" w:color="auto"/>
      </w:divBdr>
    </w:div>
    <w:div w:id="1559632844">
      <w:bodyDiv w:val="1"/>
      <w:marLeft w:val="0"/>
      <w:marRight w:val="0"/>
      <w:marTop w:val="0"/>
      <w:marBottom w:val="0"/>
      <w:divBdr>
        <w:top w:val="none" w:sz="0" w:space="0" w:color="auto"/>
        <w:left w:val="none" w:sz="0" w:space="0" w:color="auto"/>
        <w:bottom w:val="none" w:sz="0" w:space="0" w:color="auto"/>
        <w:right w:val="none" w:sz="0" w:space="0" w:color="auto"/>
      </w:divBdr>
    </w:div>
    <w:div w:id="1601569460">
      <w:bodyDiv w:val="1"/>
      <w:marLeft w:val="0"/>
      <w:marRight w:val="0"/>
      <w:marTop w:val="0"/>
      <w:marBottom w:val="0"/>
      <w:divBdr>
        <w:top w:val="none" w:sz="0" w:space="0" w:color="auto"/>
        <w:left w:val="none" w:sz="0" w:space="0" w:color="auto"/>
        <w:bottom w:val="none" w:sz="0" w:space="0" w:color="auto"/>
        <w:right w:val="none" w:sz="0" w:space="0" w:color="auto"/>
      </w:divBdr>
    </w:div>
    <w:div w:id="1769160053">
      <w:bodyDiv w:val="1"/>
      <w:marLeft w:val="0"/>
      <w:marRight w:val="0"/>
      <w:marTop w:val="0"/>
      <w:marBottom w:val="0"/>
      <w:divBdr>
        <w:top w:val="none" w:sz="0" w:space="0" w:color="auto"/>
        <w:left w:val="none" w:sz="0" w:space="0" w:color="auto"/>
        <w:bottom w:val="none" w:sz="0" w:space="0" w:color="auto"/>
        <w:right w:val="none" w:sz="0" w:space="0" w:color="auto"/>
      </w:divBdr>
    </w:div>
    <w:div w:id="1869221580">
      <w:bodyDiv w:val="1"/>
      <w:marLeft w:val="0"/>
      <w:marRight w:val="0"/>
      <w:marTop w:val="0"/>
      <w:marBottom w:val="0"/>
      <w:divBdr>
        <w:top w:val="none" w:sz="0" w:space="0" w:color="auto"/>
        <w:left w:val="none" w:sz="0" w:space="0" w:color="auto"/>
        <w:bottom w:val="none" w:sz="0" w:space="0" w:color="auto"/>
        <w:right w:val="none" w:sz="0" w:space="0" w:color="auto"/>
      </w:divBdr>
    </w:div>
    <w:div w:id="19507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32F5-72EC-45F7-809A-FD2DB44C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2020-01-13T09:24:00Z</dcterms:created>
  <dcterms:modified xsi:type="dcterms:W3CDTF">2020-01-13T10:25:00Z</dcterms:modified>
</cp:coreProperties>
</file>