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9316" w14:textId="47A7EDEC" w:rsidR="00847F8A" w:rsidRDefault="009C70A3" w:rsidP="00AE54C4">
      <w:pPr>
        <w:jc w:val="both"/>
        <w:rPr>
          <w:rFonts w:eastAsiaTheme="majorEastAsia" w:cstheme="minorHAnsi"/>
          <w:iCs/>
          <w:spacing w:val="-10"/>
          <w:kern w:val="28"/>
          <w:sz w:val="56"/>
          <w:szCs w:val="56"/>
        </w:rPr>
      </w:pPr>
      <w:r>
        <w:rPr>
          <w:rFonts w:eastAsiaTheme="majorEastAsia" w:cstheme="minorHAnsi"/>
          <w:iCs/>
          <w:spacing w:val="-10"/>
          <w:kern w:val="28"/>
          <w:sz w:val="56"/>
          <w:szCs w:val="56"/>
        </w:rPr>
        <w:t>Systematic mapping review</w:t>
      </w:r>
      <w:r w:rsidR="00847F8A">
        <w:rPr>
          <w:rFonts w:eastAsiaTheme="majorEastAsia" w:cstheme="minorHAnsi"/>
          <w:iCs/>
          <w:spacing w:val="-10"/>
          <w:kern w:val="28"/>
          <w:sz w:val="56"/>
          <w:szCs w:val="56"/>
        </w:rPr>
        <w:t xml:space="preserve"> of evidence: World Health Assembly 2025 targets in West Africa</w:t>
      </w:r>
    </w:p>
    <w:p w14:paraId="0261B28E" w14:textId="22E29434" w:rsidR="00DB223B" w:rsidRDefault="000C2F2D" w:rsidP="00AE54C4">
      <w:pPr>
        <w:jc w:val="both"/>
        <w:rPr>
          <w:rFonts w:eastAsiaTheme="majorEastAsia" w:cstheme="minorHAnsi"/>
          <w:i/>
          <w:spacing w:val="-10"/>
          <w:kern w:val="28"/>
          <w:sz w:val="28"/>
          <w:szCs w:val="28"/>
        </w:rPr>
      </w:pPr>
      <w:r>
        <w:rPr>
          <w:rFonts w:eastAsiaTheme="majorEastAsia" w:cstheme="minorHAnsi"/>
          <w:i/>
          <w:spacing w:val="-10"/>
          <w:kern w:val="28"/>
          <w:sz w:val="28"/>
          <w:szCs w:val="28"/>
        </w:rPr>
        <w:t>Searching for</w:t>
      </w:r>
      <w:r w:rsidR="00847F8A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 xml:space="preserve"> literature </w:t>
      </w:r>
      <w:r>
        <w:rPr>
          <w:rFonts w:eastAsiaTheme="majorEastAsia" w:cstheme="minorHAnsi"/>
          <w:i/>
          <w:spacing w:val="-10"/>
          <w:kern w:val="28"/>
          <w:sz w:val="28"/>
          <w:szCs w:val="28"/>
        </w:rPr>
        <w:t>in</w:t>
      </w:r>
      <w:r w:rsidR="00847F8A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 xml:space="preserve"> the</w:t>
      </w:r>
      <w:r w:rsidR="00337FE4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 xml:space="preserve"> </w:t>
      </w:r>
      <w:r w:rsidR="00A31417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 xml:space="preserve">MEDLINE </w:t>
      </w:r>
      <w:r w:rsidR="00847F8A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>d</w:t>
      </w:r>
      <w:r w:rsidR="00337FE4" w:rsidRPr="00DB223B">
        <w:rPr>
          <w:rFonts w:eastAsiaTheme="majorEastAsia" w:cstheme="minorHAnsi"/>
          <w:i/>
          <w:spacing w:val="-10"/>
          <w:kern w:val="28"/>
          <w:sz w:val="28"/>
          <w:szCs w:val="28"/>
        </w:rPr>
        <w:t xml:space="preserve">atabase </w:t>
      </w:r>
    </w:p>
    <w:p w14:paraId="695C5BFD" w14:textId="77777777" w:rsidR="000C2F2D" w:rsidRPr="00DB223B" w:rsidRDefault="000C2F2D" w:rsidP="00AE54C4">
      <w:pPr>
        <w:jc w:val="both"/>
        <w:rPr>
          <w:rFonts w:eastAsiaTheme="majorEastAsia" w:cstheme="minorHAnsi"/>
          <w:i/>
          <w:spacing w:val="-10"/>
          <w:kern w:val="28"/>
          <w:sz w:val="28"/>
          <w:szCs w:val="28"/>
        </w:rPr>
      </w:pPr>
    </w:p>
    <w:p w14:paraId="4B3A9F56" w14:textId="77777777" w:rsidR="00A31417" w:rsidRPr="00847F8A" w:rsidRDefault="00A31417" w:rsidP="00337FE4">
      <w:pPr>
        <w:rPr>
          <w:rFonts w:cstheme="minorHAnsi"/>
        </w:rPr>
      </w:pPr>
      <w:r w:rsidRPr="00847F8A">
        <w:rPr>
          <w:rFonts w:cstheme="minorHAnsi"/>
        </w:rPr>
        <w:t xml:space="preserve">Technical note </w:t>
      </w:r>
    </w:p>
    <w:p w14:paraId="16808F3B" w14:textId="68FA07A2" w:rsidR="00337FE4" w:rsidRPr="00847F8A" w:rsidRDefault="000C2F2D" w:rsidP="00337FE4">
      <w:pPr>
        <w:rPr>
          <w:rFonts w:cstheme="minorHAnsi"/>
        </w:rPr>
      </w:pPr>
      <w:r>
        <w:rPr>
          <w:rFonts w:cstheme="minorHAnsi"/>
        </w:rPr>
        <w:t>May</w:t>
      </w:r>
      <w:r w:rsidR="00337FE4" w:rsidRPr="00847F8A">
        <w:rPr>
          <w:rFonts w:cstheme="minorHAnsi"/>
        </w:rPr>
        <w:t xml:space="preserve"> 2020</w:t>
      </w:r>
    </w:p>
    <w:p w14:paraId="5D038387" w14:textId="77777777" w:rsidR="00337FE4" w:rsidRPr="00847F8A" w:rsidRDefault="00337FE4" w:rsidP="00337FE4">
      <w:pPr>
        <w:rPr>
          <w:rFonts w:cstheme="minorHAnsi"/>
        </w:rPr>
      </w:pPr>
      <w:r w:rsidRPr="00847F8A">
        <w:rPr>
          <w:rFonts w:cstheme="minorHAnsi"/>
        </w:rPr>
        <w:t>Prepared by Transform Nutrition West Africa</w:t>
      </w:r>
    </w:p>
    <w:p w14:paraId="6AD9BB9D" w14:textId="677BAD95" w:rsidR="00337FE4" w:rsidRPr="00847F8A" w:rsidRDefault="00337FE4" w:rsidP="00337FE4">
      <w:pPr>
        <w:rPr>
          <w:rFonts w:cstheme="minorHAnsi"/>
        </w:rPr>
      </w:pPr>
      <w:r w:rsidRPr="00847F8A">
        <w:rPr>
          <w:rFonts w:cstheme="minorHAnsi"/>
        </w:rPr>
        <w:t xml:space="preserve">With support from </w:t>
      </w:r>
      <w:r w:rsidR="00A31417" w:rsidRPr="00847F8A">
        <w:rPr>
          <w:rFonts w:cstheme="minorHAnsi"/>
        </w:rPr>
        <w:t xml:space="preserve">the </w:t>
      </w:r>
      <w:r w:rsidRPr="00847F8A">
        <w:rPr>
          <w:rFonts w:cstheme="minorHAnsi"/>
        </w:rPr>
        <w:t xml:space="preserve">Bill </w:t>
      </w:r>
      <w:r w:rsidR="00A31417" w:rsidRPr="00847F8A">
        <w:rPr>
          <w:rFonts w:cstheme="minorHAnsi"/>
        </w:rPr>
        <w:t xml:space="preserve">&amp; Melinda </w:t>
      </w:r>
      <w:r w:rsidRPr="00847F8A">
        <w:rPr>
          <w:rFonts w:cstheme="minorHAnsi"/>
        </w:rPr>
        <w:t>Gates Foundation</w:t>
      </w:r>
    </w:p>
    <w:p w14:paraId="69F97B07" w14:textId="77777777" w:rsidR="00337FE4" w:rsidRPr="00C732A8" w:rsidRDefault="00337FE4" w:rsidP="00337FE4">
      <w:pPr>
        <w:rPr>
          <w:rFonts w:cstheme="minorHAnsi"/>
          <w:sz w:val="20"/>
          <w:szCs w:val="20"/>
        </w:rPr>
      </w:pPr>
    </w:p>
    <w:p w14:paraId="76D1CF22" w14:textId="400D2CC4" w:rsidR="00337FE4" w:rsidRPr="006D103A" w:rsidRDefault="00337FE4" w:rsidP="00AE54C4">
      <w:pPr>
        <w:jc w:val="both"/>
        <w:rPr>
          <w:b/>
          <w:color w:val="44546A" w:themeColor="text2"/>
          <w:sz w:val="28"/>
          <w:szCs w:val="28"/>
        </w:rPr>
      </w:pPr>
    </w:p>
    <w:p w14:paraId="2B7D44A6" w14:textId="77777777" w:rsidR="00337FE4" w:rsidRDefault="00337FE4" w:rsidP="00AE54C4">
      <w:pPr>
        <w:jc w:val="both"/>
      </w:pPr>
    </w:p>
    <w:p w14:paraId="69EC4169" w14:textId="77777777" w:rsidR="00337FE4" w:rsidRDefault="00337FE4" w:rsidP="00AE54C4">
      <w:pPr>
        <w:jc w:val="both"/>
      </w:pPr>
    </w:p>
    <w:p w14:paraId="07ADD4FA" w14:textId="77777777" w:rsidR="009F4899" w:rsidRPr="009F4899" w:rsidRDefault="009F4899" w:rsidP="00AE54C4">
      <w:pPr>
        <w:jc w:val="both"/>
        <w:rPr>
          <w:sz w:val="20"/>
          <w:szCs w:val="20"/>
        </w:rPr>
      </w:pPr>
    </w:p>
    <w:p w14:paraId="1543B9AF" w14:textId="62373408" w:rsidR="00337FE4" w:rsidRDefault="00337FE4" w:rsidP="00AE54C4">
      <w:pPr>
        <w:jc w:val="both"/>
      </w:pPr>
    </w:p>
    <w:p w14:paraId="7AD3FF5A" w14:textId="31F827D7" w:rsidR="00337FE4" w:rsidRDefault="00337FE4">
      <w:r>
        <w:br w:type="page"/>
      </w:r>
    </w:p>
    <w:p w14:paraId="34F71EBE" w14:textId="77777777" w:rsidR="00337FE4" w:rsidRPr="007D7011" w:rsidRDefault="00337FE4" w:rsidP="00337FE4">
      <w:pPr>
        <w:pStyle w:val="Heading2"/>
        <w:numPr>
          <w:ilvl w:val="0"/>
          <w:numId w:val="17"/>
        </w:numPr>
        <w:spacing w:before="0" w:after="120"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 w:rsidRPr="007D7011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lastRenderedPageBreak/>
        <w:t>Summary</w:t>
      </w:r>
    </w:p>
    <w:p w14:paraId="07632A7B" w14:textId="11096DCB" w:rsidR="00337FE4" w:rsidRPr="009F4899" w:rsidRDefault="00C16A60" w:rsidP="00337FE4">
      <w:pPr>
        <w:jc w:val="both"/>
        <w:rPr>
          <w:rFonts w:cstheme="minorHAnsi"/>
          <w:sz w:val="20"/>
          <w:szCs w:val="20"/>
        </w:rPr>
      </w:pPr>
      <w:hyperlink r:id="rId8" w:tgtFrame="_blank" w:history="1">
        <w:r w:rsidR="00337FE4" w:rsidRPr="007D7011">
          <w:rPr>
            <w:rFonts w:cstheme="minorHAnsi"/>
            <w:sz w:val="20"/>
            <w:szCs w:val="20"/>
          </w:rPr>
          <w:t>Transform Nutrition West Africa</w:t>
        </w:r>
      </w:hyperlink>
      <w:r w:rsidR="00337FE4" w:rsidRPr="007D7011">
        <w:rPr>
          <w:rFonts w:cstheme="minorHAnsi"/>
          <w:sz w:val="20"/>
          <w:szCs w:val="20"/>
        </w:rPr>
        <w:t xml:space="preserve"> is a regional initiative to support effective policy and programmatic action on nutrition through evidence generation, synthesis</w:t>
      </w:r>
      <w:r w:rsidR="00433DCD" w:rsidRPr="007D7011">
        <w:rPr>
          <w:rFonts w:cstheme="minorHAnsi"/>
          <w:sz w:val="20"/>
          <w:szCs w:val="20"/>
        </w:rPr>
        <w:t>,</w:t>
      </w:r>
      <w:r w:rsidR="00337FE4" w:rsidRPr="007D7011">
        <w:rPr>
          <w:rFonts w:cstheme="minorHAnsi"/>
          <w:sz w:val="20"/>
          <w:szCs w:val="20"/>
        </w:rPr>
        <w:t xml:space="preserve"> and mo</w:t>
      </w:r>
      <w:r w:rsidR="00337FE4" w:rsidRPr="009F4899">
        <w:rPr>
          <w:rFonts w:cstheme="minorHAnsi"/>
          <w:sz w:val="20"/>
          <w:szCs w:val="20"/>
        </w:rPr>
        <w:t xml:space="preserve">bilization. </w:t>
      </w:r>
    </w:p>
    <w:p w14:paraId="3285E538" w14:textId="5C5CEB98" w:rsidR="00A31417" w:rsidRPr="009F4899" w:rsidRDefault="00337FE4" w:rsidP="00A31417">
      <w:pPr>
        <w:jc w:val="both"/>
        <w:rPr>
          <w:sz w:val="20"/>
          <w:szCs w:val="20"/>
        </w:rPr>
      </w:pPr>
      <w:r w:rsidRPr="009F4899">
        <w:rPr>
          <w:rFonts w:cstheme="minorHAnsi"/>
          <w:sz w:val="20"/>
          <w:szCs w:val="20"/>
        </w:rPr>
        <w:t>This technical note provides methodological detail on the</w:t>
      </w:r>
      <w:r w:rsidR="00A91554" w:rsidRPr="009F4899">
        <w:rPr>
          <w:rFonts w:cstheme="minorHAnsi"/>
          <w:sz w:val="20"/>
          <w:szCs w:val="20"/>
        </w:rPr>
        <w:t xml:space="preserve"> </w:t>
      </w:r>
      <w:r w:rsidR="009C70A3">
        <w:rPr>
          <w:rFonts w:cstheme="minorHAnsi"/>
          <w:sz w:val="20"/>
          <w:szCs w:val="20"/>
        </w:rPr>
        <w:t>systematic mapping review</w:t>
      </w:r>
      <w:r w:rsidR="00A31417">
        <w:rPr>
          <w:rFonts w:cstheme="minorHAnsi"/>
          <w:sz w:val="20"/>
          <w:szCs w:val="20"/>
        </w:rPr>
        <w:t xml:space="preserve"> </w:t>
      </w:r>
      <w:r w:rsidR="00A91554" w:rsidRPr="009F4899">
        <w:rPr>
          <w:rFonts w:cstheme="minorHAnsi"/>
          <w:sz w:val="20"/>
          <w:szCs w:val="20"/>
        </w:rPr>
        <w:t>of nutrition literature</w:t>
      </w:r>
      <w:r w:rsidR="00A31417">
        <w:rPr>
          <w:rFonts w:cstheme="minorHAnsi"/>
          <w:sz w:val="20"/>
          <w:szCs w:val="20"/>
        </w:rPr>
        <w:t xml:space="preserve"> on the </w:t>
      </w:r>
      <w:r w:rsidR="00A31417" w:rsidRPr="00A31417">
        <w:rPr>
          <w:rFonts w:ascii="Calibri" w:hAnsi="Calibri" w:cs="Times New Roman"/>
          <w:sz w:val="20"/>
          <w:szCs w:val="20"/>
        </w:rPr>
        <w:t xml:space="preserve">World Health Assembly (WHA) </w:t>
      </w:r>
      <w:r w:rsidR="00A31417">
        <w:rPr>
          <w:rFonts w:cstheme="minorHAnsi"/>
          <w:sz w:val="20"/>
          <w:szCs w:val="20"/>
        </w:rPr>
        <w:t>targets</w:t>
      </w:r>
      <w:r w:rsidR="00A91554" w:rsidRPr="009F4899">
        <w:rPr>
          <w:rFonts w:cstheme="minorHAnsi"/>
          <w:sz w:val="20"/>
          <w:szCs w:val="20"/>
        </w:rPr>
        <w:t xml:space="preserve"> </w:t>
      </w:r>
      <w:r w:rsidRPr="009F4899">
        <w:rPr>
          <w:rFonts w:cstheme="minorHAnsi"/>
          <w:sz w:val="20"/>
          <w:szCs w:val="20"/>
        </w:rPr>
        <w:t>in the West Africa region</w:t>
      </w:r>
      <w:r w:rsidR="00A31417">
        <w:rPr>
          <w:rFonts w:cstheme="minorHAnsi"/>
          <w:sz w:val="20"/>
          <w:szCs w:val="20"/>
        </w:rPr>
        <w:t xml:space="preserve">. The detailed search syntax is presented in a </w:t>
      </w:r>
      <w:r w:rsidR="007D7011">
        <w:rPr>
          <w:rFonts w:cstheme="minorHAnsi"/>
          <w:sz w:val="20"/>
          <w:szCs w:val="20"/>
        </w:rPr>
        <w:t xml:space="preserve">separate document </w:t>
      </w:r>
      <w:r w:rsidR="00A31417">
        <w:rPr>
          <w:rFonts w:cstheme="minorHAnsi"/>
          <w:sz w:val="20"/>
          <w:szCs w:val="20"/>
        </w:rPr>
        <w:t xml:space="preserve">and the results are presented </w:t>
      </w:r>
      <w:r w:rsidR="00A31417" w:rsidRPr="007D7011">
        <w:rPr>
          <w:rFonts w:cstheme="minorHAnsi"/>
          <w:sz w:val="20"/>
          <w:szCs w:val="20"/>
        </w:rPr>
        <w:t xml:space="preserve">in </w:t>
      </w:r>
      <w:r w:rsidR="00433DCD" w:rsidRPr="007D7011">
        <w:rPr>
          <w:rFonts w:cstheme="minorHAnsi"/>
          <w:sz w:val="20"/>
          <w:szCs w:val="20"/>
        </w:rPr>
        <w:t>an</w:t>
      </w:r>
      <w:r w:rsidR="00A31417" w:rsidRPr="007D7011">
        <w:rPr>
          <w:rFonts w:cstheme="minorHAnsi"/>
          <w:sz w:val="20"/>
          <w:szCs w:val="20"/>
        </w:rPr>
        <w:t xml:space="preserve"> Excel spreadsheet and a</w:t>
      </w:r>
      <w:r w:rsidR="00A31417">
        <w:rPr>
          <w:rFonts w:cstheme="minorHAnsi"/>
          <w:sz w:val="20"/>
          <w:szCs w:val="20"/>
        </w:rPr>
        <w:t xml:space="preserve"> forthcoming journal manuscript. </w:t>
      </w:r>
    </w:p>
    <w:p w14:paraId="27B441A7" w14:textId="396C839D" w:rsidR="002C08D1" w:rsidRPr="009F4899" w:rsidRDefault="00A91554" w:rsidP="00A91554">
      <w:pPr>
        <w:pStyle w:val="Heading2"/>
        <w:numPr>
          <w:ilvl w:val="0"/>
          <w:numId w:val="17"/>
        </w:numPr>
        <w:spacing w:before="0" w:after="120"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 w:rsidRPr="009F4899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Objective</w:t>
      </w:r>
      <w:r w:rsidR="00514D77" w:rsidRPr="009F4899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 </w:t>
      </w:r>
      <w:r w:rsidR="003F65DC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of this</w:t>
      </w:r>
      <w:r w:rsidR="009D0701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 </w:t>
      </w:r>
      <w:r w:rsidR="009C70A3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systematic mapping review</w:t>
      </w:r>
      <w:r w:rsidR="009D0701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 </w:t>
      </w:r>
    </w:p>
    <w:p w14:paraId="536ADB25" w14:textId="4D9529E3" w:rsidR="008D67A9" w:rsidRPr="009F4899" w:rsidRDefault="001F1056" w:rsidP="001B5197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A94E2" wp14:editId="55A6B191">
            <wp:simplePos x="0" y="0"/>
            <wp:positionH relativeFrom="margin">
              <wp:posOffset>1585512</wp:posOffset>
            </wp:positionH>
            <wp:positionV relativeFrom="paragraph">
              <wp:posOffset>825803</wp:posOffset>
            </wp:positionV>
            <wp:extent cx="3049270" cy="24942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CA4" w:rsidRPr="009F4899">
        <w:rPr>
          <w:sz w:val="20"/>
          <w:szCs w:val="20"/>
        </w:rPr>
        <w:t xml:space="preserve">The purpose of this </w:t>
      </w:r>
      <w:r w:rsidR="009C70A3">
        <w:rPr>
          <w:sz w:val="20"/>
          <w:szCs w:val="20"/>
        </w:rPr>
        <w:t>systema</w:t>
      </w:r>
      <w:bookmarkStart w:id="0" w:name="_GoBack"/>
      <w:bookmarkEnd w:id="0"/>
      <w:r w:rsidR="009C70A3">
        <w:rPr>
          <w:sz w:val="20"/>
          <w:szCs w:val="20"/>
        </w:rPr>
        <w:t>tic mapping review</w:t>
      </w:r>
      <w:r w:rsidR="00A31417">
        <w:rPr>
          <w:sz w:val="20"/>
          <w:szCs w:val="20"/>
        </w:rPr>
        <w:t xml:space="preserve"> </w:t>
      </w:r>
      <w:r w:rsidR="00D61CA4" w:rsidRPr="009F4899">
        <w:rPr>
          <w:sz w:val="20"/>
          <w:szCs w:val="20"/>
        </w:rPr>
        <w:t>is t</w:t>
      </w:r>
      <w:r w:rsidR="00D61CA4" w:rsidRPr="009F4899">
        <w:rPr>
          <w:rFonts w:ascii="Calibri" w:hAnsi="Calibri" w:cs="Times New Roman"/>
          <w:sz w:val="20"/>
          <w:szCs w:val="20"/>
        </w:rPr>
        <w:t>o</w:t>
      </w:r>
      <w:r w:rsidR="00A31417">
        <w:rPr>
          <w:rFonts w:ascii="Calibri" w:hAnsi="Calibri" w:cs="Times New Roman"/>
          <w:sz w:val="20"/>
          <w:szCs w:val="20"/>
        </w:rPr>
        <w:t xml:space="preserve"> </w:t>
      </w:r>
      <w:r w:rsidR="00445E2E">
        <w:rPr>
          <w:rFonts w:ascii="Calibri" w:hAnsi="Calibri" w:cs="Times New Roman"/>
          <w:sz w:val="20"/>
          <w:szCs w:val="20"/>
        </w:rPr>
        <w:t>provide an overview, identify, and catalogue existing pee</w:t>
      </w:r>
      <w:r w:rsidR="00DB223B">
        <w:rPr>
          <w:rFonts w:ascii="Calibri" w:hAnsi="Calibri" w:cs="Times New Roman"/>
          <w:sz w:val="20"/>
          <w:szCs w:val="20"/>
        </w:rPr>
        <w:t>r</w:t>
      </w:r>
      <w:r w:rsidR="00445E2E">
        <w:rPr>
          <w:rFonts w:ascii="Calibri" w:hAnsi="Calibri" w:cs="Times New Roman"/>
          <w:sz w:val="20"/>
          <w:szCs w:val="20"/>
        </w:rPr>
        <w:t xml:space="preserve">-reviewed literature on </w:t>
      </w:r>
      <w:r w:rsidR="00A31417" w:rsidRPr="009C70A3">
        <w:rPr>
          <w:rFonts w:ascii="Calibri" w:hAnsi="Calibri" w:cs="Times New Roman"/>
          <w:bCs/>
          <w:sz w:val="20"/>
          <w:szCs w:val="20"/>
        </w:rPr>
        <w:t>the</w:t>
      </w:r>
      <w:r w:rsidR="00D61CA4" w:rsidRPr="00A31417">
        <w:rPr>
          <w:rFonts w:ascii="Calibri" w:hAnsi="Calibri" w:cs="Times New Roman"/>
          <w:sz w:val="20"/>
          <w:szCs w:val="20"/>
        </w:rPr>
        <w:t xml:space="preserve"> </w:t>
      </w:r>
      <w:r w:rsidR="00304DA1" w:rsidRPr="00A31417">
        <w:rPr>
          <w:rFonts w:ascii="Calibri" w:hAnsi="Calibri" w:cs="Times New Roman"/>
          <w:sz w:val="20"/>
          <w:szCs w:val="20"/>
        </w:rPr>
        <w:t>WHA</w:t>
      </w:r>
      <w:r w:rsidR="00D61CA4" w:rsidRPr="00A31417">
        <w:rPr>
          <w:rFonts w:ascii="Calibri" w:hAnsi="Calibri" w:cs="Times New Roman"/>
          <w:sz w:val="20"/>
          <w:szCs w:val="20"/>
        </w:rPr>
        <w:t xml:space="preserve"> </w:t>
      </w:r>
      <w:r w:rsidR="00A31417">
        <w:rPr>
          <w:rFonts w:ascii="Calibri" w:hAnsi="Calibri" w:cs="Times New Roman"/>
          <w:sz w:val="20"/>
          <w:szCs w:val="20"/>
        </w:rPr>
        <w:t>targets</w:t>
      </w:r>
      <w:r w:rsidR="00445E2E">
        <w:rPr>
          <w:rFonts w:ascii="Calibri" w:hAnsi="Calibri" w:cs="Times New Roman"/>
          <w:sz w:val="20"/>
          <w:szCs w:val="20"/>
        </w:rPr>
        <w:t xml:space="preserve"> to identify</w:t>
      </w:r>
      <w:r w:rsidR="00433DCD">
        <w:rPr>
          <w:rFonts w:ascii="Calibri" w:hAnsi="Calibri" w:cs="Times New Roman"/>
          <w:sz w:val="20"/>
          <w:szCs w:val="20"/>
        </w:rPr>
        <w:t xml:space="preserve"> research</w:t>
      </w:r>
      <w:r w:rsidR="00445E2E">
        <w:rPr>
          <w:rFonts w:ascii="Calibri" w:hAnsi="Calibri" w:cs="Times New Roman"/>
          <w:sz w:val="20"/>
          <w:szCs w:val="20"/>
        </w:rPr>
        <w:t xml:space="preserve"> gaps</w:t>
      </w:r>
      <w:r w:rsidR="00A31417">
        <w:rPr>
          <w:rFonts w:ascii="Calibri" w:hAnsi="Calibri" w:cs="Times New Roman"/>
          <w:sz w:val="20"/>
          <w:szCs w:val="20"/>
        </w:rPr>
        <w:t xml:space="preserve"> </w:t>
      </w:r>
      <w:r w:rsidR="00D61CA4" w:rsidRPr="00A31417">
        <w:rPr>
          <w:rFonts w:ascii="Calibri" w:hAnsi="Calibri" w:cs="Times New Roman"/>
          <w:sz w:val="20"/>
          <w:szCs w:val="20"/>
        </w:rPr>
        <w:t>in the West Africa region</w:t>
      </w:r>
      <w:r w:rsidR="00445E2E">
        <w:rPr>
          <w:rFonts w:ascii="Calibri" w:hAnsi="Calibri" w:cs="Times New Roman"/>
          <w:sz w:val="20"/>
          <w:szCs w:val="20"/>
        </w:rPr>
        <w:t xml:space="preserve"> and inform decision-making</w:t>
      </w:r>
      <w:r w:rsidR="00D61CA4" w:rsidRPr="00A3141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To compliment this an additional systematic mapping review was undertaken to identify drivers of malnutrition in West Africa within social science literature. Details can </w:t>
      </w:r>
      <w:r w:rsidR="00B50372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="007D7011">
        <w:rPr>
          <w:sz w:val="20"/>
          <w:szCs w:val="20"/>
        </w:rPr>
        <w:t>in separate files.</w:t>
      </w:r>
    </w:p>
    <w:p w14:paraId="518AE45B" w14:textId="3FDDBB25" w:rsidR="00192726" w:rsidRPr="00DB223B" w:rsidRDefault="00192726" w:rsidP="00DB223B">
      <w:pPr>
        <w:jc w:val="center"/>
        <w:rPr>
          <w:rFonts w:eastAsiaTheme="majorEastAsia" w:cstheme="minorHAnsi"/>
          <w:i/>
          <w:iCs/>
          <w:sz w:val="20"/>
          <w:szCs w:val="20"/>
          <w:lang w:val="en-GB" w:eastAsia="nl-BE"/>
        </w:rPr>
      </w:pPr>
      <w:r w:rsidRPr="001F1056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Figure 1: WHA targets </w:t>
      </w:r>
      <w:r w:rsidRPr="001F1056">
        <w:rPr>
          <w:rFonts w:eastAsiaTheme="majorEastAsia" w:cstheme="minorHAnsi"/>
          <w:sz w:val="20"/>
          <w:szCs w:val="20"/>
          <w:lang w:val="en-GB" w:eastAsia="nl-BE"/>
        </w:rPr>
        <w:t>(Source:</w:t>
      </w:r>
      <w:r w:rsidR="009D0701" w:rsidRPr="001F1056">
        <w:rPr>
          <w:rFonts w:eastAsiaTheme="majorEastAsia" w:cstheme="minorHAnsi"/>
          <w:sz w:val="20"/>
          <w:szCs w:val="20"/>
          <w:lang w:val="en-GB" w:eastAsia="nl-BE"/>
        </w:rPr>
        <w:t xml:space="preserve"> WHO, 2020</w:t>
      </w:r>
      <w:r w:rsidRPr="001F1056">
        <w:rPr>
          <w:rFonts w:eastAsiaTheme="majorEastAsia" w:cstheme="minorHAnsi"/>
          <w:sz w:val="20"/>
          <w:szCs w:val="20"/>
          <w:lang w:val="en-GB" w:eastAsia="nl-BE"/>
        </w:rPr>
        <w:t>)</w:t>
      </w:r>
    </w:p>
    <w:p w14:paraId="675FEF3E" w14:textId="77777777" w:rsidR="00A91554" w:rsidRDefault="00A91554" w:rsidP="00A91554">
      <w:pPr>
        <w:pStyle w:val="Heading2"/>
        <w:numPr>
          <w:ilvl w:val="0"/>
          <w:numId w:val="17"/>
        </w:numPr>
        <w:spacing w:before="0" w:after="120" w:line="240" w:lineRule="auto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Methodology </w:t>
      </w:r>
    </w:p>
    <w:p w14:paraId="5974E322" w14:textId="58EEDB41" w:rsidR="00A91554" w:rsidRPr="009F4899" w:rsidRDefault="00A91554" w:rsidP="00A91554">
      <w:pPr>
        <w:pStyle w:val="Heading2"/>
        <w:numPr>
          <w:ilvl w:val="1"/>
          <w:numId w:val="20"/>
        </w:numPr>
        <w:spacing w:before="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Research question</w:t>
      </w:r>
    </w:p>
    <w:p w14:paraId="6B524961" w14:textId="103330A2" w:rsidR="00A91554" w:rsidRPr="009F4899" w:rsidRDefault="00A91554" w:rsidP="00A91554">
      <w:pPr>
        <w:rPr>
          <w:sz w:val="20"/>
          <w:szCs w:val="20"/>
          <w:lang w:val="en-GB" w:eastAsia="nl-BE"/>
        </w:rPr>
      </w:pPr>
      <w:r w:rsidRPr="009F4899">
        <w:rPr>
          <w:sz w:val="20"/>
          <w:szCs w:val="20"/>
          <w:lang w:val="en-GB" w:eastAsia="nl-BE"/>
        </w:rPr>
        <w:t xml:space="preserve">What are the trends and gaps in research on </w:t>
      </w:r>
      <w:r w:rsidR="00E56726">
        <w:rPr>
          <w:sz w:val="20"/>
          <w:szCs w:val="20"/>
          <w:lang w:val="en-GB" w:eastAsia="nl-BE"/>
        </w:rPr>
        <w:t xml:space="preserve">the </w:t>
      </w:r>
      <w:r w:rsidRPr="009F4899">
        <w:rPr>
          <w:sz w:val="20"/>
          <w:szCs w:val="20"/>
          <w:lang w:val="en-GB" w:eastAsia="nl-BE"/>
        </w:rPr>
        <w:t xml:space="preserve">WHA targets </w:t>
      </w:r>
      <w:r w:rsidR="00A73B10" w:rsidRPr="009F4899">
        <w:rPr>
          <w:sz w:val="20"/>
          <w:szCs w:val="20"/>
          <w:lang w:val="en-GB" w:eastAsia="nl-BE"/>
        </w:rPr>
        <w:t xml:space="preserve">in the West Africa </w:t>
      </w:r>
      <w:r w:rsidR="00BE528F" w:rsidRPr="009F4899">
        <w:rPr>
          <w:sz w:val="20"/>
          <w:szCs w:val="20"/>
          <w:lang w:val="en-GB" w:eastAsia="nl-BE"/>
        </w:rPr>
        <w:t>Region?</w:t>
      </w:r>
      <w:r w:rsidR="00A73B10" w:rsidRPr="009F4899">
        <w:rPr>
          <w:sz w:val="20"/>
          <w:szCs w:val="20"/>
          <w:lang w:val="en-GB" w:eastAsia="nl-BE"/>
        </w:rPr>
        <w:t xml:space="preserve"> </w:t>
      </w:r>
    </w:p>
    <w:p w14:paraId="445B5192" w14:textId="7E9996A5" w:rsidR="00A91554" w:rsidRPr="00A91554" w:rsidRDefault="00AE54C4" w:rsidP="00A91554">
      <w:pPr>
        <w:pStyle w:val="Heading2"/>
        <w:numPr>
          <w:ilvl w:val="1"/>
          <w:numId w:val="20"/>
        </w:numPr>
        <w:spacing w:before="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 w:rsidRPr="00A91554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Search strategy</w:t>
      </w:r>
    </w:p>
    <w:p w14:paraId="7FF7D42D" w14:textId="6E9AA1DF" w:rsidR="00392E26" w:rsidRDefault="00BE528F" w:rsidP="00D51B12">
      <w:pPr>
        <w:jc w:val="both"/>
        <w:rPr>
          <w:sz w:val="20"/>
          <w:szCs w:val="20"/>
        </w:rPr>
      </w:pPr>
      <w:bookmarkStart w:id="1" w:name="_Hlk38016297"/>
      <w:r w:rsidRPr="009F4899">
        <w:rPr>
          <w:sz w:val="20"/>
          <w:szCs w:val="20"/>
        </w:rPr>
        <w:t>Our search strategy was designed</w:t>
      </w:r>
      <w:r w:rsidR="00275A1D">
        <w:rPr>
          <w:sz w:val="20"/>
          <w:szCs w:val="20"/>
        </w:rPr>
        <w:t xml:space="preserve"> </w:t>
      </w:r>
      <w:r w:rsidRPr="009F4899">
        <w:rPr>
          <w:sz w:val="20"/>
          <w:szCs w:val="20"/>
        </w:rPr>
        <w:t xml:space="preserve">using a systematic </w:t>
      </w:r>
      <w:r w:rsidR="00275A1D">
        <w:rPr>
          <w:sz w:val="20"/>
          <w:szCs w:val="20"/>
        </w:rPr>
        <w:t>approach to review literature</w:t>
      </w:r>
      <w:r w:rsidRPr="009F4899">
        <w:rPr>
          <w:sz w:val="20"/>
          <w:szCs w:val="20"/>
        </w:rPr>
        <w:t xml:space="preserve"> in the bibliographic database MEDLINE (</w:t>
      </w:r>
      <w:hyperlink r:id="rId10" w:history="1">
        <w:r w:rsidRPr="009F4899">
          <w:rPr>
            <w:sz w:val="20"/>
            <w:szCs w:val="20"/>
          </w:rPr>
          <w:t>https://pubmed.ncbi.nlm.nih.gov/</w:t>
        </w:r>
      </w:hyperlink>
      <w:r w:rsidRPr="009F4899">
        <w:rPr>
          <w:sz w:val="20"/>
          <w:szCs w:val="20"/>
        </w:rPr>
        <w:t xml:space="preserve">). A search syntax was created using </w:t>
      </w:r>
      <w:r w:rsidR="00433DCD">
        <w:rPr>
          <w:sz w:val="20"/>
          <w:szCs w:val="20"/>
        </w:rPr>
        <w:t>t</w:t>
      </w:r>
      <w:r w:rsidR="00A73B10" w:rsidRPr="009F4899">
        <w:rPr>
          <w:sz w:val="20"/>
          <w:szCs w:val="20"/>
        </w:rPr>
        <w:t>he Population</w:t>
      </w:r>
      <w:r w:rsidR="00DB223B">
        <w:rPr>
          <w:sz w:val="20"/>
          <w:szCs w:val="20"/>
        </w:rPr>
        <w:t>,</w:t>
      </w:r>
      <w:r w:rsidR="00A73B10" w:rsidRPr="009F4899">
        <w:rPr>
          <w:sz w:val="20"/>
          <w:szCs w:val="20"/>
        </w:rPr>
        <w:t xml:space="preserve"> Intervention Comparison</w:t>
      </w:r>
      <w:r w:rsidR="00DB223B">
        <w:rPr>
          <w:sz w:val="20"/>
          <w:szCs w:val="20"/>
        </w:rPr>
        <w:t>,</w:t>
      </w:r>
      <w:r w:rsidR="00A73B10" w:rsidRPr="009F4899">
        <w:rPr>
          <w:sz w:val="20"/>
          <w:szCs w:val="20"/>
        </w:rPr>
        <w:t xml:space="preserve"> Outcome</w:t>
      </w:r>
      <w:r w:rsidR="0063308F">
        <w:rPr>
          <w:sz w:val="20"/>
          <w:szCs w:val="20"/>
        </w:rPr>
        <w:t xml:space="preserve">, </w:t>
      </w:r>
      <w:proofErr w:type="gramStart"/>
      <w:r w:rsidR="0063308F">
        <w:rPr>
          <w:sz w:val="20"/>
          <w:szCs w:val="20"/>
        </w:rPr>
        <w:t>Setting</w:t>
      </w:r>
      <w:proofErr w:type="gramEnd"/>
      <w:r w:rsidR="00A73B10" w:rsidRPr="009F4899">
        <w:rPr>
          <w:sz w:val="20"/>
          <w:szCs w:val="20"/>
        </w:rPr>
        <w:t xml:space="preserve"> (PICO</w:t>
      </w:r>
      <w:r w:rsidR="0063308F">
        <w:rPr>
          <w:sz w:val="20"/>
          <w:szCs w:val="20"/>
        </w:rPr>
        <w:t>S</w:t>
      </w:r>
      <w:r w:rsidR="00A73B10" w:rsidRPr="009F4899">
        <w:rPr>
          <w:sz w:val="20"/>
          <w:szCs w:val="20"/>
        </w:rPr>
        <w:t xml:space="preserve">) </w:t>
      </w:r>
      <w:r w:rsidRPr="00433DCD">
        <w:rPr>
          <w:sz w:val="20"/>
          <w:szCs w:val="20"/>
        </w:rPr>
        <w:t>model</w:t>
      </w:r>
      <w:r w:rsidR="004A3E90" w:rsidRPr="00433DCD">
        <w:rPr>
          <w:sz w:val="20"/>
          <w:szCs w:val="20"/>
        </w:rPr>
        <w:t xml:space="preserve"> </w:t>
      </w:r>
      <w:r w:rsidR="004A3E90" w:rsidRPr="001F1056">
        <w:rPr>
          <w:sz w:val="20"/>
          <w:szCs w:val="20"/>
        </w:rPr>
        <w:t>(Table 1)</w:t>
      </w:r>
      <w:r w:rsidRPr="009F4899">
        <w:rPr>
          <w:sz w:val="20"/>
          <w:szCs w:val="20"/>
        </w:rPr>
        <w:t xml:space="preserve"> and can </w:t>
      </w:r>
      <w:r w:rsidR="00DB2255" w:rsidRPr="009F4899">
        <w:rPr>
          <w:sz w:val="20"/>
          <w:szCs w:val="20"/>
        </w:rPr>
        <w:t xml:space="preserve">be found </w:t>
      </w:r>
      <w:r w:rsidR="007D7011">
        <w:rPr>
          <w:sz w:val="20"/>
          <w:szCs w:val="20"/>
        </w:rPr>
        <w:t xml:space="preserve">in a separate document. </w:t>
      </w:r>
      <w:r w:rsidR="00D27A3E" w:rsidRPr="009F4899">
        <w:rPr>
          <w:sz w:val="20"/>
          <w:szCs w:val="20"/>
        </w:rPr>
        <w:t xml:space="preserve">A date range was applied to the evidence search, </w:t>
      </w:r>
      <w:r w:rsidR="00433DCD">
        <w:rPr>
          <w:sz w:val="20"/>
          <w:szCs w:val="20"/>
        </w:rPr>
        <w:t xml:space="preserve">and </w:t>
      </w:r>
      <w:r w:rsidR="00D27A3E" w:rsidRPr="009F4899">
        <w:rPr>
          <w:sz w:val="20"/>
          <w:szCs w:val="20"/>
        </w:rPr>
        <w:t xml:space="preserve">studies published between January </w:t>
      </w:r>
      <w:r w:rsidR="00DB223B">
        <w:rPr>
          <w:sz w:val="20"/>
          <w:szCs w:val="20"/>
        </w:rPr>
        <w:t>1,</w:t>
      </w:r>
      <w:r w:rsidR="00304DA1" w:rsidRPr="009F4899">
        <w:rPr>
          <w:sz w:val="20"/>
          <w:szCs w:val="20"/>
        </w:rPr>
        <w:t xml:space="preserve"> </w:t>
      </w:r>
      <w:r w:rsidR="00D27A3E" w:rsidRPr="009F4899">
        <w:rPr>
          <w:sz w:val="20"/>
          <w:szCs w:val="20"/>
        </w:rPr>
        <w:t xml:space="preserve">2010 </w:t>
      </w:r>
      <w:r w:rsidR="00433DCD">
        <w:rPr>
          <w:sz w:val="20"/>
          <w:szCs w:val="20"/>
        </w:rPr>
        <w:t>and</w:t>
      </w:r>
      <w:r w:rsidR="00D27A3E" w:rsidRPr="009F4899">
        <w:rPr>
          <w:sz w:val="20"/>
          <w:szCs w:val="20"/>
        </w:rPr>
        <w:t xml:space="preserve"> </w:t>
      </w:r>
      <w:r w:rsidR="00CE7BD9" w:rsidRPr="009F4899">
        <w:rPr>
          <w:sz w:val="20"/>
          <w:szCs w:val="20"/>
        </w:rPr>
        <w:t>February 3</w:t>
      </w:r>
      <w:r w:rsidR="00DB223B">
        <w:rPr>
          <w:sz w:val="20"/>
          <w:szCs w:val="20"/>
        </w:rPr>
        <w:t xml:space="preserve">, </w:t>
      </w:r>
      <w:r w:rsidR="00CE7BD9" w:rsidRPr="009F4899">
        <w:rPr>
          <w:sz w:val="20"/>
          <w:szCs w:val="20"/>
        </w:rPr>
        <w:t>2020</w:t>
      </w:r>
      <w:r w:rsidR="00D27A3E" w:rsidRPr="009F4899">
        <w:rPr>
          <w:sz w:val="20"/>
          <w:szCs w:val="20"/>
        </w:rPr>
        <w:t xml:space="preserve"> were included. </w:t>
      </w:r>
      <w:r w:rsidR="00A06673">
        <w:rPr>
          <w:sz w:val="20"/>
          <w:szCs w:val="20"/>
        </w:rPr>
        <w:t xml:space="preserve">The year </w:t>
      </w:r>
      <w:r w:rsidR="00D27A3E" w:rsidRPr="009F4899">
        <w:rPr>
          <w:sz w:val="20"/>
          <w:szCs w:val="20"/>
        </w:rPr>
        <w:t xml:space="preserve">2010 was chosen as the cut-off as this </w:t>
      </w:r>
      <w:r w:rsidR="00304DA1" w:rsidRPr="009F4899">
        <w:rPr>
          <w:sz w:val="20"/>
          <w:szCs w:val="20"/>
        </w:rPr>
        <w:t>is when</w:t>
      </w:r>
      <w:r w:rsidR="00D27A3E" w:rsidRPr="009F4899">
        <w:rPr>
          <w:sz w:val="20"/>
          <w:szCs w:val="20"/>
        </w:rPr>
        <w:t xml:space="preserve"> the Scaling </w:t>
      </w:r>
      <w:r w:rsidR="00CE7BD9" w:rsidRPr="009F4899">
        <w:rPr>
          <w:sz w:val="20"/>
          <w:szCs w:val="20"/>
        </w:rPr>
        <w:t>U</w:t>
      </w:r>
      <w:r w:rsidR="00D27A3E" w:rsidRPr="009F4899">
        <w:rPr>
          <w:sz w:val="20"/>
          <w:szCs w:val="20"/>
        </w:rPr>
        <w:t xml:space="preserve">p </w:t>
      </w:r>
      <w:r w:rsidR="00CE7BD9" w:rsidRPr="009F4899">
        <w:rPr>
          <w:sz w:val="20"/>
          <w:szCs w:val="20"/>
        </w:rPr>
        <w:t>N</w:t>
      </w:r>
      <w:r w:rsidR="00D27A3E" w:rsidRPr="009F4899">
        <w:rPr>
          <w:sz w:val="20"/>
          <w:szCs w:val="20"/>
        </w:rPr>
        <w:t xml:space="preserve">utrition initiative was launched. </w:t>
      </w:r>
    </w:p>
    <w:p w14:paraId="601DA4E0" w14:textId="0EAF63E9" w:rsidR="004A3E90" w:rsidRPr="00DB223B" w:rsidRDefault="004A3E90" w:rsidP="00DB223B">
      <w:pPr>
        <w:jc w:val="both"/>
        <w:rPr>
          <w:rFonts w:eastAsiaTheme="majorEastAsia" w:cstheme="minorHAnsi"/>
          <w:b/>
          <w:bCs/>
          <w:sz w:val="20"/>
          <w:szCs w:val="20"/>
        </w:rPr>
      </w:pPr>
      <w:r w:rsidRPr="00DB223B">
        <w:rPr>
          <w:rFonts w:eastAsiaTheme="majorEastAsia" w:cstheme="minorHAnsi"/>
          <w:b/>
          <w:bCs/>
          <w:sz w:val="20"/>
          <w:szCs w:val="20"/>
        </w:rPr>
        <w:t>Table 1: PICO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A3E90" w14:paraId="41938F3B" w14:textId="77777777" w:rsidTr="00C4596D">
        <w:tc>
          <w:tcPr>
            <w:tcW w:w="9350" w:type="dxa"/>
            <w:gridSpan w:val="2"/>
          </w:tcPr>
          <w:p w14:paraId="61DB9FEF" w14:textId="56C7E2AB" w:rsidR="004A3E90" w:rsidRPr="00DB223B" w:rsidRDefault="004A3E90" w:rsidP="00D51B12">
            <w:pPr>
              <w:jc w:val="both"/>
              <w:rPr>
                <w:b/>
                <w:bCs/>
                <w:sz w:val="20"/>
                <w:szCs w:val="20"/>
              </w:rPr>
            </w:pPr>
            <w:r w:rsidRPr="00DB223B">
              <w:rPr>
                <w:b/>
                <w:bCs/>
                <w:sz w:val="20"/>
                <w:szCs w:val="20"/>
              </w:rPr>
              <w:t>PICO</w:t>
            </w:r>
            <w:r w:rsidR="0063308F">
              <w:rPr>
                <w:b/>
                <w:bCs/>
                <w:sz w:val="20"/>
                <w:szCs w:val="20"/>
              </w:rPr>
              <w:t>S</w:t>
            </w:r>
            <w:r w:rsidRPr="00DB223B">
              <w:rPr>
                <w:b/>
                <w:bCs/>
                <w:sz w:val="20"/>
                <w:szCs w:val="20"/>
              </w:rPr>
              <w:t xml:space="preserve"> model </w:t>
            </w:r>
          </w:p>
        </w:tc>
      </w:tr>
      <w:tr w:rsidR="00392E26" w14:paraId="6C658AC2" w14:textId="77777777" w:rsidTr="00392E26">
        <w:tc>
          <w:tcPr>
            <w:tcW w:w="2689" w:type="dxa"/>
          </w:tcPr>
          <w:p w14:paraId="54EAAA7E" w14:textId="02166936" w:rsidR="00392E26" w:rsidRDefault="00392E26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</w:p>
        </w:tc>
        <w:tc>
          <w:tcPr>
            <w:tcW w:w="6661" w:type="dxa"/>
          </w:tcPr>
          <w:p w14:paraId="499B785E" w14:textId="0D3B64E2" w:rsidR="00392E26" w:rsidRDefault="00392E26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of reproductive age</w:t>
            </w:r>
            <w:r w:rsidR="00DB223B">
              <w:rPr>
                <w:sz w:val="20"/>
                <w:szCs w:val="20"/>
              </w:rPr>
              <w:t xml:space="preserve"> (WRA)</w:t>
            </w:r>
            <w:r>
              <w:rPr>
                <w:sz w:val="20"/>
                <w:szCs w:val="20"/>
              </w:rPr>
              <w:t>, children under 5 years</w:t>
            </w:r>
            <w:r w:rsidR="00DB223B">
              <w:rPr>
                <w:sz w:val="20"/>
                <w:szCs w:val="20"/>
              </w:rPr>
              <w:t xml:space="preserve"> (U5)</w:t>
            </w:r>
            <w:r>
              <w:rPr>
                <w:sz w:val="20"/>
                <w:szCs w:val="20"/>
              </w:rPr>
              <w:t xml:space="preserve">, infants less than 6 months </w:t>
            </w:r>
          </w:p>
        </w:tc>
      </w:tr>
      <w:tr w:rsidR="00392E26" w14:paraId="31F802EA" w14:textId="77777777" w:rsidTr="00392E26">
        <w:tc>
          <w:tcPr>
            <w:tcW w:w="2689" w:type="dxa"/>
          </w:tcPr>
          <w:p w14:paraId="0E8921CD" w14:textId="3C7D42CB" w:rsidR="00392E26" w:rsidRDefault="00392E26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Intervention/ exposure </w:t>
            </w:r>
          </w:p>
        </w:tc>
        <w:tc>
          <w:tcPr>
            <w:tcW w:w="6661" w:type="dxa"/>
          </w:tcPr>
          <w:p w14:paraId="3DE2698C" w14:textId="0929547D" w:rsidR="00392E26" w:rsidRDefault="004A3E90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Prevalence, drivers, programs</w:t>
            </w:r>
            <w:r w:rsidR="00433D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policies </w:t>
            </w:r>
          </w:p>
        </w:tc>
      </w:tr>
      <w:tr w:rsidR="00392E26" w14:paraId="534C7D09" w14:textId="77777777" w:rsidTr="00392E26">
        <w:tc>
          <w:tcPr>
            <w:tcW w:w="2689" w:type="dxa"/>
          </w:tcPr>
          <w:p w14:paraId="1294A9CC" w14:textId="063FF6F5" w:rsidR="00392E26" w:rsidRDefault="00392E26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</w:t>
            </w:r>
          </w:p>
        </w:tc>
        <w:tc>
          <w:tcPr>
            <w:tcW w:w="6661" w:type="dxa"/>
          </w:tcPr>
          <w:p w14:paraId="6C42A1F7" w14:textId="1BA6C422" w:rsidR="00392E26" w:rsidRDefault="004A3E90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group required for program studies</w:t>
            </w:r>
          </w:p>
        </w:tc>
      </w:tr>
      <w:tr w:rsidR="00392E26" w14:paraId="7729979D" w14:textId="77777777" w:rsidTr="00392E26">
        <w:tc>
          <w:tcPr>
            <w:tcW w:w="2689" w:type="dxa"/>
          </w:tcPr>
          <w:p w14:paraId="3865A94C" w14:textId="503289FD" w:rsidR="00392E26" w:rsidRDefault="00392E26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6661" w:type="dxa"/>
          </w:tcPr>
          <w:p w14:paraId="2F1C9915" w14:textId="2BE4CCA7" w:rsidR="00392E26" w:rsidRDefault="004A3E90" w:rsidP="00D51B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Anaemia</w:t>
            </w:r>
            <w:proofErr w:type="spellEnd"/>
            <w:r w:rsidR="00DB223B">
              <w:rPr>
                <w:sz w:val="20"/>
                <w:szCs w:val="20"/>
              </w:rPr>
              <w:t xml:space="preserve"> in WRA</w:t>
            </w:r>
            <w:r>
              <w:rPr>
                <w:sz w:val="20"/>
                <w:szCs w:val="20"/>
              </w:rPr>
              <w:t xml:space="preserve">, </w:t>
            </w:r>
            <w:r w:rsidR="00DB223B">
              <w:rPr>
                <w:sz w:val="20"/>
                <w:szCs w:val="20"/>
              </w:rPr>
              <w:t xml:space="preserve">U5 </w:t>
            </w:r>
            <w:r>
              <w:rPr>
                <w:sz w:val="20"/>
                <w:szCs w:val="20"/>
              </w:rPr>
              <w:t xml:space="preserve">stunting, </w:t>
            </w:r>
            <w:r w:rsidR="00DB223B">
              <w:rPr>
                <w:sz w:val="20"/>
                <w:szCs w:val="20"/>
              </w:rPr>
              <w:t xml:space="preserve">U5 </w:t>
            </w:r>
            <w:r>
              <w:rPr>
                <w:sz w:val="20"/>
                <w:szCs w:val="20"/>
              </w:rPr>
              <w:t xml:space="preserve">wasting, low birthweight, </w:t>
            </w:r>
            <w:r w:rsidR="00DB223B">
              <w:rPr>
                <w:sz w:val="20"/>
                <w:szCs w:val="20"/>
              </w:rPr>
              <w:t xml:space="preserve">U5 </w:t>
            </w:r>
            <w:r>
              <w:rPr>
                <w:sz w:val="20"/>
                <w:szCs w:val="20"/>
              </w:rPr>
              <w:t>overweight/</w:t>
            </w:r>
            <w:r w:rsidR="00433D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obesity and exclusive breastfeeding </w:t>
            </w:r>
          </w:p>
        </w:tc>
      </w:tr>
      <w:tr w:rsidR="004A3E90" w14:paraId="5CA9A5C3" w14:textId="77777777" w:rsidTr="00392E26">
        <w:tc>
          <w:tcPr>
            <w:tcW w:w="2689" w:type="dxa"/>
          </w:tcPr>
          <w:p w14:paraId="4345CFA6" w14:textId="4708B533" w:rsidR="004A3E90" w:rsidRDefault="004A3E90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</w:t>
            </w:r>
          </w:p>
        </w:tc>
        <w:tc>
          <w:tcPr>
            <w:tcW w:w="6661" w:type="dxa"/>
          </w:tcPr>
          <w:p w14:paraId="683BE413" w14:textId="63AC389D" w:rsidR="004A3E90" w:rsidRDefault="004A3E90" w:rsidP="00D51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Africa </w:t>
            </w:r>
          </w:p>
        </w:tc>
      </w:tr>
      <w:bookmarkEnd w:id="1"/>
    </w:tbl>
    <w:p w14:paraId="6524BAA2" w14:textId="77777777" w:rsidR="00083A65" w:rsidRDefault="00083A65" w:rsidP="0006304B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</w:p>
    <w:p w14:paraId="491E6FDE" w14:textId="77777777" w:rsidR="00083A65" w:rsidRDefault="00083A65" w:rsidP="0006304B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</w:p>
    <w:p w14:paraId="47C0AE69" w14:textId="4D18BD2E" w:rsidR="00D51B12" w:rsidRDefault="00D51B12" w:rsidP="0006304B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  <w:r w:rsidRPr="009F4899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Table </w:t>
      </w:r>
      <w:r w:rsidR="004A3E90">
        <w:rPr>
          <w:rFonts w:eastAsiaTheme="majorEastAsia" w:cstheme="minorHAnsi"/>
          <w:b/>
          <w:bCs/>
          <w:sz w:val="20"/>
          <w:szCs w:val="20"/>
          <w:lang w:val="en-GB" w:eastAsia="nl-BE"/>
        </w:rPr>
        <w:t>2</w:t>
      </w:r>
      <w:r w:rsidRPr="009F4899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: WHA indicators 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482"/>
        <w:gridCol w:w="1488"/>
        <w:gridCol w:w="6390"/>
      </w:tblGrid>
      <w:tr w:rsidR="00D51B12" w:rsidRPr="009F4899" w14:paraId="0C95E134" w14:textId="77777777" w:rsidTr="00063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45EFBDD2" w14:textId="77777777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Category</w:t>
            </w:r>
          </w:p>
        </w:tc>
        <w:tc>
          <w:tcPr>
            <w:tcW w:w="1488" w:type="dxa"/>
          </w:tcPr>
          <w:p w14:paraId="19520CAA" w14:textId="77777777" w:rsidR="00D51B12" w:rsidRPr="009F4899" w:rsidRDefault="00D51B12" w:rsidP="008E37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Indicator</w:t>
            </w:r>
          </w:p>
        </w:tc>
        <w:tc>
          <w:tcPr>
            <w:tcW w:w="6390" w:type="dxa"/>
          </w:tcPr>
          <w:p w14:paraId="7BBC9465" w14:textId="77777777" w:rsidR="00D51B12" w:rsidRPr="009F4899" w:rsidRDefault="00D51B12" w:rsidP="008E37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 xml:space="preserve">Definition / measurement </w:t>
            </w:r>
          </w:p>
        </w:tc>
      </w:tr>
      <w:tr w:rsidR="00D51B12" w:rsidRPr="009F4899" w14:paraId="74072C8B" w14:textId="77777777" w:rsidTr="0006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D5DCE4" w:themeFill="text2" w:themeFillTint="33"/>
          </w:tcPr>
          <w:p w14:paraId="6CED3AC4" w14:textId="77777777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 xml:space="preserve">U5NS </w:t>
            </w:r>
          </w:p>
        </w:tc>
        <w:tc>
          <w:tcPr>
            <w:tcW w:w="1488" w:type="dxa"/>
            <w:shd w:val="clear" w:color="auto" w:fill="D5DCE4" w:themeFill="text2" w:themeFillTint="33"/>
          </w:tcPr>
          <w:p w14:paraId="63F457DA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Stunting</w:t>
            </w:r>
          </w:p>
          <w:p w14:paraId="2FDB40B4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0EBB2C7A" wp14:editId="3DA5EB35">
                  <wp:extent cx="627201" cy="531628"/>
                  <wp:effectExtent l="0" t="0" r="190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74" cy="54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D5DCE4" w:themeFill="text2" w:themeFillTint="33"/>
          </w:tcPr>
          <w:p w14:paraId="132AB146" w14:textId="528B6ACE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Height-for-age (HFA):</w:t>
            </w:r>
            <w:r w:rsidR="0006304B">
              <w:rPr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Height-for-age measures linear growth (stunting). A child who is below two standard deviations (-2 SD) from the median of the WHO Child Growth Standards in terms of height-for-age is considered short for his/her </w:t>
            </w:r>
            <w:r w:rsidR="0006304B" w:rsidRPr="009F4899">
              <w:rPr>
                <w:color w:val="44546A" w:themeColor="text2"/>
                <w:sz w:val="20"/>
                <w:szCs w:val="20"/>
              </w:rPr>
              <w:t>age or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stunted. </w:t>
            </w:r>
          </w:p>
          <w:p w14:paraId="4593887C" w14:textId="77777777" w:rsidR="0006304B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 xml:space="preserve">Triceps skin fold </w:t>
            </w:r>
            <w:r w:rsidR="0006304B" w:rsidRPr="009F4899">
              <w:rPr>
                <w:b/>
                <w:bCs/>
                <w:color w:val="44546A" w:themeColor="text2"/>
                <w:sz w:val="20"/>
                <w:szCs w:val="20"/>
              </w:rPr>
              <w:t>thickness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is used to estimate body fat, measured on the right arm halfway between the olecranon process of the elbow and the acromial process of the scapula. If a child is below minus three standard deviations (-3 SD) from the median of the WHO Child Growth Standards, then he/she </w:t>
            </w:r>
            <w:proofErr w:type="gramStart"/>
            <w:r w:rsidRPr="009F4899">
              <w:rPr>
                <w:color w:val="44546A" w:themeColor="text2"/>
                <w:sz w:val="20"/>
                <w:szCs w:val="20"/>
              </w:rPr>
              <w:t>is considered to be</w:t>
            </w:r>
            <w:proofErr w:type="gramEnd"/>
            <w:r w:rsidRPr="009F4899">
              <w:rPr>
                <w:color w:val="44546A" w:themeColor="text2"/>
                <w:sz w:val="20"/>
                <w:szCs w:val="20"/>
              </w:rPr>
              <w:t xml:space="preserve"> severely stunted. </w:t>
            </w:r>
          </w:p>
          <w:p w14:paraId="03ABE1EE" w14:textId="47E7C4E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06304B">
              <w:rPr>
                <w:b/>
                <w:bCs/>
                <w:color w:val="44546A" w:themeColor="text2"/>
                <w:sz w:val="20"/>
                <w:szCs w:val="20"/>
              </w:rPr>
              <w:t>Stunting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reflects a failure to receive adequate nutrition over a long period of time and is worsened by recurrent and chronic illness. Height-for-age, therefore, reflects the long-term effects of malnutrition in a population and does not vary appreciably according to recent dietary intake</w:t>
            </w:r>
          </w:p>
        </w:tc>
      </w:tr>
      <w:tr w:rsidR="00D51B12" w:rsidRPr="009F4899" w14:paraId="0FB95C83" w14:textId="77777777" w:rsidTr="0006304B">
        <w:trPr>
          <w:trHeight w:val="3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5244BC78" w14:textId="77777777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U5NS</w:t>
            </w:r>
          </w:p>
        </w:tc>
        <w:tc>
          <w:tcPr>
            <w:tcW w:w="1488" w:type="dxa"/>
          </w:tcPr>
          <w:p w14:paraId="31FF17B1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 xml:space="preserve">Wasting </w:t>
            </w:r>
          </w:p>
          <w:p w14:paraId="223CC1D0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213D3483" wp14:editId="44143A6A">
                  <wp:extent cx="712381" cy="58045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51" cy="59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3803E069" w14:textId="07239560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Weight-for-height (WFH)</w:t>
            </w:r>
            <w:r w:rsidR="0006304B">
              <w:rPr>
                <w:b/>
                <w:bCs/>
                <w:color w:val="44546A" w:themeColor="text2"/>
                <w:sz w:val="20"/>
                <w:szCs w:val="20"/>
              </w:rPr>
              <w:t xml:space="preserve">: 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Weight-for-height describes current nutritional status. A child who is below two standard deviations (-2 SD) from the median of the WHO Child Growth Standards for weight-for-height </w:t>
            </w:r>
            <w:proofErr w:type="gramStart"/>
            <w:r w:rsidRPr="009F4899">
              <w:rPr>
                <w:color w:val="44546A" w:themeColor="text2"/>
                <w:sz w:val="20"/>
                <w:szCs w:val="20"/>
              </w:rPr>
              <w:t>is considered to be</w:t>
            </w:r>
            <w:proofErr w:type="gramEnd"/>
            <w:r w:rsidRPr="009F4899">
              <w:rPr>
                <w:color w:val="44546A" w:themeColor="text2"/>
                <w:sz w:val="20"/>
                <w:szCs w:val="20"/>
              </w:rPr>
              <w:t xml:space="preserve"> too thin for his/her </w:t>
            </w:r>
            <w:r w:rsidR="0006304B" w:rsidRPr="009F4899">
              <w:rPr>
                <w:color w:val="44546A" w:themeColor="text2"/>
                <w:sz w:val="20"/>
                <w:szCs w:val="20"/>
              </w:rPr>
              <w:t>height or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wasted. This condition reflects acute or recent nutritional deficit. As with stunting, wasting is considered severe if the child is more than three standard deviations below the reference median or by a mid-upper-arm circumference less than 115 mm with or without nutritional </w:t>
            </w:r>
            <w:proofErr w:type="spellStart"/>
            <w:r w:rsidRPr="009F4899">
              <w:rPr>
                <w:color w:val="44546A" w:themeColor="text2"/>
                <w:sz w:val="20"/>
                <w:szCs w:val="20"/>
              </w:rPr>
              <w:t>oedema</w:t>
            </w:r>
            <w:proofErr w:type="spellEnd"/>
            <w:r w:rsidRPr="009F4899">
              <w:rPr>
                <w:color w:val="44546A" w:themeColor="text2"/>
                <w:sz w:val="20"/>
                <w:szCs w:val="20"/>
              </w:rPr>
              <w:t xml:space="preserve">. In the presence of bilateral pitting </w:t>
            </w:r>
            <w:proofErr w:type="spellStart"/>
            <w:r w:rsidRPr="009F4899">
              <w:rPr>
                <w:color w:val="44546A" w:themeColor="text2"/>
                <w:sz w:val="20"/>
                <w:szCs w:val="20"/>
              </w:rPr>
              <w:t>oedema</w:t>
            </w:r>
            <w:proofErr w:type="spellEnd"/>
            <w:r w:rsidRPr="009F4899">
              <w:rPr>
                <w:color w:val="44546A" w:themeColor="text2"/>
                <w:sz w:val="20"/>
                <w:szCs w:val="20"/>
              </w:rPr>
              <w:t xml:space="preserve">, the term kwashiorkor is used. Severe wasting is closely linked to mortality risk. </w:t>
            </w:r>
          </w:p>
          <w:p w14:paraId="07C4E55A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  <w:p w14:paraId="2B08E802" w14:textId="348A4F7F" w:rsidR="00D51B12" w:rsidRPr="009F4899" w:rsidRDefault="00D51B12" w:rsidP="00063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Mid-upper arm circumference (MUAC)</w:t>
            </w:r>
            <w:r w:rsidR="0006304B">
              <w:rPr>
                <w:b/>
                <w:bCs/>
                <w:color w:val="44546A" w:themeColor="text2"/>
                <w:sz w:val="20"/>
                <w:szCs w:val="20"/>
              </w:rPr>
              <w:t xml:space="preserve"> </w:t>
            </w:r>
            <w:r w:rsidRPr="009F4899">
              <w:rPr>
                <w:color w:val="44546A" w:themeColor="text2"/>
                <w:sz w:val="20"/>
                <w:szCs w:val="20"/>
              </w:rPr>
              <w:t>measures the muscle mass of the upper arm. A flexible measuring tape is wrapped around the mid-upper arm (between the shoulder and elbow) to measure its circumference. MUAC should be measured to the nearest 0.1 cm.</w:t>
            </w:r>
            <w:r w:rsidR="0006304B"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D51B12" w:rsidRPr="009F4899" w14:paraId="7D90BF2E" w14:textId="77777777" w:rsidTr="0006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D5DCE4" w:themeFill="text2" w:themeFillTint="33"/>
          </w:tcPr>
          <w:p w14:paraId="551EC184" w14:textId="77777777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U5NS</w:t>
            </w:r>
          </w:p>
        </w:tc>
        <w:tc>
          <w:tcPr>
            <w:tcW w:w="1488" w:type="dxa"/>
            <w:shd w:val="clear" w:color="auto" w:fill="D5DCE4" w:themeFill="text2" w:themeFillTint="33"/>
          </w:tcPr>
          <w:p w14:paraId="17F2BA13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Overweight</w:t>
            </w:r>
          </w:p>
          <w:p w14:paraId="55D92B91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5711D085" wp14:editId="61795A40">
                  <wp:extent cx="687565" cy="588397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21" cy="6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D5DCE4" w:themeFill="text2" w:themeFillTint="33"/>
          </w:tcPr>
          <w:p w14:paraId="07692A27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Weight-for-height (WFH)</w:t>
            </w:r>
          </w:p>
          <w:p w14:paraId="6882D0CA" w14:textId="2D3D594A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Overweight is measure</w:t>
            </w:r>
            <w:r w:rsidR="0006304B">
              <w:rPr>
                <w:color w:val="44546A" w:themeColor="text2"/>
                <w:sz w:val="20"/>
                <w:szCs w:val="20"/>
              </w:rPr>
              <w:t>d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as weight-for-height greater than 2 standard deviations (+2 SD) above WHO Child Growth Standards median; and obesity is weight-for-height greater than 3 standard deviations (+3SD) above the WHO Child Growth Standards median.</w:t>
            </w:r>
          </w:p>
        </w:tc>
      </w:tr>
      <w:tr w:rsidR="00D51B12" w:rsidRPr="009F4899" w14:paraId="60D42D14" w14:textId="77777777" w:rsidTr="0006304B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350333D5" w14:textId="77777777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U5NS</w:t>
            </w:r>
          </w:p>
        </w:tc>
        <w:tc>
          <w:tcPr>
            <w:tcW w:w="1488" w:type="dxa"/>
          </w:tcPr>
          <w:p w14:paraId="56E8506A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LBW</w:t>
            </w:r>
          </w:p>
          <w:p w14:paraId="2961CAC6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07884496" wp14:editId="11BBE139">
                  <wp:extent cx="694174" cy="588397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00" cy="59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27ACE6B9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Low birth weight (LBW)</w:t>
            </w:r>
            <w:r w:rsidRPr="009F4899">
              <w:rPr>
                <w:bCs/>
                <w:color w:val="44546A" w:themeColor="text2"/>
                <w:sz w:val="20"/>
                <w:szCs w:val="20"/>
              </w:rPr>
              <w:t xml:space="preserve"> </w:t>
            </w:r>
          </w:p>
          <w:p w14:paraId="2F1C040D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LBW is defined as a weight of less than 2500 grams at birth</w:t>
            </w:r>
          </w:p>
        </w:tc>
      </w:tr>
      <w:tr w:rsidR="00D51B12" w:rsidRPr="009F4899" w14:paraId="5EBF2E26" w14:textId="77777777" w:rsidTr="0006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D5DCE4" w:themeFill="text2" w:themeFillTint="33"/>
          </w:tcPr>
          <w:p w14:paraId="46D2479C" w14:textId="34076502" w:rsidR="00D51B12" w:rsidRPr="009F4899" w:rsidRDefault="0006304B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lastRenderedPageBreak/>
              <w:t>EBF</w:t>
            </w:r>
          </w:p>
        </w:tc>
        <w:tc>
          <w:tcPr>
            <w:tcW w:w="1488" w:type="dxa"/>
            <w:shd w:val="clear" w:color="auto" w:fill="D5DCE4" w:themeFill="text2" w:themeFillTint="33"/>
          </w:tcPr>
          <w:p w14:paraId="0C12025E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EBF</w:t>
            </w:r>
          </w:p>
          <w:p w14:paraId="29F189B2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6FBBFA0E" wp14:editId="1974EDB0">
                  <wp:extent cx="719727" cy="604299"/>
                  <wp:effectExtent l="0" t="0" r="4445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29" cy="61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D5DCE4" w:themeFill="text2" w:themeFillTint="33"/>
          </w:tcPr>
          <w:p w14:paraId="323C3853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Exclusive Breastfeeding (EBF)</w:t>
            </w:r>
          </w:p>
          <w:p w14:paraId="4B4986A4" w14:textId="77777777" w:rsidR="00D51B12" w:rsidRPr="009F4899" w:rsidRDefault="00D51B12" w:rsidP="008E3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 xml:space="preserve">The infant receives only breast milk for the first 6 months. No other liquids or solids are given – not even water – </w:t>
            </w:r>
            <w:proofErr w:type="gramStart"/>
            <w:r w:rsidRPr="009F4899">
              <w:rPr>
                <w:color w:val="44546A" w:themeColor="text2"/>
                <w:sz w:val="20"/>
                <w:szCs w:val="20"/>
              </w:rPr>
              <w:t>with the exception of</w:t>
            </w:r>
            <w:proofErr w:type="gramEnd"/>
            <w:r w:rsidRPr="009F4899">
              <w:rPr>
                <w:color w:val="44546A" w:themeColor="text2"/>
                <w:sz w:val="20"/>
                <w:szCs w:val="20"/>
              </w:rPr>
              <w:t xml:space="preserve"> oral rehydration solution, or drops/syrups of vitamins, minerals or medicines.</w:t>
            </w:r>
          </w:p>
        </w:tc>
      </w:tr>
      <w:tr w:rsidR="00D51B12" w:rsidRPr="009F4899" w14:paraId="3EE267F6" w14:textId="77777777" w:rsidTr="008E3712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675A4936" w14:textId="0EBBF44C" w:rsidR="00D51B12" w:rsidRPr="009F4899" w:rsidRDefault="00D51B12" w:rsidP="008E3712">
            <w:pPr>
              <w:jc w:val="both"/>
              <w:rPr>
                <w:color w:val="44546A" w:themeColor="text2"/>
                <w:sz w:val="20"/>
                <w:szCs w:val="20"/>
              </w:rPr>
            </w:pPr>
            <w:proofErr w:type="spellStart"/>
            <w:r w:rsidRPr="009F4899">
              <w:rPr>
                <w:color w:val="44546A" w:themeColor="text2"/>
                <w:sz w:val="20"/>
                <w:szCs w:val="20"/>
              </w:rPr>
              <w:t>Anaemia</w:t>
            </w:r>
            <w:proofErr w:type="spellEnd"/>
            <w:r w:rsidRPr="009F4899">
              <w:rPr>
                <w:color w:val="44546A" w:themeColor="text2"/>
                <w:sz w:val="20"/>
                <w:szCs w:val="20"/>
              </w:rPr>
              <w:t xml:space="preserve"> in </w:t>
            </w:r>
            <w:r w:rsidR="0006304B">
              <w:rPr>
                <w:color w:val="44546A" w:themeColor="text2"/>
                <w:sz w:val="20"/>
                <w:szCs w:val="20"/>
              </w:rPr>
              <w:t>WRA</w:t>
            </w:r>
            <w:r w:rsidRPr="009F4899">
              <w:rPr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14:paraId="0DB77B8E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proofErr w:type="spellStart"/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Anaemia</w:t>
            </w:r>
            <w:proofErr w:type="spellEnd"/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 xml:space="preserve"> in WRA</w:t>
            </w:r>
          </w:p>
          <w:p w14:paraId="530BAF61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noProof/>
                <w:color w:val="44546A" w:themeColor="text2"/>
                <w:sz w:val="20"/>
                <w:szCs w:val="20"/>
              </w:rPr>
              <w:drawing>
                <wp:inline distT="0" distB="0" distL="0" distR="0" wp14:anchorId="35CF437E" wp14:editId="6B5D0858">
                  <wp:extent cx="622551" cy="516835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61" cy="5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0254104E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proofErr w:type="spellStart"/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>Anaemia</w:t>
            </w:r>
            <w:proofErr w:type="spellEnd"/>
            <w:r w:rsidRPr="009F4899">
              <w:rPr>
                <w:b/>
                <w:bCs/>
                <w:color w:val="44546A" w:themeColor="text2"/>
                <w:sz w:val="20"/>
                <w:szCs w:val="20"/>
              </w:rPr>
              <w:t xml:space="preserve"> in WRA</w:t>
            </w:r>
          </w:p>
          <w:p w14:paraId="6E0241AC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proofErr w:type="spellStart"/>
            <w:r w:rsidRPr="009F4899">
              <w:rPr>
                <w:color w:val="44546A" w:themeColor="text2"/>
                <w:sz w:val="20"/>
                <w:szCs w:val="20"/>
              </w:rPr>
              <w:t>Anaemia</w:t>
            </w:r>
            <w:proofErr w:type="spellEnd"/>
            <w:r w:rsidRPr="009F4899">
              <w:rPr>
                <w:color w:val="44546A" w:themeColor="text2"/>
                <w:sz w:val="20"/>
                <w:szCs w:val="20"/>
              </w:rPr>
              <w:t xml:space="preserve"> measured by blood Hemoglobin levels. </w:t>
            </w:r>
          </w:p>
          <w:p w14:paraId="679E4C4F" w14:textId="77777777" w:rsidR="00D51B12" w:rsidRPr="009F4899" w:rsidRDefault="00D51B12" w:rsidP="008E37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  <w:r w:rsidRPr="009F4899">
              <w:rPr>
                <w:color w:val="44546A" w:themeColor="text2"/>
                <w:sz w:val="20"/>
                <w:szCs w:val="20"/>
              </w:rPr>
              <w:t>Hemoglobin and/or anemia prevalence below certain thresholds: lower than 110 grams per liter in pregnant women and lower than 120 grams per liter in non-pregnant women.</w:t>
            </w:r>
          </w:p>
        </w:tc>
      </w:tr>
    </w:tbl>
    <w:p w14:paraId="632228F2" w14:textId="12C47A3C" w:rsidR="0063308F" w:rsidRDefault="0063308F" w:rsidP="0063308F">
      <w:pPr>
        <w:jc w:val="both"/>
      </w:pPr>
      <w:r>
        <w:t xml:space="preserve">(Source: WHO, 2020) </w:t>
      </w:r>
    </w:p>
    <w:p w14:paraId="22202AAB" w14:textId="3A8EF640" w:rsidR="00080F9F" w:rsidRPr="00D51B12" w:rsidRDefault="00192E83" w:rsidP="0063308F">
      <w:pPr>
        <w:jc w:val="both"/>
        <w:rPr>
          <w:rFonts w:cstheme="minorHAnsi"/>
          <w:b/>
          <w:bCs/>
          <w:sz w:val="20"/>
          <w:szCs w:val="20"/>
          <w:lang w:val="en-GB" w:eastAsia="nl-BE"/>
        </w:rPr>
      </w:pPr>
      <w:r>
        <w:rPr>
          <w:rFonts w:cstheme="minorHAnsi"/>
          <w:b/>
          <w:bCs/>
          <w:sz w:val="20"/>
          <w:szCs w:val="20"/>
          <w:lang w:val="en-GB" w:eastAsia="nl-BE"/>
        </w:rPr>
        <w:t>Screening and e</w:t>
      </w:r>
      <w:r w:rsidR="00D51B12" w:rsidRPr="00D51B12">
        <w:rPr>
          <w:rFonts w:cstheme="minorHAnsi"/>
          <w:b/>
          <w:bCs/>
          <w:sz w:val="20"/>
          <w:szCs w:val="20"/>
          <w:lang w:val="en-GB" w:eastAsia="nl-BE"/>
        </w:rPr>
        <w:t xml:space="preserve">ligibility criteria </w:t>
      </w:r>
    </w:p>
    <w:p w14:paraId="70A4EADD" w14:textId="7599793F" w:rsidR="00192E83" w:rsidRPr="009F4899" w:rsidRDefault="00192E83" w:rsidP="00192E83">
      <w:pPr>
        <w:rPr>
          <w:sz w:val="20"/>
          <w:szCs w:val="20"/>
          <w:lang w:val="en-GB" w:eastAsia="nl-BE"/>
        </w:rPr>
      </w:pPr>
      <w:r w:rsidRPr="00C732A8">
        <w:rPr>
          <w:rFonts w:cstheme="minorHAnsi"/>
          <w:sz w:val="20"/>
          <w:szCs w:val="20"/>
        </w:rPr>
        <w:t xml:space="preserve">The title and abstract </w:t>
      </w:r>
      <w:r>
        <w:rPr>
          <w:rFonts w:cstheme="minorHAnsi"/>
          <w:sz w:val="20"/>
          <w:szCs w:val="20"/>
        </w:rPr>
        <w:t xml:space="preserve">of retrieved references </w:t>
      </w:r>
      <w:r w:rsidRPr="00C732A8">
        <w:rPr>
          <w:rFonts w:cstheme="minorHAnsi"/>
          <w:sz w:val="20"/>
          <w:szCs w:val="20"/>
        </w:rPr>
        <w:t xml:space="preserve">were screened against </w:t>
      </w:r>
      <w:r w:rsidRPr="00A147CE">
        <w:rPr>
          <w:rFonts w:cstheme="minorHAnsi"/>
          <w:sz w:val="20"/>
          <w:szCs w:val="20"/>
        </w:rPr>
        <w:t xml:space="preserve">predetermined eligibility criteria </w:t>
      </w:r>
      <w:r w:rsidR="00D51B12" w:rsidRPr="00192E83">
        <w:rPr>
          <w:sz w:val="20"/>
          <w:szCs w:val="20"/>
        </w:rPr>
        <w:t>(</w:t>
      </w:r>
      <w:r w:rsidRPr="00192E83">
        <w:rPr>
          <w:sz w:val="20"/>
          <w:szCs w:val="20"/>
        </w:rPr>
        <w:t>T</w:t>
      </w:r>
      <w:r w:rsidR="00D51B12" w:rsidRPr="00192E83">
        <w:rPr>
          <w:sz w:val="20"/>
          <w:szCs w:val="20"/>
        </w:rPr>
        <w:t xml:space="preserve">able </w:t>
      </w:r>
      <w:r w:rsidR="00270DF8" w:rsidRPr="00192E83">
        <w:rPr>
          <w:sz w:val="20"/>
          <w:szCs w:val="20"/>
        </w:rPr>
        <w:t>3</w:t>
      </w:r>
      <w:r w:rsidR="00D51B12" w:rsidRPr="00192E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9F4899" w:rsidRPr="009F4899">
        <w:rPr>
          <w:sz w:val="20"/>
          <w:szCs w:val="20"/>
        </w:rPr>
        <w:t>whi</w:t>
      </w:r>
      <w:r w:rsidR="00F629F9">
        <w:rPr>
          <w:sz w:val="20"/>
          <w:szCs w:val="20"/>
        </w:rPr>
        <w:t xml:space="preserve">ch </w:t>
      </w:r>
      <w:r>
        <w:rPr>
          <w:sz w:val="20"/>
          <w:szCs w:val="20"/>
        </w:rPr>
        <w:t>varied</w:t>
      </w:r>
      <w:r w:rsidR="00F629F9">
        <w:rPr>
          <w:sz w:val="20"/>
          <w:szCs w:val="20"/>
        </w:rPr>
        <w:t xml:space="preserve"> according to the WHA target. </w:t>
      </w:r>
      <w:r>
        <w:rPr>
          <w:sz w:val="20"/>
          <w:szCs w:val="20"/>
        </w:rPr>
        <w:t xml:space="preserve">For studies to be included in this systematic mapping review, they had to: report on primary research in West Africa, report on any of the WHA targets, report on problem, programs, or policy, be published in peer-reviewed journals, </w:t>
      </w:r>
      <w:r w:rsidRPr="001F1056">
        <w:rPr>
          <w:i/>
          <w:iCs/>
          <w:sz w:val="20"/>
          <w:szCs w:val="20"/>
        </w:rPr>
        <w:t>and</w:t>
      </w:r>
      <w:r>
        <w:rPr>
          <w:sz w:val="20"/>
          <w:szCs w:val="20"/>
        </w:rPr>
        <w:t xml:space="preserve"> be written in English or French. </w:t>
      </w:r>
      <w:r w:rsidRPr="00C732A8">
        <w:rPr>
          <w:rFonts w:cstheme="minorHAnsi"/>
          <w:sz w:val="20"/>
          <w:szCs w:val="20"/>
        </w:rPr>
        <w:t xml:space="preserve">The search resulted in </w:t>
      </w:r>
      <w:r>
        <w:rPr>
          <w:rFonts w:cstheme="minorHAnsi"/>
          <w:sz w:val="20"/>
          <w:szCs w:val="20"/>
        </w:rPr>
        <w:t>3,755 unique references</w:t>
      </w:r>
      <w:r w:rsidRPr="00C732A8">
        <w:rPr>
          <w:rFonts w:cstheme="minorHAnsi"/>
          <w:sz w:val="20"/>
          <w:szCs w:val="20"/>
        </w:rPr>
        <w:t xml:space="preserve">, of which </w:t>
      </w:r>
      <w:r>
        <w:rPr>
          <w:rFonts w:cstheme="minorHAnsi"/>
          <w:sz w:val="20"/>
          <w:szCs w:val="20"/>
        </w:rPr>
        <w:t>413</w:t>
      </w:r>
      <w:r w:rsidRPr="00C732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qualified for inclusion</w:t>
      </w:r>
      <w:r w:rsidRPr="00C732A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O</w:t>
      </w:r>
      <w:r w:rsidRPr="0073769C">
        <w:rPr>
          <w:rFonts w:cstheme="minorHAnsi"/>
          <w:sz w:val="20"/>
          <w:szCs w:val="20"/>
        </w:rPr>
        <w:t xml:space="preserve">ne reviewer completed </w:t>
      </w:r>
      <w:r w:rsidR="00C1463C">
        <w:rPr>
          <w:rFonts w:cstheme="minorHAnsi"/>
          <w:sz w:val="20"/>
          <w:szCs w:val="20"/>
        </w:rPr>
        <w:t xml:space="preserve">the </w:t>
      </w:r>
      <w:r w:rsidRPr="0073769C">
        <w:rPr>
          <w:rFonts w:cstheme="minorHAnsi"/>
          <w:sz w:val="20"/>
          <w:szCs w:val="20"/>
        </w:rPr>
        <w:t xml:space="preserve">screening and a second reviewer screened those </w:t>
      </w:r>
      <w:r w:rsidR="00C1463C">
        <w:rPr>
          <w:rFonts w:cstheme="minorHAnsi"/>
          <w:sz w:val="20"/>
          <w:szCs w:val="20"/>
        </w:rPr>
        <w:t xml:space="preserve">references </w:t>
      </w:r>
      <w:r w:rsidRPr="0073769C">
        <w:rPr>
          <w:rFonts w:cstheme="minorHAnsi"/>
          <w:sz w:val="20"/>
          <w:szCs w:val="20"/>
        </w:rPr>
        <w:t>for inclusion.</w:t>
      </w:r>
    </w:p>
    <w:p w14:paraId="59DC6FA2" w14:textId="7DA1525A" w:rsidR="00D51B12" w:rsidRPr="00D51B12" w:rsidRDefault="00D51B12" w:rsidP="00D51B12">
      <w:pPr>
        <w:jc w:val="both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Table </w:t>
      </w:r>
      <w:r w:rsidR="004A3E90">
        <w:rPr>
          <w:rFonts w:eastAsiaTheme="majorEastAsia" w:cstheme="minorHAnsi"/>
          <w:b/>
          <w:bCs/>
          <w:sz w:val="20"/>
          <w:szCs w:val="20"/>
          <w:lang w:val="en-GB" w:eastAsia="nl-BE"/>
        </w:rPr>
        <w:t>3</w:t>
      </w: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>: Eligibility criteria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4"/>
        <w:gridCol w:w="5563"/>
        <w:gridCol w:w="2817"/>
      </w:tblGrid>
      <w:tr w:rsidR="005B2869" w:rsidRPr="00192E83" w14:paraId="5649D384" w14:textId="77777777" w:rsidTr="00192E83">
        <w:trPr>
          <w:trHeight w:val="261"/>
        </w:trPr>
        <w:tc>
          <w:tcPr>
            <w:tcW w:w="1165" w:type="dxa"/>
            <w:shd w:val="clear" w:color="auto" w:fill="E2EFD9" w:themeFill="accent6" w:themeFillTint="33"/>
          </w:tcPr>
          <w:p w14:paraId="3277BA59" w14:textId="77777777" w:rsidR="005B2869" w:rsidRPr="00192E83" w:rsidRDefault="005B2869" w:rsidP="00861665">
            <w:pPr>
              <w:rPr>
                <w:rFonts w:cstheme="minorHAnsi"/>
                <w:sz w:val="20"/>
                <w:szCs w:val="20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>PICO</w:t>
            </w:r>
          </w:p>
        </w:tc>
        <w:tc>
          <w:tcPr>
            <w:tcW w:w="5634" w:type="dxa"/>
            <w:shd w:val="clear" w:color="auto" w:fill="E2EFD9" w:themeFill="accent6" w:themeFillTint="33"/>
          </w:tcPr>
          <w:p w14:paraId="3634C638" w14:textId="77777777" w:rsidR="005B2869" w:rsidRPr="00192E83" w:rsidRDefault="005B2869" w:rsidP="00861665">
            <w:pPr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 xml:space="preserve">Inclusion Criteria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A51CAD" w14:textId="77777777" w:rsidR="005B2869" w:rsidRPr="00192E83" w:rsidRDefault="005B2869" w:rsidP="00861665">
            <w:pPr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 xml:space="preserve">Exclusion Criteria </w:t>
            </w:r>
          </w:p>
        </w:tc>
      </w:tr>
      <w:tr w:rsidR="005B2869" w:rsidRPr="00192E83" w14:paraId="21364164" w14:textId="77777777" w:rsidTr="00275A1D">
        <w:trPr>
          <w:trHeight w:val="2871"/>
        </w:trPr>
        <w:tc>
          <w:tcPr>
            <w:tcW w:w="1165" w:type="dxa"/>
          </w:tcPr>
          <w:p w14:paraId="69445168" w14:textId="77777777" w:rsidR="005B2869" w:rsidRPr="00192E83" w:rsidRDefault="005B2869" w:rsidP="00861665">
            <w:pPr>
              <w:rPr>
                <w:rFonts w:cstheme="minorHAnsi"/>
                <w:sz w:val="20"/>
                <w:szCs w:val="20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 xml:space="preserve">Participants </w:t>
            </w:r>
          </w:p>
        </w:tc>
        <w:tc>
          <w:tcPr>
            <w:tcW w:w="5634" w:type="dxa"/>
          </w:tcPr>
          <w:p w14:paraId="7CF3F68B" w14:textId="4341AAB1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Children (fr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m singleton births) from their day of birth up until their 5th birthday (U5NS)</w:t>
            </w:r>
          </w:p>
          <w:p w14:paraId="364624B0" w14:textId="7777777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Studies can include both mothers and children up to 5 years old (U5NS)</w:t>
            </w:r>
          </w:p>
          <w:p w14:paraId="3BFA46E2" w14:textId="7777777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Healthy children from singleton births (U5NS)</w:t>
            </w:r>
          </w:p>
          <w:p w14:paraId="0B7E28DE" w14:textId="5B582558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Pregnant women and breastfeeding mothers with no restriction on the age of mothers (EBF)</w:t>
            </w:r>
          </w:p>
          <w:p w14:paraId="01F27B2F" w14:textId="614A96A5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Infants up </w:t>
            </w:r>
            <w:r w:rsidR="00A06673">
              <w:rPr>
                <w:rFonts w:cstheme="minorHAnsi"/>
                <w:sz w:val="20"/>
                <w:szCs w:val="20"/>
                <w:lang w:val="en-GB"/>
              </w:rPr>
              <w:t>to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the age of 6 months (EBF)</w:t>
            </w:r>
          </w:p>
          <w:p w14:paraId="4E6C65D5" w14:textId="058233CD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Women of reproductive age (15-49 years old) (WRA </w:t>
            </w:r>
            <w:r w:rsidR="00A06673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naemia)</w:t>
            </w:r>
          </w:p>
          <w:p w14:paraId="2F8B7938" w14:textId="70CA10A2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Studies that include a subpopulation of 15</w:t>
            </w:r>
            <w:r w:rsidR="00160FFC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 xml:space="preserve"> to </w:t>
            </w:r>
            <w:r w:rsidR="00192E83" w:rsidRPr="00192E83">
              <w:rPr>
                <w:rFonts w:cstheme="minorHAnsi"/>
                <w:sz w:val="20"/>
                <w:szCs w:val="20"/>
                <w:lang w:val="en-GB"/>
              </w:rPr>
              <w:t>49</w:t>
            </w:r>
            <w:r w:rsidR="00160FFC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192E83" w:rsidRPr="00192E83">
              <w:rPr>
                <w:rFonts w:cstheme="minorHAnsi"/>
                <w:sz w:val="20"/>
                <w:szCs w:val="20"/>
                <w:lang w:val="en-GB"/>
              </w:rPr>
              <w:t>year-old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 xml:space="preserve">women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(e.g.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adolescent studies focusing on 12-18 y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ea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rs old) (WRA </w:t>
            </w:r>
            <w:r w:rsidR="00B36383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naemia)</w:t>
            </w:r>
          </w:p>
          <w:p w14:paraId="14B625D9" w14:textId="2D693C86" w:rsidR="005B2869" w:rsidRPr="00192E83" w:rsidRDefault="005B2869" w:rsidP="00275A1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Inclusion of both pregnant and nonpregnant 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 xml:space="preserve">women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(WRA </w:t>
            </w:r>
            <w:r w:rsidR="00B36383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naemia)</w:t>
            </w:r>
          </w:p>
        </w:tc>
        <w:tc>
          <w:tcPr>
            <w:tcW w:w="2835" w:type="dxa"/>
          </w:tcPr>
          <w:p w14:paraId="2AD6BAC5" w14:textId="2A438585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Exclusion of studies reporting solely 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>on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>one group not included in the WHA targets, e.g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 xml:space="preserve"> m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ales only, elderly populations only</w:t>
            </w:r>
          </w:p>
          <w:p w14:paraId="2E662F6D" w14:textId="500B840E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Exclusion o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 xml:space="preserve">studies reporting on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disease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specific populations (e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g.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HIV positive participants only) </w:t>
            </w:r>
          </w:p>
        </w:tc>
      </w:tr>
      <w:tr w:rsidR="005B2869" w:rsidRPr="00192E83" w14:paraId="09280306" w14:textId="77777777" w:rsidTr="00861665">
        <w:trPr>
          <w:trHeight w:val="1550"/>
        </w:trPr>
        <w:tc>
          <w:tcPr>
            <w:tcW w:w="1165" w:type="dxa"/>
          </w:tcPr>
          <w:p w14:paraId="3977562C" w14:textId="77777777" w:rsidR="005B2869" w:rsidRPr="00192E83" w:rsidRDefault="005B2869" w:rsidP="00861665">
            <w:pPr>
              <w:rPr>
                <w:rFonts w:cstheme="minorHAnsi"/>
                <w:sz w:val="20"/>
                <w:szCs w:val="20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>Intervention</w:t>
            </w:r>
          </w:p>
        </w:tc>
        <w:tc>
          <w:tcPr>
            <w:tcW w:w="5634" w:type="dxa"/>
          </w:tcPr>
          <w:p w14:paraId="32319C58" w14:textId="1173A5E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Problem</w:t>
            </w:r>
            <w:r w:rsidR="00160FFC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92E83">
              <w:rPr>
                <w:rFonts w:cstheme="minorHAnsi"/>
                <w:sz w:val="20"/>
                <w:szCs w:val="20"/>
                <w:lang w:val="en-GB"/>
              </w:rPr>
              <w:t>Studies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reporting on prevalence of and/or drivers/risk factors related to U5NS, EBF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and WRA </w:t>
            </w:r>
            <w:r w:rsidR="00C1463C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naemia </w:t>
            </w:r>
          </w:p>
          <w:p w14:paraId="3447A4F3" w14:textId="1CB03D9A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Programs</w:t>
            </w:r>
            <w:r w:rsidR="00160FFC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Programs reported as 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randomized controlled trials (RC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Ts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require having either a nutrition- sensitive or nutrition-specific objective</w:t>
            </w:r>
          </w:p>
          <w:p w14:paraId="3B8FD4F8" w14:textId="6DFDC62B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Policy</w:t>
            </w:r>
            <w:r w:rsidR="00160FFC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Studies reporting on policy, governance, agenda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etc. This includes policy across all spectrums</w:t>
            </w:r>
            <w:r w:rsidR="00B36383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e.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g. 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overnment, international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organizational, hospital</w:t>
            </w:r>
          </w:p>
        </w:tc>
        <w:tc>
          <w:tcPr>
            <w:tcW w:w="2835" w:type="dxa"/>
          </w:tcPr>
          <w:p w14:paraId="17EA0E01" w14:textId="59EE3A2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Exclusion of non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-randomized controlled trials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(such as quasi-experimental, controlled before and after studies) </w:t>
            </w:r>
          </w:p>
        </w:tc>
      </w:tr>
      <w:tr w:rsidR="005B2869" w:rsidRPr="00192E83" w14:paraId="2A2ACEE3" w14:textId="77777777" w:rsidTr="00861665">
        <w:trPr>
          <w:trHeight w:val="261"/>
        </w:trPr>
        <w:tc>
          <w:tcPr>
            <w:tcW w:w="1165" w:type="dxa"/>
          </w:tcPr>
          <w:p w14:paraId="5F08BBAB" w14:textId="77777777" w:rsidR="005B2869" w:rsidRPr="00192E83" w:rsidRDefault="005B2869" w:rsidP="00861665">
            <w:pPr>
              <w:rPr>
                <w:rFonts w:cstheme="minorHAnsi"/>
                <w:sz w:val="20"/>
                <w:szCs w:val="20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 xml:space="preserve">Outcomes </w:t>
            </w:r>
          </w:p>
        </w:tc>
        <w:tc>
          <w:tcPr>
            <w:tcW w:w="5634" w:type="dxa"/>
          </w:tcPr>
          <w:p w14:paraId="6D147BB1" w14:textId="7777777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Studies reporting on: HAZ, WAZ, WHZ, MUAC, skinfold, LBW (U5NS)</w:t>
            </w:r>
          </w:p>
          <w:p w14:paraId="45DA16B5" w14:textId="043ECA7D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Studies using </w:t>
            </w:r>
            <w:r w:rsidR="0063308F">
              <w:rPr>
                <w:rFonts w:cstheme="minorHAnsi"/>
                <w:sz w:val="20"/>
                <w:szCs w:val="20"/>
                <w:lang w:val="en-GB"/>
              </w:rPr>
              <w:t>Indian Academy of Paediatrics (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IAP</w:t>
            </w:r>
            <w:r w:rsidR="0063308F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, WHO growth standards and </w:t>
            </w:r>
            <w:r w:rsidR="00B36383">
              <w:rPr>
                <w:rFonts w:cstheme="minorHAnsi"/>
                <w:sz w:val="20"/>
                <w:szCs w:val="20"/>
                <w:lang w:val="en-GB"/>
              </w:rPr>
              <w:t xml:space="preserve">National </w:t>
            </w:r>
            <w:proofErr w:type="spellStart"/>
            <w:r w:rsidR="00B36383">
              <w:rPr>
                <w:rFonts w:cstheme="minorHAnsi"/>
                <w:sz w:val="20"/>
                <w:szCs w:val="20"/>
                <w:lang w:val="en-GB"/>
              </w:rPr>
              <w:t>Center</w:t>
            </w:r>
            <w:proofErr w:type="spellEnd"/>
            <w:r w:rsidR="00B36383">
              <w:rPr>
                <w:rFonts w:cstheme="minorHAnsi"/>
                <w:sz w:val="20"/>
                <w:szCs w:val="20"/>
                <w:lang w:val="en-GB"/>
              </w:rPr>
              <w:t xml:space="preserve"> for Health Statistics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references (U5NS)</w:t>
            </w:r>
          </w:p>
          <w:p w14:paraId="5AA5FCB0" w14:textId="0960DE80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Studies reporting on 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EBF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defined as “when the infant receives only breast milk. No other liquids or solids are given – not even water – </w:t>
            </w:r>
            <w:proofErr w:type="gramStart"/>
            <w:r w:rsidRPr="00192E83">
              <w:rPr>
                <w:rFonts w:cstheme="minorHAnsi"/>
                <w:sz w:val="20"/>
                <w:szCs w:val="20"/>
                <w:lang w:val="en-GB"/>
              </w:rPr>
              <w:t>with the exception of</w:t>
            </w:r>
            <w:proofErr w:type="gramEnd"/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oral rehydration solution, or drops/syrups of vitamins, minerals or medicines” (WHO, 2017) (EBF)</w:t>
            </w:r>
          </w:p>
          <w:p w14:paraId="070B4BC9" w14:textId="4C92FE15" w:rsidR="005B2869" w:rsidRPr="0063308F" w:rsidRDefault="00A06673" w:rsidP="0063308F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Studies reporting on a</w:t>
            </w:r>
            <w:r w:rsidR="005B2869" w:rsidRPr="00192E83">
              <w:rPr>
                <w:rFonts w:cstheme="minorHAnsi"/>
                <w:sz w:val="20"/>
                <w:szCs w:val="20"/>
                <w:lang w:val="en-GB"/>
              </w:rPr>
              <w:t xml:space="preserve">naemia measured by blood </w:t>
            </w:r>
            <w:r>
              <w:rPr>
                <w:rFonts w:cstheme="minorHAnsi"/>
                <w:sz w:val="20"/>
                <w:szCs w:val="20"/>
                <w:lang w:val="en-GB"/>
              </w:rPr>
              <w:t>h</w:t>
            </w:r>
            <w:r w:rsidR="005B2869" w:rsidRPr="00192E83">
              <w:rPr>
                <w:rFonts w:cstheme="minorHAnsi"/>
                <w:sz w:val="20"/>
                <w:szCs w:val="20"/>
                <w:lang w:val="en-GB"/>
              </w:rPr>
              <w:t>aemoglobin levels</w:t>
            </w:r>
            <w:r w:rsidR="0063308F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="005B2869" w:rsidRPr="0063308F">
              <w:rPr>
                <w:rFonts w:cstheme="minorHAnsi"/>
                <w:sz w:val="20"/>
                <w:szCs w:val="20"/>
                <w:lang w:val="en-GB"/>
              </w:rPr>
              <w:t xml:space="preserve">Studies need to report summary statistics on mean haemoglobin and/or </w:t>
            </w:r>
            <w:r w:rsidR="000462F1" w:rsidRPr="0063308F">
              <w:rPr>
                <w:rFonts w:cstheme="minorHAnsi"/>
                <w:sz w:val="20"/>
                <w:szCs w:val="20"/>
                <w:lang w:val="en-GB"/>
              </w:rPr>
              <w:t>anaemia</w:t>
            </w:r>
            <w:r w:rsidR="005B2869" w:rsidRPr="0063308F">
              <w:rPr>
                <w:rFonts w:cstheme="minorHAnsi"/>
                <w:sz w:val="20"/>
                <w:szCs w:val="20"/>
                <w:lang w:val="en-GB"/>
              </w:rPr>
              <w:t xml:space="preserve"> prevalence below certain thresholds: lower than 110 grams per lit</w:t>
            </w:r>
            <w:r w:rsidR="00B36383" w:rsidRPr="0063308F"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="00083A65" w:rsidRPr="0063308F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5B2869" w:rsidRPr="0063308F">
              <w:rPr>
                <w:rFonts w:cstheme="minorHAnsi"/>
                <w:sz w:val="20"/>
                <w:szCs w:val="20"/>
                <w:lang w:val="en-GB"/>
              </w:rPr>
              <w:t xml:space="preserve"> in pregnant women and lower than 120 grams per litre in nonpregnant women (WRA </w:t>
            </w:r>
            <w:r w:rsidR="00B36383" w:rsidRPr="0063308F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5B2869" w:rsidRPr="0063308F">
              <w:rPr>
                <w:rFonts w:cstheme="minorHAnsi"/>
                <w:sz w:val="20"/>
                <w:szCs w:val="20"/>
                <w:lang w:val="en-GB"/>
              </w:rPr>
              <w:t>naemia)</w:t>
            </w:r>
          </w:p>
        </w:tc>
        <w:tc>
          <w:tcPr>
            <w:tcW w:w="2835" w:type="dxa"/>
          </w:tcPr>
          <w:p w14:paraId="57671F5B" w14:textId="77777777" w:rsidR="005B2869" w:rsidRPr="00192E83" w:rsidRDefault="005B2869" w:rsidP="00275A1D">
            <w:pPr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2869" w:rsidRPr="00192E83" w14:paraId="289EC4C0" w14:textId="77777777" w:rsidTr="00861665">
        <w:trPr>
          <w:trHeight w:val="261"/>
        </w:trPr>
        <w:tc>
          <w:tcPr>
            <w:tcW w:w="1165" w:type="dxa"/>
          </w:tcPr>
          <w:p w14:paraId="474F925C" w14:textId="77777777" w:rsidR="005B2869" w:rsidRPr="00192E83" w:rsidRDefault="005B2869" w:rsidP="00861665">
            <w:pPr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>Setting</w:t>
            </w:r>
          </w:p>
        </w:tc>
        <w:tc>
          <w:tcPr>
            <w:tcW w:w="5634" w:type="dxa"/>
          </w:tcPr>
          <w:p w14:paraId="24B7362C" w14:textId="77777777" w:rsidR="00275A1D" w:rsidRPr="00192E83" w:rsidRDefault="00275A1D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Studies that report on the West Africa region as defined by ECOWAS</w:t>
            </w:r>
          </w:p>
          <w:p w14:paraId="23A60017" w14:textId="0C5BBE9C" w:rsidR="00275A1D" w:rsidRPr="00192E83" w:rsidRDefault="00275A1D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Studies that include one of the ECOWAS countries, as a comparison with non-W</w:t>
            </w:r>
            <w:r w:rsidR="006944ED">
              <w:rPr>
                <w:rFonts w:cstheme="minorHAnsi"/>
                <w:sz w:val="20"/>
                <w:szCs w:val="20"/>
                <w:lang w:val="en-GB"/>
              </w:rPr>
              <w:t xml:space="preserve">est 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6944ED">
              <w:rPr>
                <w:rFonts w:cstheme="minorHAnsi"/>
                <w:sz w:val="20"/>
                <w:szCs w:val="20"/>
                <w:lang w:val="en-GB"/>
              </w:rPr>
              <w:t>frica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countries will be included and the individual count</w:t>
            </w:r>
            <w:r w:rsidR="00EF0C3E"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y data extracted </w:t>
            </w:r>
          </w:p>
          <w:p w14:paraId="6DD8C545" w14:textId="36AC26BD" w:rsidR="005B2869" w:rsidRPr="00192E83" w:rsidRDefault="00275A1D" w:rsidP="00275A1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Inclusion of regional data, national</w:t>
            </w:r>
            <w:r w:rsidR="006944ED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and subnational (district, village, community)</w:t>
            </w:r>
          </w:p>
        </w:tc>
        <w:tc>
          <w:tcPr>
            <w:tcW w:w="2835" w:type="dxa"/>
          </w:tcPr>
          <w:p w14:paraId="3014CA39" w14:textId="77777777" w:rsidR="005B2869" w:rsidRPr="00192E83" w:rsidRDefault="005B2869" w:rsidP="00275A1D">
            <w:pPr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B2869" w:rsidRPr="00192E83" w14:paraId="3603989F" w14:textId="77777777" w:rsidTr="00275A1D">
        <w:trPr>
          <w:trHeight w:val="754"/>
        </w:trPr>
        <w:tc>
          <w:tcPr>
            <w:tcW w:w="1165" w:type="dxa"/>
          </w:tcPr>
          <w:p w14:paraId="6DEEBDA2" w14:textId="77777777" w:rsidR="005B2869" w:rsidRPr="00192E83" w:rsidRDefault="005B2869" w:rsidP="00861665">
            <w:pPr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192E83">
              <w:rPr>
                <w:rFonts w:cstheme="minorHAnsi"/>
                <w:b/>
                <w:sz w:val="20"/>
                <w:szCs w:val="20"/>
                <w:lang w:val="nl-BE"/>
              </w:rPr>
              <w:t>Study design</w:t>
            </w:r>
          </w:p>
        </w:tc>
        <w:tc>
          <w:tcPr>
            <w:tcW w:w="5634" w:type="dxa"/>
          </w:tcPr>
          <w:p w14:paraId="7AEDDF6B" w14:textId="21182AE5" w:rsidR="005B2869" w:rsidRPr="00192E83" w:rsidRDefault="005B2869" w:rsidP="005B2869">
            <w:pPr>
              <w:numPr>
                <w:ilvl w:val="0"/>
                <w:numId w:val="24"/>
              </w:numPr>
              <w:spacing w:after="160" w:line="259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Epidemiology/cohort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 xml:space="preserve"> studies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, case-control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 xml:space="preserve"> studies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, cross-section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al studies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>, comparative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 xml:space="preserve"> or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descriptive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 xml:space="preserve"> studies,</w:t>
            </w: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0462F1">
              <w:rPr>
                <w:rFonts w:cstheme="minorHAnsi"/>
                <w:sz w:val="20"/>
                <w:szCs w:val="20"/>
                <w:lang w:val="en-GB"/>
              </w:rPr>
              <w:t>RCTs</w:t>
            </w:r>
          </w:p>
        </w:tc>
        <w:tc>
          <w:tcPr>
            <w:tcW w:w="2835" w:type="dxa"/>
          </w:tcPr>
          <w:p w14:paraId="12A0F78C" w14:textId="7777777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>Systematic reviews, qualitative studies</w:t>
            </w:r>
          </w:p>
          <w:p w14:paraId="44456A16" w14:textId="77777777" w:rsidR="005B2869" w:rsidRPr="00192E83" w:rsidRDefault="005B2869" w:rsidP="00275A1D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92E83">
              <w:rPr>
                <w:rFonts w:cstheme="minorHAnsi"/>
                <w:sz w:val="20"/>
                <w:szCs w:val="20"/>
                <w:lang w:val="en-GB"/>
              </w:rPr>
              <w:t xml:space="preserve">RCT protocols  </w:t>
            </w:r>
          </w:p>
        </w:tc>
      </w:tr>
    </w:tbl>
    <w:p w14:paraId="04EB920C" w14:textId="77777777" w:rsidR="00D51B12" w:rsidRDefault="00D51B12" w:rsidP="00D51B12">
      <w:pPr>
        <w:jc w:val="both"/>
      </w:pPr>
    </w:p>
    <w:p w14:paraId="2D02A764" w14:textId="77777777" w:rsidR="00D51B12" w:rsidRDefault="00D51B12" w:rsidP="00080F9F"/>
    <w:p w14:paraId="2BCAB6F5" w14:textId="38AC1D99" w:rsidR="00080F9F" w:rsidRDefault="009A3C44" w:rsidP="000462F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CA9AF26" wp14:editId="1FDD8245">
            <wp:extent cx="4060190" cy="47527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68"/>
                    <a:stretch/>
                  </pic:blipFill>
                  <pic:spPr bwMode="auto">
                    <a:xfrm>
                      <a:off x="0" y="0"/>
                      <a:ext cx="4060190" cy="47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56ED7" w14:textId="37324CF6" w:rsidR="00275A1D" w:rsidRPr="00D51B12" w:rsidRDefault="00275A1D" w:rsidP="000462F1">
      <w:pPr>
        <w:jc w:val="center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>Figure 2: Flowchart of search results</w:t>
      </w:r>
    </w:p>
    <w:p w14:paraId="3DF84E40" w14:textId="043A17D5" w:rsidR="00275A1D" w:rsidRPr="00275A1D" w:rsidRDefault="00275A1D" w:rsidP="00275A1D">
      <w:pPr>
        <w:tabs>
          <w:tab w:val="left" w:pos="1110"/>
        </w:tabs>
      </w:pPr>
    </w:p>
    <w:p w14:paraId="0DFDEDF3" w14:textId="21FEA544" w:rsidR="00080F9F" w:rsidRDefault="00192E83" w:rsidP="00080F9F">
      <w:pPr>
        <w:pStyle w:val="Heading2"/>
        <w:numPr>
          <w:ilvl w:val="1"/>
          <w:numId w:val="20"/>
        </w:numPr>
        <w:spacing w:before="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>Data</w:t>
      </w:r>
      <w:r w:rsidR="00080F9F" w:rsidRPr="00080F9F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 extraction </w:t>
      </w:r>
    </w:p>
    <w:p w14:paraId="3A5DB1B5" w14:textId="1B22A531" w:rsidR="000462F1" w:rsidRPr="000462F1" w:rsidRDefault="00B50372" w:rsidP="000462F1">
      <w:pPr>
        <w:rPr>
          <w:sz w:val="20"/>
          <w:szCs w:val="20"/>
        </w:rPr>
      </w:pPr>
      <w:r>
        <w:rPr>
          <w:sz w:val="20"/>
          <w:szCs w:val="20"/>
        </w:rPr>
        <w:t>Data was extracted for all studies separately by two reviewers (d</w:t>
      </w:r>
      <w:r w:rsidR="000462F1">
        <w:rPr>
          <w:sz w:val="20"/>
          <w:szCs w:val="20"/>
        </w:rPr>
        <w:t>ouble data e</w:t>
      </w:r>
      <w:r w:rsidR="000462F1" w:rsidRPr="000462F1">
        <w:rPr>
          <w:sz w:val="20"/>
          <w:szCs w:val="20"/>
        </w:rPr>
        <w:t>xtraction</w:t>
      </w:r>
      <w:r>
        <w:rPr>
          <w:sz w:val="20"/>
          <w:szCs w:val="20"/>
        </w:rPr>
        <w:t>)</w:t>
      </w:r>
      <w:r w:rsidR="000462F1">
        <w:rPr>
          <w:sz w:val="20"/>
          <w:szCs w:val="20"/>
        </w:rPr>
        <w:t xml:space="preserve"> </w:t>
      </w:r>
      <w:r w:rsidR="000462F1" w:rsidRPr="000462F1">
        <w:rPr>
          <w:sz w:val="20"/>
          <w:szCs w:val="20"/>
        </w:rPr>
        <w:t>(</w:t>
      </w:r>
      <w:r w:rsidR="000462F1" w:rsidRPr="000462F1">
        <w:rPr>
          <w:i/>
          <w:iCs/>
          <w:sz w:val="20"/>
          <w:szCs w:val="20"/>
        </w:rPr>
        <w:t>n</w:t>
      </w:r>
      <w:r w:rsidR="000462F1" w:rsidRPr="000462F1">
        <w:rPr>
          <w:sz w:val="20"/>
          <w:szCs w:val="20"/>
        </w:rPr>
        <w:t>=</w:t>
      </w:r>
      <w:r w:rsidR="000462F1">
        <w:rPr>
          <w:sz w:val="20"/>
          <w:szCs w:val="20"/>
        </w:rPr>
        <w:t>413</w:t>
      </w:r>
      <w:r w:rsidR="000462F1" w:rsidRPr="000462F1">
        <w:rPr>
          <w:sz w:val="20"/>
          <w:szCs w:val="20"/>
        </w:rPr>
        <w:t>) at abstract level</w:t>
      </w:r>
      <w:r w:rsidR="000462F1">
        <w:rPr>
          <w:sz w:val="20"/>
          <w:szCs w:val="20"/>
        </w:rPr>
        <w:t xml:space="preserve">, </w:t>
      </w:r>
      <w:r w:rsidR="000462F1" w:rsidRPr="000462F1">
        <w:rPr>
          <w:sz w:val="20"/>
          <w:szCs w:val="20"/>
        </w:rPr>
        <w:t xml:space="preserve">and included information on: language, </w:t>
      </w:r>
      <w:r w:rsidR="000462F1">
        <w:rPr>
          <w:sz w:val="20"/>
          <w:szCs w:val="20"/>
        </w:rPr>
        <w:t xml:space="preserve">focus of research, </w:t>
      </w:r>
      <w:r w:rsidR="000462F1" w:rsidRPr="000462F1">
        <w:rPr>
          <w:sz w:val="20"/>
          <w:szCs w:val="20"/>
        </w:rPr>
        <w:t>country, outcome, study design, study setting, p</w:t>
      </w:r>
      <w:r w:rsidR="000462F1">
        <w:rPr>
          <w:sz w:val="20"/>
          <w:szCs w:val="20"/>
        </w:rPr>
        <w:t>articipants</w:t>
      </w:r>
      <w:r w:rsidR="000462F1" w:rsidRPr="000462F1">
        <w:rPr>
          <w:sz w:val="20"/>
          <w:szCs w:val="20"/>
        </w:rPr>
        <w:t xml:space="preserve">, </w:t>
      </w:r>
      <w:r w:rsidR="000462F1">
        <w:rPr>
          <w:sz w:val="20"/>
          <w:szCs w:val="20"/>
        </w:rPr>
        <w:t xml:space="preserve">intervention type, </w:t>
      </w:r>
      <w:r w:rsidR="000462F1" w:rsidRPr="000462F1">
        <w:rPr>
          <w:sz w:val="20"/>
          <w:szCs w:val="20"/>
        </w:rPr>
        <w:t>and drivers (</w:t>
      </w:r>
      <w:r w:rsidR="000462F1" w:rsidRPr="00AB20A8">
        <w:rPr>
          <w:sz w:val="20"/>
          <w:szCs w:val="20"/>
        </w:rPr>
        <w:t xml:space="preserve">Table </w:t>
      </w:r>
      <w:r w:rsidR="00AB20A8">
        <w:rPr>
          <w:sz w:val="20"/>
          <w:szCs w:val="20"/>
        </w:rPr>
        <w:t>4</w:t>
      </w:r>
      <w:r w:rsidR="000462F1" w:rsidRPr="00AB20A8">
        <w:rPr>
          <w:sz w:val="20"/>
          <w:szCs w:val="20"/>
        </w:rPr>
        <w:t>).</w:t>
      </w:r>
      <w:r w:rsidR="000462F1" w:rsidRPr="000462F1">
        <w:rPr>
          <w:sz w:val="20"/>
          <w:szCs w:val="20"/>
        </w:rPr>
        <w:t xml:space="preserve"> </w:t>
      </w:r>
      <w:bookmarkStart w:id="2" w:name="_Hlk38647879"/>
      <w:r w:rsidR="000462F1" w:rsidRPr="000462F1">
        <w:rPr>
          <w:rFonts w:cstheme="minorHAnsi"/>
          <w:sz w:val="20"/>
          <w:szCs w:val="20"/>
        </w:rPr>
        <w:t xml:space="preserve">The extraction of information related to the drivers of malnutrition was a three-stage process. First, information related to drivers was extracted in free text form, </w:t>
      </w:r>
      <w:r w:rsidR="00EF0C3E">
        <w:rPr>
          <w:rFonts w:cstheme="minorHAnsi"/>
          <w:sz w:val="20"/>
          <w:szCs w:val="20"/>
        </w:rPr>
        <w:t xml:space="preserve">that is, </w:t>
      </w:r>
      <w:r w:rsidR="000462F1" w:rsidRPr="000462F1">
        <w:rPr>
          <w:rFonts w:cstheme="minorHAnsi"/>
          <w:sz w:val="20"/>
          <w:szCs w:val="20"/>
        </w:rPr>
        <w:t xml:space="preserve">as it appeared in the abstract. These </w:t>
      </w:r>
      <w:r w:rsidR="00EF0C3E">
        <w:rPr>
          <w:rFonts w:cstheme="minorHAnsi"/>
          <w:sz w:val="20"/>
          <w:szCs w:val="20"/>
        </w:rPr>
        <w:t xml:space="preserve">studies </w:t>
      </w:r>
      <w:r w:rsidR="000462F1" w:rsidRPr="000462F1">
        <w:rPr>
          <w:rFonts w:cstheme="minorHAnsi"/>
          <w:sz w:val="20"/>
          <w:szCs w:val="20"/>
        </w:rPr>
        <w:t>were then grouped into broad categories, i.e.</w:t>
      </w:r>
      <w:r w:rsidR="00EF0C3E">
        <w:rPr>
          <w:rFonts w:cstheme="minorHAnsi"/>
          <w:sz w:val="20"/>
          <w:szCs w:val="20"/>
        </w:rPr>
        <w:t>,</w:t>
      </w:r>
      <w:r w:rsidR="000462F1" w:rsidRPr="000462F1">
        <w:rPr>
          <w:rFonts w:cstheme="minorHAnsi"/>
          <w:sz w:val="20"/>
          <w:szCs w:val="20"/>
        </w:rPr>
        <w:t xml:space="preserve"> what we refer to as a taxonomy</w:t>
      </w:r>
      <w:r w:rsidR="000462F1">
        <w:rPr>
          <w:rStyle w:val="FootnoteReference"/>
          <w:rFonts w:cstheme="minorHAnsi"/>
          <w:sz w:val="20"/>
          <w:szCs w:val="20"/>
        </w:rPr>
        <w:footnoteReference w:id="1"/>
      </w:r>
      <w:r w:rsidR="000462F1" w:rsidRPr="000462F1">
        <w:rPr>
          <w:rFonts w:cstheme="minorHAnsi"/>
          <w:sz w:val="20"/>
          <w:szCs w:val="20"/>
        </w:rPr>
        <w:t xml:space="preserve"> (Driver taxonomy 1 variable in Table </w:t>
      </w:r>
      <w:r w:rsidR="00AB20A8">
        <w:rPr>
          <w:rFonts w:cstheme="minorHAnsi"/>
          <w:sz w:val="20"/>
          <w:szCs w:val="20"/>
        </w:rPr>
        <w:t>4</w:t>
      </w:r>
      <w:r w:rsidR="000462F1" w:rsidRPr="000462F1">
        <w:rPr>
          <w:rFonts w:cstheme="minorHAnsi"/>
          <w:sz w:val="20"/>
          <w:szCs w:val="20"/>
        </w:rPr>
        <w:t xml:space="preserve">). These categories were then further grouped according to the UNICEF categories of immediate, underlying, and basic drivers (Driver taxonomy 2 variable in Table </w:t>
      </w:r>
      <w:r w:rsidR="00AB20A8">
        <w:rPr>
          <w:rFonts w:cstheme="minorHAnsi"/>
          <w:sz w:val="20"/>
          <w:szCs w:val="20"/>
        </w:rPr>
        <w:t>4</w:t>
      </w:r>
      <w:r w:rsidR="000462F1" w:rsidRPr="000462F1">
        <w:rPr>
          <w:rFonts w:cstheme="minorHAnsi"/>
          <w:sz w:val="20"/>
          <w:szCs w:val="20"/>
        </w:rPr>
        <w:t>).</w:t>
      </w:r>
      <w:bookmarkEnd w:id="2"/>
    </w:p>
    <w:p w14:paraId="6D5D4172" w14:textId="185D35EB" w:rsidR="00C70D8D" w:rsidRPr="00D51B12" w:rsidRDefault="00C70D8D" w:rsidP="000462F1">
      <w:pPr>
        <w:spacing w:after="120" w:line="240" w:lineRule="auto"/>
        <w:jc w:val="both"/>
        <w:rPr>
          <w:rFonts w:eastAsiaTheme="majorEastAsia" w:cstheme="minorHAnsi"/>
          <w:b/>
          <w:bCs/>
          <w:sz w:val="20"/>
          <w:szCs w:val="20"/>
          <w:lang w:val="en-GB" w:eastAsia="nl-BE"/>
        </w:rPr>
      </w:pP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Table </w:t>
      </w:r>
      <w:r w:rsidR="004A3E90">
        <w:rPr>
          <w:rFonts w:eastAsiaTheme="majorEastAsia" w:cstheme="minorHAnsi"/>
          <w:b/>
          <w:bCs/>
          <w:sz w:val="20"/>
          <w:szCs w:val="20"/>
          <w:lang w:val="en-GB" w:eastAsia="nl-BE"/>
        </w:rPr>
        <w:t>4</w:t>
      </w: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: </w:t>
      </w:r>
      <w:r w:rsidR="00FC2E45">
        <w:rPr>
          <w:rFonts w:eastAsiaTheme="majorEastAsia" w:cstheme="minorHAnsi"/>
          <w:b/>
          <w:bCs/>
          <w:sz w:val="20"/>
          <w:szCs w:val="20"/>
          <w:lang w:val="en-GB" w:eastAsia="nl-BE"/>
        </w:rPr>
        <w:t>Data extraction template</w:t>
      </w:r>
      <w:r w:rsidRPr="00D51B12">
        <w:rPr>
          <w:rFonts w:eastAsiaTheme="majorEastAsia" w:cstheme="minorHAnsi"/>
          <w:b/>
          <w:bCs/>
          <w:sz w:val="20"/>
          <w:szCs w:val="20"/>
          <w:lang w:val="en-GB" w:eastAsia="nl-BE"/>
        </w:rPr>
        <w:t xml:space="preserve"> </w:t>
      </w: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795"/>
        <w:gridCol w:w="7419"/>
      </w:tblGrid>
      <w:tr w:rsidR="00275A1D" w:rsidRPr="000462F1" w14:paraId="62E7C52C" w14:textId="77777777" w:rsidTr="0027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4472C4" w:themeColor="accent1"/>
            </w:tcBorders>
          </w:tcPr>
          <w:p w14:paraId="2DA4AF9F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7419" w:type="dxa"/>
            <w:tcBorders>
              <w:top w:val="single" w:sz="4" w:space="0" w:color="4472C4" w:themeColor="accent1"/>
            </w:tcBorders>
          </w:tcPr>
          <w:p w14:paraId="21F22E52" w14:textId="77777777" w:rsidR="00E75BDF" w:rsidRPr="000462F1" w:rsidRDefault="00E75BDF" w:rsidP="00E75B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Extraction categories</w:t>
            </w:r>
          </w:p>
        </w:tc>
      </w:tr>
      <w:tr w:rsidR="00275A1D" w:rsidRPr="000462F1" w14:paraId="4E0BBC64" w14:textId="77777777" w:rsidTr="002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5DCE4" w:themeFill="text2" w:themeFillTint="33"/>
          </w:tcPr>
          <w:p w14:paraId="70840A77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Language</w:t>
            </w:r>
          </w:p>
        </w:tc>
        <w:tc>
          <w:tcPr>
            <w:tcW w:w="7419" w:type="dxa"/>
            <w:shd w:val="clear" w:color="auto" w:fill="D5DCE4" w:themeFill="text2" w:themeFillTint="33"/>
          </w:tcPr>
          <w:p w14:paraId="14925D23" w14:textId="77777777" w:rsidR="00E75BDF" w:rsidRPr="000462F1" w:rsidRDefault="00E75BDF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English, French</w:t>
            </w:r>
          </w:p>
        </w:tc>
      </w:tr>
      <w:tr w:rsidR="00275A1D" w:rsidRPr="000462F1" w14:paraId="50CE2ECD" w14:textId="77777777" w:rsidTr="0027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3471668" w14:textId="5A4D1E53" w:rsidR="00E75BDF" w:rsidRPr="00FC2E45" w:rsidRDefault="00426D7B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 xml:space="preserve">Focus of research </w:t>
            </w:r>
          </w:p>
        </w:tc>
        <w:tc>
          <w:tcPr>
            <w:tcW w:w="7419" w:type="dxa"/>
          </w:tcPr>
          <w:p w14:paraId="49335199" w14:textId="77777777" w:rsidR="00E75BDF" w:rsidRPr="000462F1" w:rsidRDefault="00E75BDF" w:rsidP="00E75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Prevalence, drivers, policy, program</w:t>
            </w:r>
          </w:p>
        </w:tc>
      </w:tr>
      <w:tr w:rsidR="00275A1D" w:rsidRPr="000462F1" w14:paraId="50D12280" w14:textId="77777777" w:rsidTr="002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5DCE4" w:themeFill="text2" w:themeFillTint="33"/>
          </w:tcPr>
          <w:p w14:paraId="10E64E9C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7419" w:type="dxa"/>
            <w:shd w:val="clear" w:color="auto" w:fill="D5DCE4" w:themeFill="text2" w:themeFillTint="33"/>
          </w:tcPr>
          <w:p w14:paraId="6E626BDE" w14:textId="77777777" w:rsidR="00E75BDF" w:rsidRPr="000462F1" w:rsidRDefault="00E75BDF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Benin,</w:t>
            </w:r>
            <w:r w:rsidR="00C3294B" w:rsidRPr="000462F1">
              <w:rPr>
                <w:color w:val="000000" w:themeColor="text1"/>
                <w:sz w:val="20"/>
                <w:szCs w:val="20"/>
              </w:rPr>
              <w:t xml:space="preserve"> Burkina Faso,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Côte d'Ivoire, Gambia, Ghana, Guinea, Guinea-Bissau, Liberia, Mali, Niger, Nigeria, Senegal, Sierra Leone, Togo, and </w:t>
            </w:r>
            <w:r w:rsidR="00C3294B" w:rsidRPr="000462F1">
              <w:rPr>
                <w:color w:val="000000" w:themeColor="text1"/>
                <w:sz w:val="20"/>
                <w:szCs w:val="20"/>
              </w:rPr>
              <w:t>the West Africa Region</w:t>
            </w:r>
          </w:p>
        </w:tc>
      </w:tr>
      <w:tr w:rsidR="00275A1D" w:rsidRPr="006873F1" w14:paraId="45DC051A" w14:textId="77777777" w:rsidTr="00275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2257646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7419" w:type="dxa"/>
          </w:tcPr>
          <w:p w14:paraId="723712E0" w14:textId="5B5E1068" w:rsidR="00E75BDF" w:rsidRPr="000462F1" w:rsidRDefault="00302FB3" w:rsidP="00E75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nl-BE"/>
              </w:rPr>
            </w:pPr>
            <w:r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U5 </w:t>
            </w:r>
            <w:r w:rsidR="00F872E3">
              <w:rPr>
                <w:color w:val="000000" w:themeColor="text1"/>
                <w:sz w:val="20"/>
                <w:szCs w:val="20"/>
                <w:lang w:val="nl-BE"/>
              </w:rPr>
              <w:t>s</w:t>
            </w:r>
            <w:r w:rsidR="00C3294B"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tunting, </w:t>
            </w:r>
            <w:r w:rsidRPr="000462F1">
              <w:rPr>
                <w:color w:val="000000" w:themeColor="text1"/>
                <w:sz w:val="20"/>
                <w:szCs w:val="20"/>
                <w:lang w:val="nl-BE"/>
              </w:rPr>
              <w:t>U5</w:t>
            </w:r>
            <w:r w:rsidR="007B3DE4"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C3294B"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wasting, LBW, </w:t>
            </w:r>
            <w:r w:rsidRPr="000462F1">
              <w:rPr>
                <w:color w:val="000000" w:themeColor="text1"/>
                <w:sz w:val="20"/>
                <w:szCs w:val="20"/>
                <w:lang w:val="nl-BE"/>
              </w:rPr>
              <w:t>U5</w:t>
            </w:r>
            <w:r w:rsidR="007B3DE4"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C3294B"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overweight, </w:t>
            </w:r>
            <w:r w:rsidRPr="000462F1">
              <w:rPr>
                <w:color w:val="000000" w:themeColor="text1"/>
                <w:sz w:val="20"/>
                <w:szCs w:val="20"/>
                <w:lang w:val="nl-BE"/>
              </w:rPr>
              <w:t xml:space="preserve">WRA </w:t>
            </w:r>
            <w:r w:rsidR="00F872E3">
              <w:rPr>
                <w:color w:val="000000" w:themeColor="text1"/>
                <w:sz w:val="20"/>
                <w:szCs w:val="20"/>
                <w:lang w:val="nl-BE"/>
              </w:rPr>
              <w:t>a</w:t>
            </w:r>
            <w:r w:rsidR="00C3294B" w:rsidRPr="000462F1">
              <w:rPr>
                <w:color w:val="000000" w:themeColor="text1"/>
                <w:sz w:val="20"/>
                <w:szCs w:val="20"/>
                <w:lang w:val="nl-BE"/>
              </w:rPr>
              <w:t>naemia, EBF</w:t>
            </w:r>
          </w:p>
        </w:tc>
      </w:tr>
      <w:tr w:rsidR="00275A1D" w:rsidRPr="000462F1" w14:paraId="35046518" w14:textId="77777777" w:rsidTr="002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5DCE4" w:themeFill="text2" w:themeFillTint="33"/>
          </w:tcPr>
          <w:p w14:paraId="24BC8C3D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 xml:space="preserve">Study design </w:t>
            </w:r>
          </w:p>
        </w:tc>
        <w:tc>
          <w:tcPr>
            <w:tcW w:w="7419" w:type="dxa"/>
            <w:shd w:val="clear" w:color="auto" w:fill="D5DCE4" w:themeFill="text2" w:themeFillTint="33"/>
          </w:tcPr>
          <w:p w14:paraId="705CD92C" w14:textId="4CD3FA77" w:rsidR="00E75BDF" w:rsidRPr="000462F1" w:rsidRDefault="001A25DA" w:rsidP="00C32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 xml:space="preserve">Cohort, </w:t>
            </w:r>
            <w:r w:rsidR="00FC2E45">
              <w:rPr>
                <w:color w:val="000000" w:themeColor="text1"/>
                <w:sz w:val="20"/>
                <w:szCs w:val="20"/>
              </w:rPr>
              <w:t>c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ross-sectional, </w:t>
            </w:r>
            <w:r w:rsidR="00FC2E45">
              <w:rPr>
                <w:color w:val="000000" w:themeColor="text1"/>
                <w:sz w:val="20"/>
                <w:szCs w:val="20"/>
              </w:rPr>
              <w:t>c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ase-control, </w:t>
            </w:r>
            <w:r w:rsidR="00FC2E45">
              <w:rPr>
                <w:color w:val="000000" w:themeColor="text1"/>
                <w:sz w:val="20"/>
                <w:szCs w:val="20"/>
              </w:rPr>
              <w:t>c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ase-series, </w:t>
            </w:r>
            <w:r w:rsidR="00FC2E45">
              <w:rPr>
                <w:color w:val="000000" w:themeColor="text1"/>
                <w:sz w:val="20"/>
                <w:szCs w:val="20"/>
              </w:rPr>
              <w:t>q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ualitative, </w:t>
            </w:r>
            <w:r w:rsidR="00FC2E45">
              <w:rPr>
                <w:color w:val="000000" w:themeColor="text1"/>
                <w:sz w:val="20"/>
                <w:szCs w:val="20"/>
              </w:rPr>
              <w:t>r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eview, </w:t>
            </w:r>
            <w:r w:rsidR="00FC2E45">
              <w:rPr>
                <w:color w:val="000000" w:themeColor="text1"/>
                <w:sz w:val="20"/>
                <w:szCs w:val="20"/>
              </w:rPr>
              <w:t>r</w:t>
            </w:r>
            <w:r w:rsidR="007B3DE4" w:rsidRPr="000462F1">
              <w:rPr>
                <w:color w:val="000000" w:themeColor="text1"/>
                <w:sz w:val="20"/>
                <w:szCs w:val="20"/>
              </w:rPr>
              <w:t>andomized</w:t>
            </w:r>
            <w:r w:rsidR="00F872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3DE4" w:rsidRPr="000462F1">
              <w:rPr>
                <w:color w:val="000000" w:themeColor="text1"/>
                <w:sz w:val="20"/>
                <w:szCs w:val="20"/>
              </w:rPr>
              <w:t>controlled trials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C2E45">
              <w:rPr>
                <w:color w:val="000000" w:themeColor="text1"/>
                <w:sz w:val="20"/>
                <w:szCs w:val="20"/>
              </w:rPr>
              <w:t>n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ot specified, </w:t>
            </w:r>
            <w:r w:rsidR="00F872E3">
              <w:rPr>
                <w:color w:val="000000" w:themeColor="text1"/>
                <w:sz w:val="20"/>
                <w:szCs w:val="20"/>
              </w:rPr>
              <w:t>o</w:t>
            </w:r>
            <w:r w:rsidRPr="000462F1">
              <w:rPr>
                <w:color w:val="000000" w:themeColor="text1"/>
                <w:sz w:val="20"/>
                <w:szCs w:val="20"/>
              </w:rPr>
              <w:t>ther</w:t>
            </w:r>
          </w:p>
        </w:tc>
      </w:tr>
      <w:tr w:rsidR="00FC2E45" w:rsidRPr="000462F1" w14:paraId="3187CC6F" w14:textId="77777777" w:rsidTr="00FC2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20021D87" w14:textId="77777777" w:rsidR="00FC2E45" w:rsidRPr="00FC2E45" w:rsidRDefault="00FC2E45" w:rsidP="0086210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Study setting</w:t>
            </w:r>
          </w:p>
        </w:tc>
        <w:tc>
          <w:tcPr>
            <w:tcW w:w="7419" w:type="dxa"/>
            <w:shd w:val="clear" w:color="auto" w:fill="auto"/>
          </w:tcPr>
          <w:p w14:paraId="0C33927F" w14:textId="5D69879A" w:rsidR="00FC2E45" w:rsidRPr="000462F1" w:rsidRDefault="00FC2E45" w:rsidP="00862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National, district, village, hospital, primary healthcare cent</w:t>
            </w:r>
            <w:r w:rsidR="00F872E3">
              <w:rPr>
                <w:color w:val="000000" w:themeColor="text1"/>
                <w:sz w:val="20"/>
                <w:szCs w:val="20"/>
              </w:rPr>
              <w:t>e</w:t>
            </w:r>
            <w:r w:rsidRPr="000462F1">
              <w:rPr>
                <w:color w:val="000000" w:themeColor="text1"/>
                <w:sz w:val="20"/>
                <w:szCs w:val="20"/>
              </w:rPr>
              <w:t>r, health facility, community, other, not specified</w:t>
            </w:r>
          </w:p>
        </w:tc>
      </w:tr>
      <w:tr w:rsidR="00FC2E45" w:rsidRPr="000462F1" w14:paraId="48BE421E" w14:textId="77777777" w:rsidTr="00FC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nil"/>
            </w:tcBorders>
            <w:shd w:val="clear" w:color="auto" w:fill="D5DCE4" w:themeFill="text2" w:themeFillTint="33"/>
          </w:tcPr>
          <w:p w14:paraId="41BA7DF0" w14:textId="77777777" w:rsidR="00FC2E45" w:rsidRPr="00FC2E45" w:rsidRDefault="00FC2E45" w:rsidP="0086210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 xml:space="preserve">Intervention Type </w:t>
            </w:r>
          </w:p>
        </w:tc>
        <w:tc>
          <w:tcPr>
            <w:tcW w:w="7419" w:type="dxa"/>
            <w:tcBorders>
              <w:bottom w:val="nil"/>
            </w:tcBorders>
            <w:shd w:val="clear" w:color="auto" w:fill="D5DCE4" w:themeFill="text2" w:themeFillTint="33"/>
          </w:tcPr>
          <w:p w14:paraId="2A7E4232" w14:textId="77777777" w:rsidR="00FC2E45" w:rsidRPr="000462F1" w:rsidRDefault="00FC2E45" w:rsidP="00862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Free text description of intervention (randomized controlled trials only)</w:t>
            </w:r>
          </w:p>
        </w:tc>
      </w:tr>
      <w:tr w:rsidR="00FC2E45" w:rsidRPr="000462F1" w14:paraId="599632A2" w14:textId="77777777" w:rsidTr="00FC2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  <w:bottom w:val="nil"/>
            </w:tcBorders>
            <w:shd w:val="clear" w:color="auto" w:fill="auto"/>
          </w:tcPr>
          <w:p w14:paraId="45FB5D74" w14:textId="77777777" w:rsidR="00FC2E45" w:rsidRPr="00FC2E45" w:rsidRDefault="00FC2E45" w:rsidP="00FC2E45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7419" w:type="dxa"/>
            <w:tcBorders>
              <w:top w:val="nil"/>
              <w:bottom w:val="nil"/>
            </w:tcBorders>
            <w:shd w:val="clear" w:color="auto" w:fill="auto"/>
          </w:tcPr>
          <w:p w14:paraId="573CFBD6" w14:textId="6E31A51D" w:rsidR="00FC2E45" w:rsidRPr="000462F1" w:rsidRDefault="00FC2E45" w:rsidP="00862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Free text description of participants (e</w:t>
            </w:r>
            <w:r w:rsidR="00CF5C98">
              <w:rPr>
                <w:color w:val="000000" w:themeColor="text1"/>
                <w:sz w:val="20"/>
                <w:szCs w:val="20"/>
              </w:rPr>
              <w:t>.</w:t>
            </w:r>
            <w:r w:rsidRPr="000462F1">
              <w:rPr>
                <w:color w:val="000000" w:themeColor="text1"/>
                <w:sz w:val="20"/>
                <w:szCs w:val="20"/>
              </w:rPr>
              <w:t>g.</w:t>
            </w:r>
            <w:r w:rsidR="00F872E3">
              <w:rPr>
                <w:color w:val="000000" w:themeColor="text1"/>
                <w:sz w:val="20"/>
                <w:szCs w:val="20"/>
              </w:rPr>
              <w:t>,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100 WRA)</w:t>
            </w:r>
          </w:p>
        </w:tc>
      </w:tr>
      <w:tr w:rsidR="00275A1D" w:rsidRPr="000462F1" w14:paraId="1D357188" w14:textId="77777777" w:rsidTr="00FC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il"/>
            </w:tcBorders>
            <w:shd w:val="clear" w:color="auto" w:fill="D5DCE4" w:themeFill="text2" w:themeFillTint="33"/>
          </w:tcPr>
          <w:p w14:paraId="04A72A28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Driver (Free text)</w:t>
            </w:r>
          </w:p>
        </w:tc>
        <w:tc>
          <w:tcPr>
            <w:tcW w:w="7419" w:type="dxa"/>
            <w:tcBorders>
              <w:top w:val="nil"/>
            </w:tcBorders>
            <w:shd w:val="clear" w:color="auto" w:fill="D5DCE4" w:themeFill="text2" w:themeFillTint="33"/>
          </w:tcPr>
          <w:p w14:paraId="1C08EB3E" w14:textId="42532204" w:rsidR="00E75BDF" w:rsidRPr="000462F1" w:rsidRDefault="001A25DA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color w:val="000000" w:themeColor="text1"/>
                <w:sz w:val="20"/>
                <w:szCs w:val="20"/>
              </w:rPr>
              <w:t>Description</w:t>
            </w:r>
            <w:r w:rsidR="00304DA1" w:rsidRPr="000462F1">
              <w:rPr>
                <w:color w:val="000000" w:themeColor="text1"/>
                <w:sz w:val="20"/>
                <w:szCs w:val="20"/>
              </w:rPr>
              <w:t xml:space="preserve"> of drivers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as it appeared in the abstract. 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(e</w:t>
            </w:r>
            <w:r w:rsidR="00302FB3" w:rsidRPr="000462F1">
              <w:rPr>
                <w:color w:val="000000" w:themeColor="text1"/>
                <w:sz w:val="20"/>
                <w:szCs w:val="20"/>
              </w:rPr>
              <w:t>.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g.</w:t>
            </w:r>
            <w:r w:rsidR="00F872E3">
              <w:rPr>
                <w:color w:val="000000" w:themeColor="text1"/>
                <w:sz w:val="20"/>
                <w:szCs w:val="20"/>
              </w:rPr>
              <w:t>,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age of 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mother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immunization of child, food availability)</w:t>
            </w:r>
          </w:p>
        </w:tc>
      </w:tr>
      <w:tr w:rsidR="00275A1D" w:rsidRPr="000462F1" w14:paraId="2976BECE" w14:textId="77777777" w:rsidTr="00FC2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2651373D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Driver Taxonomy 1 (Grouped categories)</w:t>
            </w:r>
          </w:p>
        </w:tc>
        <w:tc>
          <w:tcPr>
            <w:tcW w:w="7419" w:type="dxa"/>
            <w:shd w:val="clear" w:color="auto" w:fill="auto"/>
          </w:tcPr>
          <w:p w14:paraId="5B6BA637" w14:textId="0BE957F7" w:rsidR="00FC2E45" w:rsidRDefault="00142810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Food consumption and intake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(hunger, intake, dietary diversity, consumption of fortified foods)</w:t>
            </w:r>
          </w:p>
          <w:p w14:paraId="7E5CA84B" w14:textId="6690637C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aternal nutritional status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(anthropometry and micronutrients)</w:t>
            </w:r>
          </w:p>
          <w:p w14:paraId="132A72EF" w14:textId="4C456B81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aternal health status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(prevalence of LBW, BW, infection, disease)</w:t>
            </w:r>
          </w:p>
          <w:p w14:paraId="474CBF1F" w14:textId="368828E8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hild nutritional status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(anthropometry: WHZ, BMI, MUAC and micronutrients)</w:t>
            </w:r>
          </w:p>
          <w:p w14:paraId="48727BBB" w14:textId="37F9EAB3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hild health status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(immunization, illness, parasitic infection)</w:t>
            </w:r>
          </w:p>
          <w:p w14:paraId="673B727B" w14:textId="6365B6FF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ood security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(seasonality, crop harvest)</w:t>
            </w:r>
          </w:p>
          <w:p w14:paraId="19608C37" w14:textId="7FC9B305" w:rsidR="00FC2E45" w:rsidRDefault="00142810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IYCFP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(breastfeeding, EBF, complementary feeding)</w:t>
            </w:r>
          </w:p>
          <w:p w14:paraId="38DA2E73" w14:textId="44A3A17A" w:rsidR="00FC2E45" w:rsidRDefault="00142810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WASH</w:t>
            </w:r>
            <w:r w:rsidRPr="000462F1">
              <w:rPr>
                <w:color w:val="000000" w:themeColor="text1"/>
                <w:sz w:val="20"/>
                <w:szCs w:val="20"/>
              </w:rPr>
              <w:t xml:space="preserve"> (sanitation, WASH, water)</w:t>
            </w:r>
          </w:p>
          <w:p w14:paraId="7277A078" w14:textId="673A68C0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ealth system environment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(mode of delivery, antenatal visits, health-seeking </w:t>
            </w:r>
            <w:r w:rsidR="00D856C0" w:rsidRPr="000462F1">
              <w:rPr>
                <w:color w:val="000000" w:themeColor="text1"/>
                <w:sz w:val="20"/>
                <w:szCs w:val="20"/>
              </w:rPr>
              <w:t>behavior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>, health insurance)</w:t>
            </w:r>
          </w:p>
          <w:p w14:paraId="1D374FD4" w14:textId="706219C2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ender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(female empowerment)</w:t>
            </w:r>
          </w:p>
          <w:p w14:paraId="3A7B1FBA" w14:textId="48191951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ocio-demographics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(at the household level, maternal level, age, number of children), </w:t>
            </w: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overty</w:t>
            </w:r>
          </w:p>
          <w:p w14:paraId="4C3042ED" w14:textId="1487FC89" w:rsidR="00FC2E45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ood environment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(marketing of food products)</w:t>
            </w:r>
          </w:p>
          <w:p w14:paraId="478DE428" w14:textId="2DF242B4" w:rsidR="00142810" w:rsidRPr="000462F1" w:rsidRDefault="00FC2E45" w:rsidP="00D957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  <w:r w:rsidR="00142810" w:rsidRPr="000462F1">
              <w:rPr>
                <w:b/>
                <w:color w:val="000000" w:themeColor="text1"/>
                <w:sz w:val="20"/>
                <w:szCs w:val="20"/>
              </w:rPr>
              <w:t>nabling environment</w:t>
            </w:r>
            <w:r w:rsidR="00142810" w:rsidRPr="000462F1">
              <w:rPr>
                <w:color w:val="000000" w:themeColor="text1"/>
                <w:sz w:val="20"/>
                <w:szCs w:val="20"/>
              </w:rPr>
              <w:t xml:space="preserve"> (nutrition policy and programming)</w:t>
            </w:r>
          </w:p>
        </w:tc>
      </w:tr>
      <w:tr w:rsidR="00275A1D" w:rsidRPr="000462F1" w14:paraId="6E066DAF" w14:textId="77777777" w:rsidTr="00FC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D5DCE4" w:themeFill="text2" w:themeFillTint="33"/>
          </w:tcPr>
          <w:p w14:paraId="4B82AA5E" w14:textId="77777777" w:rsidR="00E75BDF" w:rsidRPr="00FC2E45" w:rsidRDefault="00E75BDF" w:rsidP="00CE7BD9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C2E45">
              <w:rPr>
                <w:rFonts w:cstheme="minorHAnsi"/>
                <w:color w:val="auto"/>
                <w:sz w:val="20"/>
                <w:szCs w:val="20"/>
              </w:rPr>
              <w:t>Driver Taxonomy 2 (UNICEF categories)</w:t>
            </w:r>
          </w:p>
        </w:tc>
        <w:tc>
          <w:tcPr>
            <w:tcW w:w="7419" w:type="dxa"/>
            <w:shd w:val="clear" w:color="auto" w:fill="D5DCE4" w:themeFill="text2" w:themeFillTint="33"/>
          </w:tcPr>
          <w:p w14:paraId="3B80362E" w14:textId="77777777" w:rsidR="00172E61" w:rsidRPr="000462F1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Immediate</w:t>
            </w:r>
            <w:r w:rsidRPr="000462F1">
              <w:rPr>
                <w:color w:val="000000" w:themeColor="text1"/>
                <w:sz w:val="20"/>
                <w:szCs w:val="20"/>
              </w:rPr>
              <w:t>: Food consumption and intake, maternal nutritional status, maternal health, child nutritional status, child health status</w:t>
            </w:r>
          </w:p>
          <w:p w14:paraId="40AB57AE" w14:textId="180A44B8" w:rsidR="00172E61" w:rsidRPr="000462F1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Underlying:</w:t>
            </w:r>
            <w:r w:rsidR="004F1A08" w:rsidRPr="000462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F</w:t>
            </w:r>
            <w:r w:rsidR="004F1A08" w:rsidRPr="000462F1">
              <w:rPr>
                <w:color w:val="000000" w:themeColor="text1"/>
                <w:sz w:val="20"/>
                <w:szCs w:val="20"/>
              </w:rPr>
              <w:t>ood security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F1A08" w:rsidRPr="000462F1">
              <w:rPr>
                <w:color w:val="000000" w:themeColor="text1"/>
                <w:sz w:val="20"/>
                <w:szCs w:val="20"/>
              </w:rPr>
              <w:t>IYCFP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F1A08" w:rsidRPr="000462F1">
              <w:rPr>
                <w:color w:val="000000" w:themeColor="text1"/>
                <w:sz w:val="20"/>
                <w:szCs w:val="20"/>
              </w:rPr>
              <w:t>WASH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F1A08" w:rsidRPr="000462F1">
              <w:rPr>
                <w:color w:val="000000" w:themeColor="text1"/>
                <w:sz w:val="20"/>
                <w:szCs w:val="20"/>
              </w:rPr>
              <w:t>health system environment, gender</w:t>
            </w:r>
          </w:p>
          <w:p w14:paraId="084F874E" w14:textId="0A4CCE58" w:rsidR="00172E61" w:rsidRPr="000462F1" w:rsidRDefault="00172E61" w:rsidP="00E75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462F1">
              <w:rPr>
                <w:b/>
                <w:color w:val="000000" w:themeColor="text1"/>
                <w:sz w:val="20"/>
                <w:szCs w:val="20"/>
              </w:rPr>
              <w:t>Basic</w:t>
            </w:r>
            <w:r w:rsidR="00795AC8" w:rsidRPr="000462F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95AC8" w:rsidRPr="000462F1">
              <w:rPr>
                <w:color w:val="000000" w:themeColor="text1"/>
                <w:sz w:val="20"/>
                <w:szCs w:val="20"/>
              </w:rPr>
              <w:t>Socio-demographics, poverty, food environment, enabling environment</w:t>
            </w:r>
          </w:p>
        </w:tc>
      </w:tr>
    </w:tbl>
    <w:p w14:paraId="618CA87A" w14:textId="77777777" w:rsidR="00DA145A" w:rsidRDefault="00DA145A" w:rsidP="00DA145A"/>
    <w:p w14:paraId="6CD0E4E8" w14:textId="110B8405" w:rsidR="00080F9F" w:rsidRDefault="00080F9F" w:rsidP="00080F9F">
      <w:pPr>
        <w:pStyle w:val="Heading2"/>
        <w:numPr>
          <w:ilvl w:val="1"/>
          <w:numId w:val="20"/>
        </w:numPr>
        <w:spacing w:before="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</w:pPr>
      <w:r w:rsidRPr="00080F9F">
        <w:rPr>
          <w:rFonts w:asciiTheme="minorHAnsi" w:hAnsiTheme="minorHAnsi" w:cstheme="minorHAnsi"/>
          <w:b/>
          <w:bCs/>
          <w:color w:val="auto"/>
          <w:sz w:val="20"/>
          <w:szCs w:val="20"/>
          <w:lang w:val="en-GB" w:eastAsia="nl-BE"/>
        </w:rPr>
        <w:t xml:space="preserve">Synthesis and quality assessment </w:t>
      </w:r>
    </w:p>
    <w:p w14:paraId="0AB93B8A" w14:textId="3484145C" w:rsidR="00D51B12" w:rsidRPr="009F4899" w:rsidRDefault="00080F9F" w:rsidP="009F4899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080F9F">
        <w:rPr>
          <w:rFonts w:cstheme="minorHAnsi"/>
          <w:bCs/>
          <w:iCs/>
          <w:sz w:val="20"/>
          <w:szCs w:val="20"/>
        </w:rPr>
        <w:t xml:space="preserve">The extracted information was analyzed in </w:t>
      </w:r>
      <w:r w:rsidR="00F50CBB">
        <w:rPr>
          <w:rFonts w:cstheme="minorHAnsi"/>
          <w:bCs/>
          <w:iCs/>
          <w:sz w:val="20"/>
          <w:szCs w:val="20"/>
        </w:rPr>
        <w:t>E</w:t>
      </w:r>
      <w:r w:rsidRPr="00080F9F">
        <w:rPr>
          <w:rFonts w:cstheme="minorHAnsi"/>
          <w:bCs/>
          <w:iCs/>
          <w:sz w:val="20"/>
          <w:szCs w:val="20"/>
        </w:rPr>
        <w:t xml:space="preserve">xcel to identify trends and gaps in the information retrieved. This was then summarized using narrative synthesis. Within this review we did not conduct a full quality appraisal of these studies but included only peer-reviewed studies as a quality control. </w:t>
      </w:r>
    </w:p>
    <w:p w14:paraId="1E32651E" w14:textId="77777777" w:rsidR="00D51B12" w:rsidRDefault="00D51B12" w:rsidP="00DA145A"/>
    <w:sectPr w:rsidR="00D51B1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1AD7" w14:textId="77777777" w:rsidR="00C16A60" w:rsidRDefault="00C16A60" w:rsidP="001B5197">
      <w:pPr>
        <w:spacing w:after="0" w:line="240" w:lineRule="auto"/>
      </w:pPr>
      <w:r>
        <w:separator/>
      </w:r>
    </w:p>
  </w:endnote>
  <w:endnote w:type="continuationSeparator" w:id="0">
    <w:p w14:paraId="7B8B3591" w14:textId="77777777" w:rsidR="00C16A60" w:rsidRDefault="00C16A60" w:rsidP="001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4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91E7B" w14:textId="77777777" w:rsidR="001B5197" w:rsidRDefault="001B5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32049" w14:textId="77777777" w:rsidR="001B5197" w:rsidRDefault="001B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EC48" w14:textId="77777777" w:rsidR="00C16A60" w:rsidRDefault="00C16A60" w:rsidP="001B5197">
      <w:pPr>
        <w:spacing w:after="0" w:line="240" w:lineRule="auto"/>
      </w:pPr>
      <w:r>
        <w:separator/>
      </w:r>
    </w:p>
  </w:footnote>
  <w:footnote w:type="continuationSeparator" w:id="0">
    <w:p w14:paraId="6701DB16" w14:textId="77777777" w:rsidR="00C16A60" w:rsidRDefault="00C16A60" w:rsidP="001B5197">
      <w:pPr>
        <w:spacing w:after="0" w:line="240" w:lineRule="auto"/>
      </w:pPr>
      <w:r>
        <w:continuationSeparator/>
      </w:r>
    </w:p>
  </w:footnote>
  <w:footnote w:id="1">
    <w:p w14:paraId="377749E4" w14:textId="4A0DD919" w:rsidR="000462F1" w:rsidRPr="0073769C" w:rsidRDefault="000462F1" w:rsidP="000462F1">
      <w:pPr>
        <w:pStyle w:val="FootnoteText"/>
        <w:rPr>
          <w:lang w:val="en-GB"/>
        </w:rPr>
      </w:pPr>
      <w:r w:rsidRPr="009D2BC7">
        <w:rPr>
          <w:rStyle w:val="FootnoteReference"/>
          <w:rFonts w:cstheme="minorHAnsi"/>
        </w:rPr>
        <w:footnoteRef/>
      </w:r>
      <w:r w:rsidRPr="009D2BC7">
        <w:rPr>
          <w:rFonts w:cstheme="minorHAnsi"/>
        </w:rPr>
        <w:t xml:space="preserve"> </w:t>
      </w:r>
      <w:r w:rsidR="00F872E3">
        <w:rPr>
          <w:rFonts w:cstheme="minorHAnsi"/>
        </w:rPr>
        <w:t xml:space="preserve">Taxonomy refers to the </w:t>
      </w:r>
      <w:r w:rsidRPr="001F1056">
        <w:rPr>
          <w:rStyle w:val="Strong"/>
          <w:rFonts w:cstheme="minorHAnsi"/>
          <w:b w:val="0"/>
          <w:bCs w:val="0"/>
          <w:color w:val="222222"/>
          <w:shd w:val="clear" w:color="auto" w:fill="F7F7F7"/>
        </w:rPr>
        <w:t>classification of data into categories and subcategories</w:t>
      </w:r>
      <w:r w:rsidR="00F872E3">
        <w:rPr>
          <w:rStyle w:val="Strong"/>
          <w:rFonts w:cstheme="minorHAnsi"/>
          <w:b w:val="0"/>
          <w:bCs w:val="0"/>
          <w:color w:val="222222"/>
          <w:shd w:val="clear" w:color="auto" w:fill="F7F7F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A10"/>
    <w:multiLevelType w:val="multilevel"/>
    <w:tmpl w:val="802A5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1E587D"/>
    <w:multiLevelType w:val="hybridMultilevel"/>
    <w:tmpl w:val="071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5ABA"/>
    <w:multiLevelType w:val="hybridMultilevel"/>
    <w:tmpl w:val="B97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27AB"/>
    <w:multiLevelType w:val="hybridMultilevel"/>
    <w:tmpl w:val="E7FE86A2"/>
    <w:lvl w:ilvl="0" w:tplc="13D8A09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64E61"/>
    <w:multiLevelType w:val="hybridMultilevel"/>
    <w:tmpl w:val="04C2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7CA5"/>
    <w:multiLevelType w:val="multilevel"/>
    <w:tmpl w:val="B128DC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C71077"/>
    <w:multiLevelType w:val="hybridMultilevel"/>
    <w:tmpl w:val="B09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0A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4B3A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635E69"/>
    <w:multiLevelType w:val="hybridMultilevel"/>
    <w:tmpl w:val="D28E3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946C7"/>
    <w:multiLevelType w:val="multilevel"/>
    <w:tmpl w:val="6BFC1C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F20679"/>
    <w:multiLevelType w:val="multilevel"/>
    <w:tmpl w:val="7368D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032243"/>
    <w:multiLevelType w:val="multilevel"/>
    <w:tmpl w:val="59242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A03356"/>
    <w:multiLevelType w:val="hybridMultilevel"/>
    <w:tmpl w:val="4ABEF26E"/>
    <w:lvl w:ilvl="0" w:tplc="13D8A0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1D90"/>
    <w:multiLevelType w:val="hybridMultilevel"/>
    <w:tmpl w:val="DAF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5330"/>
    <w:multiLevelType w:val="hybridMultilevel"/>
    <w:tmpl w:val="2D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6EE1"/>
    <w:multiLevelType w:val="hybridMultilevel"/>
    <w:tmpl w:val="3F9E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40E4"/>
    <w:multiLevelType w:val="hybridMultilevel"/>
    <w:tmpl w:val="7EB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815"/>
    <w:multiLevelType w:val="hybridMultilevel"/>
    <w:tmpl w:val="75BA057C"/>
    <w:lvl w:ilvl="0" w:tplc="13D8A0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23943"/>
    <w:multiLevelType w:val="hybridMultilevel"/>
    <w:tmpl w:val="ADEA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31B0"/>
    <w:multiLevelType w:val="hybridMultilevel"/>
    <w:tmpl w:val="776A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416DD"/>
    <w:multiLevelType w:val="multilevel"/>
    <w:tmpl w:val="A6CA1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36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1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  <w:b/>
        <w:sz w:val="24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7"/>
  </w:num>
  <w:num w:numId="11">
    <w:abstractNumId w:val="2"/>
  </w:num>
  <w:num w:numId="12">
    <w:abstractNumId w:val="15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1"/>
  </w:num>
  <w:num w:numId="18">
    <w:abstractNumId w:val="8"/>
  </w:num>
  <w:num w:numId="19">
    <w:abstractNumId w:val="8"/>
  </w:num>
  <w:num w:numId="20">
    <w:abstractNumId w:val="12"/>
  </w:num>
  <w:num w:numId="21">
    <w:abstractNumId w:val="6"/>
  </w:num>
  <w:num w:numId="22">
    <w:abstractNumId w:val="1"/>
  </w:num>
  <w:num w:numId="23">
    <w:abstractNumId w:val="19"/>
  </w:num>
  <w:num w:numId="24">
    <w:abstractNumId w:val="20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MDY3NDOyNDexNLVQ0lEKTi0uzszPAykwNKoFAFswQ5EtAAAA"/>
  </w:docVars>
  <w:rsids>
    <w:rsidRoot w:val="009A1FD4"/>
    <w:rsid w:val="00043507"/>
    <w:rsid w:val="000462F1"/>
    <w:rsid w:val="0006304B"/>
    <w:rsid w:val="000656BA"/>
    <w:rsid w:val="00080F9F"/>
    <w:rsid w:val="00083A65"/>
    <w:rsid w:val="000932E0"/>
    <w:rsid w:val="000C2F2D"/>
    <w:rsid w:val="000D45B4"/>
    <w:rsid w:val="000E0DF7"/>
    <w:rsid w:val="00142810"/>
    <w:rsid w:val="00160FFC"/>
    <w:rsid w:val="00172E61"/>
    <w:rsid w:val="00184E55"/>
    <w:rsid w:val="00192726"/>
    <w:rsid w:val="00192E83"/>
    <w:rsid w:val="001A25DA"/>
    <w:rsid w:val="001B5197"/>
    <w:rsid w:val="001F1056"/>
    <w:rsid w:val="00243CA3"/>
    <w:rsid w:val="00270DF8"/>
    <w:rsid w:val="00275A1D"/>
    <w:rsid w:val="002C08D1"/>
    <w:rsid w:val="002D6FEB"/>
    <w:rsid w:val="00302FB3"/>
    <w:rsid w:val="00304DA1"/>
    <w:rsid w:val="0030641B"/>
    <w:rsid w:val="00337FE4"/>
    <w:rsid w:val="00392E26"/>
    <w:rsid w:val="003F65DC"/>
    <w:rsid w:val="00426D7B"/>
    <w:rsid w:val="00433DCD"/>
    <w:rsid w:val="00445E2E"/>
    <w:rsid w:val="0044715A"/>
    <w:rsid w:val="00496791"/>
    <w:rsid w:val="004A3E90"/>
    <w:rsid w:val="004F1A08"/>
    <w:rsid w:val="00514D77"/>
    <w:rsid w:val="005377C9"/>
    <w:rsid w:val="005426FE"/>
    <w:rsid w:val="005774B5"/>
    <w:rsid w:val="005B2869"/>
    <w:rsid w:val="005F010B"/>
    <w:rsid w:val="0063308F"/>
    <w:rsid w:val="006873F1"/>
    <w:rsid w:val="006944ED"/>
    <w:rsid w:val="006C21B5"/>
    <w:rsid w:val="006D103A"/>
    <w:rsid w:val="0072105A"/>
    <w:rsid w:val="00742730"/>
    <w:rsid w:val="00766391"/>
    <w:rsid w:val="0076646A"/>
    <w:rsid w:val="007958F7"/>
    <w:rsid w:val="00795AC8"/>
    <w:rsid w:val="007B3DE4"/>
    <w:rsid w:val="007C7DEA"/>
    <w:rsid w:val="007D7011"/>
    <w:rsid w:val="00847F8A"/>
    <w:rsid w:val="00877A3E"/>
    <w:rsid w:val="0088557B"/>
    <w:rsid w:val="008B2A90"/>
    <w:rsid w:val="008D67A9"/>
    <w:rsid w:val="008F387B"/>
    <w:rsid w:val="009A1FD4"/>
    <w:rsid w:val="009A3C44"/>
    <w:rsid w:val="009C70A3"/>
    <w:rsid w:val="009D0701"/>
    <w:rsid w:val="009E39EE"/>
    <w:rsid w:val="009F4899"/>
    <w:rsid w:val="00A06673"/>
    <w:rsid w:val="00A118B1"/>
    <w:rsid w:val="00A24AF5"/>
    <w:rsid w:val="00A31417"/>
    <w:rsid w:val="00A63BAE"/>
    <w:rsid w:val="00A6694B"/>
    <w:rsid w:val="00A73B10"/>
    <w:rsid w:val="00A91554"/>
    <w:rsid w:val="00AB1558"/>
    <w:rsid w:val="00AB20A8"/>
    <w:rsid w:val="00AC7293"/>
    <w:rsid w:val="00AE54C4"/>
    <w:rsid w:val="00B267D4"/>
    <w:rsid w:val="00B36383"/>
    <w:rsid w:val="00B50372"/>
    <w:rsid w:val="00B64D5B"/>
    <w:rsid w:val="00B773B7"/>
    <w:rsid w:val="00BA2387"/>
    <w:rsid w:val="00BE528F"/>
    <w:rsid w:val="00BF0BA9"/>
    <w:rsid w:val="00C1463C"/>
    <w:rsid w:val="00C16A60"/>
    <w:rsid w:val="00C3294B"/>
    <w:rsid w:val="00C440CF"/>
    <w:rsid w:val="00C4482B"/>
    <w:rsid w:val="00C70D8D"/>
    <w:rsid w:val="00CE7BD9"/>
    <w:rsid w:val="00CF28D1"/>
    <w:rsid w:val="00CF5C98"/>
    <w:rsid w:val="00D05431"/>
    <w:rsid w:val="00D10AA9"/>
    <w:rsid w:val="00D27A3E"/>
    <w:rsid w:val="00D51B12"/>
    <w:rsid w:val="00D51F8C"/>
    <w:rsid w:val="00D61CA4"/>
    <w:rsid w:val="00D856C0"/>
    <w:rsid w:val="00D95737"/>
    <w:rsid w:val="00DA145A"/>
    <w:rsid w:val="00DB0C91"/>
    <w:rsid w:val="00DB223B"/>
    <w:rsid w:val="00DB2255"/>
    <w:rsid w:val="00DF33B0"/>
    <w:rsid w:val="00E56726"/>
    <w:rsid w:val="00E71F19"/>
    <w:rsid w:val="00E75BDF"/>
    <w:rsid w:val="00E908FA"/>
    <w:rsid w:val="00E975BB"/>
    <w:rsid w:val="00ED0D7A"/>
    <w:rsid w:val="00EE2473"/>
    <w:rsid w:val="00EF0C3E"/>
    <w:rsid w:val="00F00AA1"/>
    <w:rsid w:val="00F0794C"/>
    <w:rsid w:val="00F50CBB"/>
    <w:rsid w:val="00F566E3"/>
    <w:rsid w:val="00F629F9"/>
    <w:rsid w:val="00F870A9"/>
    <w:rsid w:val="00F872E3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A16A"/>
  <w15:chartTrackingRefBased/>
  <w15:docId w15:val="{C5ADD7EB-6785-4F3D-A364-A3455A6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8B1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B1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8B1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8B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8B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8B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8B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8B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8B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2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4C4"/>
    <w:pPr>
      <w:ind w:left="720"/>
      <w:contextualSpacing/>
    </w:pPr>
  </w:style>
  <w:style w:type="table" w:styleId="TableGrid">
    <w:name w:val="Table Grid"/>
    <w:basedOn w:val="TableNormal"/>
    <w:uiPriority w:val="39"/>
    <w:rsid w:val="000E0D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D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97"/>
  </w:style>
  <w:style w:type="paragraph" w:styleId="Footer">
    <w:name w:val="footer"/>
    <w:basedOn w:val="Normal"/>
    <w:link w:val="FooterChar"/>
    <w:uiPriority w:val="99"/>
    <w:unhideWhenUsed/>
    <w:rsid w:val="001B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97"/>
  </w:style>
  <w:style w:type="character" w:styleId="PlaceholderText">
    <w:name w:val="Placeholder Text"/>
    <w:basedOn w:val="DefaultParagraphFont"/>
    <w:uiPriority w:val="99"/>
    <w:semiHidden/>
    <w:rsid w:val="008D67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1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8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8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8B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8B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8B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8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8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4B"/>
    <w:rPr>
      <w:rFonts w:ascii="Segoe UI" w:hAnsi="Segoe UI" w:cs="Segoe UI"/>
      <w:sz w:val="18"/>
      <w:szCs w:val="18"/>
    </w:rPr>
  </w:style>
  <w:style w:type="table" w:styleId="ListTable6Colorful-Accent1">
    <w:name w:val="List Table 6 Colorful Accent 1"/>
    <w:basedOn w:val="TableNormal"/>
    <w:uiPriority w:val="51"/>
    <w:rsid w:val="00D856C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856C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6F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">
    <w:name w:val="Style1"/>
    <w:basedOn w:val="TableNormal"/>
    <w:uiPriority w:val="99"/>
    <w:rsid w:val="002D6FEB"/>
    <w:pPr>
      <w:spacing w:after="0" w:line="240" w:lineRule="auto"/>
    </w:pPr>
    <w:tblPr>
      <w:tblStyleRowBandSize w:val="1"/>
    </w:tblPr>
    <w:tcPr>
      <w:shd w:val="clear" w:color="auto" w:fill="D5DCE4" w:themeFill="text2" w:themeFillTint="33"/>
      <w:vAlign w:val="center"/>
    </w:tcPr>
  </w:style>
  <w:style w:type="table" w:styleId="ListTable6Colorful-Accent3">
    <w:name w:val="List Table 6 Colorful Accent 3"/>
    <w:basedOn w:val="TableNormal"/>
    <w:uiPriority w:val="51"/>
    <w:rsid w:val="00D957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B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1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275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A1D"/>
    <w:rPr>
      <w:vertAlign w:val="superscript"/>
    </w:rPr>
  </w:style>
  <w:style w:type="character" w:styleId="Strong">
    <w:name w:val="Strong"/>
    <w:basedOn w:val="DefaultParagraphFont"/>
    <w:uiPriority w:val="22"/>
    <w:qFormat/>
    <w:rsid w:val="0027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africa.transformnutrition.org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pubmed.ncbi.nlm.nih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B9A1-5984-4AC0-9C6C-68A4D197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Salm, Leah (IFPRI)</dc:creator>
  <cp:keywords/>
  <dc:description/>
  <cp:lastModifiedBy>Leah Salm</cp:lastModifiedBy>
  <cp:revision>3</cp:revision>
  <dcterms:created xsi:type="dcterms:W3CDTF">2020-05-26T07:31:00Z</dcterms:created>
  <dcterms:modified xsi:type="dcterms:W3CDTF">2020-06-08T15:16:00Z</dcterms:modified>
</cp:coreProperties>
</file>