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D" w:rsidRDefault="0023396D" w:rsidP="0023396D">
      <w:r>
        <w:t xml:space="preserve">Table S1: Baseline visual acuity and final visual acuity of patients with unilateral or bilateral </w:t>
      </w:r>
      <w:proofErr w:type="spellStart"/>
      <w:r>
        <w:t>pseudoexfoliation</w:t>
      </w:r>
      <w:proofErr w:type="spellEnd"/>
      <w:r>
        <w:t xml:space="preserve"> at different stages (see methods for detailed description of visual acuity groups 0-4).</w:t>
      </w:r>
    </w:p>
    <w:tbl>
      <w:tblPr>
        <w:tblStyle w:val="TableGrid"/>
        <w:tblW w:w="10322" w:type="dxa"/>
        <w:tblInd w:w="-525" w:type="dxa"/>
        <w:tblLook w:val="04A0" w:firstRow="1" w:lastRow="0" w:firstColumn="1" w:lastColumn="0" w:noHBand="0" w:noVBand="1"/>
      </w:tblPr>
      <w:tblGrid>
        <w:gridCol w:w="1910"/>
        <w:gridCol w:w="1125"/>
        <w:gridCol w:w="667"/>
        <w:gridCol w:w="662"/>
        <w:gridCol w:w="718"/>
        <w:gridCol w:w="715"/>
        <w:gridCol w:w="1095"/>
        <w:gridCol w:w="668"/>
        <w:gridCol w:w="715"/>
        <w:gridCol w:w="661"/>
        <w:gridCol w:w="668"/>
        <w:gridCol w:w="718"/>
      </w:tblGrid>
      <w:tr w:rsidR="0023396D" w:rsidTr="00F84893">
        <w:trPr>
          <w:trHeight w:val="251"/>
        </w:trPr>
        <w:tc>
          <w:tcPr>
            <w:tcW w:w="1929" w:type="dxa"/>
            <w:shd w:val="clear" w:color="auto" w:fill="auto"/>
          </w:tcPr>
          <w:p w:rsidR="0023396D" w:rsidRDefault="0023396D" w:rsidP="00F84893">
            <w:r>
              <w:t>Baseline</w:t>
            </w:r>
          </w:p>
          <w:p w:rsidR="0023396D" w:rsidRDefault="0023396D" w:rsidP="00F84893">
            <w:r>
              <w:t xml:space="preserve"> vision*</w:t>
            </w:r>
          </w:p>
          <w:p w:rsidR="0023396D" w:rsidRDefault="0023396D" w:rsidP="00F84893">
            <w:r>
              <w:t>%</w:t>
            </w:r>
          </w:p>
        </w:tc>
        <w:tc>
          <w:tcPr>
            <w:tcW w:w="1138" w:type="dxa"/>
            <w:shd w:val="clear" w:color="auto" w:fill="auto"/>
          </w:tcPr>
          <w:p w:rsidR="0023396D" w:rsidRDefault="0023396D" w:rsidP="00F84893">
            <w:r>
              <w:t>0</w:t>
            </w:r>
          </w:p>
        </w:tc>
        <w:tc>
          <w:tcPr>
            <w:tcW w:w="671" w:type="dxa"/>
            <w:shd w:val="clear" w:color="auto" w:fill="auto"/>
          </w:tcPr>
          <w:p w:rsidR="0023396D" w:rsidRDefault="0023396D" w:rsidP="00F84893">
            <w:r>
              <w:t>1</w:t>
            </w:r>
          </w:p>
        </w:tc>
        <w:tc>
          <w:tcPr>
            <w:tcW w:w="663" w:type="dxa"/>
            <w:shd w:val="clear" w:color="auto" w:fill="auto"/>
          </w:tcPr>
          <w:p w:rsidR="0023396D" w:rsidRDefault="0023396D" w:rsidP="00F84893">
            <w:r>
              <w:t>2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3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4</w:t>
            </w:r>
          </w:p>
        </w:tc>
        <w:tc>
          <w:tcPr>
            <w:tcW w:w="1095" w:type="dxa"/>
            <w:shd w:val="clear" w:color="auto" w:fill="auto"/>
          </w:tcPr>
          <w:p w:rsidR="0023396D" w:rsidRDefault="0023396D" w:rsidP="00F84893">
            <w:r>
              <w:t>Vision at 1 year*</w:t>
            </w:r>
          </w:p>
          <w:p w:rsidR="0023396D" w:rsidRDefault="0023396D" w:rsidP="00F84893">
            <w:r>
              <w:t>%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0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1</w:t>
            </w:r>
          </w:p>
        </w:tc>
        <w:tc>
          <w:tcPr>
            <w:tcW w:w="662" w:type="dxa"/>
            <w:shd w:val="clear" w:color="auto" w:fill="auto"/>
          </w:tcPr>
          <w:p w:rsidR="0023396D" w:rsidRDefault="0023396D" w:rsidP="00F84893">
            <w:r>
              <w:t>2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3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4</w:t>
            </w:r>
          </w:p>
        </w:tc>
      </w:tr>
      <w:tr w:rsidR="0023396D" w:rsidTr="00F84893">
        <w:trPr>
          <w:trHeight w:val="251"/>
        </w:trPr>
        <w:tc>
          <w:tcPr>
            <w:tcW w:w="10322" w:type="dxa"/>
            <w:gridSpan w:val="12"/>
            <w:shd w:val="clear" w:color="auto" w:fill="auto"/>
          </w:tcPr>
          <w:p w:rsidR="0023396D" w:rsidRDefault="0023396D" w:rsidP="00F84893">
            <w:pPr>
              <w:jc w:val="center"/>
            </w:pPr>
            <w:r>
              <w:t>PXF n=3024</w:t>
            </w:r>
          </w:p>
        </w:tc>
      </w:tr>
      <w:tr w:rsidR="0023396D" w:rsidTr="00F84893">
        <w:trPr>
          <w:trHeight w:val="266"/>
        </w:trPr>
        <w:tc>
          <w:tcPr>
            <w:tcW w:w="1929" w:type="dxa"/>
            <w:shd w:val="clear" w:color="auto" w:fill="auto"/>
          </w:tcPr>
          <w:p w:rsidR="0023396D" w:rsidRDefault="0023396D" w:rsidP="00F84893">
            <w:r>
              <w:t>Unilateral</w:t>
            </w:r>
          </w:p>
        </w:tc>
        <w:tc>
          <w:tcPr>
            <w:tcW w:w="1138" w:type="dxa"/>
            <w:shd w:val="clear" w:color="auto" w:fill="auto"/>
          </w:tcPr>
          <w:p w:rsidR="0023396D" w:rsidRDefault="0023396D" w:rsidP="00F84893">
            <w:r>
              <w:t>9.4</w:t>
            </w:r>
          </w:p>
        </w:tc>
        <w:tc>
          <w:tcPr>
            <w:tcW w:w="671" w:type="dxa"/>
            <w:shd w:val="clear" w:color="auto" w:fill="auto"/>
          </w:tcPr>
          <w:p w:rsidR="0023396D" w:rsidRDefault="0023396D" w:rsidP="00F84893">
            <w:r>
              <w:t>4.4</w:t>
            </w:r>
          </w:p>
        </w:tc>
        <w:tc>
          <w:tcPr>
            <w:tcW w:w="663" w:type="dxa"/>
            <w:shd w:val="clear" w:color="auto" w:fill="auto"/>
          </w:tcPr>
          <w:p w:rsidR="0023396D" w:rsidRDefault="0023396D" w:rsidP="00F84893">
            <w:r>
              <w:t>3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9.05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23.6</w:t>
            </w:r>
          </w:p>
        </w:tc>
        <w:tc>
          <w:tcPr>
            <w:tcW w:w="1095" w:type="dxa"/>
            <w:shd w:val="clear" w:color="auto" w:fill="auto"/>
          </w:tcPr>
          <w:p w:rsidR="0023396D" w:rsidRDefault="0023396D" w:rsidP="00F84893">
            <w:r>
              <w:t>Unilateral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6.3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4.3</w:t>
            </w:r>
          </w:p>
        </w:tc>
        <w:tc>
          <w:tcPr>
            <w:tcW w:w="662" w:type="dxa"/>
            <w:shd w:val="clear" w:color="auto" w:fill="auto"/>
          </w:tcPr>
          <w:p w:rsidR="0023396D" w:rsidRDefault="0023396D" w:rsidP="00F84893">
            <w:r>
              <w:t>3.45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8.7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27.15</w:t>
            </w:r>
          </w:p>
        </w:tc>
      </w:tr>
      <w:tr w:rsidR="0023396D" w:rsidTr="00F84893">
        <w:trPr>
          <w:trHeight w:val="251"/>
        </w:trPr>
        <w:tc>
          <w:tcPr>
            <w:tcW w:w="1929" w:type="dxa"/>
            <w:shd w:val="clear" w:color="auto" w:fill="auto"/>
          </w:tcPr>
          <w:p w:rsidR="0023396D" w:rsidRDefault="0023396D" w:rsidP="00F84893">
            <w:r>
              <w:t>Bilateral</w:t>
            </w:r>
          </w:p>
        </w:tc>
        <w:tc>
          <w:tcPr>
            <w:tcW w:w="1138" w:type="dxa"/>
            <w:shd w:val="clear" w:color="auto" w:fill="auto"/>
          </w:tcPr>
          <w:p w:rsidR="0023396D" w:rsidRDefault="0023396D" w:rsidP="00F84893">
            <w:r>
              <w:t>12.8</w:t>
            </w:r>
          </w:p>
        </w:tc>
        <w:tc>
          <w:tcPr>
            <w:tcW w:w="671" w:type="dxa"/>
            <w:shd w:val="clear" w:color="auto" w:fill="auto"/>
          </w:tcPr>
          <w:p w:rsidR="0023396D" w:rsidRDefault="0023396D" w:rsidP="00F84893">
            <w:r>
              <w:t>6.2</w:t>
            </w:r>
          </w:p>
        </w:tc>
        <w:tc>
          <w:tcPr>
            <w:tcW w:w="663" w:type="dxa"/>
            <w:shd w:val="clear" w:color="auto" w:fill="auto"/>
          </w:tcPr>
          <w:p w:rsidR="0023396D" w:rsidRDefault="0023396D" w:rsidP="00F84893">
            <w:r>
              <w:t>4.5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9.05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18</w:t>
            </w:r>
          </w:p>
        </w:tc>
        <w:tc>
          <w:tcPr>
            <w:tcW w:w="1095" w:type="dxa"/>
            <w:shd w:val="clear" w:color="auto" w:fill="auto"/>
          </w:tcPr>
          <w:p w:rsidR="0023396D" w:rsidRDefault="0023396D" w:rsidP="00F84893">
            <w:r>
              <w:t>Bilateral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10.3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4.5</w:t>
            </w:r>
          </w:p>
        </w:tc>
        <w:tc>
          <w:tcPr>
            <w:tcW w:w="662" w:type="dxa"/>
            <w:shd w:val="clear" w:color="auto" w:fill="auto"/>
          </w:tcPr>
          <w:p w:rsidR="0023396D" w:rsidRDefault="0023396D" w:rsidP="00F84893">
            <w:r>
              <w:t>9.7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13.5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12.1</w:t>
            </w:r>
          </w:p>
        </w:tc>
      </w:tr>
      <w:tr w:rsidR="0023396D" w:rsidTr="00F84893">
        <w:trPr>
          <w:trHeight w:val="251"/>
        </w:trPr>
        <w:tc>
          <w:tcPr>
            <w:tcW w:w="10322" w:type="dxa"/>
            <w:gridSpan w:val="12"/>
            <w:shd w:val="clear" w:color="auto" w:fill="auto"/>
          </w:tcPr>
          <w:p w:rsidR="0023396D" w:rsidRDefault="0023396D" w:rsidP="00F84893">
            <w:pPr>
              <w:jc w:val="center"/>
            </w:pPr>
            <w:r>
              <w:t>PXF with OHT n=144</w:t>
            </w:r>
          </w:p>
        </w:tc>
      </w:tr>
      <w:tr w:rsidR="0023396D" w:rsidTr="00F84893">
        <w:trPr>
          <w:trHeight w:val="266"/>
        </w:trPr>
        <w:tc>
          <w:tcPr>
            <w:tcW w:w="1929" w:type="dxa"/>
            <w:shd w:val="clear" w:color="auto" w:fill="auto"/>
          </w:tcPr>
          <w:p w:rsidR="0023396D" w:rsidRDefault="0023396D" w:rsidP="00F84893">
            <w:r>
              <w:t>Unilateral</w:t>
            </w:r>
          </w:p>
        </w:tc>
        <w:tc>
          <w:tcPr>
            <w:tcW w:w="1138" w:type="dxa"/>
            <w:shd w:val="clear" w:color="auto" w:fill="auto"/>
          </w:tcPr>
          <w:p w:rsidR="0023396D" w:rsidRDefault="0023396D" w:rsidP="00F84893">
            <w:r>
              <w:t>7.4</w:t>
            </w:r>
          </w:p>
        </w:tc>
        <w:tc>
          <w:tcPr>
            <w:tcW w:w="671" w:type="dxa"/>
            <w:shd w:val="clear" w:color="auto" w:fill="auto"/>
          </w:tcPr>
          <w:p w:rsidR="0023396D" w:rsidRDefault="0023396D" w:rsidP="00F84893">
            <w:r>
              <w:t>1.3</w:t>
            </w:r>
          </w:p>
        </w:tc>
        <w:tc>
          <w:tcPr>
            <w:tcW w:w="663" w:type="dxa"/>
            <w:shd w:val="clear" w:color="auto" w:fill="auto"/>
          </w:tcPr>
          <w:p w:rsidR="0023396D" w:rsidRDefault="0023396D" w:rsidP="00F84893">
            <w:r>
              <w:t>0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11.1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21.9</w:t>
            </w:r>
          </w:p>
        </w:tc>
        <w:tc>
          <w:tcPr>
            <w:tcW w:w="1095" w:type="dxa"/>
            <w:shd w:val="clear" w:color="auto" w:fill="auto"/>
          </w:tcPr>
          <w:p w:rsidR="0023396D" w:rsidRDefault="0023396D" w:rsidP="00F84893">
            <w:r>
              <w:t>Unilateral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7.2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2.35</w:t>
            </w:r>
          </w:p>
        </w:tc>
        <w:tc>
          <w:tcPr>
            <w:tcW w:w="662" w:type="dxa"/>
            <w:shd w:val="clear" w:color="auto" w:fill="auto"/>
          </w:tcPr>
          <w:p w:rsidR="0023396D" w:rsidRDefault="0023396D" w:rsidP="00F84893">
            <w:r>
              <w:t>0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9.8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30.6</w:t>
            </w:r>
          </w:p>
        </w:tc>
      </w:tr>
      <w:tr w:rsidR="0023396D" w:rsidTr="00F84893">
        <w:trPr>
          <w:trHeight w:val="251"/>
        </w:trPr>
        <w:tc>
          <w:tcPr>
            <w:tcW w:w="1929" w:type="dxa"/>
            <w:shd w:val="clear" w:color="auto" w:fill="auto"/>
          </w:tcPr>
          <w:p w:rsidR="0023396D" w:rsidRDefault="0023396D" w:rsidP="00F84893">
            <w:r>
              <w:t>Bilateral</w:t>
            </w:r>
          </w:p>
        </w:tc>
        <w:tc>
          <w:tcPr>
            <w:tcW w:w="1138" w:type="dxa"/>
            <w:shd w:val="clear" w:color="auto" w:fill="auto"/>
          </w:tcPr>
          <w:p w:rsidR="0023396D" w:rsidRDefault="0023396D" w:rsidP="00F84893">
            <w:r>
              <w:t>14.1</w:t>
            </w:r>
          </w:p>
        </w:tc>
        <w:tc>
          <w:tcPr>
            <w:tcW w:w="671" w:type="dxa"/>
            <w:shd w:val="clear" w:color="auto" w:fill="auto"/>
          </w:tcPr>
          <w:p w:rsidR="0023396D" w:rsidRDefault="0023396D" w:rsidP="00F84893">
            <w:r>
              <w:t>3.6</w:t>
            </w:r>
          </w:p>
        </w:tc>
        <w:tc>
          <w:tcPr>
            <w:tcW w:w="663" w:type="dxa"/>
            <w:shd w:val="clear" w:color="auto" w:fill="auto"/>
          </w:tcPr>
          <w:p w:rsidR="0023396D" w:rsidRDefault="0023396D" w:rsidP="00F84893">
            <w:r>
              <w:t>7.7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9.4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23.5</w:t>
            </w:r>
          </w:p>
        </w:tc>
        <w:tc>
          <w:tcPr>
            <w:tcW w:w="1095" w:type="dxa"/>
            <w:shd w:val="clear" w:color="auto" w:fill="auto"/>
          </w:tcPr>
          <w:p w:rsidR="0023396D" w:rsidRDefault="0023396D" w:rsidP="00F84893">
            <w:r>
              <w:t>Bilateral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8.8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2.75</w:t>
            </w:r>
          </w:p>
        </w:tc>
        <w:tc>
          <w:tcPr>
            <w:tcW w:w="662" w:type="dxa"/>
            <w:shd w:val="clear" w:color="auto" w:fill="auto"/>
          </w:tcPr>
          <w:p w:rsidR="0023396D" w:rsidRDefault="0023396D" w:rsidP="00F84893">
            <w:r>
              <w:t>7.1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20.3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11.1</w:t>
            </w:r>
          </w:p>
        </w:tc>
      </w:tr>
      <w:tr w:rsidR="0023396D" w:rsidTr="00F84893">
        <w:trPr>
          <w:trHeight w:val="251"/>
        </w:trPr>
        <w:tc>
          <w:tcPr>
            <w:tcW w:w="10322" w:type="dxa"/>
            <w:gridSpan w:val="12"/>
            <w:shd w:val="clear" w:color="auto" w:fill="auto"/>
          </w:tcPr>
          <w:p w:rsidR="0023396D" w:rsidRDefault="0023396D" w:rsidP="00F84893">
            <w:pPr>
              <w:jc w:val="center"/>
            </w:pPr>
            <w:r>
              <w:t>PXG n=1804</w:t>
            </w:r>
          </w:p>
        </w:tc>
      </w:tr>
      <w:tr w:rsidR="0023396D" w:rsidTr="00F84893">
        <w:trPr>
          <w:trHeight w:val="266"/>
        </w:trPr>
        <w:tc>
          <w:tcPr>
            <w:tcW w:w="1929" w:type="dxa"/>
            <w:shd w:val="clear" w:color="auto" w:fill="auto"/>
          </w:tcPr>
          <w:p w:rsidR="0023396D" w:rsidRDefault="0023396D" w:rsidP="00F84893">
            <w:r>
              <w:t>Unilateral</w:t>
            </w:r>
          </w:p>
        </w:tc>
        <w:tc>
          <w:tcPr>
            <w:tcW w:w="1138" w:type="dxa"/>
            <w:shd w:val="clear" w:color="auto" w:fill="auto"/>
          </w:tcPr>
          <w:p w:rsidR="0023396D" w:rsidRDefault="0023396D" w:rsidP="00F84893">
            <w:r>
              <w:t>9.8</w:t>
            </w:r>
          </w:p>
        </w:tc>
        <w:tc>
          <w:tcPr>
            <w:tcW w:w="671" w:type="dxa"/>
            <w:shd w:val="clear" w:color="auto" w:fill="auto"/>
          </w:tcPr>
          <w:p w:rsidR="0023396D" w:rsidRDefault="0023396D" w:rsidP="00F84893">
            <w:r>
              <w:t>3.2</w:t>
            </w:r>
          </w:p>
        </w:tc>
        <w:tc>
          <w:tcPr>
            <w:tcW w:w="663" w:type="dxa"/>
            <w:shd w:val="clear" w:color="auto" w:fill="auto"/>
          </w:tcPr>
          <w:p w:rsidR="0023396D" w:rsidRDefault="0023396D" w:rsidP="00F84893">
            <w:r>
              <w:t>2.3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10.15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24.5</w:t>
            </w:r>
          </w:p>
        </w:tc>
        <w:tc>
          <w:tcPr>
            <w:tcW w:w="1095" w:type="dxa"/>
            <w:shd w:val="clear" w:color="auto" w:fill="auto"/>
          </w:tcPr>
          <w:p w:rsidR="0023396D" w:rsidRDefault="0023396D" w:rsidP="00F84893">
            <w:r>
              <w:t>Unilateral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8.2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3.4</w:t>
            </w:r>
          </w:p>
        </w:tc>
        <w:tc>
          <w:tcPr>
            <w:tcW w:w="662" w:type="dxa"/>
            <w:shd w:val="clear" w:color="auto" w:fill="auto"/>
          </w:tcPr>
          <w:p w:rsidR="0023396D" w:rsidRDefault="0023396D" w:rsidP="00F84893">
            <w:r>
              <w:t>2.3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8.3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14.7</w:t>
            </w:r>
          </w:p>
        </w:tc>
      </w:tr>
      <w:tr w:rsidR="0023396D" w:rsidTr="00F84893">
        <w:trPr>
          <w:trHeight w:val="266"/>
        </w:trPr>
        <w:tc>
          <w:tcPr>
            <w:tcW w:w="1929" w:type="dxa"/>
            <w:shd w:val="clear" w:color="auto" w:fill="auto"/>
          </w:tcPr>
          <w:p w:rsidR="0023396D" w:rsidRDefault="0023396D" w:rsidP="00F84893">
            <w:r>
              <w:t>Bilateral</w:t>
            </w:r>
          </w:p>
        </w:tc>
        <w:tc>
          <w:tcPr>
            <w:tcW w:w="1138" w:type="dxa"/>
            <w:shd w:val="clear" w:color="auto" w:fill="auto"/>
          </w:tcPr>
          <w:p w:rsidR="0023396D" w:rsidRDefault="0023396D" w:rsidP="00F84893">
            <w:r>
              <w:t>15.8</w:t>
            </w:r>
          </w:p>
        </w:tc>
        <w:tc>
          <w:tcPr>
            <w:tcW w:w="671" w:type="dxa"/>
            <w:shd w:val="clear" w:color="auto" w:fill="auto"/>
          </w:tcPr>
          <w:p w:rsidR="0023396D" w:rsidRDefault="0023396D" w:rsidP="00F84893">
            <w:r>
              <w:t>6.2</w:t>
            </w:r>
          </w:p>
        </w:tc>
        <w:tc>
          <w:tcPr>
            <w:tcW w:w="663" w:type="dxa"/>
            <w:shd w:val="clear" w:color="auto" w:fill="auto"/>
          </w:tcPr>
          <w:p w:rsidR="0023396D" w:rsidRDefault="0023396D" w:rsidP="00F84893">
            <w:r>
              <w:t>3.75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8.6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15.7</w:t>
            </w:r>
          </w:p>
        </w:tc>
        <w:tc>
          <w:tcPr>
            <w:tcW w:w="1095" w:type="dxa"/>
            <w:shd w:val="clear" w:color="auto" w:fill="auto"/>
          </w:tcPr>
          <w:p w:rsidR="0023396D" w:rsidRDefault="0023396D" w:rsidP="00F84893">
            <w:r>
              <w:t>Bilateral*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14.6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18.4</w:t>
            </w:r>
          </w:p>
        </w:tc>
        <w:tc>
          <w:tcPr>
            <w:tcW w:w="662" w:type="dxa"/>
            <w:shd w:val="clear" w:color="auto" w:fill="auto"/>
          </w:tcPr>
          <w:p w:rsidR="0023396D" w:rsidRDefault="0023396D" w:rsidP="00F84893">
            <w:r>
              <w:t>8.3</w:t>
            </w:r>
          </w:p>
        </w:tc>
        <w:tc>
          <w:tcPr>
            <w:tcW w:w="670" w:type="dxa"/>
            <w:shd w:val="clear" w:color="auto" w:fill="auto"/>
          </w:tcPr>
          <w:p w:rsidR="0023396D" w:rsidRDefault="0023396D" w:rsidP="00F84893">
            <w:r>
              <w:t>1.4</w:t>
            </w:r>
          </w:p>
        </w:tc>
        <w:tc>
          <w:tcPr>
            <w:tcW w:w="718" w:type="dxa"/>
            <w:shd w:val="clear" w:color="auto" w:fill="auto"/>
          </w:tcPr>
          <w:p w:rsidR="0023396D" w:rsidRDefault="0023396D" w:rsidP="00F84893">
            <w:r>
              <w:t>20.4</w:t>
            </w:r>
          </w:p>
        </w:tc>
      </w:tr>
    </w:tbl>
    <w:p w:rsidR="0023396D" w:rsidRPr="00DC6E71" w:rsidRDefault="0023396D" w:rsidP="0023396D">
      <w:r>
        <w:t>*-8eyes with bilateral PXF without reproducible visual acuity not included;</w:t>
      </w:r>
      <w:r w:rsidRPr="00297DB2">
        <w:t xml:space="preserve"> </w:t>
      </w:r>
      <w:r>
        <w:t xml:space="preserve">PXF- </w:t>
      </w:r>
      <w:proofErr w:type="spellStart"/>
      <w:r>
        <w:t>Pseudoexfoliation</w:t>
      </w:r>
      <w:proofErr w:type="spellEnd"/>
      <w:r>
        <w:t xml:space="preserve">; OHT-Ocular </w:t>
      </w:r>
      <w:proofErr w:type="gramStart"/>
      <w:r>
        <w:t>hypertension; :PXG</w:t>
      </w:r>
      <w:proofErr w:type="gramEnd"/>
      <w:r>
        <w:t>-</w:t>
      </w:r>
      <w:proofErr w:type="spellStart"/>
      <w:r>
        <w:t>Pseudoexfoliation</w:t>
      </w:r>
      <w:proofErr w:type="spellEnd"/>
      <w:r>
        <w:t xml:space="preserve"> glaucoma</w:t>
      </w:r>
    </w:p>
    <w:p w:rsidR="00B6452E" w:rsidRDefault="00B6452E">
      <w:bookmarkStart w:id="0" w:name="_GoBack"/>
      <w:bookmarkEnd w:id="0"/>
    </w:p>
    <w:sectPr w:rsidR="00B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95"/>
    <w:rsid w:val="0023396D"/>
    <w:rsid w:val="00B6452E"/>
    <w:rsid w:val="00E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6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96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6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96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2020-05-19T07:34:00Z</dcterms:created>
  <dcterms:modified xsi:type="dcterms:W3CDTF">2020-05-19T07:34:00Z</dcterms:modified>
</cp:coreProperties>
</file>