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90" w:rsidRDefault="000A4190" w:rsidP="000A4190">
      <w:pPr>
        <w:rPr>
          <w:rFonts w:cs="Arial"/>
          <w:b/>
          <w:bCs/>
          <w:kern w:val="32"/>
          <w:sz w:val="28"/>
          <w:szCs w:val="36"/>
          <w:lang w:val="en-US"/>
        </w:rPr>
      </w:pPr>
      <w:bookmarkStart w:id="0" w:name="_Hlk22547244"/>
      <w:bookmarkStart w:id="1" w:name="_Hlk27810533"/>
      <w:bookmarkStart w:id="2" w:name="_Hlk37757411"/>
      <w:bookmarkEnd w:id="0"/>
      <w:r w:rsidRPr="009E4B4F">
        <w:rPr>
          <w:rFonts w:cs="Arial"/>
          <w:b/>
          <w:bCs/>
          <w:kern w:val="32"/>
          <w:sz w:val="28"/>
          <w:szCs w:val="36"/>
          <w:lang w:val="en-US"/>
        </w:rPr>
        <w:t xml:space="preserve">Modeling and optimizing the removal of </w:t>
      </w:r>
      <w:r>
        <w:rPr>
          <w:rFonts w:cs="Arial"/>
          <w:b/>
          <w:bCs/>
          <w:kern w:val="32"/>
          <w:sz w:val="28"/>
          <w:szCs w:val="36"/>
          <w:lang w:val="en-US"/>
        </w:rPr>
        <w:t>cadmium</w:t>
      </w:r>
      <w:r w:rsidRPr="009E4B4F">
        <w:rPr>
          <w:rFonts w:cs="Arial"/>
          <w:b/>
          <w:bCs/>
          <w:kern w:val="32"/>
          <w:sz w:val="28"/>
          <w:szCs w:val="36"/>
          <w:lang w:val="en-US"/>
        </w:rPr>
        <w:t xml:space="preserve"> </w:t>
      </w:r>
      <w:r>
        <w:rPr>
          <w:rFonts w:cs="Arial"/>
          <w:b/>
          <w:bCs/>
          <w:kern w:val="32"/>
          <w:sz w:val="28"/>
          <w:szCs w:val="36"/>
          <w:lang w:val="en-US"/>
        </w:rPr>
        <w:t xml:space="preserve">by </w:t>
      </w:r>
      <w:r w:rsidRPr="00B843FE">
        <w:rPr>
          <w:rFonts w:cs="Arial"/>
          <w:b/>
          <w:bCs/>
          <w:i/>
          <w:iCs/>
          <w:kern w:val="32"/>
          <w:sz w:val="28"/>
          <w:szCs w:val="36"/>
          <w:lang w:val="en-US"/>
        </w:rPr>
        <w:t xml:space="preserve">Sinapis </w:t>
      </w:r>
      <w:proofErr w:type="gramStart"/>
      <w:r w:rsidRPr="00B843FE">
        <w:rPr>
          <w:rFonts w:cs="Arial"/>
          <w:b/>
          <w:bCs/>
          <w:i/>
          <w:iCs/>
          <w:kern w:val="32"/>
          <w:sz w:val="28"/>
          <w:szCs w:val="36"/>
          <w:lang w:val="en-US"/>
        </w:rPr>
        <w:t>alba</w:t>
      </w:r>
      <w:proofErr w:type="gramEnd"/>
      <w:r>
        <w:rPr>
          <w:rFonts w:cs="Arial"/>
          <w:b/>
          <w:bCs/>
          <w:kern w:val="32"/>
          <w:sz w:val="28"/>
          <w:szCs w:val="36"/>
          <w:lang w:val="en-US"/>
        </w:rPr>
        <w:t xml:space="preserve"> L. </w:t>
      </w:r>
      <w:r w:rsidRPr="009E4B4F">
        <w:rPr>
          <w:rFonts w:cs="Arial"/>
          <w:b/>
          <w:bCs/>
          <w:kern w:val="32"/>
          <w:sz w:val="28"/>
          <w:szCs w:val="36"/>
          <w:lang w:val="en-US"/>
        </w:rPr>
        <w:t xml:space="preserve">from contaminated soil </w:t>
      </w:r>
      <w:r>
        <w:rPr>
          <w:rFonts w:cs="Arial"/>
          <w:b/>
          <w:bCs/>
          <w:kern w:val="32"/>
          <w:sz w:val="28"/>
          <w:szCs w:val="36"/>
          <w:lang w:val="en-US"/>
        </w:rPr>
        <w:t>via</w:t>
      </w:r>
      <w:r w:rsidRPr="009E4B4F">
        <w:rPr>
          <w:rFonts w:cs="Arial"/>
          <w:b/>
          <w:bCs/>
          <w:kern w:val="32"/>
          <w:sz w:val="28"/>
          <w:szCs w:val="36"/>
          <w:lang w:val="en-US"/>
        </w:rPr>
        <w:t xml:space="preserve"> Response Surface Methodology and Artificial Neural Networks</w:t>
      </w:r>
      <w:r>
        <w:rPr>
          <w:rFonts w:cs="Arial"/>
          <w:b/>
          <w:bCs/>
          <w:kern w:val="32"/>
          <w:sz w:val="28"/>
          <w:szCs w:val="36"/>
          <w:lang w:val="en-US"/>
        </w:rPr>
        <w:t xml:space="preserve"> during </w:t>
      </w:r>
      <w:r w:rsidRPr="009E4B4F">
        <w:rPr>
          <w:rFonts w:cs="Arial"/>
          <w:b/>
          <w:bCs/>
          <w:kern w:val="32"/>
          <w:sz w:val="28"/>
          <w:szCs w:val="36"/>
          <w:lang w:val="en-US"/>
        </w:rPr>
        <w:t>assisted phytoremediation</w:t>
      </w:r>
      <w:r>
        <w:rPr>
          <w:rFonts w:cs="Arial"/>
          <w:b/>
          <w:bCs/>
          <w:kern w:val="32"/>
          <w:sz w:val="28"/>
          <w:szCs w:val="36"/>
          <w:lang w:val="en-US"/>
        </w:rPr>
        <w:t xml:space="preserve"> with sewage sludge </w:t>
      </w:r>
    </w:p>
    <w:bookmarkEnd w:id="1"/>
    <w:p w:rsidR="000A4190" w:rsidRPr="006A5283" w:rsidRDefault="000A4190" w:rsidP="000A4190">
      <w:pPr>
        <w:jc w:val="center"/>
        <w:rPr>
          <w:rFonts w:cs="Arial"/>
          <w:kern w:val="32"/>
          <w:sz w:val="28"/>
          <w:szCs w:val="36"/>
        </w:rPr>
      </w:pPr>
      <w:r w:rsidRPr="006A5283">
        <w:rPr>
          <w:rFonts w:cs="Arial"/>
          <w:kern w:val="32"/>
          <w:sz w:val="28"/>
          <w:szCs w:val="36"/>
        </w:rPr>
        <w:t>Marta Jaskulak</w:t>
      </w:r>
      <w:r w:rsidRPr="006A5283">
        <w:rPr>
          <w:rFonts w:cs="Arial"/>
          <w:kern w:val="32"/>
          <w:sz w:val="28"/>
          <w:szCs w:val="36"/>
          <w:vertAlign w:val="superscript"/>
        </w:rPr>
        <w:t>a,b*</w:t>
      </w:r>
      <w:r w:rsidRPr="006A5283">
        <w:rPr>
          <w:rFonts w:cs="Arial"/>
          <w:kern w:val="32"/>
          <w:sz w:val="28"/>
          <w:szCs w:val="36"/>
        </w:rPr>
        <w:t>, Anna Grobelak</w:t>
      </w:r>
      <w:r w:rsidRPr="006A5283">
        <w:rPr>
          <w:rFonts w:cs="Arial"/>
          <w:kern w:val="32"/>
          <w:sz w:val="28"/>
          <w:szCs w:val="36"/>
          <w:vertAlign w:val="superscript"/>
        </w:rPr>
        <w:t>a</w:t>
      </w:r>
      <w:r w:rsidRPr="006A5283">
        <w:rPr>
          <w:rFonts w:cs="Arial"/>
          <w:kern w:val="32"/>
          <w:sz w:val="28"/>
          <w:szCs w:val="36"/>
        </w:rPr>
        <w:t>, Franck Vandenbulcke</w:t>
      </w:r>
      <w:r w:rsidRPr="006A5283">
        <w:rPr>
          <w:rFonts w:cs="Arial"/>
          <w:kern w:val="32"/>
          <w:sz w:val="28"/>
          <w:szCs w:val="36"/>
          <w:vertAlign w:val="superscript"/>
        </w:rPr>
        <w:t>b</w:t>
      </w:r>
    </w:p>
    <w:p w:rsidR="000A4190" w:rsidRDefault="000A4190" w:rsidP="000A4190">
      <w:pPr>
        <w:rPr>
          <w:i/>
          <w:lang w:val="en-US" w:eastAsia="en-US"/>
        </w:rPr>
      </w:pPr>
      <w:bookmarkStart w:id="3" w:name="_Hlk39136368"/>
      <w:bookmarkStart w:id="4" w:name="_Hlk22283204"/>
      <w:proofErr w:type="spellStart"/>
      <w:r>
        <w:rPr>
          <w:i/>
          <w:vertAlign w:val="superscript"/>
          <w:lang w:val="en-US" w:eastAsia="en-US"/>
        </w:rPr>
        <w:t>a</w:t>
      </w:r>
      <w:proofErr w:type="spellEnd"/>
      <w:r>
        <w:rPr>
          <w:i/>
          <w:vertAlign w:val="superscript"/>
          <w:lang w:val="en-US" w:eastAsia="en-US"/>
        </w:rPr>
        <w:t xml:space="preserve"> </w:t>
      </w:r>
      <w:r w:rsidRPr="008E0EA9">
        <w:rPr>
          <w:i/>
          <w:lang w:val="en-US" w:eastAsia="en-US"/>
        </w:rPr>
        <w:t>Institute of Environmental Engineering, Faculty of Infrastructure and Environment, Czestochowa University of Technology, Czestochowa, Poland;</w:t>
      </w:r>
      <w:bookmarkEnd w:id="3"/>
      <w:r>
        <w:rPr>
          <w:i/>
          <w:lang w:val="en-US" w:eastAsia="en-US"/>
        </w:rPr>
        <w:t xml:space="preserve"> </w:t>
      </w:r>
      <w:proofErr w:type="spellStart"/>
      <w:r>
        <w:rPr>
          <w:i/>
          <w:vertAlign w:val="superscript"/>
          <w:lang w:val="en-US" w:eastAsia="en-US"/>
        </w:rPr>
        <w:t>b</w:t>
      </w:r>
      <w:r w:rsidRPr="008E0EA9">
        <w:rPr>
          <w:i/>
          <w:lang w:val="en-US" w:eastAsia="en-US"/>
        </w:rPr>
        <w:t>University</w:t>
      </w:r>
      <w:proofErr w:type="spellEnd"/>
      <w:r w:rsidRPr="008E0EA9">
        <w:rPr>
          <w:i/>
          <w:lang w:val="en-US" w:eastAsia="en-US"/>
        </w:rPr>
        <w:t xml:space="preserve"> of Lille, Laboratory of civil engineering and environment (</w:t>
      </w:r>
      <w:proofErr w:type="spellStart"/>
      <w:r w:rsidRPr="008E0EA9">
        <w:rPr>
          <w:i/>
          <w:lang w:val="en-US" w:eastAsia="en-US"/>
        </w:rPr>
        <w:t>LGCgE</w:t>
      </w:r>
      <w:proofErr w:type="spellEnd"/>
      <w:r w:rsidRPr="008E0EA9">
        <w:rPr>
          <w:i/>
          <w:lang w:val="en-US" w:eastAsia="en-US"/>
        </w:rPr>
        <w:t>), Environmental Axis, F-59650 Villeneuve d’Ascq, France;</w:t>
      </w:r>
      <w:bookmarkEnd w:id="4"/>
    </w:p>
    <w:p w:rsidR="000A4190" w:rsidRDefault="000A4190" w:rsidP="000A4190">
      <w:pPr>
        <w:rPr>
          <w:i/>
          <w:lang w:val="en-US" w:eastAsia="en-US"/>
        </w:rPr>
      </w:pPr>
    </w:p>
    <w:p w:rsidR="000A4190" w:rsidRDefault="000A4190" w:rsidP="000A4190">
      <w:pPr>
        <w:tabs>
          <w:tab w:val="left" w:pos="6384"/>
        </w:tabs>
        <w:spacing w:before="0" w:after="0" w:line="480" w:lineRule="auto"/>
        <w:rPr>
          <w:color w:val="FF0000"/>
          <w:lang w:val="en-US"/>
        </w:rPr>
      </w:pPr>
      <w:r>
        <w:rPr>
          <w:color w:val="FF0000"/>
          <w:lang w:val="en-US"/>
        </w:rPr>
        <w:t>C</w:t>
      </w:r>
      <w:r w:rsidRPr="000A4190">
        <w:rPr>
          <w:color w:val="FF0000"/>
          <w:lang w:val="en-US"/>
        </w:rPr>
        <w:t>ontent of the supplementary material section</w:t>
      </w:r>
      <w:r>
        <w:rPr>
          <w:color w:val="FF0000"/>
          <w:lang w:val="en-US"/>
        </w:rPr>
        <w:t>:</w:t>
      </w:r>
    </w:p>
    <w:p w:rsidR="000A4190" w:rsidRDefault="00385909" w:rsidP="000A4190">
      <w:pPr>
        <w:tabs>
          <w:tab w:val="left" w:pos="6384"/>
        </w:tabs>
        <w:spacing w:before="0" w:after="0" w:line="480" w:lineRule="auto"/>
        <w:rPr>
          <w:color w:val="FF0000"/>
          <w:lang w:val="en-US"/>
        </w:rPr>
      </w:pPr>
      <w:r w:rsidRPr="00385909">
        <w:rPr>
          <w:color w:val="FF0000"/>
          <w:lang w:val="en-US"/>
        </w:rPr>
        <w:t>Supplementary</w:t>
      </w:r>
      <w:r>
        <w:rPr>
          <w:color w:val="FF0000"/>
          <w:lang w:val="en-US"/>
        </w:rPr>
        <w:t xml:space="preserve"> </w:t>
      </w:r>
      <w:r w:rsidR="000A4190">
        <w:rPr>
          <w:color w:val="FF0000"/>
          <w:lang w:val="en-US"/>
        </w:rPr>
        <w:t xml:space="preserve">Table 4. </w:t>
      </w:r>
      <w:r w:rsidR="000A4190" w:rsidRPr="003A7819">
        <w:rPr>
          <w:color w:val="FF0000"/>
          <w:lang w:val="en-US"/>
        </w:rPr>
        <w:t>Germination index, plants biomass and roots length after 28 days of exposure</w:t>
      </w:r>
    </w:p>
    <w:p w:rsidR="000A4190" w:rsidRDefault="00385909" w:rsidP="000A4190">
      <w:pPr>
        <w:tabs>
          <w:tab w:val="left" w:pos="6384"/>
        </w:tabs>
        <w:spacing w:before="0" w:after="0" w:line="480" w:lineRule="auto"/>
        <w:rPr>
          <w:color w:val="FF0000"/>
          <w:lang w:val="en-US"/>
        </w:rPr>
      </w:pPr>
      <w:r w:rsidRPr="00385909">
        <w:rPr>
          <w:color w:val="FF0000"/>
          <w:lang w:val="en-US"/>
        </w:rPr>
        <w:t>Supplementary</w:t>
      </w:r>
      <w:r>
        <w:rPr>
          <w:color w:val="FF0000"/>
          <w:lang w:val="en-US"/>
        </w:rPr>
        <w:t xml:space="preserve"> </w:t>
      </w:r>
      <w:r w:rsidR="000A4190">
        <w:rPr>
          <w:color w:val="FF0000"/>
          <w:lang w:val="en-US"/>
        </w:rPr>
        <w:t>Table 5.</w:t>
      </w:r>
      <w:r w:rsidR="000A4190" w:rsidRPr="000A4190">
        <w:rPr>
          <w:color w:val="FF0000"/>
          <w:lang w:val="en-US"/>
        </w:rPr>
        <w:t xml:space="preserve"> Comparison between the </w:t>
      </w:r>
      <w:proofErr w:type="gramStart"/>
      <w:r w:rsidR="000A4190" w:rsidRPr="000A4190">
        <w:rPr>
          <w:color w:val="FF0000"/>
          <w:lang w:val="en-US"/>
        </w:rPr>
        <w:t>use</w:t>
      </w:r>
      <w:proofErr w:type="gramEnd"/>
      <w:r w:rsidR="000A4190" w:rsidRPr="000A4190">
        <w:rPr>
          <w:color w:val="FF0000"/>
          <w:lang w:val="en-US"/>
        </w:rPr>
        <w:t xml:space="preserve"> of different number of neurons in the hidden layer</w:t>
      </w:r>
    </w:p>
    <w:p w:rsidR="000A4190" w:rsidRPr="003A7819" w:rsidRDefault="000A4190" w:rsidP="000A4190">
      <w:pPr>
        <w:tabs>
          <w:tab w:val="left" w:pos="6384"/>
        </w:tabs>
        <w:spacing w:line="480" w:lineRule="auto"/>
        <w:rPr>
          <w:color w:val="FF0000"/>
          <w:lang w:val="en-US"/>
        </w:rPr>
      </w:pPr>
      <w:r>
        <w:rPr>
          <w:color w:val="FF0000"/>
          <w:lang w:val="en-US"/>
        </w:rPr>
        <w:br w:type="column"/>
      </w:r>
      <w:r w:rsidR="00385909" w:rsidRPr="00385909">
        <w:rPr>
          <w:color w:val="FF0000"/>
          <w:lang w:val="en-US"/>
        </w:rPr>
        <w:lastRenderedPageBreak/>
        <w:t>Supplementary</w:t>
      </w:r>
      <w:r w:rsidR="00385909">
        <w:rPr>
          <w:color w:val="FF0000"/>
          <w:lang w:val="en-US"/>
        </w:rPr>
        <w:t xml:space="preserve"> </w:t>
      </w:r>
      <w:r w:rsidRPr="003A7819">
        <w:rPr>
          <w:color w:val="FF0000"/>
          <w:lang w:val="en-US"/>
        </w:rPr>
        <w:t xml:space="preserve">Table </w:t>
      </w:r>
      <w:r>
        <w:rPr>
          <w:color w:val="FF0000"/>
          <w:lang w:val="en-US"/>
        </w:rPr>
        <w:t>4</w:t>
      </w:r>
      <w:r w:rsidRPr="003A7819">
        <w:rPr>
          <w:color w:val="FF0000"/>
          <w:lang w:val="en-US"/>
        </w:rPr>
        <w:t>. Germination index, plants biomass and roots length after 28 days of exposure [A, B, C – soils with Cd concentrations: 1.12, 14.22, 20.80 mg kg</w:t>
      </w:r>
      <w:r w:rsidRPr="003A7819">
        <w:rPr>
          <w:color w:val="FF0000"/>
          <w:vertAlign w:val="superscript"/>
          <w:lang w:val="en-US"/>
        </w:rPr>
        <w:t>-1</w:t>
      </w:r>
      <w:r w:rsidRPr="003A7819">
        <w:rPr>
          <w:color w:val="FF0000"/>
          <w:lang w:val="en-US"/>
        </w:rPr>
        <w:t xml:space="preserve"> respectively, A+0.5SS, B+0.5SS, C+0.5SS – soils with half of a full dose of sewage sludge supplementation based on the EU norm (EUR-Lex - 31991L0676 e EN), A+SS, B+SS, C+SS – soils with full dose of sewage sludge supplementation (EUR-Lex - 31991L0676 e EN).  All results are expressed as means ± standard deviation, n = 3. Means within a column followed by the different letters are significantly different according to Tukey </w:t>
      </w:r>
      <w:r>
        <w:rPr>
          <w:color w:val="FF0000"/>
          <w:lang w:val="en-US"/>
        </w:rPr>
        <w:t>t</w:t>
      </w:r>
      <w:r w:rsidRPr="003A7819">
        <w:rPr>
          <w:color w:val="FF0000"/>
          <w:lang w:val="en-US"/>
        </w:rPr>
        <w:t>est (p &lt; 0.05).]</w:t>
      </w:r>
    </w:p>
    <w:tbl>
      <w:tblPr>
        <w:tblStyle w:val="Zwykatabela211"/>
        <w:tblW w:w="9214" w:type="dxa"/>
        <w:tblInd w:w="-1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835"/>
        <w:gridCol w:w="1842"/>
      </w:tblGrid>
      <w:tr w:rsidR="000A4190" w:rsidRPr="003B5FE4" w:rsidTr="00584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  <w:vAlign w:val="center"/>
          </w:tcPr>
          <w:bookmarkEnd w:id="2"/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Treatment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 xml:space="preserve">Average germination </w:t>
            </w:r>
            <w:r w:rsidRPr="003B5FE4">
              <w:rPr>
                <w:noProof/>
                <w:sz w:val="22"/>
              </w:rPr>
              <w:br/>
              <w:t>index [%]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Biomass</w:t>
            </w:r>
          </w:p>
          <w:p w:rsidR="000A4190" w:rsidRPr="003B5FE4" w:rsidRDefault="000A4190" w:rsidP="005847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[g]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 xml:space="preserve">Root </w:t>
            </w:r>
            <w:r>
              <w:rPr>
                <w:noProof/>
                <w:sz w:val="22"/>
              </w:rPr>
              <w:t>length</w:t>
            </w:r>
          </w:p>
        </w:tc>
      </w:tr>
      <w:tr w:rsidR="000A4190" w:rsidRPr="003B5FE4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 xml:space="preserve">96a 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>7.45 ± 0.4a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sz w:val="22"/>
              </w:rPr>
              <w:t xml:space="preserve">15.24 ± 1.5a </w:t>
            </w:r>
          </w:p>
        </w:tc>
      </w:tr>
      <w:tr w:rsidR="000A4190" w:rsidRPr="003B5FE4" w:rsidTr="0058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B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43b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>3.2 ± 0.3b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>5.27 ± 1.6b</w:t>
            </w:r>
          </w:p>
        </w:tc>
      </w:tr>
      <w:tr w:rsidR="000A4190" w:rsidRPr="003B5FE4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C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 xml:space="preserve">13c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>2.0 ± 0.2c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>1.81 ± 1.1c</w:t>
            </w:r>
          </w:p>
        </w:tc>
      </w:tr>
      <w:tr w:rsidR="000A4190" w:rsidRPr="003B5FE4" w:rsidTr="0058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A+0.5SS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 xml:space="preserve">96a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>9.1 ± 0.4d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 xml:space="preserve">19.7 </w:t>
            </w:r>
            <w:r w:rsidRPr="003B5FE4">
              <w:rPr>
                <w:noProof/>
                <w:sz w:val="22"/>
              </w:rPr>
              <w:t>± 0.8d</w:t>
            </w:r>
          </w:p>
        </w:tc>
      </w:tr>
      <w:tr w:rsidR="000A4190" w:rsidRPr="003B5FE4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B+0.5SS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 xml:space="preserve">73d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>7.7 ± 0.1a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 xml:space="preserve">11.4 </w:t>
            </w:r>
            <w:r w:rsidRPr="003B5FE4">
              <w:rPr>
                <w:noProof/>
                <w:sz w:val="22"/>
              </w:rPr>
              <w:t>± 0.5e</w:t>
            </w:r>
          </w:p>
        </w:tc>
      </w:tr>
      <w:tr w:rsidR="000A4190" w:rsidRPr="003B5FE4" w:rsidTr="0058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C+0.5SS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41b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sz w:val="22"/>
              </w:rPr>
              <w:t>3.5 ± 0.3b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sz w:val="22"/>
              </w:rPr>
              <w:t>5.21 ± 0.b</w:t>
            </w:r>
          </w:p>
        </w:tc>
      </w:tr>
      <w:tr w:rsidR="000A4190" w:rsidRPr="003B5FE4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A+SS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97a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 xml:space="preserve">9.5 </w:t>
            </w:r>
            <w:r w:rsidRPr="003B5FE4">
              <w:rPr>
                <w:sz w:val="22"/>
              </w:rPr>
              <w:t>± 0.8d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noProof/>
                <w:sz w:val="22"/>
              </w:rPr>
              <w:t>19.1  ± 0.4d</w:t>
            </w:r>
          </w:p>
        </w:tc>
      </w:tr>
      <w:tr w:rsidR="000A4190" w:rsidRPr="003B5FE4" w:rsidTr="0058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B+SS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75d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  <w:r w:rsidRPr="003B5FE4">
              <w:rPr>
                <w:noProof/>
                <w:sz w:val="22"/>
              </w:rPr>
              <w:t xml:space="preserve">.9 </w:t>
            </w:r>
            <w:r w:rsidRPr="003B5FE4">
              <w:rPr>
                <w:sz w:val="22"/>
              </w:rPr>
              <w:t>± 0.5</w:t>
            </w:r>
            <w:r>
              <w:rPr>
                <w:sz w:val="22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noProof/>
                <w:sz w:val="22"/>
              </w:rPr>
              <w:t>11.5 ± 0.2e</w:t>
            </w:r>
          </w:p>
        </w:tc>
      </w:tr>
      <w:tr w:rsidR="000A4190" w:rsidRPr="003B5FE4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C+SS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3B5FE4">
              <w:rPr>
                <w:noProof/>
                <w:sz w:val="22"/>
              </w:rPr>
              <w:t>42b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  <w:r w:rsidRPr="003B5FE4">
              <w:rPr>
                <w:noProof/>
                <w:sz w:val="22"/>
              </w:rPr>
              <w:t xml:space="preserve">.8 </w:t>
            </w:r>
            <w:r w:rsidRPr="003B5FE4">
              <w:rPr>
                <w:sz w:val="22"/>
              </w:rPr>
              <w:t>± 0.3</w:t>
            </w:r>
            <w:r>
              <w:rPr>
                <w:sz w:val="22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A4190" w:rsidRPr="003B5FE4" w:rsidRDefault="000A4190" w:rsidP="00584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5FE4">
              <w:rPr>
                <w:noProof/>
                <w:sz w:val="22"/>
              </w:rPr>
              <w:t xml:space="preserve">6.84 </w:t>
            </w:r>
            <w:r w:rsidRPr="003B5FE4">
              <w:rPr>
                <w:sz w:val="22"/>
              </w:rPr>
              <w:t>± 0.b</w:t>
            </w:r>
          </w:p>
        </w:tc>
      </w:tr>
    </w:tbl>
    <w:p w:rsidR="000A4190" w:rsidRDefault="000A4190" w:rsidP="000A4190">
      <w:pPr>
        <w:rPr>
          <w:rFonts w:cs="Times New Roman"/>
          <w:lang w:val="en-US"/>
        </w:rPr>
      </w:pPr>
    </w:p>
    <w:p w:rsidR="000A4190" w:rsidRDefault="00385909" w:rsidP="000A4190">
      <w:pPr>
        <w:rPr>
          <w:rFonts w:cs="Times New Roman"/>
          <w:lang w:val="en-US"/>
        </w:rPr>
      </w:pPr>
      <w:r w:rsidRPr="00385909">
        <w:rPr>
          <w:rFonts w:cs="Times New Roman"/>
          <w:lang w:val="en-US"/>
        </w:rPr>
        <w:t>Supplementary</w:t>
      </w:r>
      <w:r>
        <w:rPr>
          <w:rFonts w:cs="Times New Roman"/>
          <w:lang w:val="en-US"/>
        </w:rPr>
        <w:t xml:space="preserve"> </w:t>
      </w:r>
      <w:bookmarkStart w:id="5" w:name="_GoBack"/>
      <w:bookmarkEnd w:id="5"/>
      <w:r w:rsidR="000A4190">
        <w:rPr>
          <w:rFonts w:cs="Times New Roman"/>
          <w:lang w:val="en-US"/>
        </w:rPr>
        <w:t xml:space="preserve">Table 5. Comparison between the </w:t>
      </w:r>
      <w:proofErr w:type="gramStart"/>
      <w:r w:rsidR="000A4190">
        <w:rPr>
          <w:rFonts w:cs="Times New Roman"/>
          <w:lang w:val="en-US"/>
        </w:rPr>
        <w:t>use</w:t>
      </w:r>
      <w:proofErr w:type="gramEnd"/>
      <w:r w:rsidR="000A4190">
        <w:rPr>
          <w:rFonts w:cs="Times New Roman"/>
          <w:lang w:val="en-US"/>
        </w:rPr>
        <w:t xml:space="preserve"> of different number of neurons in the hidden layer</w:t>
      </w:r>
    </w:p>
    <w:tbl>
      <w:tblPr>
        <w:tblStyle w:val="Zwykatabela24"/>
        <w:tblW w:w="0" w:type="auto"/>
        <w:tblLook w:val="04A0" w:firstRow="1" w:lastRow="0" w:firstColumn="1" w:lastColumn="0" w:noHBand="0" w:noVBand="1"/>
      </w:tblPr>
      <w:tblGrid>
        <w:gridCol w:w="4253"/>
        <w:gridCol w:w="1984"/>
        <w:gridCol w:w="1560"/>
        <w:gridCol w:w="1265"/>
      </w:tblGrid>
      <w:tr w:rsidR="000A4190" w:rsidRPr="00E6138D" w:rsidTr="00584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A4190" w:rsidRPr="00E6138D" w:rsidRDefault="000A4190" w:rsidP="005847EA">
            <w:pPr>
              <w:spacing w:before="0" w:after="160" w:line="259" w:lineRule="auto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Number of Neurons in hidden layer</w:t>
            </w:r>
          </w:p>
        </w:tc>
        <w:tc>
          <w:tcPr>
            <w:tcW w:w="1984" w:type="dxa"/>
          </w:tcPr>
          <w:p w:rsidR="000A4190" w:rsidRPr="00E6138D" w:rsidRDefault="000A4190" w:rsidP="005847EA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R (test data)</w:t>
            </w:r>
          </w:p>
        </w:tc>
        <w:tc>
          <w:tcPr>
            <w:tcW w:w="1560" w:type="dxa"/>
          </w:tcPr>
          <w:p w:rsidR="000A4190" w:rsidRPr="00E6138D" w:rsidRDefault="000A4190" w:rsidP="005847EA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MSE</w:t>
            </w:r>
          </w:p>
        </w:tc>
        <w:tc>
          <w:tcPr>
            <w:tcW w:w="1265" w:type="dxa"/>
          </w:tcPr>
          <w:p w:rsidR="000A4190" w:rsidRPr="00E6138D" w:rsidRDefault="000A4190" w:rsidP="005847EA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MAE</w:t>
            </w:r>
          </w:p>
        </w:tc>
      </w:tr>
      <w:tr w:rsidR="000A4190" w:rsidRPr="00E6138D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A4190" w:rsidRPr="00E6138D" w:rsidRDefault="000A4190" w:rsidP="005847EA">
            <w:pPr>
              <w:spacing w:before="0" w:after="160" w:line="259" w:lineRule="auto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984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0.788</w:t>
            </w:r>
          </w:p>
        </w:tc>
        <w:tc>
          <w:tcPr>
            <w:tcW w:w="1560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0.00546</w:t>
            </w:r>
          </w:p>
        </w:tc>
        <w:tc>
          <w:tcPr>
            <w:tcW w:w="1265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0.0632</w:t>
            </w:r>
          </w:p>
        </w:tc>
      </w:tr>
      <w:tr w:rsidR="000A4190" w:rsidRPr="00E6138D" w:rsidTr="0058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A4190" w:rsidRPr="00E6138D" w:rsidRDefault="000A4190" w:rsidP="005847EA">
            <w:pPr>
              <w:spacing w:before="0" w:after="160" w:line="259" w:lineRule="auto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984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0.851</w:t>
            </w:r>
          </w:p>
        </w:tc>
        <w:tc>
          <w:tcPr>
            <w:tcW w:w="1560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0.00035</w:t>
            </w:r>
          </w:p>
        </w:tc>
        <w:tc>
          <w:tcPr>
            <w:tcW w:w="1265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0.0211</w:t>
            </w:r>
          </w:p>
        </w:tc>
      </w:tr>
      <w:tr w:rsidR="000A4190" w:rsidRPr="00E6138D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A4190" w:rsidRPr="00E6138D" w:rsidRDefault="000A4190" w:rsidP="005847EA">
            <w:pPr>
              <w:spacing w:before="0" w:after="160" w:line="259" w:lineRule="auto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984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0.983</w:t>
            </w:r>
          </w:p>
        </w:tc>
        <w:tc>
          <w:tcPr>
            <w:tcW w:w="1560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0.00022</w:t>
            </w:r>
          </w:p>
        </w:tc>
        <w:tc>
          <w:tcPr>
            <w:tcW w:w="1265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0.0145</w:t>
            </w:r>
          </w:p>
        </w:tc>
      </w:tr>
      <w:tr w:rsidR="000A4190" w:rsidRPr="00E6138D" w:rsidTr="0058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A4190" w:rsidRPr="00E6138D" w:rsidRDefault="000A4190" w:rsidP="005847EA">
            <w:pPr>
              <w:spacing w:before="0" w:after="160" w:line="259" w:lineRule="auto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1984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0.987</w:t>
            </w:r>
          </w:p>
        </w:tc>
        <w:tc>
          <w:tcPr>
            <w:tcW w:w="1560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0.00019</w:t>
            </w:r>
          </w:p>
        </w:tc>
        <w:tc>
          <w:tcPr>
            <w:tcW w:w="1265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0.0098</w:t>
            </w:r>
          </w:p>
        </w:tc>
      </w:tr>
      <w:tr w:rsidR="000A4190" w:rsidRPr="00E6138D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37F828"/>
          </w:tcPr>
          <w:p w:rsidR="000A4190" w:rsidRPr="00E6138D" w:rsidRDefault="000A4190" w:rsidP="005847EA">
            <w:pPr>
              <w:spacing w:before="0" w:after="160" w:line="259" w:lineRule="auto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37F828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0.997</w:t>
            </w:r>
          </w:p>
        </w:tc>
        <w:tc>
          <w:tcPr>
            <w:tcW w:w="1560" w:type="dxa"/>
            <w:shd w:val="clear" w:color="auto" w:fill="37F828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0.00006</w:t>
            </w:r>
          </w:p>
        </w:tc>
        <w:tc>
          <w:tcPr>
            <w:tcW w:w="1265" w:type="dxa"/>
            <w:shd w:val="clear" w:color="auto" w:fill="37F828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0.0081</w:t>
            </w:r>
          </w:p>
        </w:tc>
      </w:tr>
      <w:tr w:rsidR="000A4190" w:rsidRPr="00E6138D" w:rsidTr="0058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A4190" w:rsidRPr="00E6138D" w:rsidRDefault="000A4190" w:rsidP="005847EA">
            <w:pPr>
              <w:spacing w:before="0" w:after="160" w:line="259" w:lineRule="auto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984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0.961</w:t>
            </w:r>
          </w:p>
        </w:tc>
        <w:tc>
          <w:tcPr>
            <w:tcW w:w="1560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0.00045</w:t>
            </w:r>
          </w:p>
        </w:tc>
        <w:tc>
          <w:tcPr>
            <w:tcW w:w="1265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0.0138</w:t>
            </w:r>
          </w:p>
        </w:tc>
      </w:tr>
      <w:tr w:rsidR="000A4190" w:rsidRPr="00E6138D" w:rsidTr="0058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A4190" w:rsidRPr="00E6138D" w:rsidRDefault="000A4190" w:rsidP="005847EA">
            <w:pPr>
              <w:spacing w:before="0" w:after="160" w:line="259" w:lineRule="auto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984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0.954</w:t>
            </w:r>
          </w:p>
        </w:tc>
        <w:tc>
          <w:tcPr>
            <w:tcW w:w="1560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0.00208</w:t>
            </w:r>
          </w:p>
        </w:tc>
        <w:tc>
          <w:tcPr>
            <w:tcW w:w="1265" w:type="dxa"/>
          </w:tcPr>
          <w:p w:rsidR="000A4190" w:rsidRPr="00E6138D" w:rsidRDefault="000A4190" w:rsidP="005847EA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US"/>
              </w:rPr>
            </w:pPr>
            <w:r w:rsidRPr="00E6138D">
              <w:rPr>
                <w:rFonts w:cs="Times New Roman"/>
                <w:sz w:val="22"/>
                <w:lang w:val="en-US"/>
              </w:rPr>
              <w:t>0.0314</w:t>
            </w:r>
          </w:p>
        </w:tc>
      </w:tr>
    </w:tbl>
    <w:p w:rsidR="000A4190" w:rsidRPr="000A4190" w:rsidRDefault="000A4190">
      <w:pPr>
        <w:rPr>
          <w:lang w:val="en-US"/>
        </w:rPr>
      </w:pPr>
    </w:p>
    <w:sectPr w:rsidR="000A4190" w:rsidRPr="000A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0"/>
    <w:rsid w:val="000A4190"/>
    <w:rsid w:val="002A0998"/>
    <w:rsid w:val="003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67F9F-1E79-4A82-B2B8-53D67663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90"/>
    <w:pPr>
      <w:spacing w:before="120" w:after="320" w:line="36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wykatabela24">
    <w:name w:val="Zwykła tabela 24"/>
    <w:basedOn w:val="TableNormal"/>
    <w:next w:val="TableNormal"/>
    <w:uiPriority w:val="42"/>
    <w:rsid w:val="000A4190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211">
    <w:name w:val="Zwykła tabela 211"/>
    <w:basedOn w:val="TableNormal"/>
    <w:next w:val="TableNormal"/>
    <w:uiPriority w:val="42"/>
    <w:rsid w:val="000A4190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4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Jaskulak</dc:creator>
  <cp:keywords/>
  <dc:description/>
  <cp:lastModifiedBy>Deepika Kannan</cp:lastModifiedBy>
  <cp:revision>3</cp:revision>
  <dcterms:created xsi:type="dcterms:W3CDTF">2020-05-19T05:52:00Z</dcterms:created>
  <dcterms:modified xsi:type="dcterms:W3CDTF">2020-05-19T06:47:00Z</dcterms:modified>
</cp:coreProperties>
</file>