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B6C9" w14:textId="504CE1E3" w:rsidR="007B777B" w:rsidRPr="007140C0" w:rsidRDefault="006E3A41" w:rsidP="007B777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Information</w:t>
      </w:r>
    </w:p>
    <w:p w14:paraId="735B13C9" w14:textId="77777777" w:rsidR="007B777B" w:rsidRPr="007140C0" w:rsidRDefault="007B777B" w:rsidP="007B777B">
      <w:pPr>
        <w:rPr>
          <w:rFonts w:ascii="Times New Roman" w:hAnsi="Times New Roman" w:cs="Times New Roman"/>
        </w:rPr>
      </w:pPr>
    </w:p>
    <w:p w14:paraId="6045DC0B" w14:textId="77777777" w:rsidR="007B777B" w:rsidRPr="007B777B" w:rsidRDefault="007B777B" w:rsidP="007B777B">
      <w:pPr>
        <w:spacing w:line="360" w:lineRule="auto"/>
        <w:rPr>
          <w:rFonts w:ascii="Times New Roman" w:hAnsi="Times New Roman"/>
          <w:bCs/>
          <w:i/>
        </w:rPr>
      </w:pPr>
      <w:r w:rsidRPr="007B777B">
        <w:rPr>
          <w:rFonts w:ascii="Times New Roman" w:hAnsi="Times New Roman"/>
          <w:bCs/>
        </w:rPr>
        <w:t>Effect of the Nitrate Group on Yields and Composition of Secondary Organic Aerosol Formed from Reactions of Alkyl Nitrates with OH Radicals in the Presence of NO</w:t>
      </w:r>
      <w:r w:rsidRPr="007B777B">
        <w:rPr>
          <w:rFonts w:ascii="Times New Roman" w:hAnsi="Times New Roman"/>
          <w:bCs/>
          <w:vertAlign w:val="subscript"/>
        </w:rPr>
        <w:t>x</w:t>
      </w:r>
    </w:p>
    <w:p w14:paraId="5916F62A" w14:textId="77777777" w:rsidR="007B777B" w:rsidRPr="007140C0" w:rsidRDefault="007B777B" w:rsidP="007B777B">
      <w:pPr>
        <w:pStyle w:val="MTDisplayEquation"/>
        <w:spacing w:line="240" w:lineRule="auto"/>
        <w:rPr>
          <w:b w:val="0"/>
          <w:i w:val="0"/>
        </w:rPr>
      </w:pPr>
      <w:r w:rsidRPr="007140C0">
        <w:rPr>
          <w:b w:val="0"/>
          <w:i w:val="0"/>
        </w:rPr>
        <w:tab/>
      </w:r>
      <w:r w:rsidRPr="007140C0">
        <w:rPr>
          <w:b w:val="0"/>
          <w:i w:val="0"/>
          <w:noProof/>
          <w:position w:val="-4"/>
        </w:rPr>
        <w:drawing>
          <wp:inline distT="0" distB="0" distL="0" distR="0" wp14:anchorId="595A8283" wp14:editId="004DB73B">
            <wp:extent cx="111760" cy="16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0">
        <w:rPr>
          <w:b w:val="0"/>
          <w:i w:val="0"/>
        </w:rPr>
        <w:t xml:space="preserve"> </w:t>
      </w:r>
    </w:p>
    <w:p w14:paraId="60EE9574" w14:textId="77777777" w:rsidR="007B777B" w:rsidRPr="007140C0" w:rsidRDefault="007B777B" w:rsidP="007B777B">
      <w:pPr>
        <w:widowControl w:val="0"/>
        <w:contextualSpacing/>
        <w:rPr>
          <w:rFonts w:ascii="Times New Roman" w:hAnsi="Times New Roman"/>
        </w:rPr>
      </w:pPr>
      <w:r w:rsidRPr="007140C0">
        <w:rPr>
          <w:rFonts w:ascii="Times New Roman" w:hAnsi="Times New Roman"/>
        </w:rPr>
        <w:t>Lucas B. Algrim and Paul J. Ziemann</w:t>
      </w:r>
    </w:p>
    <w:p w14:paraId="3BE86812" w14:textId="77777777" w:rsidR="007B777B" w:rsidRDefault="007B777B" w:rsidP="007B777B">
      <w:pPr>
        <w:rPr>
          <w:rFonts w:ascii="Times New Roman" w:hAnsi="Times New Roman" w:cs="Times New Roman"/>
        </w:rPr>
      </w:pPr>
    </w:p>
    <w:p w14:paraId="5DED47B7" w14:textId="77777777" w:rsidR="007B777B" w:rsidRDefault="007B777B" w:rsidP="007B777B">
      <w:pPr>
        <w:rPr>
          <w:rFonts w:ascii="Times New Roman" w:hAnsi="Times New Roman" w:cs="Times New Roman"/>
        </w:rPr>
      </w:pPr>
    </w:p>
    <w:p w14:paraId="73B3649A" w14:textId="44274AC7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326C7E40" w14:textId="07341B72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750D8EBF" w14:textId="242A2748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0031AC3C" w14:textId="0CA91A52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4E6368D2" w14:textId="56B92EDF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194815D4" w14:textId="7D7A204E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51365CAD" w14:textId="2D8E3AEE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44778D62" w14:textId="3977C909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43682F58" w14:textId="0EED0AFA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36CAE1A7" w14:textId="203F8C6D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40FAF363" w14:textId="7657E2DF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24A770E9" w14:textId="46A363B3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0534A7B1" w14:textId="5011E6B9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59CD349A" w14:textId="3067D947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1B0750C3" w14:textId="02B205C3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0293B0CE" w14:textId="76F293B2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531901BA" w14:textId="01642EB1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7B5FE1E9" w14:textId="286AAEE5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1FC440F7" w14:textId="46FCF8EE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71E69AF3" w14:textId="36D349F9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574DBFEB" w14:textId="77777777" w:rsidR="007B777B" w:rsidRDefault="007B777B">
      <w:pPr>
        <w:spacing w:after="160" w:line="259" w:lineRule="auto"/>
        <w:rPr>
          <w:rFonts w:ascii="Times New Roman" w:hAnsi="Times New Roman" w:cs="Times New Roman"/>
          <w:b/>
        </w:rPr>
      </w:pPr>
    </w:p>
    <w:p w14:paraId="44E11060" w14:textId="62C01C7C" w:rsidR="006E3A41" w:rsidRDefault="006E3A41" w:rsidP="0001159E">
      <w:pPr>
        <w:rPr>
          <w:rFonts w:ascii="Times New Roman" w:hAnsi="Times New Roman" w:cs="Times New Roman"/>
          <w:b/>
        </w:rPr>
      </w:pPr>
    </w:p>
    <w:p w14:paraId="7F11B329" w14:textId="65131E3C" w:rsidR="005B1419" w:rsidRDefault="005B1419" w:rsidP="0001159E">
      <w:pPr>
        <w:rPr>
          <w:rFonts w:ascii="Times New Roman" w:hAnsi="Times New Roman" w:cs="Times New Roman"/>
          <w:b/>
        </w:rPr>
      </w:pPr>
    </w:p>
    <w:p w14:paraId="2DC52B48" w14:textId="49C263FA" w:rsidR="006E3A41" w:rsidRDefault="006E3A41" w:rsidP="0001159E">
      <w:pPr>
        <w:rPr>
          <w:rFonts w:ascii="Times New Roman" w:hAnsi="Times New Roman" w:cs="Times New Roman"/>
          <w:b/>
        </w:rPr>
      </w:pPr>
    </w:p>
    <w:p w14:paraId="086F7A7F" w14:textId="5F30CD8E" w:rsidR="006E3A41" w:rsidRDefault="004B644A" w:rsidP="0001159E">
      <w:pPr>
        <w:rPr>
          <w:rFonts w:ascii="Times New Roman" w:hAnsi="Times New Roman" w:cs="Times New Roman"/>
          <w:b/>
        </w:rPr>
      </w:pPr>
      <w:r w:rsidRPr="00BE3BEE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E4A9879" wp14:editId="26B7843C">
            <wp:extent cx="5943600" cy="4289104"/>
            <wp:effectExtent l="0" t="0" r="0" b="381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91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D8EC3BD" w14:textId="08F7F0EC" w:rsidR="006B4485" w:rsidRDefault="006B4485" w:rsidP="0001159E">
      <w:pPr>
        <w:rPr>
          <w:rFonts w:ascii="Times New Roman" w:hAnsi="Times New Roman" w:cs="Times New Roman"/>
          <w:b/>
        </w:rPr>
      </w:pPr>
    </w:p>
    <w:p w14:paraId="2AE2373F" w14:textId="436E377D" w:rsidR="006B4485" w:rsidRDefault="006B4485" w:rsidP="0001159E">
      <w:pPr>
        <w:rPr>
          <w:rFonts w:ascii="Times New Roman" w:hAnsi="Times New Roman" w:cs="Times New Roman"/>
          <w:b/>
        </w:rPr>
      </w:pPr>
    </w:p>
    <w:p w14:paraId="1032895A" w14:textId="792F30AD" w:rsidR="004B644A" w:rsidRPr="00BA6030" w:rsidRDefault="004B644A" w:rsidP="004B644A">
      <w:pPr>
        <w:rPr>
          <w:rFonts w:ascii="Times New Roman" w:hAnsi="Times New Roman"/>
          <w:i/>
        </w:rPr>
      </w:pPr>
      <w:r w:rsidRPr="00BA6030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S1</w:t>
      </w:r>
      <w:r w:rsidRPr="00BA6030">
        <w:rPr>
          <w:rFonts w:ascii="Times New Roman" w:hAnsi="Times New Roman"/>
        </w:rPr>
        <w:t xml:space="preserve">.  </w:t>
      </w:r>
      <w:r w:rsidR="00172E3A">
        <w:rPr>
          <w:rFonts w:ascii="Times New Roman" w:hAnsi="Times New Roman"/>
        </w:rPr>
        <w:t xml:space="preserve">Overlaid </w:t>
      </w:r>
      <w:r w:rsidRPr="00BA6030">
        <w:rPr>
          <w:rFonts w:ascii="Times New Roman" w:hAnsi="Times New Roman"/>
        </w:rPr>
        <w:t>ATR-FTIR absorbance spectra of synthesized 2-decyl nitrate</w:t>
      </w:r>
      <w:r w:rsidR="00172E3A">
        <w:rPr>
          <w:rFonts w:ascii="Times New Roman" w:hAnsi="Times New Roman"/>
        </w:rPr>
        <w:t>;</w:t>
      </w:r>
      <w:r w:rsidRPr="00BA6030">
        <w:rPr>
          <w:rFonts w:ascii="Times New Roman" w:hAnsi="Times New Roman"/>
        </w:rPr>
        <w:t xml:space="preserve"> </w:t>
      </w:r>
      <w:r w:rsidR="00172E3A" w:rsidRPr="00BA6030">
        <w:rPr>
          <w:rFonts w:ascii="Times New Roman" w:hAnsi="Times New Roman"/>
        </w:rPr>
        <w:t>2-decanol, the precursor</w:t>
      </w:r>
      <w:r w:rsidR="00172E3A">
        <w:rPr>
          <w:rFonts w:ascii="Times New Roman" w:hAnsi="Times New Roman"/>
        </w:rPr>
        <w:t>;</w:t>
      </w:r>
      <w:r w:rsidR="00172E3A" w:rsidRPr="00BA6030">
        <w:rPr>
          <w:rFonts w:ascii="Times New Roman" w:hAnsi="Times New Roman"/>
        </w:rPr>
        <w:t xml:space="preserve"> and 2-decanone, a common by-product of the synthesis</w:t>
      </w:r>
      <w:r w:rsidR="00172E3A">
        <w:rPr>
          <w:rFonts w:ascii="Times New Roman" w:hAnsi="Times New Roman"/>
        </w:rPr>
        <w:t>.</w:t>
      </w:r>
      <w:r w:rsidR="00172E3A" w:rsidRPr="00BA6030">
        <w:rPr>
          <w:rFonts w:ascii="Times New Roman" w:hAnsi="Times New Roman"/>
        </w:rPr>
        <w:t xml:space="preserve"> </w:t>
      </w:r>
      <w:r w:rsidR="00172E3A">
        <w:rPr>
          <w:rFonts w:ascii="Times New Roman" w:hAnsi="Times New Roman"/>
        </w:rPr>
        <w:t xml:space="preserve">Spectra are normalized to the </w:t>
      </w:r>
      <w:r w:rsidRPr="00BA6030">
        <w:rPr>
          <w:rFonts w:ascii="Times New Roman" w:hAnsi="Times New Roman"/>
        </w:rPr>
        <w:t>C–H stretch</w:t>
      </w:r>
      <w:r w:rsidR="00BE3BEE">
        <w:rPr>
          <w:rFonts w:ascii="Times New Roman" w:hAnsi="Times New Roman"/>
        </w:rPr>
        <w:t xml:space="preserve"> </w:t>
      </w:r>
      <w:r w:rsidR="00BE3BEE" w:rsidRPr="004C529C">
        <w:rPr>
          <w:rFonts w:ascii="Times New Roman" w:hAnsi="Times New Roman"/>
        </w:rPr>
        <w:t xml:space="preserve">at </w:t>
      </w:r>
      <w:r w:rsidR="004C529C">
        <w:rPr>
          <w:rFonts w:ascii="Times New Roman" w:hAnsi="Times New Roman"/>
        </w:rPr>
        <w:t>2925</w:t>
      </w:r>
      <w:r w:rsidR="00BE3BEE" w:rsidRPr="004C529C">
        <w:rPr>
          <w:rFonts w:ascii="Times New Roman" w:hAnsi="Times New Roman"/>
        </w:rPr>
        <w:t xml:space="preserve"> cm</w:t>
      </w:r>
      <w:r w:rsidR="00BE3BEE" w:rsidRPr="004C529C">
        <w:rPr>
          <w:rFonts w:ascii="Times New Roman" w:hAnsi="Times New Roman"/>
          <w:vertAlign w:val="superscript"/>
        </w:rPr>
        <w:t>-1</w:t>
      </w:r>
      <w:r w:rsidR="00BE3BEE" w:rsidRPr="004C529C">
        <w:rPr>
          <w:rFonts w:ascii="Times New Roman" w:hAnsi="Times New Roman"/>
        </w:rPr>
        <w:t>.</w:t>
      </w:r>
      <w:r w:rsidRPr="00BA6030">
        <w:rPr>
          <w:rFonts w:ascii="Times New Roman" w:hAnsi="Times New Roman"/>
        </w:rPr>
        <w:t xml:space="preserve"> </w:t>
      </w:r>
    </w:p>
    <w:p w14:paraId="76539AD0" w14:textId="006706B1" w:rsidR="006B4485" w:rsidRDefault="006B4485" w:rsidP="0001159E">
      <w:pPr>
        <w:rPr>
          <w:rFonts w:ascii="Times New Roman" w:hAnsi="Times New Roman" w:cs="Times New Roman"/>
          <w:b/>
        </w:rPr>
      </w:pPr>
    </w:p>
    <w:p w14:paraId="0B7861C9" w14:textId="6958AF9C" w:rsidR="006B4485" w:rsidRDefault="006B4485" w:rsidP="0001159E">
      <w:pPr>
        <w:rPr>
          <w:rFonts w:ascii="Times New Roman" w:hAnsi="Times New Roman" w:cs="Times New Roman"/>
          <w:b/>
        </w:rPr>
      </w:pPr>
    </w:p>
    <w:p w14:paraId="0A55EE42" w14:textId="1DA213C0" w:rsidR="004B644A" w:rsidRDefault="004B644A" w:rsidP="0001159E">
      <w:pPr>
        <w:rPr>
          <w:rFonts w:ascii="Times New Roman" w:hAnsi="Times New Roman" w:cs="Times New Roman"/>
          <w:b/>
        </w:rPr>
      </w:pPr>
    </w:p>
    <w:p w14:paraId="6DDC61F2" w14:textId="3AA67FC5" w:rsidR="004B644A" w:rsidRDefault="004B644A" w:rsidP="0001159E">
      <w:pPr>
        <w:rPr>
          <w:rFonts w:ascii="Times New Roman" w:hAnsi="Times New Roman" w:cs="Times New Roman"/>
          <w:b/>
        </w:rPr>
      </w:pPr>
    </w:p>
    <w:p w14:paraId="20806FFA" w14:textId="77777777" w:rsidR="004B644A" w:rsidRDefault="004B644A" w:rsidP="0001159E">
      <w:pPr>
        <w:rPr>
          <w:rFonts w:ascii="Times New Roman" w:hAnsi="Times New Roman" w:cs="Times New Roman"/>
          <w:b/>
        </w:rPr>
      </w:pPr>
    </w:p>
    <w:p w14:paraId="1E763B0B" w14:textId="129F64A6" w:rsidR="006E3A41" w:rsidRDefault="004B644A" w:rsidP="00011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07E4FA11" wp14:editId="79C20A8E">
            <wp:extent cx="5943600" cy="2918661"/>
            <wp:effectExtent l="0" t="0" r="0" b="254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1515" w14:textId="16EFF76E" w:rsidR="006E3A41" w:rsidRDefault="006E3A41" w:rsidP="0001159E">
      <w:pPr>
        <w:rPr>
          <w:rFonts w:ascii="Times New Roman" w:hAnsi="Times New Roman" w:cs="Times New Roman"/>
          <w:b/>
        </w:rPr>
      </w:pPr>
    </w:p>
    <w:p w14:paraId="0EF3F5D4" w14:textId="402A88B4" w:rsidR="004B644A" w:rsidRDefault="004B644A" w:rsidP="0001159E">
      <w:pPr>
        <w:rPr>
          <w:rFonts w:ascii="Times New Roman" w:hAnsi="Times New Roman" w:cs="Times New Roman"/>
          <w:b/>
        </w:rPr>
      </w:pPr>
    </w:p>
    <w:p w14:paraId="5CAB6A4D" w14:textId="77777777" w:rsidR="004B644A" w:rsidRDefault="004B644A" w:rsidP="004B644A">
      <w:pPr>
        <w:rPr>
          <w:rFonts w:ascii="Times New Roman" w:hAnsi="Times New Roman"/>
        </w:rPr>
      </w:pPr>
    </w:p>
    <w:p w14:paraId="1FB7EE9C" w14:textId="188B5FCD" w:rsidR="004B644A" w:rsidRPr="0020737C" w:rsidRDefault="004B644A" w:rsidP="004B644A">
      <w:pPr>
        <w:rPr>
          <w:rFonts w:ascii="Times New Roman" w:hAnsi="Times New Roman"/>
          <w:i/>
        </w:rPr>
      </w:pPr>
      <w:r w:rsidRPr="0020737C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S2</w:t>
      </w:r>
      <w:r w:rsidRPr="0020737C">
        <w:rPr>
          <w:rFonts w:ascii="Times New Roman" w:hAnsi="Times New Roman"/>
        </w:rPr>
        <w:t>. Proposed mechanism for the formation of characteristic ions from elect</w:t>
      </w:r>
      <w:r>
        <w:rPr>
          <w:rFonts w:ascii="Times New Roman" w:hAnsi="Times New Roman"/>
        </w:rPr>
        <w:t>r</w:t>
      </w:r>
      <w:r w:rsidRPr="0020737C">
        <w:rPr>
          <w:rFonts w:ascii="Times New Roman" w:hAnsi="Times New Roman"/>
        </w:rPr>
        <w:t xml:space="preserve">on ionization and fragmentation of NHN isomers, using 1,5,8-NHN as an example. </w:t>
      </w:r>
    </w:p>
    <w:p w14:paraId="3ACB2E31" w14:textId="77777777" w:rsidR="004B644A" w:rsidRDefault="004B644A" w:rsidP="0001159E">
      <w:pPr>
        <w:rPr>
          <w:rFonts w:ascii="Times New Roman" w:hAnsi="Times New Roman" w:cs="Times New Roman"/>
          <w:b/>
        </w:rPr>
      </w:pPr>
    </w:p>
    <w:p w14:paraId="7B26C89B" w14:textId="19EAD6AD" w:rsidR="006E3A41" w:rsidRDefault="006E3A41" w:rsidP="0001159E">
      <w:pPr>
        <w:rPr>
          <w:rFonts w:ascii="Times New Roman" w:hAnsi="Times New Roman" w:cs="Times New Roman"/>
          <w:b/>
        </w:rPr>
      </w:pPr>
    </w:p>
    <w:p w14:paraId="613A61C5" w14:textId="17C5A1E1" w:rsidR="006E3A41" w:rsidRDefault="006E3A41" w:rsidP="0001159E">
      <w:pPr>
        <w:rPr>
          <w:rFonts w:ascii="Times New Roman" w:hAnsi="Times New Roman" w:cs="Times New Roman"/>
          <w:b/>
        </w:rPr>
      </w:pPr>
    </w:p>
    <w:p w14:paraId="13DFEA04" w14:textId="1021548D" w:rsidR="006E3A41" w:rsidRDefault="006E3A41" w:rsidP="0001159E">
      <w:pPr>
        <w:rPr>
          <w:rFonts w:ascii="Times New Roman" w:hAnsi="Times New Roman" w:cs="Times New Roman"/>
          <w:b/>
        </w:rPr>
      </w:pPr>
    </w:p>
    <w:p w14:paraId="69B5686E" w14:textId="6F74418A" w:rsidR="006E3A41" w:rsidRDefault="006E3A41" w:rsidP="0001159E">
      <w:pPr>
        <w:rPr>
          <w:rFonts w:ascii="Times New Roman" w:hAnsi="Times New Roman" w:cs="Times New Roman"/>
          <w:b/>
        </w:rPr>
      </w:pPr>
    </w:p>
    <w:p w14:paraId="4B83E965" w14:textId="35E6EEF3" w:rsidR="006E3A41" w:rsidRDefault="006E3A41" w:rsidP="0001159E">
      <w:pPr>
        <w:rPr>
          <w:rFonts w:ascii="Times New Roman" w:hAnsi="Times New Roman" w:cs="Times New Roman"/>
          <w:b/>
        </w:rPr>
      </w:pPr>
    </w:p>
    <w:p w14:paraId="7769B1F2" w14:textId="2CDC90AB" w:rsidR="004B644A" w:rsidRDefault="004B644A" w:rsidP="0001159E">
      <w:pPr>
        <w:rPr>
          <w:rFonts w:ascii="Times New Roman" w:hAnsi="Times New Roman" w:cs="Times New Roman"/>
          <w:b/>
        </w:rPr>
      </w:pPr>
    </w:p>
    <w:p w14:paraId="24A6BE6C" w14:textId="2BE407F5" w:rsidR="004B644A" w:rsidRDefault="004B644A" w:rsidP="0001159E">
      <w:pPr>
        <w:rPr>
          <w:rFonts w:ascii="Times New Roman" w:hAnsi="Times New Roman" w:cs="Times New Roman"/>
          <w:b/>
        </w:rPr>
      </w:pPr>
    </w:p>
    <w:p w14:paraId="661209DC" w14:textId="5D111E2D" w:rsidR="004B644A" w:rsidRDefault="004B644A" w:rsidP="0001159E">
      <w:pPr>
        <w:rPr>
          <w:rFonts w:ascii="Times New Roman" w:hAnsi="Times New Roman" w:cs="Times New Roman"/>
          <w:b/>
        </w:rPr>
      </w:pPr>
    </w:p>
    <w:p w14:paraId="74BF9BB5" w14:textId="75C55627" w:rsidR="004B644A" w:rsidRDefault="004B644A" w:rsidP="0001159E">
      <w:pPr>
        <w:rPr>
          <w:rFonts w:ascii="Times New Roman" w:hAnsi="Times New Roman" w:cs="Times New Roman"/>
          <w:b/>
        </w:rPr>
      </w:pPr>
    </w:p>
    <w:p w14:paraId="2E87097C" w14:textId="0D83A282" w:rsidR="004B644A" w:rsidRDefault="004B644A" w:rsidP="0001159E">
      <w:pPr>
        <w:rPr>
          <w:rFonts w:ascii="Times New Roman" w:hAnsi="Times New Roman" w:cs="Times New Roman"/>
          <w:b/>
        </w:rPr>
      </w:pPr>
    </w:p>
    <w:p w14:paraId="0DFDFB25" w14:textId="63986A78" w:rsidR="004B644A" w:rsidRDefault="004B644A" w:rsidP="0001159E">
      <w:pPr>
        <w:rPr>
          <w:rFonts w:ascii="Times New Roman" w:hAnsi="Times New Roman" w:cs="Times New Roman"/>
          <w:b/>
        </w:rPr>
      </w:pPr>
    </w:p>
    <w:p w14:paraId="693967FD" w14:textId="5A57526A" w:rsidR="004B644A" w:rsidRDefault="004B644A" w:rsidP="0001159E">
      <w:pPr>
        <w:rPr>
          <w:rFonts w:ascii="Times New Roman" w:hAnsi="Times New Roman" w:cs="Times New Roman"/>
          <w:b/>
        </w:rPr>
      </w:pPr>
    </w:p>
    <w:p w14:paraId="63018FDC" w14:textId="4DF8E594" w:rsidR="004B644A" w:rsidRDefault="004B644A" w:rsidP="0001159E">
      <w:pPr>
        <w:rPr>
          <w:rFonts w:ascii="Times New Roman" w:hAnsi="Times New Roman" w:cs="Times New Roman"/>
          <w:b/>
        </w:rPr>
      </w:pPr>
    </w:p>
    <w:p w14:paraId="608C45DE" w14:textId="00612D18" w:rsidR="004B644A" w:rsidRDefault="004B644A" w:rsidP="0001159E">
      <w:pPr>
        <w:rPr>
          <w:rFonts w:ascii="Times New Roman" w:hAnsi="Times New Roman" w:cs="Times New Roman"/>
          <w:b/>
        </w:rPr>
      </w:pPr>
    </w:p>
    <w:p w14:paraId="2B0BA439" w14:textId="78A7E284" w:rsidR="004B644A" w:rsidRDefault="004B644A" w:rsidP="0001159E">
      <w:pPr>
        <w:rPr>
          <w:rFonts w:ascii="Times New Roman" w:hAnsi="Times New Roman" w:cs="Times New Roman"/>
          <w:b/>
        </w:rPr>
      </w:pPr>
    </w:p>
    <w:p w14:paraId="5BA9D8F0" w14:textId="1DF45A1D" w:rsidR="004B644A" w:rsidRDefault="004B644A" w:rsidP="0001159E">
      <w:pPr>
        <w:rPr>
          <w:rFonts w:ascii="Times New Roman" w:hAnsi="Times New Roman" w:cs="Times New Roman"/>
          <w:b/>
        </w:rPr>
      </w:pPr>
    </w:p>
    <w:p w14:paraId="4231C5BB" w14:textId="0A7B5D72" w:rsidR="004B644A" w:rsidRDefault="004B644A" w:rsidP="0001159E">
      <w:pPr>
        <w:rPr>
          <w:rFonts w:ascii="Times New Roman" w:hAnsi="Times New Roman" w:cs="Times New Roman"/>
          <w:b/>
        </w:rPr>
      </w:pPr>
    </w:p>
    <w:p w14:paraId="39BC8EF8" w14:textId="11C58E8C" w:rsidR="004B644A" w:rsidRDefault="004B644A" w:rsidP="0001159E">
      <w:pPr>
        <w:rPr>
          <w:rFonts w:ascii="Times New Roman" w:hAnsi="Times New Roman" w:cs="Times New Roman"/>
          <w:b/>
        </w:rPr>
      </w:pPr>
    </w:p>
    <w:p w14:paraId="62FA4B27" w14:textId="3721FD25" w:rsidR="004B644A" w:rsidRDefault="004B644A" w:rsidP="0001159E">
      <w:pPr>
        <w:rPr>
          <w:rFonts w:ascii="Times New Roman" w:hAnsi="Times New Roman" w:cs="Times New Roman"/>
          <w:b/>
        </w:rPr>
      </w:pPr>
    </w:p>
    <w:p w14:paraId="2DF95673" w14:textId="517643BB" w:rsidR="004B644A" w:rsidRDefault="004B644A" w:rsidP="0001159E">
      <w:pPr>
        <w:rPr>
          <w:rFonts w:ascii="Times New Roman" w:hAnsi="Times New Roman" w:cs="Times New Roman"/>
          <w:b/>
        </w:rPr>
      </w:pPr>
    </w:p>
    <w:p w14:paraId="4111417D" w14:textId="4E0A291B" w:rsidR="004B644A" w:rsidRDefault="004B644A" w:rsidP="0001159E">
      <w:pPr>
        <w:rPr>
          <w:rFonts w:ascii="Times New Roman" w:hAnsi="Times New Roman" w:cs="Times New Roman"/>
          <w:b/>
        </w:rPr>
      </w:pPr>
    </w:p>
    <w:p w14:paraId="76D7E2B2" w14:textId="5320CA76" w:rsidR="004B644A" w:rsidRDefault="004B644A" w:rsidP="0001159E">
      <w:pPr>
        <w:rPr>
          <w:rFonts w:ascii="Times New Roman" w:hAnsi="Times New Roman" w:cs="Times New Roman"/>
          <w:b/>
        </w:rPr>
      </w:pPr>
    </w:p>
    <w:p w14:paraId="2C03FE30" w14:textId="77777777" w:rsidR="004B644A" w:rsidRDefault="004B644A" w:rsidP="0001159E">
      <w:pPr>
        <w:rPr>
          <w:rFonts w:ascii="Times New Roman" w:hAnsi="Times New Roman" w:cs="Times New Roman"/>
          <w:b/>
        </w:rPr>
      </w:pPr>
    </w:p>
    <w:p w14:paraId="5E6CE56D" w14:textId="77777777" w:rsidR="004B644A" w:rsidRDefault="004B644A" w:rsidP="0001159E">
      <w:pPr>
        <w:rPr>
          <w:rFonts w:ascii="Times New Roman" w:hAnsi="Times New Roman" w:cs="Times New Roman"/>
          <w:bCs/>
        </w:rPr>
      </w:pPr>
    </w:p>
    <w:p w14:paraId="2A666602" w14:textId="4A70A13B" w:rsidR="004B644A" w:rsidRPr="004B644A" w:rsidRDefault="008D3F45" w:rsidP="0001159E">
      <w:pPr>
        <w:rPr>
          <w:rFonts w:ascii="Times New Roman" w:hAnsi="Times New Roman" w:cs="Times New Roman"/>
          <w:b/>
        </w:rPr>
      </w:pPr>
      <w:r w:rsidRPr="004B644A">
        <w:rPr>
          <w:rFonts w:ascii="Times New Roman" w:hAnsi="Times New Roman" w:cs="Times New Roman"/>
          <w:b/>
          <w:bCs/>
        </w:rPr>
        <w:lastRenderedPageBreak/>
        <w:t xml:space="preserve">Model </w:t>
      </w:r>
      <w:r w:rsidR="004B644A" w:rsidRPr="004B644A">
        <w:rPr>
          <w:rFonts w:ascii="Times New Roman" w:hAnsi="Times New Roman" w:cs="Times New Roman"/>
          <w:b/>
          <w:bCs/>
        </w:rPr>
        <w:t>D</w:t>
      </w:r>
      <w:r w:rsidRPr="004B644A">
        <w:rPr>
          <w:rFonts w:ascii="Times New Roman" w:hAnsi="Times New Roman" w:cs="Times New Roman"/>
          <w:b/>
          <w:bCs/>
        </w:rPr>
        <w:t>escription</w:t>
      </w:r>
      <w:r w:rsidRPr="004B644A">
        <w:rPr>
          <w:rFonts w:ascii="Times New Roman" w:hAnsi="Times New Roman" w:cs="Times New Roman"/>
          <w:b/>
        </w:rPr>
        <w:t xml:space="preserve">  </w:t>
      </w:r>
    </w:p>
    <w:p w14:paraId="301F7962" w14:textId="77777777" w:rsidR="004B644A" w:rsidRDefault="004B644A" w:rsidP="0001159E">
      <w:pPr>
        <w:rPr>
          <w:rFonts w:ascii="Times New Roman" w:hAnsi="Times New Roman" w:cs="Times New Roman"/>
        </w:rPr>
      </w:pPr>
    </w:p>
    <w:p w14:paraId="203DE4C8" w14:textId="4CA46DDA" w:rsidR="008D3F45" w:rsidRPr="00DF1F7A" w:rsidRDefault="002925AE" w:rsidP="008D3F45">
      <w:r w:rsidRPr="00E03BF8">
        <w:rPr>
          <w:rFonts w:ascii="Times New Roman" w:hAnsi="Times New Roman" w:cs="Times New Roman"/>
        </w:rPr>
        <w:t>The model was used to calculate yields of</w:t>
      </w:r>
      <w:r w:rsidR="008D3F45" w:rsidRPr="00E03BF8">
        <w:rPr>
          <w:rFonts w:ascii="Times New Roman" w:hAnsi="Times New Roman" w:cs="Times New Roman"/>
        </w:rPr>
        <w:t xml:space="preserve"> first-generation </w:t>
      </w:r>
      <w:r w:rsidRPr="00E03BF8">
        <w:rPr>
          <w:rFonts w:ascii="Times New Roman" w:hAnsi="Times New Roman" w:cs="Times New Roman"/>
        </w:rPr>
        <w:t xml:space="preserve">products of the </w:t>
      </w:r>
      <w:r w:rsidR="008D3F45" w:rsidRPr="00E03BF8">
        <w:rPr>
          <w:rFonts w:ascii="Times New Roman" w:hAnsi="Times New Roman" w:cs="Times New Roman"/>
        </w:rPr>
        <w:t xml:space="preserve">gas-phase </w:t>
      </w:r>
      <w:r w:rsidRPr="00E03BF8">
        <w:rPr>
          <w:rFonts w:ascii="Times New Roman" w:hAnsi="Times New Roman" w:cs="Times New Roman"/>
        </w:rPr>
        <w:t>reactions of each of the alkyl nitrate</w:t>
      </w:r>
      <w:r w:rsidR="008D3F45" w:rsidRPr="00E03BF8">
        <w:rPr>
          <w:rFonts w:ascii="Times New Roman" w:hAnsi="Times New Roman" w:cs="Times New Roman"/>
        </w:rPr>
        <w:t xml:space="preserve"> isomers.</w:t>
      </w:r>
      <w:r w:rsidRPr="00E03BF8">
        <w:rPr>
          <w:rFonts w:ascii="Times New Roman" w:hAnsi="Times New Roman" w:cs="Times New Roman"/>
        </w:rPr>
        <w:t xml:space="preserve"> </w:t>
      </w:r>
      <w:r w:rsidR="000B3E6E">
        <w:rPr>
          <w:rFonts w:ascii="Times New Roman" w:hAnsi="Times New Roman" w:cs="Times New Roman"/>
        </w:rPr>
        <w:t>The approach is</w:t>
      </w:r>
      <w:r w:rsidR="008D3F45" w:rsidRPr="00E03BF8">
        <w:rPr>
          <w:rFonts w:ascii="Times New Roman" w:hAnsi="Times New Roman" w:cs="Times New Roman"/>
        </w:rPr>
        <w:t xml:space="preserve"> illustrate</w:t>
      </w:r>
      <w:r w:rsidR="000B3E6E">
        <w:rPr>
          <w:rFonts w:ascii="Times New Roman" w:hAnsi="Times New Roman" w:cs="Times New Roman"/>
        </w:rPr>
        <w:t>d</w:t>
      </w:r>
      <w:r w:rsidR="008D3F45" w:rsidRPr="00E03BF8">
        <w:rPr>
          <w:rFonts w:ascii="Times New Roman" w:hAnsi="Times New Roman" w:cs="Times New Roman"/>
        </w:rPr>
        <w:t xml:space="preserve"> </w:t>
      </w:r>
      <w:r w:rsidR="000B3E6E">
        <w:rPr>
          <w:rFonts w:ascii="Times New Roman" w:hAnsi="Times New Roman" w:cs="Times New Roman"/>
        </w:rPr>
        <w:t>in Figure S3</w:t>
      </w:r>
      <w:r w:rsidR="008D3F45" w:rsidRPr="00E03BF8">
        <w:rPr>
          <w:rFonts w:ascii="Times New Roman" w:hAnsi="Times New Roman" w:cs="Times New Roman"/>
        </w:rPr>
        <w:t xml:space="preserve">. A structure-reactivity relationship </w:t>
      </w:r>
      <w:r w:rsidR="007B777B" w:rsidRPr="00E03BF8">
        <w:rPr>
          <w:rFonts w:ascii="Times New Roman" w:hAnsi="Times New Roman" w:cs="Times New Roman"/>
        </w:rPr>
        <w:t>(</w:t>
      </w:r>
      <w:r w:rsidR="008C3910" w:rsidRPr="00E03BF8">
        <w:rPr>
          <w:rFonts w:ascii="Times New Roman" w:hAnsi="Times New Roman" w:cs="Times New Roman"/>
        </w:rPr>
        <w:t>Atkinson Ziemann 2012</w:t>
      </w:r>
      <w:r w:rsidR="007B777B" w:rsidRPr="00E03BF8">
        <w:rPr>
          <w:rFonts w:ascii="Times New Roman" w:hAnsi="Times New Roman" w:cs="Times New Roman"/>
        </w:rPr>
        <w:t xml:space="preserve">) </w:t>
      </w:r>
      <w:r w:rsidR="008D3F45" w:rsidRPr="00E03BF8">
        <w:rPr>
          <w:rFonts w:ascii="Times New Roman" w:hAnsi="Times New Roman" w:cs="Times New Roman"/>
        </w:rPr>
        <w:t xml:space="preserve">was used to determine the percent of </w:t>
      </w:r>
      <w:r w:rsidR="000B3E6E">
        <w:rPr>
          <w:rFonts w:ascii="Times New Roman" w:hAnsi="Times New Roman" w:cs="Times New Roman"/>
        </w:rPr>
        <w:t>H atom</w:t>
      </w:r>
      <w:r w:rsidR="008D3F45" w:rsidRPr="00E03BF8">
        <w:rPr>
          <w:rFonts w:ascii="Times New Roman" w:hAnsi="Times New Roman" w:cs="Times New Roman"/>
        </w:rPr>
        <w:t xml:space="preserve"> abstraction </w:t>
      </w:r>
      <w:r w:rsidR="000B3E6E">
        <w:rPr>
          <w:rFonts w:ascii="Times New Roman" w:hAnsi="Times New Roman" w:cs="Times New Roman"/>
        </w:rPr>
        <w:t xml:space="preserve">at </w:t>
      </w:r>
      <w:r w:rsidR="008D3F45" w:rsidRPr="00E03BF8">
        <w:rPr>
          <w:rFonts w:ascii="Times New Roman" w:hAnsi="Times New Roman" w:cs="Times New Roman"/>
        </w:rPr>
        <w:t>each carbon along the carbon</w:t>
      </w:r>
      <w:r w:rsidR="000B3E6E">
        <w:rPr>
          <w:rFonts w:ascii="Times New Roman" w:hAnsi="Times New Roman" w:cs="Times New Roman"/>
        </w:rPr>
        <w:t xml:space="preserve"> </w:t>
      </w:r>
      <w:r w:rsidR="008D3F45" w:rsidRPr="00E03BF8">
        <w:rPr>
          <w:rFonts w:ascii="Times New Roman" w:hAnsi="Times New Roman" w:cs="Times New Roman"/>
        </w:rPr>
        <w:t xml:space="preserve">chain. </w:t>
      </w:r>
      <w:r w:rsidR="000B3E6E">
        <w:rPr>
          <w:rFonts w:ascii="Times New Roman" w:hAnsi="Times New Roman" w:cs="Times New Roman"/>
        </w:rPr>
        <w:t>A</w:t>
      </w:r>
      <w:r w:rsidR="000B3E6E" w:rsidRPr="00E03BF8">
        <w:rPr>
          <w:rFonts w:ascii="Times New Roman" w:hAnsi="Times New Roman" w:cs="Times New Roman"/>
        </w:rPr>
        <w:t xml:space="preserve">ll nitrooxyalkyl radicals </w:t>
      </w:r>
      <w:r w:rsidR="000B3E6E">
        <w:rPr>
          <w:rFonts w:ascii="Times New Roman" w:hAnsi="Times New Roman" w:cs="Times New Roman"/>
        </w:rPr>
        <w:t xml:space="preserve">then </w:t>
      </w:r>
      <w:r w:rsidR="008D3F45" w:rsidRPr="00E03BF8">
        <w:rPr>
          <w:rFonts w:ascii="Times New Roman" w:hAnsi="Times New Roman" w:cs="Times New Roman"/>
        </w:rPr>
        <w:t>add</w:t>
      </w:r>
      <w:r w:rsidR="000B3E6E">
        <w:rPr>
          <w:rFonts w:ascii="Times New Roman" w:hAnsi="Times New Roman" w:cs="Times New Roman"/>
        </w:rPr>
        <w:t>ed</w:t>
      </w:r>
      <w:r w:rsidR="008D3F45" w:rsidRPr="00E03BF8">
        <w:rPr>
          <w:rFonts w:ascii="Times New Roman" w:hAnsi="Times New Roman" w:cs="Times New Roman"/>
        </w:rPr>
        <w:t xml:space="preserve"> </w:t>
      </w:r>
      <w:r w:rsidR="000B3E6E">
        <w:rPr>
          <w:rFonts w:ascii="Times New Roman" w:hAnsi="Times New Roman" w:cs="Times New Roman"/>
        </w:rPr>
        <w:t>O</w:t>
      </w:r>
      <w:r w:rsidR="000B3E6E" w:rsidRPr="000B3E6E">
        <w:rPr>
          <w:rFonts w:ascii="Times New Roman" w:hAnsi="Times New Roman" w:cs="Times New Roman"/>
          <w:vertAlign w:val="subscript"/>
        </w:rPr>
        <w:t>2</w:t>
      </w:r>
      <w:r w:rsidR="000B3E6E">
        <w:rPr>
          <w:rFonts w:ascii="Times New Roman" w:hAnsi="Times New Roman" w:cs="Times New Roman"/>
        </w:rPr>
        <w:t xml:space="preserve"> </w:t>
      </w:r>
      <w:r w:rsidR="008D3F45" w:rsidRPr="00E03BF8">
        <w:rPr>
          <w:rFonts w:ascii="Times New Roman" w:hAnsi="Times New Roman" w:cs="Times New Roman"/>
        </w:rPr>
        <w:t>to form</w:t>
      </w:r>
      <w:r w:rsidR="00CE4DDA" w:rsidRPr="00E03BF8">
        <w:rPr>
          <w:rFonts w:ascii="Times New Roman" w:hAnsi="Times New Roman" w:cs="Times New Roman"/>
        </w:rPr>
        <w:t xml:space="preserve"> nitrooxy</w:t>
      </w:r>
      <w:r w:rsidR="008D3F45" w:rsidRPr="00E03BF8">
        <w:rPr>
          <w:rFonts w:ascii="Times New Roman" w:hAnsi="Times New Roman" w:cs="Times New Roman"/>
        </w:rPr>
        <w:t>peroxy radical</w:t>
      </w:r>
      <w:r w:rsidR="000B3E6E">
        <w:rPr>
          <w:rFonts w:ascii="Times New Roman" w:hAnsi="Times New Roman" w:cs="Times New Roman"/>
        </w:rPr>
        <w:t>s, which reacted with NO</w:t>
      </w:r>
      <w:r w:rsidR="008D3F45" w:rsidRPr="00E03BF8">
        <w:rPr>
          <w:rFonts w:ascii="Times New Roman" w:hAnsi="Times New Roman" w:cs="Times New Roman"/>
        </w:rPr>
        <w:t xml:space="preserve"> </w:t>
      </w:r>
      <w:r w:rsidR="000B3E6E">
        <w:rPr>
          <w:rFonts w:ascii="Times New Roman" w:hAnsi="Times New Roman" w:cs="Times New Roman"/>
        </w:rPr>
        <w:t>to form dinitrates or nitrooxyalkoxy radicals with branching ratios of 0.288 and 0.712</w:t>
      </w:r>
      <w:r w:rsidR="008D3F45" w:rsidRPr="00E03BF8">
        <w:rPr>
          <w:rFonts w:ascii="Times New Roman" w:hAnsi="Times New Roman" w:cs="Times New Roman"/>
        </w:rPr>
        <w:t xml:space="preserve"> </w:t>
      </w:r>
      <w:r w:rsidR="007B777B" w:rsidRPr="00E03BF8">
        <w:rPr>
          <w:rFonts w:ascii="Times New Roman" w:hAnsi="Times New Roman" w:cs="Times New Roman"/>
        </w:rPr>
        <w:t>(</w:t>
      </w:r>
      <w:r w:rsidR="008D3F45" w:rsidRPr="00E03BF8">
        <w:rPr>
          <w:rFonts w:ascii="Times New Roman" w:hAnsi="Times New Roman" w:cs="Times New Roman"/>
        </w:rPr>
        <w:t>Yeh and Ziemann 2014</w:t>
      </w:r>
      <w:r w:rsidR="007B777B" w:rsidRPr="00E03BF8">
        <w:rPr>
          <w:rFonts w:ascii="Times New Roman" w:hAnsi="Times New Roman" w:cs="Times New Roman"/>
        </w:rPr>
        <w:t>)</w:t>
      </w:r>
      <w:r w:rsidR="008D3F45" w:rsidRPr="00E03BF8">
        <w:rPr>
          <w:rFonts w:ascii="Times New Roman" w:hAnsi="Times New Roman" w:cs="Times New Roman"/>
        </w:rPr>
        <w:t xml:space="preserve">. The </w:t>
      </w:r>
      <w:r w:rsidR="00A3417D" w:rsidRPr="00E03BF8">
        <w:rPr>
          <w:rFonts w:ascii="Times New Roman" w:hAnsi="Times New Roman" w:cs="Times New Roman"/>
        </w:rPr>
        <w:t>nitrooxy</w:t>
      </w:r>
      <w:r w:rsidR="008D3F45" w:rsidRPr="00E03BF8">
        <w:rPr>
          <w:rFonts w:ascii="Times New Roman" w:hAnsi="Times New Roman" w:cs="Times New Roman"/>
        </w:rPr>
        <w:t>alkoxy radical</w:t>
      </w:r>
      <w:r w:rsidR="000B3E6E">
        <w:rPr>
          <w:rFonts w:ascii="Times New Roman" w:hAnsi="Times New Roman" w:cs="Times New Roman"/>
        </w:rPr>
        <w:t xml:space="preserve">s </w:t>
      </w:r>
      <w:r w:rsidR="0030680A">
        <w:rPr>
          <w:rFonts w:ascii="Times New Roman" w:hAnsi="Times New Roman" w:cs="Times New Roman"/>
        </w:rPr>
        <w:t>either reacted with O</w:t>
      </w:r>
      <w:r w:rsidR="0030680A" w:rsidRPr="0030680A">
        <w:rPr>
          <w:rFonts w:ascii="Times New Roman" w:hAnsi="Times New Roman" w:cs="Times New Roman"/>
          <w:vertAlign w:val="subscript"/>
        </w:rPr>
        <w:t>2</w:t>
      </w:r>
      <w:r w:rsidR="0030680A">
        <w:rPr>
          <w:rFonts w:ascii="Times New Roman" w:hAnsi="Times New Roman" w:cs="Times New Roman"/>
        </w:rPr>
        <w:t xml:space="preserve"> with an isomer-independent rate constant of </w:t>
      </w:r>
      <w:r w:rsidR="0030680A" w:rsidRPr="00E03BF8">
        <w:rPr>
          <w:rFonts w:ascii="Times New Roman" w:hAnsi="Times New Roman" w:cs="Times New Roman"/>
        </w:rPr>
        <w:t xml:space="preserve">3.9 </w:t>
      </w:r>
      <w:r w:rsidR="0030680A" w:rsidRPr="00C2259F">
        <w:rPr>
          <w:rFonts w:ascii="Times New Roman" w:hAnsi="Times New Roman"/>
          <w:color w:val="222222"/>
          <w:shd w:val="clear" w:color="auto" w:fill="FFFFFF"/>
        </w:rPr>
        <w:t>×</w:t>
      </w:r>
      <w:r w:rsidR="0030680A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30680A" w:rsidRPr="00E03BF8">
        <w:rPr>
          <w:rFonts w:ascii="Times New Roman" w:hAnsi="Times New Roman" w:cs="Times New Roman"/>
        </w:rPr>
        <w:t>10</w:t>
      </w:r>
      <w:r w:rsidR="0030680A" w:rsidRPr="00E03BF8">
        <w:rPr>
          <w:rFonts w:ascii="Times New Roman" w:hAnsi="Times New Roman" w:cs="Times New Roman"/>
          <w:vertAlign w:val="superscript"/>
        </w:rPr>
        <w:t>6</w:t>
      </w:r>
      <w:r w:rsidR="0030680A" w:rsidRPr="00E03BF8">
        <w:rPr>
          <w:rFonts w:ascii="Times New Roman" w:hAnsi="Times New Roman" w:cs="Times New Roman"/>
        </w:rPr>
        <w:t xml:space="preserve"> s</w:t>
      </w:r>
      <w:r w:rsidR="0030680A" w:rsidRPr="00E03BF8">
        <w:rPr>
          <w:rFonts w:ascii="Times New Roman" w:hAnsi="Times New Roman" w:cs="Times New Roman"/>
          <w:vertAlign w:val="superscript"/>
        </w:rPr>
        <w:t>-1</w:t>
      </w:r>
      <w:r w:rsidR="0030680A">
        <w:rPr>
          <w:rFonts w:ascii="Times New Roman" w:hAnsi="Times New Roman" w:cs="Times New Roman"/>
        </w:rPr>
        <w:t xml:space="preserve"> (Atkinson 2007, corrected for Boulder, CO pressure),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 xml:space="preserve">or they </w:t>
      </w:r>
      <w:r w:rsidR="008D3F45" w:rsidRPr="00E03BF8">
        <w:rPr>
          <w:rFonts w:ascii="Times New Roman" w:hAnsi="Times New Roman" w:cs="Times New Roman"/>
        </w:rPr>
        <w:t>decompos</w:t>
      </w:r>
      <w:r w:rsidR="0030680A">
        <w:rPr>
          <w:rFonts w:ascii="Times New Roman" w:hAnsi="Times New Roman" w:cs="Times New Roman"/>
        </w:rPr>
        <w:t>ed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 xml:space="preserve">or isomerized with isomer-specific rate constants calculated using the structure-activity relationships of </w:t>
      </w:r>
      <w:r w:rsidR="008D3F45" w:rsidRPr="00E03BF8">
        <w:rPr>
          <w:rFonts w:ascii="Times New Roman" w:hAnsi="Times New Roman" w:cs="Times New Roman"/>
        </w:rPr>
        <w:t>Vereeken and Peeter</w:t>
      </w:r>
      <w:r w:rsidR="007B777B" w:rsidRPr="00E03BF8">
        <w:rPr>
          <w:rFonts w:ascii="Times New Roman" w:hAnsi="Times New Roman" w:cs="Times New Roman"/>
        </w:rPr>
        <w:t>s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>(</w:t>
      </w:r>
      <w:r w:rsidR="008D3F45" w:rsidRPr="00E03BF8">
        <w:rPr>
          <w:rFonts w:ascii="Times New Roman" w:hAnsi="Times New Roman" w:cs="Times New Roman"/>
        </w:rPr>
        <w:t>2009</w:t>
      </w:r>
      <w:r w:rsidR="0030680A">
        <w:rPr>
          <w:rFonts w:ascii="Times New Roman" w:hAnsi="Times New Roman" w:cs="Times New Roman"/>
        </w:rPr>
        <w:t>, 2010</w:t>
      </w:r>
      <w:r w:rsidR="007B777B" w:rsidRPr="00E03BF8">
        <w:rPr>
          <w:rFonts w:ascii="Times New Roman" w:hAnsi="Times New Roman" w:cs="Times New Roman"/>
        </w:rPr>
        <w:t>)</w:t>
      </w:r>
      <w:r w:rsidR="0030680A">
        <w:rPr>
          <w:rFonts w:ascii="Times New Roman" w:hAnsi="Times New Roman" w:cs="Times New Roman"/>
        </w:rPr>
        <w:t xml:space="preserve"> that </w:t>
      </w:r>
      <w:r w:rsidR="008D3F45" w:rsidRPr="00E03BF8">
        <w:rPr>
          <w:rFonts w:ascii="Times New Roman" w:hAnsi="Times New Roman" w:cs="Times New Roman"/>
        </w:rPr>
        <w:t xml:space="preserve">varied with </w:t>
      </w:r>
      <w:r w:rsidR="0030680A">
        <w:rPr>
          <w:rFonts w:ascii="Times New Roman" w:hAnsi="Times New Roman" w:cs="Times New Roman"/>
        </w:rPr>
        <w:t xml:space="preserve">the </w:t>
      </w:r>
      <w:r w:rsidR="008D3F45" w:rsidRPr="00E03BF8">
        <w:rPr>
          <w:rFonts w:ascii="Times New Roman" w:hAnsi="Times New Roman" w:cs="Times New Roman"/>
        </w:rPr>
        <w:t xml:space="preserve">degree of substitution and relative position to the </w:t>
      </w:r>
      <w:r w:rsidR="00A3417D" w:rsidRPr="00E03BF8">
        <w:rPr>
          <w:rFonts w:ascii="Times New Roman" w:hAnsi="Times New Roman" w:cs="Times New Roman"/>
        </w:rPr>
        <w:t>nitrate</w:t>
      </w:r>
      <w:r w:rsidR="008D3F45" w:rsidRPr="00E03BF8">
        <w:rPr>
          <w:rFonts w:ascii="Times New Roman" w:hAnsi="Times New Roman" w:cs="Times New Roman"/>
        </w:rPr>
        <w:t xml:space="preserve"> group. </w:t>
      </w:r>
      <w:r w:rsidR="0030680A">
        <w:rPr>
          <w:rFonts w:ascii="Times New Roman" w:hAnsi="Times New Roman" w:cs="Times New Roman"/>
        </w:rPr>
        <w:t>Following</w:t>
      </w:r>
      <w:r w:rsidR="008D3F45" w:rsidRPr="00E03BF8">
        <w:rPr>
          <w:rFonts w:ascii="Times New Roman" w:hAnsi="Times New Roman" w:cs="Times New Roman"/>
        </w:rPr>
        <w:t xml:space="preserve"> isomerization</w:t>
      </w:r>
      <w:r w:rsidR="0030680A">
        <w:rPr>
          <w:rFonts w:ascii="Times New Roman" w:hAnsi="Times New Roman" w:cs="Times New Roman"/>
        </w:rPr>
        <w:t xml:space="preserve"> via a 1,5-H-shift and addition of O</w:t>
      </w:r>
      <w:r w:rsidR="0030680A" w:rsidRPr="0030680A">
        <w:rPr>
          <w:rFonts w:ascii="Times New Roman" w:hAnsi="Times New Roman" w:cs="Times New Roman"/>
          <w:vertAlign w:val="subscript"/>
        </w:rPr>
        <w:t>2</w:t>
      </w:r>
      <w:r w:rsidR="0030680A">
        <w:rPr>
          <w:rFonts w:ascii="Times New Roman" w:hAnsi="Times New Roman" w:cs="Times New Roman"/>
        </w:rPr>
        <w:t>,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 xml:space="preserve">the </w:t>
      </w:r>
      <w:r w:rsidR="00A3417D" w:rsidRPr="00E03BF8">
        <w:rPr>
          <w:rFonts w:ascii="Times New Roman" w:hAnsi="Times New Roman" w:cs="Times New Roman"/>
        </w:rPr>
        <w:t>nitrooxy</w:t>
      </w:r>
      <w:r w:rsidR="008D3F45" w:rsidRPr="00E03BF8">
        <w:rPr>
          <w:rFonts w:ascii="Times New Roman" w:hAnsi="Times New Roman" w:cs="Times New Roman"/>
        </w:rPr>
        <w:t>hydroxy peroxy radical</w:t>
      </w:r>
      <w:r w:rsidR="0030680A">
        <w:rPr>
          <w:rFonts w:ascii="Times New Roman" w:hAnsi="Times New Roman" w:cs="Times New Roman"/>
        </w:rPr>
        <w:t>s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 xml:space="preserve">formed react with </w:t>
      </w:r>
      <w:r w:rsidR="008D3F45" w:rsidRPr="00E03BF8">
        <w:rPr>
          <w:rFonts w:ascii="Times New Roman" w:hAnsi="Times New Roman" w:cs="Times New Roman"/>
        </w:rPr>
        <w:t xml:space="preserve">NO to form </w:t>
      </w:r>
      <w:r w:rsidR="0030680A">
        <w:rPr>
          <w:rFonts w:ascii="Times New Roman" w:hAnsi="Times New Roman" w:cs="Times New Roman"/>
        </w:rPr>
        <w:t xml:space="preserve">either an </w:t>
      </w:r>
      <w:r w:rsidR="00A3417D" w:rsidRPr="00E03BF8">
        <w:rPr>
          <w:rFonts w:ascii="Times New Roman" w:hAnsi="Times New Roman" w:cs="Times New Roman"/>
        </w:rPr>
        <w:t>NHN</w:t>
      </w:r>
      <w:r w:rsidR="008D3F45" w:rsidRPr="00E03BF8">
        <w:rPr>
          <w:rFonts w:ascii="Times New Roman" w:hAnsi="Times New Roman" w:cs="Times New Roman"/>
        </w:rPr>
        <w:t xml:space="preserve"> </w:t>
      </w:r>
      <w:r w:rsidR="0030680A">
        <w:rPr>
          <w:rFonts w:ascii="Times New Roman" w:hAnsi="Times New Roman" w:cs="Times New Roman"/>
        </w:rPr>
        <w:t>(</w:t>
      </w:r>
      <w:r w:rsidR="008D3F45" w:rsidRPr="00E03BF8">
        <w:rPr>
          <w:rFonts w:ascii="Times New Roman" w:hAnsi="Times New Roman" w:cs="Times New Roman"/>
        </w:rPr>
        <w:t>an “isomeriz</w:t>
      </w:r>
      <w:r w:rsidR="000B3E6E">
        <w:rPr>
          <w:rFonts w:ascii="Times New Roman" w:hAnsi="Times New Roman" w:cs="Times New Roman"/>
        </w:rPr>
        <w:t xml:space="preserve">ation </w:t>
      </w:r>
      <w:r w:rsidR="008D3F45" w:rsidRPr="00E03BF8">
        <w:rPr>
          <w:rFonts w:ascii="Times New Roman" w:hAnsi="Times New Roman" w:cs="Times New Roman"/>
        </w:rPr>
        <w:t>product”</w:t>
      </w:r>
      <w:r w:rsidR="0030680A">
        <w:rPr>
          <w:rFonts w:ascii="Times New Roman" w:hAnsi="Times New Roman" w:cs="Times New Roman"/>
        </w:rPr>
        <w:t>)</w:t>
      </w:r>
      <w:r w:rsidR="008D3F45" w:rsidRPr="00E03BF8">
        <w:rPr>
          <w:rFonts w:ascii="Times New Roman" w:hAnsi="Times New Roman" w:cs="Times New Roman"/>
        </w:rPr>
        <w:t xml:space="preserve"> or a </w:t>
      </w:r>
      <w:r w:rsidR="00A3417D" w:rsidRPr="00E03BF8">
        <w:rPr>
          <w:rFonts w:ascii="Times New Roman" w:hAnsi="Times New Roman" w:cs="Times New Roman"/>
        </w:rPr>
        <w:t>nitrooxy</w:t>
      </w:r>
      <w:r w:rsidR="008D3F45" w:rsidRPr="00E03BF8">
        <w:rPr>
          <w:rFonts w:ascii="Times New Roman" w:hAnsi="Times New Roman" w:cs="Times New Roman"/>
        </w:rPr>
        <w:t>hydroxy alkoxy radical</w:t>
      </w:r>
      <w:r w:rsidR="0030680A">
        <w:rPr>
          <w:rFonts w:ascii="Times New Roman" w:hAnsi="Times New Roman" w:cs="Times New Roman"/>
        </w:rPr>
        <w:t>,</w:t>
      </w:r>
      <w:r w:rsidR="008D3F45" w:rsidRPr="00E03BF8">
        <w:rPr>
          <w:rFonts w:ascii="Times New Roman" w:hAnsi="Times New Roman" w:cs="Times New Roman"/>
        </w:rPr>
        <w:t xml:space="preserve"> which can reverse isomerize to </w:t>
      </w:r>
      <w:r w:rsidR="0030680A">
        <w:rPr>
          <w:rFonts w:ascii="Times New Roman" w:hAnsi="Times New Roman" w:cs="Times New Roman"/>
        </w:rPr>
        <w:t xml:space="preserve">form </w:t>
      </w:r>
      <w:r w:rsidR="008D3F45" w:rsidRPr="00E03BF8">
        <w:rPr>
          <w:rFonts w:ascii="Times New Roman" w:hAnsi="Times New Roman" w:cs="Times New Roman"/>
        </w:rPr>
        <w:t>a</w:t>
      </w:r>
      <w:r w:rsidR="0030680A">
        <w:rPr>
          <w:rFonts w:ascii="Times New Roman" w:hAnsi="Times New Roman" w:cs="Times New Roman"/>
        </w:rPr>
        <w:t>n</w:t>
      </w:r>
      <w:r w:rsidR="008D3F45" w:rsidRPr="00E03BF8">
        <w:rPr>
          <w:rFonts w:ascii="Times New Roman" w:hAnsi="Times New Roman" w:cs="Times New Roman"/>
        </w:rPr>
        <w:t xml:space="preserve"> </w:t>
      </w:r>
      <w:r w:rsidR="00A3417D" w:rsidRPr="00E03BF8">
        <w:rPr>
          <w:rFonts w:ascii="Times New Roman" w:hAnsi="Times New Roman" w:cs="Times New Roman"/>
        </w:rPr>
        <w:t>NHC</w:t>
      </w:r>
      <w:r w:rsidR="0030680A">
        <w:rPr>
          <w:rFonts w:ascii="Times New Roman" w:hAnsi="Times New Roman" w:cs="Times New Roman"/>
        </w:rPr>
        <w:t xml:space="preserve"> (</w:t>
      </w:r>
      <w:r w:rsidR="008D3F45" w:rsidRPr="00E03BF8">
        <w:rPr>
          <w:rFonts w:ascii="Times New Roman" w:hAnsi="Times New Roman" w:cs="Times New Roman"/>
        </w:rPr>
        <w:t>another “isomeriz</w:t>
      </w:r>
      <w:r w:rsidR="000B3E6E">
        <w:rPr>
          <w:rFonts w:ascii="Times New Roman" w:hAnsi="Times New Roman" w:cs="Times New Roman"/>
        </w:rPr>
        <w:t>ation</w:t>
      </w:r>
      <w:r w:rsidR="008D3F45" w:rsidRPr="00E03BF8">
        <w:rPr>
          <w:rFonts w:ascii="Times New Roman" w:hAnsi="Times New Roman" w:cs="Times New Roman"/>
        </w:rPr>
        <w:t xml:space="preserve"> </w:t>
      </w:r>
      <w:r w:rsidR="00A3417D" w:rsidRPr="00E03BF8">
        <w:rPr>
          <w:rFonts w:ascii="Times New Roman" w:hAnsi="Times New Roman" w:cs="Times New Roman"/>
        </w:rPr>
        <w:t>product</w:t>
      </w:r>
      <w:r w:rsidR="008D3F45" w:rsidRPr="00E03BF8">
        <w:rPr>
          <w:rFonts w:ascii="Times New Roman" w:hAnsi="Times New Roman" w:cs="Times New Roman"/>
        </w:rPr>
        <w:t>”</w:t>
      </w:r>
      <w:r w:rsidR="0030680A">
        <w:rPr>
          <w:rFonts w:ascii="Times New Roman" w:hAnsi="Times New Roman" w:cs="Times New Roman"/>
        </w:rPr>
        <w:t>).</w:t>
      </w:r>
      <w:r w:rsidR="008D3F45" w:rsidRPr="00E03BF8">
        <w:rPr>
          <w:rFonts w:ascii="Times New Roman" w:hAnsi="Times New Roman" w:cs="Times New Roman"/>
        </w:rPr>
        <w:t xml:space="preserve"> </w:t>
      </w:r>
      <w:r w:rsidR="008D3F45">
        <w:rPr>
          <w:rFonts w:ascii="Times New Roman" w:hAnsi="Times New Roman" w:cs="Times New Roman"/>
        </w:rPr>
        <w:t xml:space="preserve">If, however, the alkoxy radical </w:t>
      </w:r>
      <w:r w:rsidR="00D801C7">
        <w:rPr>
          <w:rFonts w:ascii="Times New Roman" w:hAnsi="Times New Roman" w:cs="Times New Roman"/>
        </w:rPr>
        <w:t xml:space="preserve">site </w:t>
      </w:r>
      <w:r w:rsidR="008D3F45">
        <w:rPr>
          <w:rFonts w:ascii="Times New Roman" w:hAnsi="Times New Roman" w:cs="Times New Roman"/>
        </w:rPr>
        <w:t xml:space="preserve">is </w:t>
      </w:r>
      <w:r w:rsidR="00586E38">
        <w:rPr>
          <w:rFonts w:ascii="Times New Roman" w:hAnsi="Times New Roman" w:cs="Times New Roman"/>
        </w:rPr>
        <w:t xml:space="preserve">located </w:t>
      </w:r>
      <w:r w:rsidR="008C3910">
        <w:rPr>
          <w:rFonts w:ascii="Times New Roman" w:hAnsi="Times New Roman" w:cs="Times New Roman"/>
        </w:rPr>
        <w:t>on an α or β</w:t>
      </w:r>
      <w:r w:rsidR="00586E38">
        <w:rPr>
          <w:rFonts w:ascii="Times New Roman" w:hAnsi="Times New Roman" w:cs="Times New Roman"/>
        </w:rPr>
        <w:t xml:space="preserve"> </w:t>
      </w:r>
      <w:r w:rsidR="008C3910">
        <w:rPr>
          <w:rFonts w:ascii="Times New Roman" w:hAnsi="Times New Roman" w:cs="Times New Roman"/>
        </w:rPr>
        <w:t>carbon</w:t>
      </w:r>
      <w:r w:rsidR="00586E38">
        <w:rPr>
          <w:rFonts w:ascii="Times New Roman" w:hAnsi="Times New Roman" w:cs="Times New Roman"/>
        </w:rPr>
        <w:t xml:space="preserve"> relative to the nitrate group</w:t>
      </w:r>
      <w:r w:rsidR="008C3910">
        <w:rPr>
          <w:rFonts w:ascii="Times New Roman" w:hAnsi="Times New Roman" w:cs="Times New Roman"/>
        </w:rPr>
        <w:t xml:space="preserve">, </w:t>
      </w:r>
      <w:r w:rsidR="008D3F45">
        <w:rPr>
          <w:rFonts w:ascii="Times New Roman" w:hAnsi="Times New Roman" w:cs="Times New Roman"/>
        </w:rPr>
        <w:t xml:space="preserve">it </w:t>
      </w:r>
      <w:r w:rsidR="00A3417D">
        <w:rPr>
          <w:rFonts w:ascii="Times New Roman" w:hAnsi="Times New Roman" w:cs="Times New Roman"/>
        </w:rPr>
        <w:t>can</w:t>
      </w:r>
      <w:r w:rsidR="008D3F45">
        <w:rPr>
          <w:rFonts w:ascii="Times New Roman" w:hAnsi="Times New Roman" w:cs="Times New Roman"/>
        </w:rPr>
        <w:t xml:space="preserve"> decompose.</w:t>
      </w:r>
      <w:r w:rsidR="00A3417D">
        <w:rPr>
          <w:rFonts w:ascii="Times New Roman" w:hAnsi="Times New Roman" w:cs="Times New Roman"/>
        </w:rPr>
        <w:t xml:space="preserve"> </w:t>
      </w:r>
      <w:r w:rsidR="00586E38">
        <w:rPr>
          <w:rFonts w:ascii="Times New Roman" w:hAnsi="Times New Roman" w:cs="Times New Roman"/>
        </w:rPr>
        <w:t>Because r</w:t>
      </w:r>
      <w:r w:rsidR="0001159E">
        <w:rPr>
          <w:rFonts w:ascii="Times New Roman" w:hAnsi="Times New Roman" w:cs="Times New Roman"/>
        </w:rPr>
        <w:t xml:space="preserve">ecent </w:t>
      </w:r>
      <w:r w:rsidR="00586E38">
        <w:rPr>
          <w:rFonts w:ascii="Times New Roman" w:hAnsi="Times New Roman" w:cs="Times New Roman"/>
        </w:rPr>
        <w:t>work (</w:t>
      </w:r>
      <w:r w:rsidR="00586E38" w:rsidRPr="007B777B">
        <w:rPr>
          <w:rFonts w:ascii="Times New Roman" w:hAnsi="Times New Roman" w:cs="Times New Roman"/>
        </w:rPr>
        <w:t>Yeh</w:t>
      </w:r>
      <w:r w:rsidR="00586E38">
        <w:rPr>
          <w:rFonts w:ascii="Times New Roman" w:hAnsi="Times New Roman" w:cs="Times New Roman"/>
        </w:rPr>
        <w:t>, Claflin, and Ziemann</w:t>
      </w:r>
      <w:r w:rsidR="00586E38" w:rsidRPr="007B777B">
        <w:rPr>
          <w:rFonts w:ascii="Times New Roman" w:hAnsi="Times New Roman" w:cs="Times New Roman"/>
        </w:rPr>
        <w:t xml:space="preserve"> 2015)</w:t>
      </w:r>
      <w:r w:rsidR="00A00696">
        <w:rPr>
          <w:rFonts w:ascii="Times New Roman" w:hAnsi="Times New Roman" w:cs="Times New Roman"/>
        </w:rPr>
        <w:t xml:space="preserve"> indicates</w:t>
      </w:r>
      <w:r w:rsidR="0001159E">
        <w:rPr>
          <w:rFonts w:ascii="Times New Roman" w:hAnsi="Times New Roman" w:cs="Times New Roman"/>
        </w:rPr>
        <w:t xml:space="preserve"> that </w:t>
      </w:r>
      <w:r w:rsidR="00586E38">
        <w:rPr>
          <w:rFonts w:ascii="Times New Roman" w:hAnsi="Times New Roman" w:cs="Times New Roman"/>
        </w:rPr>
        <w:t xml:space="preserve">the method of </w:t>
      </w:r>
      <w:r w:rsidR="0001159E">
        <w:rPr>
          <w:rFonts w:ascii="Times New Roman" w:hAnsi="Times New Roman" w:cs="Times New Roman"/>
        </w:rPr>
        <w:t>Veree</w:t>
      </w:r>
      <w:r w:rsidR="00586E38">
        <w:rPr>
          <w:rFonts w:ascii="Times New Roman" w:hAnsi="Times New Roman" w:cs="Times New Roman"/>
        </w:rPr>
        <w:t>c</w:t>
      </w:r>
      <w:r w:rsidR="0001159E">
        <w:rPr>
          <w:rFonts w:ascii="Times New Roman" w:hAnsi="Times New Roman" w:cs="Times New Roman"/>
        </w:rPr>
        <w:t xml:space="preserve">ken and Peeters </w:t>
      </w:r>
      <w:r w:rsidR="00586E38">
        <w:rPr>
          <w:rFonts w:ascii="Times New Roman" w:hAnsi="Times New Roman" w:cs="Times New Roman"/>
        </w:rPr>
        <w:t xml:space="preserve">(2009) </w:t>
      </w:r>
      <w:r w:rsidR="00A00696">
        <w:rPr>
          <w:rFonts w:ascii="Times New Roman" w:hAnsi="Times New Roman" w:cs="Times New Roman"/>
        </w:rPr>
        <w:t xml:space="preserve">overestimates the barrier for </w:t>
      </w:r>
      <w:r w:rsidR="00586E38">
        <w:rPr>
          <w:rFonts w:ascii="Times New Roman" w:hAnsi="Times New Roman" w:cs="Times New Roman"/>
        </w:rPr>
        <w:t>the decomposition of a β-nitrooxy</w:t>
      </w:r>
      <w:r w:rsidR="0001159E">
        <w:rPr>
          <w:rFonts w:ascii="Times New Roman" w:hAnsi="Times New Roman" w:cs="Times New Roman"/>
        </w:rPr>
        <w:t>alkoxy radical</w:t>
      </w:r>
      <w:r w:rsidR="00A00696">
        <w:rPr>
          <w:rFonts w:ascii="Times New Roman" w:hAnsi="Times New Roman" w:cs="Times New Roman"/>
        </w:rPr>
        <w:t xml:space="preserve"> by 3.7 kcal mol</w:t>
      </w:r>
      <w:r w:rsidR="00A00696" w:rsidRPr="00BA05CA">
        <w:rPr>
          <w:rFonts w:ascii="Times New Roman" w:hAnsi="Times New Roman" w:cs="Times New Roman"/>
          <w:vertAlign w:val="superscript"/>
        </w:rPr>
        <w:t>-</w:t>
      </w:r>
      <w:r w:rsidR="00A00696" w:rsidRPr="007B777B">
        <w:rPr>
          <w:rFonts w:ascii="Times New Roman" w:hAnsi="Times New Roman" w:cs="Times New Roman"/>
          <w:vertAlign w:val="superscript"/>
        </w:rPr>
        <w:t>1</w:t>
      </w:r>
      <w:r w:rsidR="00A00696">
        <w:rPr>
          <w:rFonts w:ascii="Times New Roman" w:hAnsi="Times New Roman" w:cs="Times New Roman"/>
        </w:rPr>
        <w:t xml:space="preserve">, the </w:t>
      </w:r>
      <w:r w:rsidR="0001159E">
        <w:rPr>
          <w:rFonts w:ascii="Times New Roman" w:hAnsi="Times New Roman" w:cs="Times New Roman"/>
        </w:rPr>
        <w:t>rate constants</w:t>
      </w:r>
      <w:r w:rsidR="0075139F">
        <w:rPr>
          <w:rFonts w:ascii="Times New Roman" w:hAnsi="Times New Roman" w:cs="Times New Roman"/>
        </w:rPr>
        <w:t xml:space="preserve"> for</w:t>
      </w:r>
      <w:r w:rsidR="0001159E">
        <w:rPr>
          <w:rFonts w:ascii="Times New Roman" w:hAnsi="Times New Roman" w:cs="Times New Roman"/>
        </w:rPr>
        <w:t xml:space="preserve"> β-nitroxyalkoxy radical decomposition </w:t>
      </w:r>
      <w:r w:rsidR="00D1647D">
        <w:rPr>
          <w:rFonts w:ascii="Times New Roman" w:hAnsi="Times New Roman" w:cs="Times New Roman"/>
        </w:rPr>
        <w:t xml:space="preserve">calculated using the method of Vereeken and Peeters (2009) </w:t>
      </w:r>
      <w:r w:rsidR="0001159E">
        <w:rPr>
          <w:rFonts w:ascii="Times New Roman" w:hAnsi="Times New Roman" w:cs="Times New Roman"/>
        </w:rPr>
        <w:t xml:space="preserve">were increased </w:t>
      </w:r>
      <w:r w:rsidR="00D1647D">
        <w:rPr>
          <w:rFonts w:ascii="Times New Roman" w:hAnsi="Times New Roman" w:cs="Times New Roman"/>
        </w:rPr>
        <w:t xml:space="preserve">by a factor of </w:t>
      </w:r>
      <w:r w:rsidR="0001159E">
        <w:rPr>
          <w:rFonts w:ascii="Times New Roman" w:hAnsi="Times New Roman" w:cs="Times New Roman"/>
        </w:rPr>
        <w:t xml:space="preserve">100 </w:t>
      </w:r>
      <w:r w:rsidR="00D1647D">
        <w:rPr>
          <w:rFonts w:ascii="Times New Roman" w:hAnsi="Times New Roman" w:cs="Times New Roman"/>
        </w:rPr>
        <w:t>to account for this difference</w:t>
      </w:r>
      <w:r w:rsidR="0001159E">
        <w:rPr>
          <w:rFonts w:ascii="Times New Roman" w:hAnsi="Times New Roman" w:cs="Times New Roman"/>
        </w:rPr>
        <w:t xml:space="preserve">. </w:t>
      </w:r>
      <w:r w:rsidR="00D1647D">
        <w:rPr>
          <w:rFonts w:ascii="Times New Roman" w:hAnsi="Times New Roman" w:cs="Times New Roman"/>
        </w:rPr>
        <w:t xml:space="preserve">This correction significantly increased </w:t>
      </w:r>
      <w:r w:rsidR="0001159E">
        <w:rPr>
          <w:rFonts w:ascii="Times New Roman" w:hAnsi="Times New Roman" w:cs="Times New Roman"/>
        </w:rPr>
        <w:t xml:space="preserve">the </w:t>
      </w:r>
      <w:r w:rsidR="00D1647D">
        <w:rPr>
          <w:rFonts w:ascii="Times New Roman" w:hAnsi="Times New Roman" w:cs="Times New Roman"/>
        </w:rPr>
        <w:t>yields of decomposi</w:t>
      </w:r>
      <w:r w:rsidR="0001159E">
        <w:rPr>
          <w:rFonts w:ascii="Times New Roman" w:hAnsi="Times New Roman" w:cs="Times New Roman"/>
        </w:rPr>
        <w:t xml:space="preserve">tion products, particularly for </w:t>
      </w:r>
      <w:r w:rsidR="00D1647D">
        <w:rPr>
          <w:rFonts w:ascii="Times New Roman" w:hAnsi="Times New Roman" w:cs="Times New Roman"/>
        </w:rPr>
        <w:t xml:space="preserve">the </w:t>
      </w:r>
      <w:r w:rsidR="0001159E">
        <w:rPr>
          <w:rFonts w:ascii="Times New Roman" w:hAnsi="Times New Roman" w:cs="Times New Roman"/>
        </w:rPr>
        <w:t>4</w:t>
      </w:r>
      <w:r w:rsidR="00D1647D">
        <w:rPr>
          <w:rFonts w:ascii="Times New Roman" w:hAnsi="Times New Roman" w:cs="Times New Roman"/>
        </w:rPr>
        <w:t>-</w:t>
      </w:r>
      <w:r w:rsidR="0001159E">
        <w:rPr>
          <w:rFonts w:ascii="Times New Roman" w:hAnsi="Times New Roman" w:cs="Times New Roman"/>
        </w:rPr>
        <w:t xml:space="preserve"> and 5-decyl nitrate isomers, and </w:t>
      </w:r>
      <w:r w:rsidR="00D1647D">
        <w:rPr>
          <w:rFonts w:ascii="Times New Roman" w:hAnsi="Times New Roman" w:cs="Times New Roman"/>
        </w:rPr>
        <w:t xml:space="preserve">correspondingly </w:t>
      </w:r>
      <w:r w:rsidR="0001159E">
        <w:rPr>
          <w:rFonts w:ascii="Times New Roman" w:hAnsi="Times New Roman" w:cs="Times New Roman"/>
        </w:rPr>
        <w:t xml:space="preserve">decreased </w:t>
      </w:r>
      <w:r w:rsidR="00D1647D">
        <w:rPr>
          <w:rFonts w:ascii="Times New Roman" w:hAnsi="Times New Roman" w:cs="Times New Roman"/>
        </w:rPr>
        <w:t xml:space="preserve">the yields of </w:t>
      </w:r>
      <w:r w:rsidR="0001159E">
        <w:rPr>
          <w:rFonts w:ascii="Times New Roman" w:hAnsi="Times New Roman" w:cs="Times New Roman"/>
        </w:rPr>
        <w:t>isomerization products</w:t>
      </w:r>
      <w:r w:rsidR="00027FFD">
        <w:rPr>
          <w:rFonts w:ascii="Times New Roman" w:hAnsi="Times New Roman" w:cs="Times New Roman"/>
        </w:rPr>
        <w:t xml:space="preserve"> for those isomers</w:t>
      </w:r>
      <w:r w:rsidR="0001159E">
        <w:rPr>
          <w:rFonts w:ascii="Times New Roman" w:hAnsi="Times New Roman" w:cs="Times New Roman"/>
        </w:rPr>
        <w:t xml:space="preserve">. </w:t>
      </w:r>
      <w:r w:rsidR="00D1647D">
        <w:rPr>
          <w:rFonts w:ascii="Times New Roman" w:hAnsi="Times New Roman" w:cs="Times New Roman"/>
        </w:rPr>
        <w:t xml:space="preserve">The </w:t>
      </w:r>
      <w:r w:rsidR="0001159E">
        <w:rPr>
          <w:rFonts w:ascii="Times New Roman" w:hAnsi="Times New Roman" w:cs="Times New Roman"/>
        </w:rPr>
        <w:t xml:space="preserve">key </w:t>
      </w:r>
      <w:r w:rsidR="00D1647D">
        <w:rPr>
          <w:rFonts w:ascii="Times New Roman" w:hAnsi="Times New Roman" w:cs="Times New Roman"/>
        </w:rPr>
        <w:t xml:space="preserve">rate constants used for nitrooxyalkoxy radical </w:t>
      </w:r>
      <w:r w:rsidR="0001159E">
        <w:rPr>
          <w:rFonts w:ascii="Times New Roman" w:hAnsi="Times New Roman" w:cs="Times New Roman"/>
        </w:rPr>
        <w:t xml:space="preserve">decomposition and isomerization </w:t>
      </w:r>
      <w:r w:rsidR="00D1647D">
        <w:rPr>
          <w:rFonts w:ascii="Times New Roman" w:hAnsi="Times New Roman" w:cs="Times New Roman"/>
        </w:rPr>
        <w:t>are given</w:t>
      </w:r>
      <w:r w:rsidR="0001159E">
        <w:rPr>
          <w:rFonts w:ascii="Times New Roman" w:hAnsi="Times New Roman" w:cs="Times New Roman"/>
        </w:rPr>
        <w:t xml:space="preserve"> in Table S1.</w:t>
      </w:r>
    </w:p>
    <w:p w14:paraId="017E90B2" w14:textId="525CBD65" w:rsidR="008D3F45" w:rsidRDefault="008D3F45" w:rsidP="008D3F45">
      <w:pPr>
        <w:rPr>
          <w:rFonts w:ascii="Times New Roman" w:hAnsi="Times New Roman" w:cs="Times New Roman"/>
        </w:rPr>
      </w:pPr>
    </w:p>
    <w:p w14:paraId="2291184A" w14:textId="539BAACA" w:rsidR="008D3F45" w:rsidRDefault="00BE3BEE" w:rsidP="008D3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F3E738" wp14:editId="18A3E6EA">
            <wp:simplePos x="0" y="0"/>
            <wp:positionH relativeFrom="column">
              <wp:posOffset>57150</wp:posOffset>
            </wp:positionH>
            <wp:positionV relativeFrom="paragraph">
              <wp:posOffset>186055</wp:posOffset>
            </wp:positionV>
            <wp:extent cx="5943600" cy="4009924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BA42E" w14:textId="7F67BA13" w:rsidR="00BE3BEE" w:rsidRDefault="00BE3BEE">
      <w:pPr>
        <w:rPr>
          <w:rFonts w:ascii="Times New Roman" w:hAnsi="Times New Roman" w:cs="Times New Roman"/>
        </w:rPr>
      </w:pPr>
    </w:p>
    <w:p w14:paraId="2D3617B2" w14:textId="29DDD7FB" w:rsidR="00BE3BEE" w:rsidRPr="006E3A41" w:rsidRDefault="00BE3BEE" w:rsidP="00BE3BEE">
      <w:pPr>
        <w:rPr>
          <w:rFonts w:ascii="Times New Roman" w:hAnsi="Times New Roman" w:cs="Times New Roman"/>
        </w:rPr>
      </w:pPr>
      <w:r w:rsidRPr="006E3A41">
        <w:rPr>
          <w:rFonts w:ascii="Times New Roman" w:hAnsi="Times New Roman" w:cs="Times New Roman"/>
        </w:rPr>
        <w:t>Figure S</w:t>
      </w:r>
      <w:r w:rsidR="002925AE">
        <w:rPr>
          <w:rFonts w:ascii="Times New Roman" w:hAnsi="Times New Roman" w:cs="Times New Roman"/>
        </w:rPr>
        <w:t>3</w:t>
      </w:r>
      <w:r w:rsidRPr="006E3A41">
        <w:rPr>
          <w:rFonts w:ascii="Times New Roman" w:hAnsi="Times New Roman" w:cs="Times New Roman"/>
        </w:rPr>
        <w:t>. Flow chart of</w:t>
      </w:r>
      <w:r>
        <w:rPr>
          <w:rFonts w:ascii="Times New Roman" w:hAnsi="Times New Roman" w:cs="Times New Roman"/>
        </w:rPr>
        <w:t xml:space="preserve"> </w:t>
      </w:r>
      <w:r w:rsidR="00977711">
        <w:rPr>
          <w:rFonts w:ascii="Times New Roman" w:hAnsi="Times New Roman" w:cs="Times New Roman"/>
        </w:rPr>
        <w:t xml:space="preserve">model </w:t>
      </w:r>
      <w:r w:rsidRPr="006E3A41"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</w:rPr>
        <w:t xml:space="preserve"> formation</w:t>
      </w:r>
      <w:r w:rsidRPr="006E3A41">
        <w:rPr>
          <w:rFonts w:ascii="Times New Roman" w:hAnsi="Times New Roman" w:cs="Times New Roman"/>
        </w:rPr>
        <w:t>.</w:t>
      </w:r>
    </w:p>
    <w:p w14:paraId="495A6DE0" w14:textId="77777777" w:rsidR="00BE3BEE" w:rsidRDefault="00BE3BEE">
      <w:pPr>
        <w:rPr>
          <w:rFonts w:ascii="Times New Roman" w:hAnsi="Times New Roman" w:cs="Times New Roman"/>
        </w:rPr>
      </w:pPr>
    </w:p>
    <w:p w14:paraId="0A4C2064" w14:textId="77777777" w:rsidR="00BE3BEE" w:rsidRDefault="00BE3BEE">
      <w:pPr>
        <w:rPr>
          <w:rFonts w:ascii="Times New Roman" w:hAnsi="Times New Roman" w:cs="Times New Roman"/>
        </w:rPr>
      </w:pPr>
    </w:p>
    <w:p w14:paraId="38F58AE1" w14:textId="77777777" w:rsidR="00BE3BEE" w:rsidRDefault="00BE3BEE">
      <w:pPr>
        <w:rPr>
          <w:rFonts w:ascii="Times New Roman" w:hAnsi="Times New Roman" w:cs="Times New Roman"/>
        </w:rPr>
      </w:pPr>
    </w:p>
    <w:p w14:paraId="5AE2DF11" w14:textId="77777777" w:rsidR="00BE3BEE" w:rsidRDefault="00BE3BEE">
      <w:pPr>
        <w:rPr>
          <w:rFonts w:ascii="Times New Roman" w:hAnsi="Times New Roman" w:cs="Times New Roman"/>
        </w:rPr>
      </w:pPr>
    </w:p>
    <w:p w14:paraId="73C7390C" w14:textId="77777777" w:rsidR="00BE3BEE" w:rsidRDefault="00BE3BEE">
      <w:pPr>
        <w:rPr>
          <w:rFonts w:ascii="Times New Roman" w:hAnsi="Times New Roman" w:cs="Times New Roman"/>
        </w:rPr>
      </w:pPr>
    </w:p>
    <w:p w14:paraId="21D8CAB1" w14:textId="77777777" w:rsidR="00BE3BEE" w:rsidRDefault="00BE3BEE">
      <w:pPr>
        <w:rPr>
          <w:rFonts w:ascii="Times New Roman" w:hAnsi="Times New Roman" w:cs="Times New Roman"/>
        </w:rPr>
      </w:pPr>
    </w:p>
    <w:p w14:paraId="2108152A" w14:textId="77777777" w:rsidR="00BE3BEE" w:rsidRDefault="00BE3BEE">
      <w:pPr>
        <w:rPr>
          <w:rFonts w:ascii="Times New Roman" w:hAnsi="Times New Roman" w:cs="Times New Roman"/>
        </w:rPr>
      </w:pPr>
    </w:p>
    <w:p w14:paraId="594B6B0A" w14:textId="77777777" w:rsidR="00BE3BEE" w:rsidRDefault="00BE3BEE">
      <w:pPr>
        <w:rPr>
          <w:rFonts w:ascii="Times New Roman" w:hAnsi="Times New Roman" w:cs="Times New Roman"/>
        </w:rPr>
      </w:pPr>
    </w:p>
    <w:p w14:paraId="30DDDED4" w14:textId="77777777" w:rsidR="00BE3BEE" w:rsidRDefault="00BE3BEE">
      <w:pPr>
        <w:rPr>
          <w:rFonts w:ascii="Times New Roman" w:hAnsi="Times New Roman" w:cs="Times New Roman"/>
        </w:rPr>
      </w:pPr>
    </w:p>
    <w:p w14:paraId="6338E209" w14:textId="77777777" w:rsidR="00BE3BEE" w:rsidRDefault="00BE3BEE">
      <w:pPr>
        <w:rPr>
          <w:rFonts w:ascii="Times New Roman" w:hAnsi="Times New Roman" w:cs="Times New Roman"/>
        </w:rPr>
      </w:pPr>
    </w:p>
    <w:p w14:paraId="1270F8C4" w14:textId="77777777" w:rsidR="00BE3BEE" w:rsidRDefault="00BE3BEE">
      <w:pPr>
        <w:rPr>
          <w:rFonts w:ascii="Times New Roman" w:hAnsi="Times New Roman" w:cs="Times New Roman"/>
        </w:rPr>
      </w:pPr>
    </w:p>
    <w:p w14:paraId="220005B9" w14:textId="77777777" w:rsidR="00BE3BEE" w:rsidRDefault="00BE3BEE">
      <w:pPr>
        <w:rPr>
          <w:rFonts w:ascii="Times New Roman" w:hAnsi="Times New Roman" w:cs="Times New Roman"/>
        </w:rPr>
      </w:pPr>
    </w:p>
    <w:p w14:paraId="69B2D2D2" w14:textId="77777777" w:rsidR="00BE3BEE" w:rsidRDefault="00BE3BEE">
      <w:pPr>
        <w:rPr>
          <w:rFonts w:ascii="Times New Roman" w:hAnsi="Times New Roman" w:cs="Times New Roman"/>
        </w:rPr>
      </w:pPr>
    </w:p>
    <w:p w14:paraId="436E7A1F" w14:textId="77777777" w:rsidR="00BE3BEE" w:rsidRDefault="00BE3BEE">
      <w:pPr>
        <w:rPr>
          <w:rFonts w:ascii="Times New Roman" w:hAnsi="Times New Roman" w:cs="Times New Roman"/>
        </w:rPr>
      </w:pPr>
    </w:p>
    <w:p w14:paraId="0E4CC431" w14:textId="77777777" w:rsidR="00BE3BEE" w:rsidRDefault="00BE3BEE">
      <w:pPr>
        <w:rPr>
          <w:rFonts w:ascii="Times New Roman" w:hAnsi="Times New Roman" w:cs="Times New Roman"/>
        </w:rPr>
      </w:pPr>
    </w:p>
    <w:p w14:paraId="1198FD31" w14:textId="77777777" w:rsidR="00BE3BEE" w:rsidRDefault="00BE3BEE">
      <w:pPr>
        <w:rPr>
          <w:rFonts w:ascii="Times New Roman" w:hAnsi="Times New Roman" w:cs="Times New Roman"/>
        </w:rPr>
      </w:pPr>
    </w:p>
    <w:p w14:paraId="74A959C7" w14:textId="77777777" w:rsidR="00BE3BEE" w:rsidRDefault="00BE3BEE">
      <w:pPr>
        <w:rPr>
          <w:rFonts w:ascii="Times New Roman" w:hAnsi="Times New Roman" w:cs="Times New Roman"/>
        </w:rPr>
      </w:pPr>
    </w:p>
    <w:p w14:paraId="59A03AD0" w14:textId="77777777" w:rsidR="00BE3BEE" w:rsidRDefault="00BE3BEE">
      <w:pPr>
        <w:rPr>
          <w:rFonts w:ascii="Times New Roman" w:hAnsi="Times New Roman" w:cs="Times New Roman"/>
        </w:rPr>
      </w:pPr>
    </w:p>
    <w:p w14:paraId="75601A97" w14:textId="77777777" w:rsidR="00BE3BEE" w:rsidRDefault="00BE3BEE">
      <w:pPr>
        <w:rPr>
          <w:rFonts w:ascii="Times New Roman" w:hAnsi="Times New Roman" w:cs="Times New Roman"/>
        </w:rPr>
      </w:pPr>
    </w:p>
    <w:p w14:paraId="05F1E65B" w14:textId="77777777" w:rsidR="00BE3BEE" w:rsidRDefault="00BE3BEE">
      <w:pPr>
        <w:rPr>
          <w:rFonts w:ascii="Times New Roman" w:hAnsi="Times New Roman" w:cs="Times New Roman"/>
        </w:rPr>
      </w:pPr>
    </w:p>
    <w:p w14:paraId="035B7EE3" w14:textId="44C2F305" w:rsidR="005F63FD" w:rsidRPr="007B777B" w:rsidRDefault="007B777B">
      <w:pPr>
        <w:rPr>
          <w:rFonts w:ascii="Times New Roman" w:hAnsi="Times New Roman" w:cs="Times New Roman"/>
        </w:rPr>
      </w:pPr>
      <w:r w:rsidRPr="006E3A41">
        <w:rPr>
          <w:rFonts w:ascii="Times New Roman" w:hAnsi="Times New Roman" w:cs="Times New Roman"/>
        </w:rPr>
        <w:lastRenderedPageBreak/>
        <w:t>Table S1.</w:t>
      </w:r>
      <w:r w:rsidR="006E3A41">
        <w:rPr>
          <w:rFonts w:ascii="Times New Roman" w:hAnsi="Times New Roman" w:cs="Times New Roman"/>
        </w:rPr>
        <w:t xml:space="preserve"> </w:t>
      </w:r>
      <w:r w:rsidR="004B644A">
        <w:rPr>
          <w:rFonts w:ascii="Times New Roman" w:hAnsi="Times New Roman" w:cs="Times New Roman"/>
        </w:rPr>
        <w:t xml:space="preserve">Model rate constants for nitrooxyalkoxy radical </w:t>
      </w:r>
      <w:r w:rsidR="005F63FD" w:rsidRPr="007B777B">
        <w:rPr>
          <w:rFonts w:ascii="Times New Roman" w:hAnsi="Times New Roman" w:cs="Times New Roman"/>
        </w:rPr>
        <w:t>decomposition and isomerization</w:t>
      </w:r>
      <w:r w:rsidRPr="007B777B">
        <w:rPr>
          <w:rFonts w:ascii="Times New Roman" w:hAnsi="Times New Roman" w:cs="Times New Roman"/>
        </w:rPr>
        <w:t>.</w:t>
      </w:r>
    </w:p>
    <w:p w14:paraId="21840652" w14:textId="578FDEFE" w:rsidR="002C60B1" w:rsidRPr="007B777B" w:rsidRDefault="002C60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147"/>
        <w:gridCol w:w="1714"/>
        <w:gridCol w:w="1784"/>
      </w:tblGrid>
      <w:tr w:rsidR="00972B4D" w:rsidRPr="007B777B" w14:paraId="16511AA4" w14:textId="77777777" w:rsidTr="00972B4D">
        <w:tc>
          <w:tcPr>
            <w:tcW w:w="1705" w:type="dxa"/>
          </w:tcPr>
          <w:p w14:paraId="550F3332" w14:textId="27241B5E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Reaction</w:t>
            </w:r>
          </w:p>
        </w:tc>
        <w:tc>
          <w:tcPr>
            <w:tcW w:w="4147" w:type="dxa"/>
          </w:tcPr>
          <w:p w14:paraId="432BF52F" w14:textId="2F3AABBB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Mechanism</w:t>
            </w:r>
          </w:p>
        </w:tc>
        <w:tc>
          <w:tcPr>
            <w:tcW w:w="1714" w:type="dxa"/>
          </w:tcPr>
          <w:p w14:paraId="0869D4C2" w14:textId="41464514" w:rsidR="00221810" w:rsidRPr="007B777B" w:rsidRDefault="004B644A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(s</w:t>
            </w:r>
            <w:r w:rsidRPr="004B644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14:paraId="5F13D14B" w14:textId="21BCAB30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Reference</w:t>
            </w:r>
          </w:p>
        </w:tc>
      </w:tr>
      <w:tr w:rsidR="00972B4D" w:rsidRPr="007B777B" w14:paraId="028D9037" w14:textId="77777777" w:rsidTr="00972B4D">
        <w:tc>
          <w:tcPr>
            <w:tcW w:w="1705" w:type="dxa"/>
          </w:tcPr>
          <w:p w14:paraId="4077CABD" w14:textId="3C5FF252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Decomposition</w:t>
            </w:r>
          </w:p>
        </w:tc>
        <w:tc>
          <w:tcPr>
            <w:tcW w:w="4147" w:type="dxa"/>
          </w:tcPr>
          <w:p w14:paraId="4EA9813C" w14:textId="4493EAFF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AB0DAD" wp14:editId="3238AC45">
                  <wp:extent cx="2295525" cy="419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" b="83134"/>
                          <a:stretch/>
                        </pic:blipFill>
                        <pic:spPr bwMode="auto">
                          <a:xfrm>
                            <a:off x="0" y="0"/>
                            <a:ext cx="2311278" cy="4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20E5B6C5" w14:textId="60EDB9DE" w:rsidR="00187044" w:rsidRPr="007B777B" w:rsidRDefault="00187044" w:rsidP="00172E3A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777B">
              <w:rPr>
                <w:rFonts w:ascii="Times New Roman" w:hAnsi="Times New Roman" w:cs="Times New Roman"/>
              </w:rPr>
              <w:t xml:space="preserve">2.4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14:paraId="57CFCD10" w14:textId="5009F91A" w:rsidR="00221810" w:rsidRPr="007B777B" w:rsidRDefault="00A15C4E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(scaled 100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B777B">
              <w:rPr>
                <w:rFonts w:ascii="Times New Roman" w:hAnsi="Times New Roman" w:cs="Times New Roman"/>
              </w:rPr>
              <w:t xml:space="preserve">from 2.4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6</w:t>
            </w:r>
            <w:r w:rsidRPr="007B77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14:paraId="59FAB8BA" w14:textId="1E7E41C1" w:rsidR="00221810" w:rsidRPr="007B777B" w:rsidRDefault="007B777B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eastAsia="Calibri" w:hAnsi="Times New Roman" w:cs="Times New Roman"/>
              </w:rPr>
              <w:t>Veree</w:t>
            </w:r>
            <w:r w:rsidR="004B644A">
              <w:rPr>
                <w:rFonts w:ascii="Times New Roman" w:eastAsia="Calibri" w:hAnsi="Times New Roman" w:cs="Times New Roman"/>
              </w:rPr>
              <w:t>c</w:t>
            </w:r>
            <w:r w:rsidRPr="007B777B">
              <w:rPr>
                <w:rFonts w:ascii="Times New Roman" w:eastAsia="Calibri" w:hAnsi="Times New Roman" w:cs="Times New Roman"/>
              </w:rPr>
              <w:t>ken and Peeters 2009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7B777B">
              <w:rPr>
                <w:rFonts w:ascii="Times New Roman" w:eastAsia="Calibri" w:hAnsi="Times New Roman" w:cs="Times New Roman"/>
              </w:rPr>
              <w:t xml:space="preserve"> Yeh, Claflin, and Ziemann 2015</w:t>
            </w:r>
          </w:p>
        </w:tc>
      </w:tr>
      <w:tr w:rsidR="00972B4D" w:rsidRPr="007B777B" w14:paraId="59D6BB68" w14:textId="77777777" w:rsidTr="00972B4D">
        <w:tc>
          <w:tcPr>
            <w:tcW w:w="1705" w:type="dxa"/>
          </w:tcPr>
          <w:p w14:paraId="0BE23CE4" w14:textId="43BFA955" w:rsidR="00221810" w:rsidRPr="007B777B" w:rsidRDefault="00187044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Isomerization</w:t>
            </w:r>
          </w:p>
        </w:tc>
        <w:tc>
          <w:tcPr>
            <w:tcW w:w="4147" w:type="dxa"/>
          </w:tcPr>
          <w:p w14:paraId="01469F12" w14:textId="3933FA7B" w:rsidR="00221810" w:rsidRPr="007B777B" w:rsidRDefault="00972B4D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1D1A86" wp14:editId="4E7FA745">
                  <wp:extent cx="2295525" cy="419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21466" b="61668"/>
                          <a:stretch/>
                        </pic:blipFill>
                        <pic:spPr bwMode="auto">
                          <a:xfrm>
                            <a:off x="0" y="0"/>
                            <a:ext cx="2311278" cy="4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213C521F" w14:textId="28DC086C" w:rsidR="00A15C4E" w:rsidRPr="004B644A" w:rsidRDefault="00A15C4E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 xml:space="preserve">3.3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14:paraId="0D512E67" w14:textId="77777777" w:rsidR="00221810" w:rsidRPr="007B777B" w:rsidRDefault="00221810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7E6DEAD4" w14:textId="565C02EB" w:rsidR="00221810" w:rsidRPr="007B777B" w:rsidRDefault="007B777B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eastAsia="Calibri" w:hAnsi="Times New Roman" w:cs="Times New Roman"/>
              </w:rPr>
              <w:t>Vereeken and Peeters 2010</w:t>
            </w:r>
          </w:p>
        </w:tc>
      </w:tr>
      <w:tr w:rsidR="0075139F" w:rsidRPr="007B777B" w14:paraId="106CACA5" w14:textId="77777777" w:rsidTr="00972B4D">
        <w:tc>
          <w:tcPr>
            <w:tcW w:w="1705" w:type="dxa"/>
          </w:tcPr>
          <w:p w14:paraId="1DE0696A" w14:textId="3A181969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Isomerization</w:t>
            </w:r>
          </w:p>
        </w:tc>
        <w:tc>
          <w:tcPr>
            <w:tcW w:w="4147" w:type="dxa"/>
          </w:tcPr>
          <w:p w14:paraId="4538B8D0" w14:textId="3B3D4E16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E97038" wp14:editId="22FCDF3D">
                  <wp:extent cx="2295525" cy="4191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15" r="523" b="39819"/>
                          <a:stretch/>
                        </pic:blipFill>
                        <pic:spPr bwMode="auto">
                          <a:xfrm>
                            <a:off x="0" y="0"/>
                            <a:ext cx="2311278" cy="4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00F43A5D" w14:textId="6A8B7EB9" w:rsidR="0075139F" w:rsidRPr="004B644A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 xml:space="preserve">6.3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14:paraId="2C16CAF9" w14:textId="65657988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17569E8" w14:textId="5B54FF6C" w:rsidR="0075139F" w:rsidRPr="007B777B" w:rsidRDefault="007B777B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eastAsia="Calibri" w:hAnsi="Times New Roman" w:cs="Times New Roman"/>
              </w:rPr>
              <w:t>Atkinson 2007</w:t>
            </w:r>
          </w:p>
        </w:tc>
      </w:tr>
      <w:tr w:rsidR="0075139F" w:rsidRPr="007B777B" w14:paraId="51D67BD5" w14:textId="77777777" w:rsidTr="00972B4D">
        <w:tc>
          <w:tcPr>
            <w:tcW w:w="1705" w:type="dxa"/>
          </w:tcPr>
          <w:p w14:paraId="3427F4BC" w14:textId="57C05883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Isomerization</w:t>
            </w:r>
          </w:p>
        </w:tc>
        <w:tc>
          <w:tcPr>
            <w:tcW w:w="4147" w:type="dxa"/>
          </w:tcPr>
          <w:p w14:paraId="7BE49783" w14:textId="76DBEB0E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D57F54" wp14:editId="3B2685A3">
                  <wp:extent cx="2295525" cy="4191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51" t="66697" r="2175" b="16437"/>
                          <a:stretch/>
                        </pic:blipFill>
                        <pic:spPr bwMode="auto">
                          <a:xfrm>
                            <a:off x="0" y="0"/>
                            <a:ext cx="2311278" cy="4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7EC5B969" w14:textId="6004BD3F" w:rsidR="0075139F" w:rsidRPr="004B644A" w:rsidRDefault="008C3910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1.1</w:t>
            </w:r>
            <w:r w:rsidR="0075139F" w:rsidRPr="007B777B">
              <w:rPr>
                <w:rFonts w:ascii="Times New Roman" w:hAnsi="Times New Roman" w:cs="Times New Roman"/>
              </w:rPr>
              <w:t xml:space="preserve">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="0075139F"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14:paraId="0B958287" w14:textId="77777777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1BD2F91" w14:textId="7B3063BA" w:rsidR="0075139F" w:rsidRPr="007B777B" w:rsidRDefault="007B777B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eastAsia="Calibri" w:hAnsi="Times New Roman" w:cs="Times New Roman"/>
              </w:rPr>
              <w:t>Atkinson 2007</w:t>
            </w:r>
          </w:p>
        </w:tc>
      </w:tr>
      <w:tr w:rsidR="0075139F" w:rsidRPr="007B777B" w14:paraId="3773CA01" w14:textId="77777777" w:rsidTr="00972B4D">
        <w:tc>
          <w:tcPr>
            <w:tcW w:w="1705" w:type="dxa"/>
          </w:tcPr>
          <w:p w14:paraId="2C597007" w14:textId="5A442006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>Isomerization</w:t>
            </w:r>
          </w:p>
        </w:tc>
        <w:tc>
          <w:tcPr>
            <w:tcW w:w="4147" w:type="dxa"/>
          </w:tcPr>
          <w:p w14:paraId="7E2B7842" w14:textId="30DA133B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9F21DF" wp14:editId="2EC66D7D">
                  <wp:extent cx="2295525" cy="4191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" t="85097" r="1762" b="-1963"/>
                          <a:stretch/>
                        </pic:blipFill>
                        <pic:spPr bwMode="auto">
                          <a:xfrm>
                            <a:off x="0" y="0"/>
                            <a:ext cx="2311278" cy="42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</w:tcPr>
          <w:p w14:paraId="31821EDA" w14:textId="5B798589" w:rsidR="0075139F" w:rsidRPr="004B644A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hAnsi="Times New Roman" w:cs="Times New Roman"/>
              </w:rPr>
              <w:t xml:space="preserve">7.5 </w:t>
            </w:r>
            <w:r w:rsidR="00172E3A" w:rsidRPr="00C2259F">
              <w:rPr>
                <w:rFonts w:ascii="Times New Roman" w:hAnsi="Times New Roman"/>
                <w:color w:val="222222"/>
                <w:shd w:val="clear" w:color="auto" w:fill="FFFFFF"/>
              </w:rPr>
              <w:t>×</w:t>
            </w:r>
            <w:r w:rsidRPr="007B777B">
              <w:rPr>
                <w:rFonts w:ascii="Times New Roman" w:hAnsi="Times New Roman" w:cs="Times New Roman"/>
              </w:rPr>
              <w:t xml:space="preserve"> 10</w:t>
            </w:r>
            <w:r w:rsidRPr="007B777B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14:paraId="64B17343" w14:textId="58759280" w:rsidR="0075139F" w:rsidRPr="007B777B" w:rsidRDefault="0075139F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069FB1C7" w14:textId="570A5482" w:rsidR="0075139F" w:rsidRPr="007B777B" w:rsidRDefault="007B777B" w:rsidP="00172E3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77B">
              <w:rPr>
                <w:rFonts w:ascii="Times New Roman" w:eastAsia="Calibri" w:hAnsi="Times New Roman" w:cs="Times New Roman"/>
              </w:rPr>
              <w:t>Atkinson 2007</w:t>
            </w:r>
          </w:p>
        </w:tc>
      </w:tr>
    </w:tbl>
    <w:p w14:paraId="100EEF3C" w14:textId="2C3A838A" w:rsidR="00CE4DDA" w:rsidRPr="007B777B" w:rsidRDefault="00CE4DDA">
      <w:pPr>
        <w:rPr>
          <w:rFonts w:ascii="Times New Roman" w:hAnsi="Times New Roman" w:cs="Times New Roman"/>
        </w:rPr>
      </w:pPr>
    </w:p>
    <w:p w14:paraId="25B3E77B" w14:textId="2E51C9D3" w:rsidR="004B644A" w:rsidRDefault="004B644A">
      <w:pPr>
        <w:rPr>
          <w:rFonts w:ascii="Times New Roman" w:hAnsi="Times New Roman" w:cs="Times New Roman"/>
          <w:b/>
          <w:bCs/>
        </w:rPr>
      </w:pPr>
    </w:p>
    <w:p w14:paraId="12B87434" w14:textId="494EAC7B" w:rsidR="00DF1F7A" w:rsidRDefault="00DF1F7A">
      <w:pPr>
        <w:rPr>
          <w:rFonts w:ascii="Times New Roman" w:hAnsi="Times New Roman" w:cs="Times New Roman"/>
          <w:b/>
          <w:bCs/>
        </w:rPr>
      </w:pPr>
    </w:p>
    <w:p w14:paraId="6A3BD05C" w14:textId="13B545EC" w:rsidR="00DF1F7A" w:rsidRDefault="00DF1F7A">
      <w:pPr>
        <w:rPr>
          <w:rFonts w:ascii="Times New Roman" w:hAnsi="Times New Roman" w:cs="Times New Roman"/>
          <w:b/>
          <w:bCs/>
        </w:rPr>
      </w:pPr>
    </w:p>
    <w:p w14:paraId="2C4822D0" w14:textId="77777777" w:rsidR="00DF1F7A" w:rsidRDefault="00DF1F7A">
      <w:pPr>
        <w:rPr>
          <w:rFonts w:ascii="Times New Roman" w:hAnsi="Times New Roman" w:cs="Times New Roman"/>
          <w:b/>
          <w:bCs/>
        </w:rPr>
      </w:pPr>
    </w:p>
    <w:p w14:paraId="0B2BF0CC" w14:textId="6F02A27B" w:rsidR="00C367A8" w:rsidRPr="00BE3BEE" w:rsidRDefault="00C367A8" w:rsidP="00DF1F7A">
      <w:pPr>
        <w:ind w:left="720" w:hanging="720"/>
        <w:rPr>
          <w:rFonts w:ascii="Times New Roman" w:hAnsi="Times New Roman" w:cs="Times New Roman"/>
          <w:b/>
          <w:bCs/>
        </w:rPr>
      </w:pPr>
      <w:r w:rsidRPr="007B777B">
        <w:rPr>
          <w:rFonts w:ascii="Times New Roman" w:hAnsi="Times New Roman" w:cs="Times New Roman"/>
          <w:b/>
          <w:bCs/>
        </w:rPr>
        <w:t>References</w:t>
      </w:r>
    </w:p>
    <w:p w14:paraId="686F761F" w14:textId="77777777" w:rsidR="00DF1F7A" w:rsidRDefault="00DF1F7A" w:rsidP="00DF1F7A">
      <w:pPr>
        <w:widowControl w:val="0"/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FC18BC4" w14:textId="2C843EF1" w:rsidR="00C367A8" w:rsidRDefault="00C367A8" w:rsidP="00DF1F7A">
      <w:pPr>
        <w:widowControl w:val="0"/>
        <w:spacing w:after="120"/>
        <w:ind w:left="720" w:hanging="720"/>
        <w:rPr>
          <w:rFonts w:ascii="Times New Roman" w:hAnsi="Times New Roman"/>
          <w:color w:val="000000" w:themeColor="text1"/>
        </w:rPr>
      </w:pPr>
      <w:r w:rsidRPr="007B777B">
        <w:rPr>
          <w:rFonts w:ascii="Times New Roman" w:hAnsi="Times New Roman" w:cs="Times New Roman"/>
          <w:color w:val="000000" w:themeColor="text1"/>
        </w:rPr>
        <w:t>Atkinson, R. 2007. Rate constants for the atmospheri</w:t>
      </w:r>
      <w:r w:rsidRPr="0020017A">
        <w:rPr>
          <w:rFonts w:ascii="Times New Roman" w:hAnsi="Times New Roman"/>
          <w:color w:val="000000" w:themeColor="text1"/>
        </w:rPr>
        <w:t xml:space="preserve">c reactions of alkoxy radicals: An updated estimation method. </w:t>
      </w:r>
      <w:r w:rsidRPr="00BE3BEE">
        <w:rPr>
          <w:rFonts w:ascii="Times New Roman" w:hAnsi="Times New Roman"/>
          <w:i/>
          <w:color w:val="000000" w:themeColor="text1"/>
        </w:rPr>
        <w:t>Atmos. Environ</w:t>
      </w:r>
      <w:r w:rsidRPr="0020017A">
        <w:rPr>
          <w:rFonts w:ascii="Times New Roman" w:hAnsi="Times New Roman"/>
          <w:color w:val="000000" w:themeColor="text1"/>
        </w:rPr>
        <w:t>. 41:8468−8485.</w:t>
      </w:r>
    </w:p>
    <w:p w14:paraId="1DF71600" w14:textId="5F8E43C5" w:rsidR="00C367A8" w:rsidRPr="0020017A" w:rsidRDefault="00C367A8" w:rsidP="00DF1F7A">
      <w:pPr>
        <w:widowControl w:val="0"/>
        <w:spacing w:after="120"/>
        <w:ind w:left="720" w:hanging="720"/>
        <w:rPr>
          <w:rFonts w:ascii="Times New Roman" w:hAnsi="Times New Roman"/>
          <w:i/>
          <w:noProof/>
          <w:color w:val="000000" w:themeColor="text1"/>
        </w:rPr>
      </w:pPr>
      <w:r w:rsidRPr="0020017A">
        <w:rPr>
          <w:rFonts w:ascii="Times New Roman" w:hAnsi="Times New Roman"/>
          <w:color w:val="000000" w:themeColor="text1"/>
        </w:rPr>
        <w:t xml:space="preserve">Vereecken, L., and J. Peeters. 2009. Decomposition of substituted alkoxy radicals-part I: A generalized structure-activity relationship for reaction barrier heights. </w:t>
      </w:r>
      <w:r w:rsidRPr="00BE3BEE">
        <w:rPr>
          <w:rFonts w:ascii="Times New Roman" w:hAnsi="Times New Roman"/>
          <w:i/>
          <w:color w:val="000000" w:themeColor="text1"/>
        </w:rPr>
        <w:t>Phys. Chem. Chem. Phys</w:t>
      </w:r>
      <w:r w:rsidRPr="0020017A">
        <w:rPr>
          <w:rFonts w:ascii="Times New Roman" w:hAnsi="Times New Roman"/>
          <w:color w:val="000000" w:themeColor="text1"/>
        </w:rPr>
        <w:t>. 11:9062−9074.</w:t>
      </w:r>
    </w:p>
    <w:p w14:paraId="2B13B5C0" w14:textId="77777777" w:rsidR="00C367A8" w:rsidRPr="0020017A" w:rsidRDefault="00C367A8" w:rsidP="00DF1F7A">
      <w:pPr>
        <w:widowControl w:val="0"/>
        <w:spacing w:after="120"/>
        <w:ind w:left="720" w:hanging="720"/>
        <w:rPr>
          <w:rFonts w:ascii="Times New Roman" w:hAnsi="Times New Roman"/>
          <w:i/>
          <w:color w:val="000000" w:themeColor="text1"/>
        </w:rPr>
      </w:pPr>
      <w:r w:rsidRPr="0020017A">
        <w:rPr>
          <w:rFonts w:ascii="Times New Roman" w:hAnsi="Times New Roman"/>
          <w:color w:val="000000" w:themeColor="text1"/>
        </w:rPr>
        <w:t xml:space="preserve">Vereecken, L., and J. Peeters. 2010. A structure-activity relationship for the rate coefficient of H-migration in substituted alkoxy radicals. </w:t>
      </w:r>
      <w:r w:rsidRPr="00BE3BEE">
        <w:rPr>
          <w:rFonts w:ascii="Times New Roman" w:hAnsi="Times New Roman"/>
          <w:i/>
          <w:color w:val="000000" w:themeColor="text1"/>
        </w:rPr>
        <w:t>Phys. Chem. Chem. Phys</w:t>
      </w:r>
      <w:r w:rsidRPr="0020017A">
        <w:rPr>
          <w:rFonts w:ascii="Times New Roman" w:hAnsi="Times New Roman"/>
          <w:color w:val="000000" w:themeColor="text1"/>
        </w:rPr>
        <w:t>. 12:12608</w:t>
      </w:r>
      <w:r w:rsidRPr="0020017A">
        <w:rPr>
          <w:rFonts w:ascii="Times New Roman" w:hAnsi="Times New Roman"/>
          <w:b/>
          <w:bCs/>
          <w:color w:val="000000" w:themeColor="text1"/>
        </w:rPr>
        <w:t>−</w:t>
      </w:r>
      <w:r w:rsidRPr="0020017A">
        <w:rPr>
          <w:rFonts w:ascii="Times New Roman" w:hAnsi="Times New Roman"/>
          <w:color w:val="000000" w:themeColor="text1"/>
        </w:rPr>
        <w:t>12620.</w:t>
      </w:r>
    </w:p>
    <w:p w14:paraId="6E9DC09D" w14:textId="2657C847" w:rsidR="00C367A8" w:rsidRPr="00C367A8" w:rsidRDefault="00C367A8" w:rsidP="00DF1F7A">
      <w:pPr>
        <w:widowControl w:val="0"/>
        <w:spacing w:after="120"/>
        <w:ind w:left="720" w:hanging="720"/>
        <w:rPr>
          <w:rFonts w:ascii="Times New Roman" w:hAnsi="Times New Roman"/>
          <w:i/>
          <w:noProof/>
          <w:color w:val="000000" w:themeColor="text1"/>
        </w:rPr>
      </w:pPr>
      <w:r w:rsidRPr="0020017A">
        <w:rPr>
          <w:rFonts w:ascii="Times New Roman" w:hAnsi="Times New Roman"/>
          <w:noProof/>
          <w:color w:val="000000" w:themeColor="text1"/>
        </w:rPr>
        <w:t>Yeh, G. K., and P. J. Ziemann. 2014a. Alkyl nitrate formation from the reactions of C</w:t>
      </w:r>
      <w:r w:rsidRPr="0020017A">
        <w:rPr>
          <w:rFonts w:ascii="Times New Roman" w:hAnsi="Times New Roman"/>
          <w:noProof/>
          <w:color w:val="000000" w:themeColor="text1"/>
          <w:vertAlign w:val="subscript"/>
        </w:rPr>
        <w:t>8</w:t>
      </w:r>
      <w:r w:rsidRPr="0020017A">
        <w:rPr>
          <w:rFonts w:ascii="Times New Roman" w:hAnsi="Times New Roman"/>
          <w:noProof/>
          <w:color w:val="000000" w:themeColor="text1"/>
        </w:rPr>
        <w:t>−C</w:t>
      </w:r>
      <w:r w:rsidRPr="0020017A">
        <w:rPr>
          <w:rFonts w:ascii="Times New Roman" w:hAnsi="Times New Roman"/>
          <w:noProof/>
          <w:color w:val="000000" w:themeColor="text1"/>
          <w:vertAlign w:val="subscript"/>
        </w:rPr>
        <w:t>14</w:t>
      </w:r>
      <w:r w:rsidRPr="0020017A">
        <w:rPr>
          <w:rFonts w:ascii="Times New Roman" w:hAnsi="Times New Roman"/>
          <w:noProof/>
          <w:color w:val="000000" w:themeColor="text1"/>
        </w:rPr>
        <w:t xml:space="preserve"> </w:t>
      </w:r>
      <w:r w:rsidRPr="00DF1F7A">
        <w:rPr>
          <w:rFonts w:ascii="Times New Roman" w:hAnsi="Times New Roman"/>
          <w:i/>
          <w:noProof/>
          <w:color w:val="000000" w:themeColor="text1"/>
        </w:rPr>
        <w:t>n</w:t>
      </w:r>
      <w:r w:rsidRPr="0020017A">
        <w:rPr>
          <w:rFonts w:ascii="Times New Roman" w:hAnsi="Times New Roman"/>
          <w:color w:val="000000" w:themeColor="text1"/>
        </w:rPr>
        <w:t>-</w:t>
      </w:r>
      <w:r w:rsidRPr="0020017A">
        <w:rPr>
          <w:rFonts w:ascii="Times New Roman" w:hAnsi="Times New Roman"/>
          <w:noProof/>
          <w:color w:val="000000" w:themeColor="text1"/>
        </w:rPr>
        <w:t>alkanes with OH radicals in the presence of NO</w:t>
      </w:r>
      <w:r w:rsidRPr="0020017A">
        <w:rPr>
          <w:rFonts w:ascii="Times New Roman" w:hAnsi="Times New Roman"/>
          <w:noProof/>
          <w:color w:val="000000" w:themeColor="text1"/>
          <w:vertAlign w:val="subscript"/>
        </w:rPr>
        <w:t>x</w:t>
      </w:r>
      <w:r w:rsidRPr="0020017A">
        <w:rPr>
          <w:rFonts w:ascii="Times New Roman" w:hAnsi="Times New Roman"/>
          <w:noProof/>
          <w:color w:val="000000" w:themeColor="text1"/>
        </w:rPr>
        <w:t xml:space="preserve">. </w:t>
      </w:r>
      <w:r w:rsidRPr="00BE3BEE">
        <w:rPr>
          <w:rFonts w:ascii="Times New Roman" w:hAnsi="Times New Roman"/>
          <w:i/>
          <w:iCs/>
          <w:noProof/>
          <w:color w:val="000000" w:themeColor="text1"/>
        </w:rPr>
        <w:t>J. Phys. Chem. A</w:t>
      </w:r>
      <w:r w:rsidRPr="0020017A">
        <w:rPr>
          <w:rFonts w:ascii="Times New Roman" w:hAnsi="Times New Roman"/>
          <w:noProof/>
          <w:color w:val="000000" w:themeColor="text1"/>
        </w:rPr>
        <w:t xml:space="preserve"> </w:t>
      </w:r>
      <w:r w:rsidRPr="0020017A">
        <w:rPr>
          <w:rFonts w:ascii="Times New Roman" w:hAnsi="Times New Roman"/>
          <w:bCs/>
          <w:noProof/>
          <w:color w:val="000000" w:themeColor="text1"/>
        </w:rPr>
        <w:t>118:</w:t>
      </w:r>
      <w:r w:rsidRPr="0020017A">
        <w:rPr>
          <w:rFonts w:ascii="Times New Roman" w:hAnsi="Times New Roman"/>
          <w:noProof/>
          <w:color w:val="000000" w:themeColor="text1"/>
        </w:rPr>
        <w:t>8147–8157.</w:t>
      </w:r>
    </w:p>
    <w:p w14:paraId="57E969A7" w14:textId="326E9020" w:rsidR="00A15C4E" w:rsidRDefault="00C367A8" w:rsidP="00DF1F7A">
      <w:pPr>
        <w:spacing w:after="120"/>
        <w:ind w:left="720" w:hanging="720"/>
        <w:rPr>
          <w:rFonts w:ascii="Times New Roman" w:hAnsi="Times New Roman"/>
        </w:rPr>
      </w:pPr>
      <w:r>
        <w:t xml:space="preserve"> </w:t>
      </w:r>
      <w:r w:rsidRPr="0020017A">
        <w:rPr>
          <w:rFonts w:ascii="Times New Roman" w:hAnsi="Times New Roman"/>
        </w:rPr>
        <w:t>Yeh, G. K., M. S. Claflin, and P. J. Ziemann. 2015. Products and mechanism of the reaction of 1-pentadecene with NO</w:t>
      </w:r>
      <w:r w:rsidRPr="0020017A">
        <w:rPr>
          <w:rFonts w:ascii="Times New Roman" w:hAnsi="Times New Roman"/>
          <w:vertAlign w:val="subscript"/>
        </w:rPr>
        <w:t>3</w:t>
      </w:r>
      <w:r w:rsidRPr="0020017A">
        <w:rPr>
          <w:rFonts w:ascii="Times New Roman" w:hAnsi="Times New Roman"/>
        </w:rPr>
        <w:t xml:space="preserve"> radicals and the effect of a -ONO</w:t>
      </w:r>
      <w:r w:rsidRPr="0020017A">
        <w:rPr>
          <w:rFonts w:ascii="Times New Roman" w:hAnsi="Times New Roman"/>
          <w:vertAlign w:val="subscript"/>
        </w:rPr>
        <w:t>2</w:t>
      </w:r>
      <w:r w:rsidRPr="0020017A">
        <w:rPr>
          <w:rFonts w:ascii="Times New Roman" w:hAnsi="Times New Roman"/>
        </w:rPr>
        <w:t xml:space="preserve"> group on alkoxy radical decomposition. </w:t>
      </w:r>
      <w:r w:rsidRPr="00BE3BEE">
        <w:rPr>
          <w:rFonts w:ascii="Times New Roman" w:hAnsi="Times New Roman"/>
          <w:i/>
        </w:rPr>
        <w:t>J. Phys. Chem. A</w:t>
      </w:r>
      <w:r w:rsidRPr="0020017A">
        <w:rPr>
          <w:rFonts w:ascii="Times New Roman" w:hAnsi="Times New Roman"/>
        </w:rPr>
        <w:t xml:space="preserve"> 119:10684−96.</w:t>
      </w:r>
    </w:p>
    <w:p w14:paraId="14CC57D2" w14:textId="666C4241" w:rsidR="00DF1F7A" w:rsidRPr="00DF1F7A" w:rsidRDefault="00BE3BEE" w:rsidP="00DF1F7A">
      <w:pPr>
        <w:widowControl w:val="0"/>
        <w:ind w:left="720" w:hanging="720"/>
        <w:rPr>
          <w:rFonts w:ascii="Times New Roman" w:hAnsi="Times New Roman"/>
          <w:color w:val="000000" w:themeColor="text1"/>
        </w:rPr>
      </w:pPr>
      <w:r w:rsidRPr="0020017A">
        <w:rPr>
          <w:rFonts w:ascii="Times New Roman" w:hAnsi="Times New Roman"/>
          <w:bCs/>
          <w:color w:val="000000" w:themeColor="text1"/>
        </w:rPr>
        <w:t xml:space="preserve">Ziemann, P. J., and R. Atkinson. 2012. Kinetics, products, and mechanisms of secondary organic aerosol formation. </w:t>
      </w:r>
      <w:r w:rsidRPr="00BE3BEE">
        <w:rPr>
          <w:rFonts w:ascii="Times New Roman" w:hAnsi="Times New Roman"/>
          <w:i/>
          <w:color w:val="000000" w:themeColor="text1"/>
        </w:rPr>
        <w:t>Chem. Soc. Rev.</w:t>
      </w:r>
      <w:r w:rsidRPr="0020017A">
        <w:rPr>
          <w:rFonts w:ascii="Times New Roman" w:hAnsi="Times New Roman"/>
          <w:bCs/>
          <w:color w:val="000000" w:themeColor="text1"/>
        </w:rPr>
        <w:t xml:space="preserve"> </w:t>
      </w:r>
      <w:r w:rsidRPr="0020017A">
        <w:rPr>
          <w:rFonts w:ascii="Times New Roman" w:hAnsi="Times New Roman"/>
          <w:color w:val="000000" w:themeColor="text1"/>
        </w:rPr>
        <w:t>41</w:t>
      </w:r>
      <w:r w:rsidRPr="0020017A">
        <w:rPr>
          <w:rFonts w:ascii="Times New Roman" w:hAnsi="Times New Roman"/>
          <w:bCs/>
          <w:color w:val="000000" w:themeColor="text1"/>
        </w:rPr>
        <w:t>:6582−6605.</w:t>
      </w:r>
    </w:p>
    <w:sectPr w:rsidR="00DF1F7A" w:rsidRPr="00DF1F7A" w:rsidSect="00DF1F7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5A0A" w14:textId="77777777" w:rsidR="00425214" w:rsidRDefault="00425214" w:rsidP="00DF1F7A">
      <w:r>
        <w:separator/>
      </w:r>
    </w:p>
  </w:endnote>
  <w:endnote w:type="continuationSeparator" w:id="0">
    <w:p w14:paraId="12A62058" w14:textId="77777777" w:rsidR="00425214" w:rsidRDefault="00425214" w:rsidP="00D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0781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ACC87" w14:textId="08F96E85" w:rsidR="00DF1F7A" w:rsidRDefault="00DF1F7A" w:rsidP="00C40B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697DC6" w14:textId="77777777" w:rsidR="00DF1F7A" w:rsidRDefault="00DF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2816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50726" w14:textId="0F9D4918" w:rsidR="00DF1F7A" w:rsidRDefault="00DF1F7A" w:rsidP="00C40B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2BDD49" w14:textId="77777777" w:rsidR="00DF1F7A" w:rsidRDefault="00DF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5102" w14:textId="77777777" w:rsidR="00425214" w:rsidRDefault="00425214" w:rsidP="00DF1F7A">
      <w:r>
        <w:separator/>
      </w:r>
    </w:p>
  </w:footnote>
  <w:footnote w:type="continuationSeparator" w:id="0">
    <w:p w14:paraId="0F43CF07" w14:textId="77777777" w:rsidR="00425214" w:rsidRDefault="00425214" w:rsidP="00DF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5"/>
    <w:rsid w:val="0001159E"/>
    <w:rsid w:val="00027FFD"/>
    <w:rsid w:val="000B3E6E"/>
    <w:rsid w:val="00172E3A"/>
    <w:rsid w:val="00187044"/>
    <w:rsid w:val="00221810"/>
    <w:rsid w:val="002925AE"/>
    <w:rsid w:val="002A47E2"/>
    <w:rsid w:val="002C60B1"/>
    <w:rsid w:val="002D56AB"/>
    <w:rsid w:val="0030680A"/>
    <w:rsid w:val="003B0A3E"/>
    <w:rsid w:val="00425214"/>
    <w:rsid w:val="00442BDE"/>
    <w:rsid w:val="00494096"/>
    <w:rsid w:val="004B644A"/>
    <w:rsid w:val="004C529C"/>
    <w:rsid w:val="00535D30"/>
    <w:rsid w:val="005770C9"/>
    <w:rsid w:val="00586E38"/>
    <w:rsid w:val="005B1419"/>
    <w:rsid w:val="005F63FD"/>
    <w:rsid w:val="006B4485"/>
    <w:rsid w:val="006C398E"/>
    <w:rsid w:val="006E3A41"/>
    <w:rsid w:val="0075139F"/>
    <w:rsid w:val="007B777B"/>
    <w:rsid w:val="00832B66"/>
    <w:rsid w:val="008C3910"/>
    <w:rsid w:val="008D3F45"/>
    <w:rsid w:val="008E1CF3"/>
    <w:rsid w:val="00972B4D"/>
    <w:rsid w:val="00977711"/>
    <w:rsid w:val="00A00696"/>
    <w:rsid w:val="00A15C4E"/>
    <w:rsid w:val="00A3417D"/>
    <w:rsid w:val="00AA78CC"/>
    <w:rsid w:val="00AC2D93"/>
    <w:rsid w:val="00BE3BEE"/>
    <w:rsid w:val="00C33750"/>
    <w:rsid w:val="00C367A8"/>
    <w:rsid w:val="00CE4DDA"/>
    <w:rsid w:val="00D1647D"/>
    <w:rsid w:val="00D74500"/>
    <w:rsid w:val="00D801C7"/>
    <w:rsid w:val="00DF1F7A"/>
    <w:rsid w:val="00E03BF8"/>
    <w:rsid w:val="00E245C0"/>
    <w:rsid w:val="00E5227C"/>
    <w:rsid w:val="00E60EC1"/>
    <w:rsid w:val="00EC3E9A"/>
    <w:rsid w:val="00F80F87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841"/>
  <w15:chartTrackingRefBased/>
  <w15:docId w15:val="{090C6B24-B639-4B57-8EEA-D89AAF4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22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7B777B"/>
    <w:pPr>
      <w:tabs>
        <w:tab w:val="center" w:pos="4320"/>
        <w:tab w:val="right" w:pos="8640"/>
      </w:tabs>
      <w:spacing w:line="360" w:lineRule="auto"/>
    </w:pPr>
    <w:rPr>
      <w:rFonts w:ascii="Times New Roman" w:hAnsi="Times New Roman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rsid w:val="00DF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7A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2EFC-BD59-364A-9C10-24BF5ACF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3661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algrim</dc:creator>
  <cp:keywords/>
  <dc:description/>
  <cp:lastModifiedBy>Microsoft Office User</cp:lastModifiedBy>
  <cp:revision>3</cp:revision>
  <dcterms:created xsi:type="dcterms:W3CDTF">2020-04-12T23:30:00Z</dcterms:created>
  <dcterms:modified xsi:type="dcterms:W3CDTF">2020-04-13T00:34:00Z</dcterms:modified>
</cp:coreProperties>
</file>