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49" w:rsidRPr="004E3971" w:rsidRDefault="00812300" w:rsidP="005B1414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Supplemental file</w:t>
      </w:r>
    </w:p>
    <w:p w:rsidR="0033506A" w:rsidRDefault="0033506A" w:rsidP="0033506A">
      <w:pPr>
        <w:pStyle w:val="Articletitle"/>
      </w:pPr>
      <w:r>
        <w:t>Effect of Co-Mo catalyst preparation and CH</w:t>
      </w:r>
      <w:r w:rsidRPr="00F71201">
        <w:rPr>
          <w:vertAlign w:val="subscript"/>
        </w:rPr>
        <w:t>4</w:t>
      </w:r>
      <w:r>
        <w:t>/H</w:t>
      </w:r>
      <w:r w:rsidRPr="00F71201">
        <w:rPr>
          <w:vertAlign w:val="subscript"/>
        </w:rPr>
        <w:t>2</w:t>
      </w:r>
      <w:r>
        <w:t xml:space="preserve"> flow on carbon nanotube synthesis</w:t>
      </w:r>
    </w:p>
    <w:p w:rsidR="0033506A" w:rsidRDefault="0033506A" w:rsidP="0033506A">
      <w:pPr>
        <w:pStyle w:val="Authornames"/>
      </w:pPr>
      <w:r>
        <w:t>Lobiak E.V.</w:t>
      </w:r>
      <w:r w:rsidRPr="009E5B53">
        <w:rPr>
          <w:vertAlign w:val="superscript"/>
        </w:rPr>
        <w:t>1</w:t>
      </w:r>
      <w:r>
        <w:t>,</w:t>
      </w:r>
      <w:r>
        <w:rPr>
          <w:vertAlign w:val="superscript"/>
        </w:rPr>
        <w:t xml:space="preserve"> </w:t>
      </w:r>
      <w:r>
        <w:t>Kuznetsova V.R.</w:t>
      </w:r>
      <w:r w:rsidRPr="009E5B53">
        <w:rPr>
          <w:vertAlign w:val="superscript"/>
        </w:rPr>
        <w:t>1</w:t>
      </w:r>
      <w:proofErr w:type="gramStart"/>
      <w:r w:rsidRPr="009E5B53">
        <w:rPr>
          <w:vertAlign w:val="superscript"/>
        </w:rPr>
        <w:t>,2</w:t>
      </w:r>
      <w:proofErr w:type="gramEnd"/>
      <w:r>
        <w:t>,</w:t>
      </w:r>
      <w:r>
        <w:rPr>
          <w:vertAlign w:val="superscript"/>
        </w:rPr>
        <w:t xml:space="preserve"> </w:t>
      </w:r>
      <w:r w:rsidRPr="00AA3E2C">
        <w:t xml:space="preserve">Flahaut </w:t>
      </w:r>
      <w:r>
        <w:t>E.</w:t>
      </w:r>
      <w:r w:rsidRPr="005921AB">
        <w:rPr>
          <w:vertAlign w:val="superscript"/>
        </w:rPr>
        <w:t>3</w:t>
      </w:r>
      <w:r>
        <w:t>, Okotrub A.V.</w:t>
      </w:r>
      <w:r w:rsidRPr="009E5B53">
        <w:rPr>
          <w:vertAlign w:val="superscript"/>
        </w:rPr>
        <w:t>1</w:t>
      </w:r>
      <w:r w:rsidRPr="00AA3E2C">
        <w:t>,</w:t>
      </w:r>
      <w:r>
        <w:t xml:space="preserve"> </w:t>
      </w:r>
      <w:r w:rsidRPr="00F71201">
        <w:t>Bulusheva</w:t>
      </w:r>
      <w:r>
        <w:t> L.G.</w:t>
      </w:r>
      <w:r w:rsidRPr="009E5B53">
        <w:rPr>
          <w:vertAlign w:val="superscript"/>
        </w:rPr>
        <w:t>1</w:t>
      </w:r>
    </w:p>
    <w:p w:rsidR="0033506A" w:rsidRDefault="0033506A" w:rsidP="0033506A">
      <w:pPr>
        <w:pStyle w:val="Affiliation"/>
      </w:pPr>
      <w:r w:rsidRPr="009E5B53">
        <w:rPr>
          <w:vertAlign w:val="superscript"/>
        </w:rPr>
        <w:t>1</w:t>
      </w:r>
      <w:r>
        <w:t>Nikolaev Institute of Inorganic Chemistry SB RAS, Novosibirsk, Russia</w:t>
      </w:r>
    </w:p>
    <w:p w:rsidR="0033506A" w:rsidRDefault="0033506A" w:rsidP="0033506A">
      <w:pPr>
        <w:pStyle w:val="Affiliation"/>
      </w:pPr>
      <w:r w:rsidRPr="009E5B53">
        <w:rPr>
          <w:vertAlign w:val="superscript"/>
        </w:rPr>
        <w:t>2</w:t>
      </w:r>
      <w:r>
        <w:t>Novosibirsk State Technical University, Novosibirsk, Russia</w:t>
      </w:r>
    </w:p>
    <w:p w:rsidR="0033506A" w:rsidRPr="00D215E4" w:rsidRDefault="0033506A" w:rsidP="0033506A">
      <w:pPr>
        <w:pStyle w:val="Affiliation"/>
        <w:rPr>
          <w:lang w:val="fr-FR"/>
        </w:rPr>
      </w:pPr>
      <w:r>
        <w:rPr>
          <w:vertAlign w:val="superscript"/>
          <w:lang w:val="fr-FR"/>
        </w:rPr>
        <w:t>3</w:t>
      </w:r>
      <w:r w:rsidRPr="00D215E4">
        <w:rPr>
          <w:lang w:val="fr-FR"/>
        </w:rPr>
        <w:t>CNRS, Institut Carnot Cirimat, F-31062 Toulouse, France</w:t>
      </w:r>
    </w:p>
    <w:p w:rsidR="0033506A" w:rsidRDefault="0033506A" w:rsidP="0033506A">
      <w:pPr>
        <w:pStyle w:val="Correspondencedetails"/>
      </w:pPr>
      <w:r>
        <w:t xml:space="preserve">Lobiak E.V. </w:t>
      </w:r>
      <w:r w:rsidRPr="00986C0D">
        <w:rPr>
          <w:rStyle w:val="a5"/>
        </w:rPr>
        <w:t>lobiakev@niic.sbras.ru</w:t>
      </w:r>
      <w:r>
        <w:t xml:space="preserve"> Nikola</w:t>
      </w:r>
      <w:r w:rsidRPr="009E5B53">
        <w:t>ev Institute of Inorganic Chemistry SB RAS, Novosibirsk, Russia</w:t>
      </w:r>
    </w:p>
    <w:p w:rsidR="007A2518" w:rsidRDefault="007A2518" w:rsidP="007A2518">
      <w:pPr>
        <w:pStyle w:val="Correspondencedetails"/>
        <w:spacing w:before="0"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ad"/>
        <w:tblW w:w="8373" w:type="dxa"/>
        <w:jc w:val="center"/>
        <w:tblLook w:val="04A0" w:firstRow="1" w:lastRow="0" w:firstColumn="1" w:lastColumn="0" w:noHBand="0" w:noVBand="1"/>
      </w:tblPr>
      <w:tblGrid>
        <w:gridCol w:w="1980"/>
        <w:gridCol w:w="6393"/>
      </w:tblGrid>
      <w:tr w:rsidR="007A2518" w:rsidRPr="003A42C6" w:rsidTr="0033506A">
        <w:trPr>
          <w:jc w:val="center"/>
        </w:trPr>
        <w:tc>
          <w:tcPr>
            <w:tcW w:w="1980" w:type="dxa"/>
            <w:vAlign w:val="center"/>
          </w:tcPr>
          <w:p w:rsidR="007A2518" w:rsidRPr="00DE3457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en-US"/>
              </w:rPr>
            </w:pPr>
            <w:r w:rsidRPr="00DE3457">
              <w:lastRenderedPageBreak/>
              <w:t xml:space="preserve">Ratio of </w:t>
            </w:r>
            <w:r w:rsidRPr="00DE3457">
              <w:rPr>
                <w:lang w:val="en-US"/>
              </w:rPr>
              <w:t>CH</w:t>
            </w:r>
            <w:r w:rsidRPr="00DE3457">
              <w:rPr>
                <w:vertAlign w:val="subscript"/>
                <w:lang w:val="en-US"/>
              </w:rPr>
              <w:t>4</w:t>
            </w:r>
            <w:r w:rsidRPr="00DE3457">
              <w:rPr>
                <w:lang w:val="en-US"/>
              </w:rPr>
              <w:t>/H</w:t>
            </w:r>
            <w:r w:rsidRPr="00DE3457">
              <w:rPr>
                <w:vertAlign w:val="subscript"/>
                <w:lang w:val="en-US"/>
              </w:rPr>
              <w:t>2</w:t>
            </w:r>
            <w:r w:rsidRPr="00DE3457">
              <w:rPr>
                <w:lang w:val="en-US"/>
              </w:rPr>
              <w:t xml:space="preserve"> mixture</w:t>
            </w:r>
            <w:r>
              <w:rPr>
                <w:lang w:val="en-US"/>
              </w:rPr>
              <w:t>, mL/min</w:t>
            </w:r>
          </w:p>
        </w:tc>
        <w:tc>
          <w:tcPr>
            <w:tcW w:w="6393" w:type="dxa"/>
            <w:vAlign w:val="center"/>
          </w:tcPr>
          <w:p w:rsidR="007A2518" w:rsidRPr="00DE3457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 w:rsidRPr="00DE3457">
              <w:rPr>
                <w:bCs/>
                <w:color w:val="2E2E2E"/>
              </w:rPr>
              <w:t>RBM position, cm</w:t>
            </w:r>
            <w:r w:rsidRPr="00DE3457">
              <w:rPr>
                <w:bCs/>
                <w:color w:val="2E2E2E"/>
                <w:vertAlign w:val="superscript"/>
              </w:rPr>
              <w:t>-1</w:t>
            </w:r>
          </w:p>
        </w:tc>
      </w:tr>
      <w:tr w:rsidR="007A2518" w:rsidRPr="00222982" w:rsidTr="0033506A">
        <w:trPr>
          <w:trHeight w:val="353"/>
          <w:jc w:val="center"/>
        </w:trPr>
        <w:tc>
          <w:tcPr>
            <w:tcW w:w="1980" w:type="dxa"/>
          </w:tcPr>
          <w:p w:rsidR="007A2518" w:rsidRPr="00DE3457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 w:rsidRPr="00DE3457">
              <w:t>50/0</w:t>
            </w:r>
          </w:p>
        </w:tc>
        <w:tc>
          <w:tcPr>
            <w:tcW w:w="6393" w:type="dxa"/>
          </w:tcPr>
          <w:p w:rsidR="007A2518" w:rsidRPr="00DE3457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 w:rsidRPr="00DE3457">
              <w:t>138</w:t>
            </w:r>
            <w:r>
              <w:t xml:space="preserve">, </w:t>
            </w:r>
            <w:r w:rsidRPr="00DE3457">
              <w:t>209.3</w:t>
            </w:r>
            <w:r>
              <w:t xml:space="preserve">, </w:t>
            </w:r>
            <w:r w:rsidRPr="00DE3457">
              <w:t>218.5</w:t>
            </w:r>
            <w:r>
              <w:t xml:space="preserve">, </w:t>
            </w:r>
            <w:r w:rsidRPr="00DE3457">
              <w:t>164.5</w:t>
            </w:r>
            <w:r>
              <w:t xml:space="preserve">, </w:t>
            </w:r>
            <w:r w:rsidRPr="00DE3457">
              <w:t>162</w:t>
            </w:r>
          </w:p>
        </w:tc>
      </w:tr>
      <w:tr w:rsidR="007A2518" w:rsidTr="0033506A">
        <w:trPr>
          <w:jc w:val="center"/>
        </w:trPr>
        <w:tc>
          <w:tcPr>
            <w:tcW w:w="1980" w:type="dxa"/>
          </w:tcPr>
          <w:p w:rsidR="007A2518" w:rsidRPr="00DE3457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 w:rsidRPr="00DE3457">
              <w:t>50/50</w:t>
            </w:r>
          </w:p>
        </w:tc>
        <w:tc>
          <w:tcPr>
            <w:tcW w:w="6393" w:type="dxa"/>
          </w:tcPr>
          <w:p w:rsidR="007A2518" w:rsidRPr="00DE3457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en-US"/>
              </w:rPr>
            </w:pPr>
            <w:r w:rsidRPr="00DE3457">
              <w:rPr>
                <w:lang w:val="en-US"/>
              </w:rPr>
              <w:t>87-92-97,2-103,4-105,5</w:t>
            </w:r>
          </w:p>
          <w:p w:rsidR="007A2518" w:rsidRPr="00DE3457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ru-RU"/>
              </w:rPr>
            </w:pPr>
            <w:r w:rsidRPr="00DE3457">
              <w:rPr>
                <w:lang w:val="en-US"/>
              </w:rPr>
              <w:t>109-127,6-134,</w:t>
            </w:r>
            <w:r w:rsidRPr="00DE3457">
              <w:rPr>
                <w:lang w:val="ru-RU"/>
              </w:rPr>
              <w:t>5-138,7-141,4-147,6-157,3-164,9-168,4-176,6-179,3</w:t>
            </w:r>
          </w:p>
          <w:p w:rsidR="007A2518" w:rsidRPr="00DE3457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ru-RU"/>
              </w:rPr>
            </w:pPr>
            <w:r w:rsidRPr="00DE3457">
              <w:rPr>
                <w:lang w:val="ru-RU"/>
              </w:rPr>
              <w:t>201,4-209-218-240,8-262,9</w:t>
            </w:r>
          </w:p>
        </w:tc>
      </w:tr>
      <w:tr w:rsidR="007A2518" w:rsidTr="0033506A">
        <w:trPr>
          <w:jc w:val="center"/>
        </w:trPr>
        <w:tc>
          <w:tcPr>
            <w:tcW w:w="1980" w:type="dxa"/>
          </w:tcPr>
          <w:p w:rsidR="007A2518" w:rsidRPr="001953B6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100/0</w:t>
            </w:r>
          </w:p>
        </w:tc>
        <w:tc>
          <w:tcPr>
            <w:tcW w:w="6393" w:type="dxa"/>
          </w:tcPr>
          <w:p w:rsidR="007A2518" w:rsidRPr="001953B6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119,8-189,2-207</w:t>
            </w:r>
          </w:p>
        </w:tc>
      </w:tr>
      <w:tr w:rsidR="007A2518" w:rsidTr="0033506A">
        <w:trPr>
          <w:jc w:val="center"/>
        </w:trPr>
        <w:tc>
          <w:tcPr>
            <w:tcW w:w="1980" w:type="dxa"/>
          </w:tcPr>
          <w:p w:rsidR="007A2518" w:rsidRPr="001953B6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100/50</w:t>
            </w:r>
          </w:p>
        </w:tc>
        <w:tc>
          <w:tcPr>
            <w:tcW w:w="6393" w:type="dxa"/>
          </w:tcPr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127,7-151,6-155,4-166,6-173,3-183-204,8</w:t>
            </w:r>
          </w:p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239,2-249,7-256,4</w:t>
            </w:r>
          </w:p>
          <w:p w:rsidR="007A2518" w:rsidRPr="001953B6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307,9-319,9</w:t>
            </w:r>
          </w:p>
        </w:tc>
      </w:tr>
      <w:tr w:rsidR="007A2518" w:rsidTr="0033506A">
        <w:trPr>
          <w:jc w:val="center"/>
        </w:trPr>
        <w:tc>
          <w:tcPr>
            <w:tcW w:w="1980" w:type="dxa"/>
          </w:tcPr>
          <w:p w:rsidR="007A2518" w:rsidRPr="007D50B0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150/0</w:t>
            </w:r>
          </w:p>
        </w:tc>
        <w:tc>
          <w:tcPr>
            <w:tcW w:w="6393" w:type="dxa"/>
          </w:tcPr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>
              <w:t>146.2-152.5-161.4</w:t>
            </w:r>
          </w:p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>
              <w:t>243.5-260.8</w:t>
            </w:r>
          </w:p>
        </w:tc>
      </w:tr>
      <w:tr w:rsidR="007A2518" w:rsidTr="0033506A">
        <w:trPr>
          <w:jc w:val="center"/>
        </w:trPr>
        <w:tc>
          <w:tcPr>
            <w:tcW w:w="1980" w:type="dxa"/>
          </w:tcPr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>
              <w:t>200/0</w:t>
            </w:r>
          </w:p>
        </w:tc>
        <w:tc>
          <w:tcPr>
            <w:tcW w:w="6393" w:type="dxa"/>
          </w:tcPr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>
              <w:t>160.4-167.7-174-176.4-194.8-202.2-209.7-218.2-221.2-223</w:t>
            </w:r>
          </w:p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>
              <w:t>259-262-265-267.2-272.4</w:t>
            </w:r>
          </w:p>
        </w:tc>
      </w:tr>
      <w:tr w:rsidR="007A2518" w:rsidTr="0033506A">
        <w:trPr>
          <w:jc w:val="center"/>
        </w:trPr>
        <w:tc>
          <w:tcPr>
            <w:tcW w:w="1980" w:type="dxa"/>
          </w:tcPr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>
              <w:t>300/0</w:t>
            </w:r>
          </w:p>
        </w:tc>
        <w:tc>
          <w:tcPr>
            <w:tcW w:w="6393" w:type="dxa"/>
          </w:tcPr>
          <w:p w:rsidR="007A2518" w:rsidRDefault="007A2518" w:rsidP="00824006">
            <w:pPr>
              <w:pStyle w:val="Newparagraph"/>
              <w:spacing w:line="240" w:lineRule="auto"/>
              <w:ind w:firstLine="0"/>
              <w:jc w:val="both"/>
            </w:pPr>
            <w:r>
              <w:t>127.6-149-175.9</w:t>
            </w:r>
          </w:p>
          <w:p w:rsidR="007A2518" w:rsidRPr="00467E98" w:rsidRDefault="007A2518" w:rsidP="00824006">
            <w:pPr>
              <w:pStyle w:val="Newparagraph"/>
              <w:spacing w:line="240" w:lineRule="auto"/>
              <w:ind w:firstLine="0"/>
              <w:jc w:val="both"/>
              <w:rPr>
                <w:lang w:val="en-US"/>
              </w:rPr>
            </w:pPr>
            <w:r>
              <w:t>252, 308, 314</w:t>
            </w:r>
          </w:p>
        </w:tc>
      </w:tr>
    </w:tbl>
    <w:p w:rsidR="007A2518" w:rsidRPr="007A2518" w:rsidRDefault="007A2518" w:rsidP="007A2518">
      <w:pPr>
        <w:pStyle w:val="Correspondencedetails"/>
        <w:rPr>
          <w:b/>
        </w:rPr>
      </w:pPr>
      <w:r w:rsidRPr="007A2518">
        <w:rPr>
          <w:b/>
        </w:rPr>
        <w:t>Table S1</w:t>
      </w:r>
      <w:r>
        <w:rPr>
          <w:b/>
        </w:rPr>
        <w:t>.</w:t>
      </w:r>
    </w:p>
    <w:p w:rsidR="007A2518" w:rsidRDefault="007A2518" w:rsidP="006B16BC">
      <w:pPr>
        <w:pStyle w:val="Correspondencedetails"/>
      </w:pPr>
      <w:r>
        <w:br w:type="page"/>
      </w:r>
    </w:p>
    <w:p w:rsidR="00C113D5" w:rsidRDefault="000C289B" w:rsidP="00C113D5">
      <w:pPr>
        <w:pStyle w:val="Correspondencedetails"/>
        <w:jc w:val="center"/>
        <w:rPr>
          <w:lang w:val="ru-RU"/>
        </w:rPr>
      </w:pPr>
      <w:r w:rsidRPr="000C289B">
        <w:rPr>
          <w:noProof/>
          <w:lang w:val="ru-RU" w:eastAsia="ru-RU"/>
        </w:rPr>
        <w:lastRenderedPageBreak/>
        <w:drawing>
          <wp:inline distT="0" distB="0" distL="0" distR="0">
            <wp:extent cx="2700000" cy="1886400"/>
            <wp:effectExtent l="0" t="0" r="5715" b="0"/>
            <wp:docPr id="2" name="Рисунок 2" descr="C:\Users\lobiakev\Downloads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biakev\Downloads\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00" w:rsidRDefault="007A2518" w:rsidP="00812300">
      <w:pPr>
        <w:pStyle w:val="Correspondencedetails"/>
        <w:spacing w:before="0" w:after="240"/>
      </w:pPr>
      <w:r>
        <w:rPr>
          <w:b/>
          <w:lang w:val="en-US"/>
        </w:rPr>
        <w:t>Figure</w:t>
      </w:r>
      <w:r w:rsidR="00222982" w:rsidRPr="004E3971">
        <w:rPr>
          <w:b/>
          <w:lang w:val="en-US"/>
        </w:rPr>
        <w:t xml:space="preserve"> S1.</w:t>
      </w:r>
    </w:p>
    <w:p w:rsidR="007A2518" w:rsidRDefault="000C289B" w:rsidP="007A2518">
      <w:pPr>
        <w:jc w:val="center"/>
      </w:pPr>
      <w:bookmarkStart w:id="0" w:name="_GoBack"/>
      <w:r w:rsidRPr="000C289B">
        <w:rPr>
          <w:noProof/>
          <w:lang w:eastAsia="ru-RU"/>
        </w:rPr>
        <w:drawing>
          <wp:inline distT="0" distB="0" distL="0" distR="0">
            <wp:extent cx="2700000" cy="1886400"/>
            <wp:effectExtent l="0" t="0" r="5715" b="0"/>
            <wp:docPr id="1" name="Рисунок 1" descr="C:\Users\lobiakev\Downloads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biakev\Downloads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2518" w:rsidRPr="00B20235" w:rsidRDefault="007A2518" w:rsidP="007A2518">
      <w:pPr>
        <w:spacing w:after="24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Figure</w:t>
      </w:r>
      <w:r w:rsidRPr="006F4439">
        <w:rPr>
          <w:rFonts w:ascii="Times New Roman" w:hAnsi="Times New Roman" w:cs="Times New Roman"/>
          <w:b/>
          <w:sz w:val="24"/>
          <w:lang w:val="en-US"/>
        </w:rPr>
        <w:t xml:space="preserve"> S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Pr="006F4439">
        <w:rPr>
          <w:rFonts w:ascii="Times New Roman" w:hAnsi="Times New Roman" w:cs="Times New Roman"/>
          <w:b/>
          <w:sz w:val="24"/>
          <w:lang w:val="en-US"/>
        </w:rPr>
        <w:t>.</w:t>
      </w:r>
    </w:p>
    <w:p w:rsidR="007A2518" w:rsidRDefault="007A2518" w:rsidP="007A2518">
      <w:pPr>
        <w:pStyle w:val="Correspondencedetails"/>
      </w:pPr>
      <w:r w:rsidRPr="007A2518">
        <w:rPr>
          <w:b/>
        </w:rPr>
        <w:t>Table S1.</w:t>
      </w:r>
      <w:r>
        <w:t xml:space="preserve"> RBM positions of CNTs synthesized using </w:t>
      </w:r>
      <w:r w:rsidR="000C289B" w:rsidRPr="000C289B">
        <w:rPr>
          <w:i/>
        </w:rPr>
        <w:t>comb</w:t>
      </w:r>
      <w:r w:rsidR="000C289B">
        <w:t>-prepared</w:t>
      </w:r>
      <w:r w:rsidRPr="00222982">
        <w:t xml:space="preserve"> </w:t>
      </w:r>
      <w:r>
        <w:t>catalyst</w:t>
      </w:r>
      <w:r w:rsidRPr="00222982">
        <w:t xml:space="preserve"> at different CH</w:t>
      </w:r>
      <w:r w:rsidRPr="00222982">
        <w:rPr>
          <w:vertAlign w:val="subscript"/>
        </w:rPr>
        <w:t>4</w:t>
      </w:r>
      <w:r w:rsidRPr="00222982">
        <w:t>/H</w:t>
      </w:r>
      <w:r w:rsidRPr="00222982">
        <w:rPr>
          <w:vertAlign w:val="subscript"/>
        </w:rPr>
        <w:t>2</w:t>
      </w:r>
      <w:r w:rsidRPr="00222982">
        <w:t xml:space="preserve"> ratio</w:t>
      </w:r>
      <w:r>
        <w:t>s</w:t>
      </w:r>
      <w:r w:rsidRPr="00222982">
        <w:t xml:space="preserve"> and flow rates.</w:t>
      </w:r>
    </w:p>
    <w:p w:rsidR="007A2518" w:rsidRDefault="007A2518" w:rsidP="007A2518">
      <w:pPr>
        <w:pStyle w:val="Correspondencedetails"/>
      </w:pPr>
      <w:r w:rsidRPr="004E3971">
        <w:rPr>
          <w:b/>
          <w:lang w:val="en-US"/>
        </w:rPr>
        <w:t>Fig. S1.</w:t>
      </w:r>
      <w:r w:rsidRPr="00222982">
        <w:rPr>
          <w:lang w:val="en-US"/>
        </w:rPr>
        <w:t xml:space="preserve"> </w:t>
      </w:r>
      <w:r w:rsidRPr="00222982">
        <w:t xml:space="preserve">RBM </w:t>
      </w:r>
      <w:r>
        <w:t>Raman</w:t>
      </w:r>
      <w:r w:rsidRPr="00222982">
        <w:t xml:space="preserve"> spectra </w:t>
      </w:r>
      <w:r>
        <w:t xml:space="preserve">peaks </w:t>
      </w:r>
      <w:r w:rsidRPr="00222982">
        <w:t xml:space="preserve">of CNTs </w:t>
      </w:r>
      <w:r>
        <w:t>synthesized</w:t>
      </w:r>
      <w:r w:rsidRPr="00222982">
        <w:t xml:space="preserve"> </w:t>
      </w:r>
      <w:r>
        <w:t>using</w:t>
      </w:r>
      <w:r w:rsidRPr="00222982">
        <w:t xml:space="preserve"> </w:t>
      </w:r>
      <w:r w:rsidR="000C289B" w:rsidRPr="000C289B">
        <w:rPr>
          <w:i/>
        </w:rPr>
        <w:t>comb</w:t>
      </w:r>
      <w:r w:rsidR="000C289B">
        <w:t>-prepared</w:t>
      </w:r>
      <w:r w:rsidRPr="00222982">
        <w:t xml:space="preserve"> </w:t>
      </w:r>
      <w:r>
        <w:t>c</w:t>
      </w:r>
      <w:r w:rsidRPr="00222982">
        <w:t>atalyst at different CH</w:t>
      </w:r>
      <w:r w:rsidRPr="00222982">
        <w:rPr>
          <w:vertAlign w:val="subscript"/>
        </w:rPr>
        <w:t>4</w:t>
      </w:r>
      <w:r w:rsidRPr="00222982">
        <w:t>/H</w:t>
      </w:r>
      <w:r w:rsidRPr="00222982">
        <w:rPr>
          <w:vertAlign w:val="subscript"/>
        </w:rPr>
        <w:t>2</w:t>
      </w:r>
      <w:r w:rsidRPr="00222982">
        <w:t xml:space="preserve"> ratio</w:t>
      </w:r>
      <w:r>
        <w:t>s</w:t>
      </w:r>
      <w:r w:rsidRPr="00222982">
        <w:t xml:space="preserve"> and flow</w:t>
      </w:r>
      <w:r w:rsidR="000C289B">
        <w:t xml:space="preserve"> </w:t>
      </w:r>
      <w:r w:rsidRPr="00222982">
        <w:t>rates.</w:t>
      </w:r>
    </w:p>
    <w:p w:rsidR="004E3971" w:rsidRPr="000C289B" w:rsidRDefault="007A2518" w:rsidP="007A2518">
      <w:pPr>
        <w:spacing w:before="240" w:after="0" w:line="360" w:lineRule="auto"/>
        <w:rPr>
          <w:lang w:val="en-US"/>
        </w:rPr>
      </w:pPr>
      <w:r w:rsidRPr="006F4439">
        <w:rPr>
          <w:rFonts w:ascii="Times New Roman" w:hAnsi="Times New Roman" w:cs="Times New Roman"/>
          <w:b/>
          <w:sz w:val="24"/>
          <w:lang w:val="en-US"/>
        </w:rPr>
        <w:t>Fig. S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Pr="006F4439">
        <w:rPr>
          <w:rFonts w:ascii="Times New Roman" w:hAnsi="Times New Roman" w:cs="Times New Roman"/>
          <w:b/>
          <w:sz w:val="24"/>
          <w:lang w:val="en-US"/>
        </w:rPr>
        <w:t>.</w:t>
      </w:r>
      <w:r w:rsidRPr="006F4439">
        <w:rPr>
          <w:rFonts w:ascii="Times New Roman" w:hAnsi="Times New Roman" w:cs="Times New Roman"/>
          <w:sz w:val="24"/>
          <w:lang w:val="en-US"/>
        </w:rPr>
        <w:t xml:space="preserve"> </w:t>
      </w:r>
      <w:r w:rsidRPr="00B20235">
        <w:rPr>
          <w:rFonts w:ascii="Times New Roman" w:hAnsi="Times New Roman" w:cs="Times New Roman"/>
          <w:sz w:val="24"/>
          <w:lang w:val="en-US"/>
        </w:rPr>
        <w:t xml:space="preserve">Specific </w:t>
      </w:r>
      <w:r w:rsidRPr="004E3971">
        <w:rPr>
          <w:rFonts w:ascii="Times New Roman" w:hAnsi="Times New Roman" w:cs="Times New Roman"/>
          <w:sz w:val="24"/>
          <w:szCs w:val="24"/>
          <w:lang w:val="en-US"/>
        </w:rPr>
        <w:t xml:space="preserve">capacitance as a function of scan rate of CNTs obtained with </w:t>
      </w:r>
      <w:r w:rsidR="000C289B" w:rsidRPr="000C289B">
        <w:rPr>
          <w:rFonts w:ascii="Times New Roman" w:hAnsi="Times New Roman" w:cs="Times New Roman"/>
          <w:i/>
          <w:sz w:val="24"/>
          <w:szCs w:val="24"/>
          <w:lang w:val="en-US"/>
        </w:rPr>
        <w:t>comb</w:t>
      </w:r>
      <w:r w:rsidR="000C289B">
        <w:rPr>
          <w:rFonts w:ascii="Times New Roman" w:hAnsi="Times New Roman" w:cs="Times New Roman"/>
          <w:sz w:val="24"/>
          <w:szCs w:val="24"/>
          <w:lang w:val="en-US"/>
        </w:rPr>
        <w:t>-prepared</w:t>
      </w:r>
      <w:r w:rsidRPr="004E3971">
        <w:rPr>
          <w:rFonts w:ascii="Times New Roman" w:hAnsi="Times New Roman" w:cs="Times New Roman"/>
          <w:sz w:val="24"/>
          <w:szCs w:val="24"/>
          <w:lang w:val="en-US"/>
        </w:rPr>
        <w:t xml:space="preserve"> catalyst</w:t>
      </w:r>
      <w:r>
        <w:rPr>
          <w:rFonts w:ascii="Times New Roman" w:hAnsi="Times New Roman" w:cs="Times New Roman"/>
          <w:sz w:val="24"/>
          <w:lang w:val="en-US"/>
        </w:rPr>
        <w:t xml:space="preserve"> at different CH</w:t>
      </w:r>
      <w:r w:rsidRPr="00B20235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/H</w:t>
      </w:r>
      <w:r w:rsidRPr="00B2023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0C289B">
        <w:rPr>
          <w:rFonts w:ascii="Times New Roman" w:hAnsi="Times New Roman" w:cs="Times New Roman"/>
          <w:sz w:val="24"/>
          <w:lang w:val="en-US"/>
        </w:rPr>
        <w:t xml:space="preserve"> ratios and flow </w:t>
      </w:r>
      <w:r>
        <w:rPr>
          <w:rFonts w:ascii="Times New Roman" w:hAnsi="Times New Roman" w:cs="Times New Roman"/>
          <w:sz w:val="24"/>
          <w:lang w:val="en-US"/>
        </w:rPr>
        <w:t>rates.</w:t>
      </w:r>
    </w:p>
    <w:sectPr w:rsidR="004E3971" w:rsidRPr="000C289B" w:rsidSect="003350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14"/>
    <w:rsid w:val="00051812"/>
    <w:rsid w:val="00081949"/>
    <w:rsid w:val="000C289B"/>
    <w:rsid w:val="0015578F"/>
    <w:rsid w:val="001953B6"/>
    <w:rsid w:val="00216EB6"/>
    <w:rsid w:val="00222982"/>
    <w:rsid w:val="0033506A"/>
    <w:rsid w:val="003A2692"/>
    <w:rsid w:val="003A42C6"/>
    <w:rsid w:val="003A5CE0"/>
    <w:rsid w:val="00416AA8"/>
    <w:rsid w:val="00431B91"/>
    <w:rsid w:val="00467E98"/>
    <w:rsid w:val="004A718D"/>
    <w:rsid w:val="004E3971"/>
    <w:rsid w:val="00573C0C"/>
    <w:rsid w:val="00593A73"/>
    <w:rsid w:val="005B1414"/>
    <w:rsid w:val="00632C03"/>
    <w:rsid w:val="00682C41"/>
    <w:rsid w:val="006B16BC"/>
    <w:rsid w:val="006F4439"/>
    <w:rsid w:val="007236E5"/>
    <w:rsid w:val="00742763"/>
    <w:rsid w:val="00773214"/>
    <w:rsid w:val="007A2518"/>
    <w:rsid w:val="007B6976"/>
    <w:rsid w:val="007D0273"/>
    <w:rsid w:val="007D50B0"/>
    <w:rsid w:val="00812300"/>
    <w:rsid w:val="008C32BB"/>
    <w:rsid w:val="00903085"/>
    <w:rsid w:val="009C2D5E"/>
    <w:rsid w:val="00AC62F4"/>
    <w:rsid w:val="00AE217F"/>
    <w:rsid w:val="00B20235"/>
    <w:rsid w:val="00B2520F"/>
    <w:rsid w:val="00B7336A"/>
    <w:rsid w:val="00B954BB"/>
    <w:rsid w:val="00C113D5"/>
    <w:rsid w:val="00CC7FD2"/>
    <w:rsid w:val="00D21D2A"/>
    <w:rsid w:val="00DE3457"/>
    <w:rsid w:val="00E60E47"/>
    <w:rsid w:val="00F0343C"/>
    <w:rsid w:val="00F7710A"/>
    <w:rsid w:val="00FD16F8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CD9D-E562-4777-86DF-E70B9845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basedOn w:val="a"/>
    <w:link w:val="a4"/>
    <w:qFormat/>
    <w:rsid w:val="00CC7FD2"/>
    <w:pPr>
      <w:spacing w:after="200" w:line="360" w:lineRule="auto"/>
      <w:ind w:firstLine="567"/>
      <w:jc w:val="both"/>
    </w:pPr>
    <w:rPr>
      <w:rFonts w:ascii="Times New Roman" w:hAnsi="Times New Roman"/>
      <w:sz w:val="26"/>
      <w:szCs w:val="26"/>
      <w:lang w:eastAsia="x-none"/>
    </w:rPr>
  </w:style>
  <w:style w:type="character" w:customStyle="1" w:styleId="a4">
    <w:name w:val="Диссертация Знак"/>
    <w:basedOn w:val="a0"/>
    <w:link w:val="a3"/>
    <w:rsid w:val="00CC7FD2"/>
    <w:rPr>
      <w:rFonts w:ascii="Times New Roman" w:hAnsi="Times New Roman"/>
      <w:sz w:val="26"/>
      <w:szCs w:val="26"/>
      <w:lang w:eastAsia="x-none"/>
    </w:rPr>
  </w:style>
  <w:style w:type="paragraph" w:customStyle="1" w:styleId="Articletitle">
    <w:name w:val="Article title"/>
    <w:basedOn w:val="a"/>
    <w:next w:val="a"/>
    <w:qFormat/>
    <w:rsid w:val="005B141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5B1414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5B1414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5B1414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Hyperlink"/>
    <w:basedOn w:val="a0"/>
    <w:unhideWhenUsed/>
    <w:rsid w:val="005B141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202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02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02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02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023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35"/>
    <w:rPr>
      <w:rFonts w:ascii="Segoe UI" w:hAnsi="Segoe UI" w:cs="Segoe UI"/>
      <w:sz w:val="18"/>
      <w:szCs w:val="18"/>
    </w:rPr>
  </w:style>
  <w:style w:type="paragraph" w:customStyle="1" w:styleId="Newparagraph">
    <w:name w:val="New paragraph"/>
    <w:basedOn w:val="a"/>
    <w:qFormat/>
    <w:rsid w:val="00C113D5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d">
    <w:name w:val="Table Grid"/>
    <w:basedOn w:val="a1"/>
    <w:rsid w:val="00C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Лобяк Егор Владимирович</dc:creator>
  <cp:keywords/>
  <dc:description/>
  <cp:lastModifiedBy>Лобяк Егор Владимирович</cp:lastModifiedBy>
  <cp:revision>5</cp:revision>
  <dcterms:created xsi:type="dcterms:W3CDTF">2020-03-01T23:41:00Z</dcterms:created>
  <dcterms:modified xsi:type="dcterms:W3CDTF">2020-03-08T12:57:00Z</dcterms:modified>
</cp:coreProperties>
</file>