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0" w:type="dxa"/>
        <w:tblInd w:w="-651" w:type="dxa"/>
        <w:tblLayout w:type="fixed"/>
        <w:tblCellMar>
          <w:left w:w="70" w:type="dxa"/>
          <w:right w:w="70" w:type="dxa"/>
        </w:tblCellMar>
        <w:tblLook w:val="0000" w:firstRow="0" w:lastRow="0" w:firstColumn="0" w:lastColumn="0" w:noHBand="0" w:noVBand="0"/>
      </w:tblPr>
      <w:tblGrid>
        <w:gridCol w:w="1530"/>
        <w:gridCol w:w="7129"/>
        <w:gridCol w:w="1701"/>
      </w:tblGrid>
      <w:tr w:rsidR="000B38AF" w:rsidRPr="00DF7302" w14:paraId="672C6C5C" w14:textId="77777777">
        <w:trPr>
          <w:trHeight w:val="2142"/>
        </w:trPr>
        <w:tc>
          <w:tcPr>
            <w:tcW w:w="1530" w:type="dxa"/>
          </w:tcPr>
          <w:p w14:paraId="44189060" w14:textId="31ACF892" w:rsidR="000D38AB" w:rsidRPr="00DF7302" w:rsidRDefault="00A72150" w:rsidP="000B38AF">
            <w:pPr>
              <w:pStyle w:val="Cabealho"/>
              <w:tabs>
                <w:tab w:val="clear" w:pos="4419"/>
                <w:tab w:val="clear" w:pos="8838"/>
              </w:tabs>
              <w:rPr>
                <w:b/>
                <w:sz w:val="24"/>
                <w:szCs w:val="24"/>
              </w:rPr>
            </w:pPr>
            <w:bookmarkStart w:id="0" w:name="_GoBack"/>
            <w:bookmarkEnd w:id="0"/>
            <w:r>
              <w:rPr>
                <w:b/>
                <w:noProof/>
                <w:sz w:val="24"/>
                <w:szCs w:val="24"/>
              </w:rPr>
              <w:drawing>
                <wp:anchor distT="0" distB="0" distL="114300" distR="114300" simplePos="0" relativeHeight="251657728" behindDoc="1" locked="0" layoutInCell="1" allowOverlap="1" wp14:anchorId="4D540AC3" wp14:editId="3224325D">
                  <wp:simplePos x="0" y="0"/>
                  <wp:positionH relativeFrom="column">
                    <wp:posOffset>-38100</wp:posOffset>
                  </wp:positionH>
                  <wp:positionV relativeFrom="paragraph">
                    <wp:posOffset>109855</wp:posOffset>
                  </wp:positionV>
                  <wp:extent cx="967105" cy="1144270"/>
                  <wp:effectExtent l="0" t="0" r="4445" b="0"/>
                  <wp:wrapThrough wrapText="right">
                    <wp:wrapPolygon edited="0">
                      <wp:start x="0" y="0"/>
                      <wp:lineTo x="0" y="21216"/>
                      <wp:lineTo x="21274" y="21216"/>
                      <wp:lineTo x="21274" y="0"/>
                      <wp:lineTo x="0" y="0"/>
                    </wp:wrapPolygon>
                  </wp:wrapThrough>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105" cy="1144270"/>
                          </a:xfrm>
                          <a:prstGeom prst="rect">
                            <a:avLst/>
                          </a:prstGeom>
                          <a:noFill/>
                        </pic:spPr>
                      </pic:pic>
                    </a:graphicData>
                  </a:graphic>
                  <wp14:sizeRelH relativeFrom="page">
                    <wp14:pctWidth>0</wp14:pctWidth>
                  </wp14:sizeRelH>
                  <wp14:sizeRelV relativeFrom="page">
                    <wp14:pctHeight>0</wp14:pctHeight>
                  </wp14:sizeRelV>
                </wp:anchor>
              </w:drawing>
            </w:r>
          </w:p>
        </w:tc>
        <w:tc>
          <w:tcPr>
            <w:tcW w:w="7129" w:type="dxa"/>
          </w:tcPr>
          <w:p w14:paraId="7D677A81" w14:textId="77777777" w:rsidR="000B38AF" w:rsidRPr="00DF7302" w:rsidRDefault="000B38AF" w:rsidP="000B38AF">
            <w:pPr>
              <w:tabs>
                <w:tab w:val="center" w:pos="3906"/>
              </w:tabs>
              <w:spacing w:line="360" w:lineRule="auto"/>
              <w:jc w:val="center"/>
              <w:outlineLvl w:val="0"/>
              <w:rPr>
                <w:b/>
              </w:rPr>
            </w:pPr>
          </w:p>
          <w:p w14:paraId="05D39995" w14:textId="77777777" w:rsidR="000B38AF" w:rsidRPr="00DF7302" w:rsidRDefault="000B38AF" w:rsidP="000B38AF">
            <w:pPr>
              <w:tabs>
                <w:tab w:val="center" w:pos="3906"/>
              </w:tabs>
              <w:spacing w:line="360" w:lineRule="auto"/>
              <w:jc w:val="center"/>
              <w:outlineLvl w:val="0"/>
              <w:rPr>
                <w:b/>
              </w:rPr>
            </w:pPr>
            <w:r w:rsidRPr="00DF7302">
              <w:rPr>
                <w:b/>
              </w:rPr>
              <w:t>UNIVERSIDADE FEDERAL DA BAHIA</w:t>
            </w:r>
          </w:p>
          <w:p w14:paraId="21B7A034" w14:textId="77777777" w:rsidR="000B38AF" w:rsidRPr="00DF7302" w:rsidRDefault="000B38AF" w:rsidP="000B38AF">
            <w:pPr>
              <w:spacing w:line="360" w:lineRule="auto"/>
              <w:jc w:val="center"/>
              <w:rPr>
                <w:b/>
              </w:rPr>
            </w:pPr>
            <w:r w:rsidRPr="00DF7302">
              <w:rPr>
                <w:b/>
              </w:rPr>
              <w:t xml:space="preserve">INSTITUTO DE CIÊNCIAS DA SAÚDE </w:t>
            </w:r>
          </w:p>
          <w:p w14:paraId="1C89B1C6" w14:textId="77777777" w:rsidR="000B38AF" w:rsidRPr="00DF7302" w:rsidRDefault="000B38AF" w:rsidP="000B38AF">
            <w:pPr>
              <w:spacing w:line="360" w:lineRule="auto"/>
              <w:jc w:val="center"/>
              <w:outlineLvl w:val="0"/>
              <w:rPr>
                <w:b/>
              </w:rPr>
            </w:pPr>
            <w:r w:rsidRPr="00DF7302">
              <w:rPr>
                <w:b/>
              </w:rPr>
              <w:t>PROGRAMA DE PÓS-GRADUAÇÃO EM PROCESSOS INTERATIVOS DOS ÓRGÃOS E SISTEMAS</w:t>
            </w:r>
          </w:p>
        </w:tc>
        <w:tc>
          <w:tcPr>
            <w:tcW w:w="1701" w:type="dxa"/>
          </w:tcPr>
          <w:p w14:paraId="6975CC53" w14:textId="66D07DD7" w:rsidR="000B38AF" w:rsidRPr="00DF7302" w:rsidRDefault="00A72150" w:rsidP="000B38AF">
            <w:pPr>
              <w:rPr>
                <w:b/>
              </w:rPr>
            </w:pPr>
            <w:r>
              <w:rPr>
                <w:noProof/>
              </w:rPr>
              <w:drawing>
                <wp:inline distT="0" distB="0" distL="0" distR="0" wp14:anchorId="2C2DB402" wp14:editId="378E3D3F">
                  <wp:extent cx="1066800" cy="1266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66825"/>
                          </a:xfrm>
                          <a:prstGeom prst="rect">
                            <a:avLst/>
                          </a:prstGeom>
                          <a:noFill/>
                          <a:ln>
                            <a:noFill/>
                          </a:ln>
                        </pic:spPr>
                      </pic:pic>
                    </a:graphicData>
                  </a:graphic>
                </wp:inline>
              </w:drawing>
            </w:r>
          </w:p>
        </w:tc>
      </w:tr>
    </w:tbl>
    <w:p w14:paraId="2E45E7F4" w14:textId="77777777" w:rsidR="000B38AF" w:rsidRPr="00DF7302" w:rsidRDefault="000B38AF" w:rsidP="000B38AF">
      <w:pPr>
        <w:pStyle w:val="Ttulo"/>
        <w:spacing w:line="360" w:lineRule="auto"/>
        <w:jc w:val="both"/>
        <w:rPr>
          <w:b/>
          <w:sz w:val="24"/>
        </w:rPr>
      </w:pPr>
    </w:p>
    <w:p w14:paraId="4AE05002" w14:textId="77777777" w:rsidR="000B38AF" w:rsidRPr="00DF7302" w:rsidRDefault="000B38AF" w:rsidP="000B38AF">
      <w:pPr>
        <w:pStyle w:val="Ttulo"/>
        <w:spacing w:line="360" w:lineRule="auto"/>
        <w:jc w:val="both"/>
        <w:rPr>
          <w:sz w:val="24"/>
        </w:rPr>
      </w:pPr>
    </w:p>
    <w:p w14:paraId="1A6A4ACD" w14:textId="77777777" w:rsidR="000B38AF" w:rsidRPr="00DF7302" w:rsidRDefault="000B38AF" w:rsidP="000B38AF">
      <w:pPr>
        <w:pStyle w:val="Ttulo"/>
        <w:spacing w:line="360" w:lineRule="auto"/>
        <w:jc w:val="both"/>
        <w:rPr>
          <w:sz w:val="24"/>
        </w:rPr>
      </w:pPr>
    </w:p>
    <w:p w14:paraId="56F52033" w14:textId="77777777" w:rsidR="000B38AF" w:rsidRPr="00DF7302" w:rsidRDefault="000B38AF" w:rsidP="000B38AF">
      <w:pPr>
        <w:pStyle w:val="Ttulo"/>
        <w:spacing w:line="360" w:lineRule="auto"/>
        <w:jc w:val="both"/>
        <w:rPr>
          <w:sz w:val="24"/>
        </w:rPr>
      </w:pPr>
    </w:p>
    <w:p w14:paraId="14E12B42" w14:textId="77777777" w:rsidR="000B38AF" w:rsidRPr="00DF7302" w:rsidRDefault="000B38AF" w:rsidP="000B38AF">
      <w:pPr>
        <w:pStyle w:val="Ttulo"/>
        <w:spacing w:line="360" w:lineRule="auto"/>
        <w:jc w:val="both"/>
        <w:rPr>
          <w:sz w:val="24"/>
        </w:rPr>
      </w:pPr>
    </w:p>
    <w:p w14:paraId="1D453794" w14:textId="77777777" w:rsidR="000B38AF" w:rsidRPr="00DF7302" w:rsidRDefault="000B38AF" w:rsidP="000B38AF">
      <w:pPr>
        <w:pStyle w:val="Ttulo"/>
        <w:spacing w:line="360" w:lineRule="auto"/>
        <w:jc w:val="both"/>
        <w:rPr>
          <w:sz w:val="24"/>
        </w:rPr>
      </w:pPr>
    </w:p>
    <w:p w14:paraId="0371EFE0" w14:textId="77777777" w:rsidR="000B38AF" w:rsidRPr="00DF7302" w:rsidRDefault="000B38AF" w:rsidP="00DF7302">
      <w:pPr>
        <w:pStyle w:val="Ttulo"/>
        <w:spacing w:line="360" w:lineRule="auto"/>
        <w:rPr>
          <w:sz w:val="24"/>
        </w:rPr>
      </w:pPr>
    </w:p>
    <w:p w14:paraId="450C2650" w14:textId="77777777" w:rsidR="000B38AF" w:rsidRPr="00DF7302" w:rsidRDefault="000B38AF" w:rsidP="00DF7302">
      <w:pPr>
        <w:pStyle w:val="Ttulo"/>
        <w:spacing w:line="360" w:lineRule="auto"/>
        <w:rPr>
          <w:b/>
          <w:sz w:val="24"/>
        </w:rPr>
      </w:pPr>
      <w:r w:rsidRPr="00DF7302">
        <w:rPr>
          <w:b/>
          <w:sz w:val="24"/>
        </w:rPr>
        <w:t>ASPECTOS NEUROBIOLÓGICOS DO TRANSTORNO DO DÉFICIT DE ATENÇÃO E HIPERATIVIDADE: CONTRIBUIÇÃO DA ESTIMULAÇÃO TRANSCRANIANA POR CORRENTE CONTÍNUA NO CONTROLE INIBITÓRIO</w:t>
      </w:r>
    </w:p>
    <w:p w14:paraId="7E269EE7" w14:textId="77777777" w:rsidR="000B38AF" w:rsidRPr="00DF7302" w:rsidRDefault="000B38AF" w:rsidP="00DF7302">
      <w:pPr>
        <w:pStyle w:val="Ttulo"/>
        <w:spacing w:line="360" w:lineRule="auto"/>
        <w:jc w:val="both"/>
        <w:rPr>
          <w:sz w:val="24"/>
        </w:rPr>
      </w:pPr>
    </w:p>
    <w:p w14:paraId="2AAB0DF0" w14:textId="77777777" w:rsidR="000B38AF" w:rsidRPr="00DF7302" w:rsidRDefault="000B38AF" w:rsidP="00DF7302">
      <w:pPr>
        <w:pStyle w:val="Ttulo"/>
        <w:spacing w:line="360" w:lineRule="auto"/>
        <w:jc w:val="both"/>
        <w:rPr>
          <w:sz w:val="24"/>
        </w:rPr>
      </w:pPr>
    </w:p>
    <w:p w14:paraId="7F427A23" w14:textId="77777777" w:rsidR="000B38AF" w:rsidRPr="00DF7302" w:rsidRDefault="000B38AF" w:rsidP="00DF7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b/>
          <w:color w:val="000000"/>
        </w:rPr>
      </w:pPr>
      <w:r w:rsidRPr="00DF7302">
        <w:rPr>
          <w:b/>
          <w:color w:val="000000"/>
        </w:rPr>
        <w:t>CAMILA SOUZA ALVES COSMO</w:t>
      </w:r>
    </w:p>
    <w:p w14:paraId="34549BA2" w14:textId="77777777" w:rsidR="000B38AF" w:rsidRPr="00DF7302" w:rsidRDefault="000B38AF" w:rsidP="00DF7302">
      <w:pPr>
        <w:pStyle w:val="Ttulo"/>
        <w:spacing w:line="360" w:lineRule="auto"/>
        <w:jc w:val="both"/>
        <w:rPr>
          <w:sz w:val="24"/>
        </w:rPr>
      </w:pPr>
    </w:p>
    <w:p w14:paraId="2CE366B3" w14:textId="77777777" w:rsidR="000B38AF" w:rsidRPr="00DF7302" w:rsidRDefault="000B38AF" w:rsidP="00DF7302">
      <w:pPr>
        <w:pStyle w:val="Ttulo"/>
        <w:spacing w:line="360" w:lineRule="auto"/>
        <w:jc w:val="both"/>
        <w:rPr>
          <w:sz w:val="24"/>
        </w:rPr>
      </w:pPr>
    </w:p>
    <w:p w14:paraId="2AE7BA7E" w14:textId="77777777" w:rsidR="000B38AF" w:rsidRPr="00DF7302" w:rsidRDefault="000B38AF" w:rsidP="00DF7302">
      <w:pPr>
        <w:pStyle w:val="Ttulo"/>
        <w:spacing w:line="360" w:lineRule="auto"/>
        <w:jc w:val="both"/>
        <w:rPr>
          <w:sz w:val="24"/>
        </w:rPr>
      </w:pPr>
    </w:p>
    <w:p w14:paraId="16EA48F8" w14:textId="77777777" w:rsidR="000B38AF" w:rsidRPr="00DF7302" w:rsidRDefault="000B38AF" w:rsidP="00264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3402"/>
        <w:jc w:val="both"/>
        <w:rPr>
          <w:color w:val="000000"/>
        </w:rPr>
      </w:pPr>
      <w:r w:rsidRPr="00DF7302">
        <w:rPr>
          <w:color w:val="000000"/>
        </w:rPr>
        <w:tab/>
        <w:t>Projeto apresentado ao</w:t>
      </w:r>
      <w:r w:rsidRPr="00DF7302">
        <w:t xml:space="preserve"> Comitê de Ética em Pesquisa</w:t>
      </w:r>
      <w:r w:rsidRPr="00DF7302">
        <w:rPr>
          <w:color w:val="000000"/>
        </w:rPr>
        <w:t xml:space="preserve"> da Maternidade Climério de Oliveira, Universidade Federal da Bahia, para apreciação e parecer, desenvolvido sob a orientação do Prof. Dr. Eduardo Pondé de Sena.</w:t>
      </w:r>
    </w:p>
    <w:p w14:paraId="34FE19BA" w14:textId="77777777" w:rsidR="000B38AF" w:rsidRPr="00DF7302" w:rsidRDefault="000B38AF" w:rsidP="00DF7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3402"/>
        <w:jc w:val="both"/>
        <w:rPr>
          <w:color w:val="000000"/>
        </w:rPr>
      </w:pPr>
    </w:p>
    <w:p w14:paraId="132DC0ED" w14:textId="77777777" w:rsidR="000B38AF" w:rsidRDefault="000B38AF" w:rsidP="00DF7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3402"/>
        <w:jc w:val="both"/>
        <w:rPr>
          <w:color w:val="000000"/>
        </w:rPr>
      </w:pPr>
    </w:p>
    <w:p w14:paraId="48A5C692" w14:textId="77777777" w:rsidR="00DF7302" w:rsidRDefault="00DF7302" w:rsidP="00DF7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3402"/>
        <w:jc w:val="both"/>
        <w:rPr>
          <w:color w:val="000000"/>
        </w:rPr>
      </w:pPr>
    </w:p>
    <w:p w14:paraId="247B3995" w14:textId="77777777" w:rsidR="00264132" w:rsidRPr="00DF7302" w:rsidRDefault="00264132" w:rsidP="00DF7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3402"/>
        <w:jc w:val="both"/>
        <w:rPr>
          <w:color w:val="000000"/>
        </w:rPr>
      </w:pPr>
    </w:p>
    <w:p w14:paraId="7C3198D9" w14:textId="77777777" w:rsidR="000B38AF" w:rsidRDefault="000B38AF" w:rsidP="00DF7302">
      <w:pPr>
        <w:spacing w:line="360" w:lineRule="auto"/>
        <w:jc w:val="both"/>
        <w:rPr>
          <w:b/>
          <w:bCs/>
        </w:rPr>
      </w:pPr>
    </w:p>
    <w:p w14:paraId="43D47553" w14:textId="77777777" w:rsidR="00DF7302" w:rsidRPr="00DF7302" w:rsidRDefault="00DF7302" w:rsidP="00DF7302">
      <w:pPr>
        <w:spacing w:line="360" w:lineRule="auto"/>
        <w:jc w:val="both"/>
        <w:rPr>
          <w:b/>
          <w:bCs/>
        </w:rPr>
      </w:pPr>
    </w:p>
    <w:p w14:paraId="15C1B060" w14:textId="77777777" w:rsidR="000B38AF" w:rsidRPr="00DF7302" w:rsidRDefault="000B38AF" w:rsidP="00DF7302">
      <w:pPr>
        <w:spacing w:line="360" w:lineRule="auto"/>
        <w:jc w:val="center"/>
        <w:rPr>
          <w:b/>
          <w:bCs/>
        </w:rPr>
      </w:pPr>
      <w:r w:rsidRPr="00DF7302">
        <w:rPr>
          <w:b/>
          <w:bCs/>
        </w:rPr>
        <w:t>Salvador, 2012</w:t>
      </w:r>
    </w:p>
    <w:p w14:paraId="1C7C7872" w14:textId="77777777" w:rsidR="000B38AF" w:rsidRPr="00DF7302" w:rsidRDefault="000B38AF" w:rsidP="00DF7302">
      <w:pPr>
        <w:spacing w:line="360" w:lineRule="auto"/>
        <w:rPr>
          <w:b/>
          <w:color w:val="000000"/>
          <w:u w:val="single"/>
        </w:rPr>
      </w:pPr>
      <w:r w:rsidRPr="00DF7302">
        <w:rPr>
          <w:b/>
          <w:color w:val="000000"/>
          <w:u w:val="single"/>
        </w:rPr>
        <w:lastRenderedPageBreak/>
        <w:t>ÍNDICE</w:t>
      </w:r>
    </w:p>
    <w:p w14:paraId="6E2575CB" w14:textId="77777777" w:rsidR="000B38AF" w:rsidRPr="00DF7302" w:rsidRDefault="000B38AF" w:rsidP="00DF7302">
      <w:pPr>
        <w:spacing w:line="360" w:lineRule="auto"/>
        <w:rPr>
          <w:b/>
          <w:color w:val="000000"/>
          <w:u w:val="single"/>
        </w:rPr>
      </w:pPr>
    </w:p>
    <w:tbl>
      <w:tblPr>
        <w:tblW w:w="9075" w:type="dxa"/>
        <w:tblInd w:w="-38" w:type="dxa"/>
        <w:tblLayout w:type="fixed"/>
        <w:tblCellMar>
          <w:left w:w="70" w:type="dxa"/>
          <w:right w:w="70" w:type="dxa"/>
        </w:tblCellMar>
        <w:tblLook w:val="04A0" w:firstRow="1" w:lastRow="0" w:firstColumn="1" w:lastColumn="0" w:noHBand="0" w:noVBand="1"/>
      </w:tblPr>
      <w:tblGrid>
        <w:gridCol w:w="8499"/>
        <w:gridCol w:w="576"/>
      </w:tblGrid>
      <w:tr w:rsidR="000B38AF" w:rsidRPr="00DF7302" w14:paraId="54B4887F" w14:textId="77777777">
        <w:trPr>
          <w:trHeight w:val="295"/>
        </w:trPr>
        <w:tc>
          <w:tcPr>
            <w:tcW w:w="8499" w:type="dxa"/>
          </w:tcPr>
          <w:p w14:paraId="2E24D86B" w14:textId="77777777" w:rsidR="000B38AF" w:rsidRPr="00DF7302" w:rsidRDefault="000B38AF" w:rsidP="00DF7302">
            <w:pPr>
              <w:pStyle w:val="Ttulo7"/>
              <w:spacing w:before="0" w:after="0" w:line="360" w:lineRule="auto"/>
              <w:rPr>
                <w:rFonts w:ascii="Times New Roman" w:hAnsi="Times New Roman"/>
                <w:color w:val="000000"/>
              </w:rPr>
            </w:pPr>
            <w:r w:rsidRPr="00DF7302">
              <w:rPr>
                <w:rFonts w:ascii="Times New Roman" w:hAnsi="Times New Roman"/>
                <w:color w:val="000000"/>
              </w:rPr>
              <w:t>ÍNDICE DE ABREVIATURAS E SIGLAS</w:t>
            </w:r>
          </w:p>
        </w:tc>
        <w:tc>
          <w:tcPr>
            <w:tcW w:w="576" w:type="dxa"/>
          </w:tcPr>
          <w:p w14:paraId="568F5B75" w14:textId="4509BDEF" w:rsidR="000B38AF" w:rsidRPr="00DF7302" w:rsidRDefault="00DF7302" w:rsidP="00DF7302">
            <w:pPr>
              <w:pStyle w:val="Ttulo7"/>
              <w:spacing w:before="0" w:after="0" w:line="360" w:lineRule="auto"/>
              <w:rPr>
                <w:rFonts w:ascii="Times New Roman" w:hAnsi="Times New Roman"/>
                <w:color w:val="000000"/>
              </w:rPr>
            </w:pPr>
            <w:r>
              <w:rPr>
                <w:rFonts w:ascii="Times New Roman" w:hAnsi="Times New Roman"/>
                <w:color w:val="000000"/>
              </w:rPr>
              <w:t>03</w:t>
            </w:r>
          </w:p>
        </w:tc>
      </w:tr>
      <w:tr w:rsidR="000B38AF" w:rsidRPr="00DF7302" w14:paraId="0E96D368" w14:textId="77777777">
        <w:trPr>
          <w:trHeight w:val="534"/>
        </w:trPr>
        <w:tc>
          <w:tcPr>
            <w:tcW w:w="8499" w:type="dxa"/>
          </w:tcPr>
          <w:p w14:paraId="786334A2" w14:textId="0E310710" w:rsidR="000B38AF" w:rsidRPr="00DF7302" w:rsidRDefault="000B38AF" w:rsidP="00DF7302">
            <w:pPr>
              <w:pStyle w:val="Ttulo7"/>
              <w:spacing w:before="0" w:after="0" w:line="360" w:lineRule="auto"/>
              <w:rPr>
                <w:rFonts w:ascii="Times New Roman" w:hAnsi="Times New Roman"/>
              </w:rPr>
            </w:pPr>
            <w:r w:rsidRPr="00DF7302">
              <w:rPr>
                <w:rFonts w:ascii="Times New Roman" w:hAnsi="Times New Roman"/>
              </w:rPr>
              <w:t>I. OBJETIVOS</w:t>
            </w:r>
          </w:p>
        </w:tc>
        <w:tc>
          <w:tcPr>
            <w:tcW w:w="576" w:type="dxa"/>
          </w:tcPr>
          <w:p w14:paraId="10E72583" w14:textId="1BA364ED" w:rsidR="000B38AF" w:rsidRPr="00DF7302" w:rsidRDefault="00DF7302" w:rsidP="00DF7302">
            <w:pPr>
              <w:pStyle w:val="Ttulo7"/>
              <w:spacing w:before="0" w:after="0" w:line="360" w:lineRule="auto"/>
              <w:rPr>
                <w:rFonts w:ascii="Times New Roman" w:hAnsi="Times New Roman"/>
                <w:color w:val="000000"/>
              </w:rPr>
            </w:pPr>
            <w:r>
              <w:rPr>
                <w:rFonts w:ascii="Times New Roman" w:hAnsi="Times New Roman"/>
                <w:color w:val="000000"/>
              </w:rPr>
              <w:t>04</w:t>
            </w:r>
          </w:p>
        </w:tc>
      </w:tr>
      <w:tr w:rsidR="000B38AF" w:rsidRPr="00DF7302" w14:paraId="40EF2606" w14:textId="77777777">
        <w:trPr>
          <w:trHeight w:val="212"/>
        </w:trPr>
        <w:tc>
          <w:tcPr>
            <w:tcW w:w="8499" w:type="dxa"/>
          </w:tcPr>
          <w:p w14:paraId="4B38F4D4" w14:textId="3CD3DDFA" w:rsidR="000B38AF" w:rsidRPr="00DF7302" w:rsidRDefault="0025015A" w:rsidP="00DF7302">
            <w:pPr>
              <w:spacing w:line="360" w:lineRule="auto"/>
            </w:pPr>
            <w:r w:rsidRPr="00DF7302">
              <w:t xml:space="preserve">           I</w:t>
            </w:r>
            <w:r w:rsidR="000B38AF" w:rsidRPr="00DF7302">
              <w:t>. a. GERAL</w:t>
            </w:r>
          </w:p>
        </w:tc>
        <w:tc>
          <w:tcPr>
            <w:tcW w:w="576" w:type="dxa"/>
          </w:tcPr>
          <w:p w14:paraId="63153DC2" w14:textId="15F0E0EE" w:rsidR="000B38AF" w:rsidRPr="00DF7302" w:rsidRDefault="00DF7302" w:rsidP="00DF7302">
            <w:pPr>
              <w:pStyle w:val="Ttulo7"/>
              <w:spacing w:before="0" w:after="0" w:line="360" w:lineRule="auto"/>
              <w:rPr>
                <w:rFonts w:ascii="Times New Roman" w:hAnsi="Times New Roman"/>
                <w:color w:val="000000"/>
              </w:rPr>
            </w:pPr>
            <w:r>
              <w:rPr>
                <w:rFonts w:ascii="Times New Roman" w:hAnsi="Times New Roman"/>
                <w:color w:val="000000"/>
              </w:rPr>
              <w:t>04</w:t>
            </w:r>
          </w:p>
        </w:tc>
      </w:tr>
      <w:tr w:rsidR="000B38AF" w:rsidRPr="00DF7302" w14:paraId="20BCCB67" w14:textId="77777777">
        <w:trPr>
          <w:trHeight w:val="295"/>
        </w:trPr>
        <w:tc>
          <w:tcPr>
            <w:tcW w:w="8499" w:type="dxa"/>
          </w:tcPr>
          <w:p w14:paraId="31929942" w14:textId="4E55F017" w:rsidR="000B38AF" w:rsidRPr="00DF7302" w:rsidRDefault="0025015A" w:rsidP="00DF7302">
            <w:pPr>
              <w:spacing w:line="360" w:lineRule="auto"/>
            </w:pPr>
            <w:r w:rsidRPr="00DF7302">
              <w:t xml:space="preserve">           I</w:t>
            </w:r>
            <w:r w:rsidR="000B38AF" w:rsidRPr="00DF7302">
              <w:t>.</w:t>
            </w:r>
            <w:r w:rsidR="00DF7302">
              <w:t xml:space="preserve"> </w:t>
            </w:r>
            <w:r w:rsidR="000B38AF" w:rsidRPr="00DF7302">
              <w:t>b. ESPECÍFICOS</w:t>
            </w:r>
          </w:p>
        </w:tc>
        <w:tc>
          <w:tcPr>
            <w:tcW w:w="576" w:type="dxa"/>
          </w:tcPr>
          <w:p w14:paraId="600E5416" w14:textId="57AEE1C4" w:rsidR="000B38AF" w:rsidRPr="00DF7302" w:rsidRDefault="00DF7302" w:rsidP="00DF7302">
            <w:pPr>
              <w:pStyle w:val="Ttulo7"/>
              <w:spacing w:before="0" w:after="0" w:line="360" w:lineRule="auto"/>
              <w:rPr>
                <w:rFonts w:ascii="Times New Roman" w:hAnsi="Times New Roman"/>
                <w:color w:val="000000"/>
              </w:rPr>
            </w:pPr>
            <w:r>
              <w:rPr>
                <w:rFonts w:ascii="Times New Roman" w:hAnsi="Times New Roman"/>
                <w:color w:val="000000"/>
              </w:rPr>
              <w:t>04</w:t>
            </w:r>
          </w:p>
        </w:tc>
      </w:tr>
      <w:tr w:rsidR="000B38AF" w:rsidRPr="00DF7302" w14:paraId="1AA64F9A" w14:textId="77777777">
        <w:trPr>
          <w:trHeight w:val="400"/>
        </w:trPr>
        <w:tc>
          <w:tcPr>
            <w:tcW w:w="8499" w:type="dxa"/>
          </w:tcPr>
          <w:p w14:paraId="05D3E81E" w14:textId="3A49858B" w:rsidR="000B38AF" w:rsidRPr="00DF7302" w:rsidRDefault="0025015A" w:rsidP="00DF7302">
            <w:pPr>
              <w:pStyle w:val="Ttulo7"/>
              <w:spacing w:before="0" w:after="0" w:line="360" w:lineRule="auto"/>
              <w:rPr>
                <w:rFonts w:ascii="Times New Roman" w:hAnsi="Times New Roman"/>
              </w:rPr>
            </w:pPr>
            <w:r w:rsidRPr="00DF7302">
              <w:rPr>
                <w:rFonts w:ascii="Times New Roman" w:hAnsi="Times New Roman"/>
              </w:rPr>
              <w:t>I</w:t>
            </w:r>
            <w:r w:rsidR="000B38AF" w:rsidRPr="00DF7302">
              <w:rPr>
                <w:rFonts w:ascii="Times New Roman" w:hAnsi="Times New Roman"/>
              </w:rPr>
              <w:t>I. FUNDAMENTAÇÃO TEÓRICA</w:t>
            </w:r>
          </w:p>
        </w:tc>
        <w:tc>
          <w:tcPr>
            <w:tcW w:w="576" w:type="dxa"/>
          </w:tcPr>
          <w:p w14:paraId="2D7C7521" w14:textId="126EE85A" w:rsidR="000B38AF" w:rsidRPr="00DF7302" w:rsidRDefault="00DF7302" w:rsidP="00DF7302">
            <w:pPr>
              <w:pStyle w:val="Ttulo7"/>
              <w:spacing w:before="0" w:after="0" w:line="360" w:lineRule="auto"/>
              <w:rPr>
                <w:rFonts w:ascii="Times New Roman" w:hAnsi="Times New Roman"/>
                <w:color w:val="000000"/>
              </w:rPr>
            </w:pPr>
            <w:r>
              <w:rPr>
                <w:rFonts w:ascii="Times New Roman" w:hAnsi="Times New Roman"/>
                <w:color w:val="000000"/>
              </w:rPr>
              <w:t>04</w:t>
            </w:r>
          </w:p>
        </w:tc>
      </w:tr>
      <w:tr w:rsidR="000B38AF" w:rsidRPr="00DF7302" w14:paraId="0435F366" w14:textId="77777777">
        <w:trPr>
          <w:trHeight w:val="295"/>
        </w:trPr>
        <w:tc>
          <w:tcPr>
            <w:tcW w:w="8499" w:type="dxa"/>
          </w:tcPr>
          <w:p w14:paraId="79488DE6" w14:textId="1DCEF51B" w:rsidR="000B38AF" w:rsidRPr="00DF7302" w:rsidRDefault="0025015A" w:rsidP="00DF7302">
            <w:pPr>
              <w:pStyle w:val="Ttulo7"/>
              <w:spacing w:before="0" w:after="0" w:line="360" w:lineRule="auto"/>
              <w:rPr>
                <w:rFonts w:ascii="Times New Roman" w:hAnsi="Times New Roman"/>
              </w:rPr>
            </w:pPr>
            <w:r w:rsidRPr="00DF7302">
              <w:rPr>
                <w:rFonts w:ascii="Times New Roman" w:hAnsi="Times New Roman"/>
              </w:rPr>
              <w:t>III</w:t>
            </w:r>
            <w:r w:rsidR="00DF7302">
              <w:rPr>
                <w:rFonts w:ascii="Times New Roman" w:hAnsi="Times New Roman"/>
              </w:rPr>
              <w:t>. MATERIAIS</w:t>
            </w:r>
            <w:r w:rsidR="000B38AF" w:rsidRPr="00DF7302">
              <w:rPr>
                <w:rFonts w:ascii="Times New Roman" w:hAnsi="Times New Roman"/>
              </w:rPr>
              <w:t xml:space="preserve"> E MÉTODOS</w:t>
            </w:r>
          </w:p>
        </w:tc>
        <w:tc>
          <w:tcPr>
            <w:tcW w:w="576" w:type="dxa"/>
          </w:tcPr>
          <w:p w14:paraId="6F78B147" w14:textId="63688DD0" w:rsidR="000B38AF" w:rsidRPr="00DF7302" w:rsidRDefault="00DF7302" w:rsidP="00DF7302">
            <w:pPr>
              <w:pStyle w:val="Ttulo7"/>
              <w:spacing w:before="0" w:after="0" w:line="360" w:lineRule="auto"/>
              <w:rPr>
                <w:rFonts w:ascii="Times New Roman" w:hAnsi="Times New Roman"/>
                <w:color w:val="000000"/>
              </w:rPr>
            </w:pPr>
            <w:r>
              <w:rPr>
                <w:rFonts w:ascii="Times New Roman" w:hAnsi="Times New Roman"/>
                <w:color w:val="000000"/>
              </w:rPr>
              <w:t>07</w:t>
            </w:r>
          </w:p>
        </w:tc>
      </w:tr>
      <w:tr w:rsidR="000B38AF" w:rsidRPr="00DF7302" w14:paraId="7D7F98F5" w14:textId="77777777">
        <w:trPr>
          <w:trHeight w:val="295"/>
        </w:trPr>
        <w:tc>
          <w:tcPr>
            <w:tcW w:w="8499" w:type="dxa"/>
          </w:tcPr>
          <w:p w14:paraId="24C7343F" w14:textId="7BB4A72F" w:rsidR="000B38AF" w:rsidRPr="00DF7302" w:rsidRDefault="0025015A" w:rsidP="00DF7302">
            <w:pPr>
              <w:pStyle w:val="Ttulo7"/>
              <w:spacing w:before="0" w:after="0" w:line="360" w:lineRule="auto"/>
              <w:rPr>
                <w:rFonts w:ascii="Times New Roman" w:hAnsi="Times New Roman"/>
              </w:rPr>
            </w:pPr>
            <w:r w:rsidRPr="00DF7302">
              <w:rPr>
                <w:rFonts w:ascii="Times New Roman" w:hAnsi="Times New Roman"/>
              </w:rPr>
              <w:t>I</w:t>
            </w:r>
            <w:r w:rsidR="000B38AF" w:rsidRPr="00DF7302">
              <w:rPr>
                <w:rFonts w:ascii="Times New Roman" w:hAnsi="Times New Roman"/>
              </w:rPr>
              <w:t xml:space="preserve">V. </w:t>
            </w:r>
            <w:r w:rsidR="000B38AF" w:rsidRPr="00DF7302">
              <w:rPr>
                <w:rFonts w:ascii="Times New Roman" w:hAnsi="Times New Roman"/>
                <w:caps/>
              </w:rPr>
              <w:t>Aspectos éticos</w:t>
            </w:r>
          </w:p>
        </w:tc>
        <w:tc>
          <w:tcPr>
            <w:tcW w:w="576" w:type="dxa"/>
          </w:tcPr>
          <w:p w14:paraId="092C2477" w14:textId="77777777" w:rsidR="000B38AF" w:rsidRPr="00DF7302" w:rsidRDefault="00395B1D" w:rsidP="00DF7302">
            <w:pPr>
              <w:pStyle w:val="Ttulo7"/>
              <w:spacing w:before="0" w:after="0" w:line="360" w:lineRule="auto"/>
              <w:rPr>
                <w:rFonts w:ascii="Times New Roman" w:hAnsi="Times New Roman"/>
                <w:color w:val="000000"/>
              </w:rPr>
            </w:pPr>
            <w:r w:rsidRPr="00DF7302">
              <w:rPr>
                <w:rFonts w:ascii="Times New Roman" w:hAnsi="Times New Roman"/>
                <w:color w:val="000000"/>
              </w:rPr>
              <w:t>11</w:t>
            </w:r>
          </w:p>
        </w:tc>
      </w:tr>
      <w:tr w:rsidR="000B38AF" w:rsidRPr="00DF7302" w14:paraId="7C6008FE" w14:textId="77777777">
        <w:trPr>
          <w:trHeight w:val="295"/>
        </w:trPr>
        <w:tc>
          <w:tcPr>
            <w:tcW w:w="8499" w:type="dxa"/>
          </w:tcPr>
          <w:p w14:paraId="231BE3E5" w14:textId="03BC1833" w:rsidR="000B38AF" w:rsidRPr="00DF7302" w:rsidRDefault="0025015A" w:rsidP="00DF7302">
            <w:pPr>
              <w:spacing w:line="360" w:lineRule="auto"/>
              <w:jc w:val="both"/>
            </w:pPr>
            <w:r w:rsidRPr="00DF7302">
              <w:t>V</w:t>
            </w:r>
            <w:r w:rsidR="000B38AF" w:rsidRPr="00DF7302">
              <w:t>. VIABILIDADE TÉCNICA, CIENTÍFICA E FINANCEIRA</w:t>
            </w:r>
          </w:p>
        </w:tc>
        <w:tc>
          <w:tcPr>
            <w:tcW w:w="576" w:type="dxa"/>
          </w:tcPr>
          <w:p w14:paraId="00028975" w14:textId="075EED89" w:rsidR="000B38AF" w:rsidRPr="00DF7302" w:rsidRDefault="00DD1E0E" w:rsidP="00DF7302">
            <w:pPr>
              <w:pStyle w:val="Ttulo7"/>
              <w:spacing w:before="0" w:after="0" w:line="360" w:lineRule="auto"/>
              <w:rPr>
                <w:rFonts w:ascii="Times New Roman" w:hAnsi="Times New Roman"/>
                <w:color w:val="000000"/>
              </w:rPr>
            </w:pPr>
            <w:r w:rsidRPr="00DF7302">
              <w:rPr>
                <w:rFonts w:ascii="Times New Roman" w:hAnsi="Times New Roman"/>
                <w:color w:val="000000"/>
              </w:rPr>
              <w:t>1</w:t>
            </w:r>
            <w:r w:rsidR="00DF7302">
              <w:rPr>
                <w:rFonts w:ascii="Times New Roman" w:hAnsi="Times New Roman"/>
                <w:color w:val="000000"/>
              </w:rPr>
              <w:t>1</w:t>
            </w:r>
          </w:p>
        </w:tc>
      </w:tr>
      <w:tr w:rsidR="000B38AF" w:rsidRPr="00DF7302" w14:paraId="3AABA646" w14:textId="77777777">
        <w:trPr>
          <w:trHeight w:val="295"/>
        </w:trPr>
        <w:tc>
          <w:tcPr>
            <w:tcW w:w="8499" w:type="dxa"/>
          </w:tcPr>
          <w:p w14:paraId="0B460106" w14:textId="2B1E6594" w:rsidR="000B38AF" w:rsidRPr="00DF7302" w:rsidRDefault="0025015A" w:rsidP="00DF7302">
            <w:pPr>
              <w:pStyle w:val="Ttulo7"/>
              <w:spacing w:before="0" w:after="0" w:line="360" w:lineRule="auto"/>
              <w:rPr>
                <w:rFonts w:ascii="Times New Roman" w:hAnsi="Times New Roman"/>
              </w:rPr>
            </w:pPr>
            <w:r w:rsidRPr="00DF7302">
              <w:rPr>
                <w:rFonts w:ascii="Times New Roman" w:hAnsi="Times New Roman"/>
              </w:rPr>
              <w:t>V</w:t>
            </w:r>
            <w:r w:rsidR="000B38AF" w:rsidRPr="00DF7302">
              <w:rPr>
                <w:rFonts w:ascii="Times New Roman" w:hAnsi="Times New Roman"/>
              </w:rPr>
              <w:t>I. RELEVÂNCIA</w:t>
            </w:r>
          </w:p>
        </w:tc>
        <w:tc>
          <w:tcPr>
            <w:tcW w:w="576" w:type="dxa"/>
          </w:tcPr>
          <w:p w14:paraId="17A1F11D" w14:textId="77777777" w:rsidR="000B38AF" w:rsidRPr="00DF7302" w:rsidRDefault="00395B1D" w:rsidP="00DF7302">
            <w:pPr>
              <w:pStyle w:val="Ttulo7"/>
              <w:spacing w:before="0" w:after="0" w:line="360" w:lineRule="auto"/>
              <w:rPr>
                <w:rFonts w:ascii="Times New Roman" w:hAnsi="Times New Roman"/>
                <w:color w:val="000000"/>
              </w:rPr>
            </w:pPr>
            <w:r w:rsidRPr="00DF7302">
              <w:rPr>
                <w:rFonts w:ascii="Times New Roman" w:hAnsi="Times New Roman"/>
                <w:color w:val="000000"/>
              </w:rPr>
              <w:t>12</w:t>
            </w:r>
          </w:p>
        </w:tc>
      </w:tr>
      <w:tr w:rsidR="000B38AF" w:rsidRPr="00DF7302" w14:paraId="144E048D" w14:textId="77777777">
        <w:trPr>
          <w:trHeight w:val="295"/>
        </w:trPr>
        <w:tc>
          <w:tcPr>
            <w:tcW w:w="8499" w:type="dxa"/>
          </w:tcPr>
          <w:p w14:paraId="6616A2DE" w14:textId="50084779" w:rsidR="000B38AF" w:rsidRPr="00DF7302" w:rsidRDefault="0025015A" w:rsidP="00DF7302">
            <w:pPr>
              <w:spacing w:line="360" w:lineRule="auto"/>
            </w:pPr>
            <w:r w:rsidRPr="00DF7302">
              <w:t>VI</w:t>
            </w:r>
            <w:r w:rsidR="000B38AF" w:rsidRPr="00DF7302">
              <w:t>I. CRONOGRAMA</w:t>
            </w:r>
          </w:p>
        </w:tc>
        <w:tc>
          <w:tcPr>
            <w:tcW w:w="576" w:type="dxa"/>
          </w:tcPr>
          <w:p w14:paraId="0D731DE1" w14:textId="77777777" w:rsidR="000B38AF" w:rsidRPr="00DF7302" w:rsidRDefault="000B38AF" w:rsidP="00DF7302">
            <w:pPr>
              <w:pStyle w:val="Ttulo7"/>
              <w:spacing w:before="0" w:after="0" w:line="360" w:lineRule="auto"/>
              <w:rPr>
                <w:rFonts w:ascii="Times New Roman" w:hAnsi="Times New Roman"/>
                <w:color w:val="000000"/>
              </w:rPr>
            </w:pPr>
            <w:r w:rsidRPr="00DF7302">
              <w:rPr>
                <w:rFonts w:ascii="Times New Roman" w:hAnsi="Times New Roman"/>
                <w:color w:val="000000"/>
              </w:rPr>
              <w:t>12</w:t>
            </w:r>
          </w:p>
        </w:tc>
      </w:tr>
      <w:tr w:rsidR="000B38AF" w:rsidRPr="00DF7302" w14:paraId="021B334B" w14:textId="77777777">
        <w:trPr>
          <w:trHeight w:val="295"/>
        </w:trPr>
        <w:tc>
          <w:tcPr>
            <w:tcW w:w="8499" w:type="dxa"/>
          </w:tcPr>
          <w:p w14:paraId="0092370C" w14:textId="79F57926" w:rsidR="000B38AF" w:rsidRPr="00DF7302" w:rsidRDefault="0025015A" w:rsidP="00DF7302">
            <w:pPr>
              <w:pStyle w:val="Ttulo7"/>
              <w:spacing w:before="0" w:after="0" w:line="360" w:lineRule="auto"/>
              <w:rPr>
                <w:rFonts w:ascii="Times New Roman" w:hAnsi="Times New Roman"/>
              </w:rPr>
            </w:pPr>
            <w:r w:rsidRPr="00DF7302">
              <w:rPr>
                <w:rFonts w:ascii="Times New Roman" w:hAnsi="Times New Roman"/>
              </w:rPr>
              <w:t>VIII</w:t>
            </w:r>
            <w:r w:rsidR="000B38AF" w:rsidRPr="00DF7302">
              <w:rPr>
                <w:rFonts w:ascii="Times New Roman" w:hAnsi="Times New Roman"/>
              </w:rPr>
              <w:t xml:space="preserve">. REFERÊNCIAS </w:t>
            </w:r>
          </w:p>
        </w:tc>
        <w:tc>
          <w:tcPr>
            <w:tcW w:w="576" w:type="dxa"/>
          </w:tcPr>
          <w:p w14:paraId="04566988" w14:textId="16C7C26C" w:rsidR="000B38AF" w:rsidRPr="00DF7302" w:rsidRDefault="00DD1E0E" w:rsidP="00DF7302">
            <w:pPr>
              <w:pStyle w:val="Ttulo7"/>
              <w:spacing w:before="0" w:after="0" w:line="360" w:lineRule="auto"/>
              <w:rPr>
                <w:rFonts w:ascii="Times New Roman" w:hAnsi="Times New Roman"/>
                <w:color w:val="000000"/>
              </w:rPr>
            </w:pPr>
            <w:r w:rsidRPr="00DF7302">
              <w:rPr>
                <w:rFonts w:ascii="Times New Roman" w:hAnsi="Times New Roman"/>
                <w:color w:val="000000"/>
              </w:rPr>
              <w:t>1</w:t>
            </w:r>
            <w:r w:rsidR="00DF7302">
              <w:rPr>
                <w:rFonts w:ascii="Times New Roman" w:hAnsi="Times New Roman"/>
                <w:color w:val="000000"/>
              </w:rPr>
              <w:t>2</w:t>
            </w:r>
          </w:p>
        </w:tc>
      </w:tr>
    </w:tbl>
    <w:p w14:paraId="384E6E23" w14:textId="77777777" w:rsidR="000B38AF" w:rsidRPr="00DF7302" w:rsidRDefault="000B38AF" w:rsidP="00DF7302">
      <w:pPr>
        <w:spacing w:line="360" w:lineRule="auto"/>
        <w:jc w:val="both"/>
        <w:outlineLvl w:val="0"/>
        <w:rPr>
          <w:b/>
          <w:bCs/>
        </w:rPr>
      </w:pPr>
    </w:p>
    <w:p w14:paraId="0E1EA6BA" w14:textId="77777777" w:rsidR="0025015A" w:rsidRPr="00DF7302" w:rsidRDefault="0025015A" w:rsidP="00DF7302">
      <w:pPr>
        <w:spacing w:line="360" w:lineRule="auto"/>
        <w:jc w:val="both"/>
        <w:outlineLvl w:val="0"/>
        <w:rPr>
          <w:b/>
          <w:bCs/>
        </w:rPr>
      </w:pPr>
    </w:p>
    <w:p w14:paraId="48EEDA14" w14:textId="77777777" w:rsidR="0025015A" w:rsidRPr="00DF7302" w:rsidRDefault="0025015A" w:rsidP="00DF7302">
      <w:pPr>
        <w:spacing w:line="360" w:lineRule="auto"/>
        <w:jc w:val="both"/>
        <w:outlineLvl w:val="0"/>
        <w:rPr>
          <w:b/>
          <w:bCs/>
        </w:rPr>
      </w:pPr>
    </w:p>
    <w:p w14:paraId="33E3FC33" w14:textId="77777777" w:rsidR="000B38AF" w:rsidRPr="00DF7302" w:rsidRDefault="000B38AF" w:rsidP="00DF7302">
      <w:pPr>
        <w:spacing w:line="360" w:lineRule="auto"/>
        <w:jc w:val="both"/>
        <w:outlineLvl w:val="0"/>
        <w:rPr>
          <w:b/>
          <w:bCs/>
        </w:rPr>
      </w:pPr>
    </w:p>
    <w:p w14:paraId="4C4EEEF1" w14:textId="77777777" w:rsidR="000B38AF" w:rsidRPr="00DF7302" w:rsidRDefault="000B38AF" w:rsidP="00DF7302">
      <w:pPr>
        <w:spacing w:line="360" w:lineRule="auto"/>
        <w:jc w:val="both"/>
        <w:outlineLvl w:val="0"/>
        <w:rPr>
          <w:b/>
          <w:bCs/>
        </w:rPr>
      </w:pPr>
    </w:p>
    <w:p w14:paraId="0B317928" w14:textId="77777777" w:rsidR="000B38AF" w:rsidRPr="00DF7302" w:rsidRDefault="000B38AF" w:rsidP="00DF7302">
      <w:pPr>
        <w:spacing w:line="360" w:lineRule="auto"/>
        <w:jc w:val="both"/>
        <w:outlineLvl w:val="0"/>
        <w:rPr>
          <w:b/>
          <w:bCs/>
        </w:rPr>
      </w:pPr>
    </w:p>
    <w:p w14:paraId="0401B2B3" w14:textId="77777777" w:rsidR="000B38AF" w:rsidRPr="00DF7302" w:rsidRDefault="000B38AF" w:rsidP="00DF7302">
      <w:pPr>
        <w:spacing w:line="360" w:lineRule="auto"/>
        <w:jc w:val="both"/>
        <w:outlineLvl w:val="0"/>
        <w:rPr>
          <w:b/>
          <w:bCs/>
        </w:rPr>
      </w:pPr>
    </w:p>
    <w:p w14:paraId="50313539" w14:textId="77777777" w:rsidR="000B38AF" w:rsidRPr="00DF7302" w:rsidRDefault="000B38AF" w:rsidP="00DF7302">
      <w:pPr>
        <w:spacing w:line="360" w:lineRule="auto"/>
        <w:jc w:val="both"/>
        <w:outlineLvl w:val="0"/>
        <w:rPr>
          <w:b/>
          <w:bCs/>
        </w:rPr>
      </w:pPr>
    </w:p>
    <w:p w14:paraId="0AD3AE64" w14:textId="77777777" w:rsidR="000B38AF" w:rsidRPr="00DF7302" w:rsidRDefault="000B38AF" w:rsidP="00DF7302">
      <w:pPr>
        <w:spacing w:line="360" w:lineRule="auto"/>
        <w:jc w:val="both"/>
        <w:outlineLvl w:val="0"/>
        <w:rPr>
          <w:b/>
          <w:bCs/>
        </w:rPr>
      </w:pPr>
    </w:p>
    <w:p w14:paraId="75D5EE45" w14:textId="77777777" w:rsidR="000B38AF" w:rsidRPr="00DF7302" w:rsidRDefault="000B38AF" w:rsidP="00DF7302">
      <w:pPr>
        <w:spacing w:line="360" w:lineRule="auto"/>
        <w:jc w:val="both"/>
        <w:outlineLvl w:val="0"/>
        <w:rPr>
          <w:b/>
          <w:bCs/>
        </w:rPr>
      </w:pPr>
    </w:p>
    <w:p w14:paraId="2B22B2E5" w14:textId="77777777" w:rsidR="000B38AF" w:rsidRPr="00DF7302" w:rsidRDefault="000B38AF" w:rsidP="00DF7302">
      <w:pPr>
        <w:spacing w:line="360" w:lineRule="auto"/>
        <w:jc w:val="both"/>
        <w:outlineLvl w:val="0"/>
        <w:rPr>
          <w:b/>
          <w:bCs/>
        </w:rPr>
      </w:pPr>
    </w:p>
    <w:p w14:paraId="6D35CF55" w14:textId="77777777" w:rsidR="000B38AF" w:rsidRPr="00DF7302" w:rsidRDefault="000B38AF" w:rsidP="00DF7302">
      <w:pPr>
        <w:spacing w:line="360" w:lineRule="auto"/>
        <w:jc w:val="both"/>
        <w:outlineLvl w:val="0"/>
        <w:rPr>
          <w:b/>
          <w:bCs/>
        </w:rPr>
      </w:pPr>
    </w:p>
    <w:p w14:paraId="445FEF68" w14:textId="77777777" w:rsidR="000B38AF" w:rsidRPr="00DF7302" w:rsidRDefault="000B38AF" w:rsidP="00DF7302">
      <w:pPr>
        <w:spacing w:line="360" w:lineRule="auto"/>
        <w:jc w:val="both"/>
        <w:outlineLvl w:val="0"/>
        <w:rPr>
          <w:b/>
          <w:bCs/>
        </w:rPr>
      </w:pPr>
    </w:p>
    <w:p w14:paraId="2F70489E" w14:textId="77777777" w:rsidR="000B38AF" w:rsidRPr="00DF7302" w:rsidRDefault="000B38AF" w:rsidP="00DF7302">
      <w:pPr>
        <w:spacing w:line="360" w:lineRule="auto"/>
        <w:jc w:val="both"/>
        <w:outlineLvl w:val="0"/>
        <w:rPr>
          <w:b/>
          <w:bCs/>
        </w:rPr>
      </w:pPr>
    </w:p>
    <w:p w14:paraId="019E9517" w14:textId="77777777" w:rsidR="000B38AF" w:rsidRPr="00DF7302" w:rsidRDefault="000B38AF" w:rsidP="00DF7302">
      <w:pPr>
        <w:spacing w:line="360" w:lineRule="auto"/>
        <w:jc w:val="both"/>
        <w:outlineLvl w:val="0"/>
        <w:rPr>
          <w:b/>
          <w:bCs/>
        </w:rPr>
      </w:pPr>
    </w:p>
    <w:p w14:paraId="3BCA55F8" w14:textId="77777777" w:rsidR="000B38AF" w:rsidRPr="00DF7302" w:rsidRDefault="000B38AF" w:rsidP="00DF7302">
      <w:pPr>
        <w:spacing w:line="360" w:lineRule="auto"/>
        <w:jc w:val="both"/>
        <w:outlineLvl w:val="0"/>
        <w:rPr>
          <w:b/>
          <w:bCs/>
        </w:rPr>
      </w:pPr>
    </w:p>
    <w:p w14:paraId="1ABFAB94" w14:textId="77777777" w:rsidR="00DF7302" w:rsidRDefault="00DF7302" w:rsidP="00DF7302">
      <w:pPr>
        <w:spacing w:line="360" w:lineRule="auto"/>
        <w:jc w:val="both"/>
        <w:rPr>
          <w:b/>
          <w:bCs/>
          <w:caps/>
        </w:rPr>
      </w:pPr>
    </w:p>
    <w:p w14:paraId="46260CC1" w14:textId="77777777" w:rsidR="00DF7302" w:rsidRDefault="00DF7302" w:rsidP="00DF7302">
      <w:pPr>
        <w:spacing w:line="360" w:lineRule="auto"/>
        <w:jc w:val="both"/>
        <w:rPr>
          <w:b/>
          <w:bCs/>
          <w:caps/>
        </w:rPr>
      </w:pPr>
    </w:p>
    <w:p w14:paraId="3CC42699" w14:textId="77777777" w:rsidR="00DF7302" w:rsidRDefault="00DF7302" w:rsidP="00DF7302">
      <w:pPr>
        <w:spacing w:line="360" w:lineRule="auto"/>
        <w:jc w:val="both"/>
        <w:rPr>
          <w:b/>
          <w:bCs/>
          <w:caps/>
        </w:rPr>
      </w:pPr>
    </w:p>
    <w:p w14:paraId="4C09974B" w14:textId="77777777" w:rsidR="00DF7302" w:rsidRDefault="00DF7302" w:rsidP="00DF7302">
      <w:pPr>
        <w:spacing w:line="360" w:lineRule="auto"/>
        <w:jc w:val="both"/>
        <w:rPr>
          <w:b/>
          <w:bCs/>
          <w:caps/>
        </w:rPr>
      </w:pPr>
    </w:p>
    <w:p w14:paraId="236C047E" w14:textId="77777777" w:rsidR="000B38AF" w:rsidRPr="00264132" w:rsidRDefault="000B38AF" w:rsidP="00DF7302">
      <w:pPr>
        <w:spacing w:line="360" w:lineRule="auto"/>
        <w:jc w:val="both"/>
        <w:rPr>
          <w:b/>
          <w:bCs/>
          <w:caps/>
          <w:u w:val="single"/>
        </w:rPr>
      </w:pPr>
      <w:r w:rsidRPr="00264132">
        <w:rPr>
          <w:b/>
          <w:bCs/>
          <w:caps/>
          <w:u w:val="single"/>
        </w:rPr>
        <w:lastRenderedPageBreak/>
        <w:t>Índice de ABREVIATURAS E siglas</w:t>
      </w:r>
    </w:p>
    <w:p w14:paraId="01F51AF0" w14:textId="77777777" w:rsidR="00E02432" w:rsidRPr="00DF7302" w:rsidRDefault="00E02432" w:rsidP="00DF7302">
      <w:pPr>
        <w:spacing w:line="360" w:lineRule="auto"/>
        <w:jc w:val="both"/>
      </w:pPr>
    </w:p>
    <w:p w14:paraId="33170F67" w14:textId="77777777" w:rsidR="00E02432" w:rsidRPr="00A72150" w:rsidRDefault="00E02432" w:rsidP="00DF7302">
      <w:pPr>
        <w:spacing w:line="360" w:lineRule="auto"/>
        <w:jc w:val="both"/>
        <w:rPr>
          <w:lang w:eastAsia="en-US"/>
        </w:rPr>
      </w:pPr>
      <w:r w:rsidRPr="00A72150">
        <w:rPr>
          <w:lang w:eastAsia="en-US"/>
        </w:rPr>
        <w:t>AAQoL - Questionário de Qualidade de Vida em Adultos com TDAH;</w:t>
      </w:r>
    </w:p>
    <w:p w14:paraId="16B6AE53" w14:textId="77777777" w:rsidR="00E02432" w:rsidRPr="00DF7302" w:rsidRDefault="00E02432" w:rsidP="00DF7302">
      <w:pPr>
        <w:spacing w:line="360" w:lineRule="auto"/>
        <w:jc w:val="both"/>
        <w:rPr>
          <w:lang w:val="en-US" w:eastAsia="en-US"/>
        </w:rPr>
      </w:pPr>
      <w:r w:rsidRPr="00DF7302">
        <w:rPr>
          <w:shd w:val="clear" w:color="auto" w:fill="FFFFFF"/>
        </w:rPr>
        <w:t>ABENEPI - Associação Brasileira de Neurologia, Psiquiatria e Profissões Afins;</w:t>
      </w:r>
    </w:p>
    <w:p w14:paraId="794A70B4" w14:textId="77777777" w:rsidR="00E02432" w:rsidRPr="00DF7302" w:rsidRDefault="00E02432" w:rsidP="00DF7302">
      <w:pPr>
        <w:spacing w:line="360" w:lineRule="auto"/>
        <w:jc w:val="both"/>
      </w:pPr>
      <w:r w:rsidRPr="00DF7302">
        <w:rPr>
          <w:lang w:val="en-US" w:eastAsia="en-US"/>
        </w:rPr>
        <w:t xml:space="preserve">APB - </w:t>
      </w:r>
      <w:r w:rsidRPr="00DF7302">
        <w:t>Associação Psiquiátrica da Bahia;</w:t>
      </w:r>
    </w:p>
    <w:p w14:paraId="37D29F54" w14:textId="77777777" w:rsidR="00E02432" w:rsidRPr="00DF7302" w:rsidRDefault="00E02432" w:rsidP="00DF7302">
      <w:pPr>
        <w:spacing w:line="360" w:lineRule="auto"/>
        <w:jc w:val="both"/>
      </w:pPr>
      <w:r w:rsidRPr="00DF7302">
        <w:t xml:space="preserve">ASRS - </w:t>
      </w:r>
      <w:r w:rsidRPr="00DF7302">
        <w:rPr>
          <w:bCs/>
          <w:i/>
          <w:lang w:val="en-US" w:eastAsia="en-US"/>
        </w:rPr>
        <w:t>Adult Self-Report Scale;</w:t>
      </w:r>
    </w:p>
    <w:p w14:paraId="26372FC3" w14:textId="77777777" w:rsidR="00E02432" w:rsidRPr="00DF7302" w:rsidRDefault="00E02432" w:rsidP="00DF7302">
      <w:pPr>
        <w:spacing w:line="360" w:lineRule="auto"/>
        <w:jc w:val="both"/>
        <w:rPr>
          <w:lang w:val="en-US" w:eastAsia="en-US"/>
        </w:rPr>
      </w:pPr>
      <w:r w:rsidRPr="00DF7302">
        <w:t>CPC-SSP - Centro de Pesquisas Clínicas do Sanatório São Paulo;</w:t>
      </w:r>
    </w:p>
    <w:p w14:paraId="2E3001F1" w14:textId="77777777" w:rsidR="00E02432" w:rsidRPr="00DF7302" w:rsidRDefault="00E02432" w:rsidP="00DF7302">
      <w:pPr>
        <w:spacing w:line="360" w:lineRule="auto"/>
        <w:jc w:val="both"/>
      </w:pPr>
      <w:r w:rsidRPr="00DF7302">
        <w:t>DSM-IV-TR - Manual Diagnóstico e Estatístico de Transtornos Mentais- 4ºedição, revisão textual;</w:t>
      </w:r>
    </w:p>
    <w:p w14:paraId="02C73393" w14:textId="77777777" w:rsidR="00E02432" w:rsidRPr="00DF7302" w:rsidRDefault="00E02432" w:rsidP="00DF7302">
      <w:pPr>
        <w:spacing w:line="360" w:lineRule="auto"/>
        <w:jc w:val="both"/>
      </w:pPr>
      <w:r w:rsidRPr="00DF7302">
        <w:t>EEG – eletroencefalografia;</w:t>
      </w:r>
    </w:p>
    <w:p w14:paraId="3E88F7CD" w14:textId="6BD1B9F3" w:rsidR="00873360" w:rsidRPr="00DF7302" w:rsidRDefault="00873360" w:rsidP="00DF7302">
      <w:pPr>
        <w:spacing w:line="360" w:lineRule="auto"/>
        <w:jc w:val="both"/>
        <w:rPr>
          <w:lang w:val="en-US" w:eastAsia="en-US"/>
        </w:rPr>
      </w:pPr>
      <w:r w:rsidRPr="00DF7302">
        <w:t>EEGQ – eletroencefalografia quantitativa;</w:t>
      </w:r>
    </w:p>
    <w:p w14:paraId="2F124AA5" w14:textId="77777777" w:rsidR="00E02432" w:rsidRPr="00DF7302" w:rsidRDefault="000B38AF" w:rsidP="00DF7302">
      <w:pPr>
        <w:spacing w:line="360" w:lineRule="auto"/>
        <w:jc w:val="both"/>
      </w:pPr>
      <w:r w:rsidRPr="00DF7302">
        <w:rPr>
          <w:rFonts w:eastAsia="Calibri"/>
          <w:lang w:eastAsia="en-US"/>
        </w:rPr>
        <w:t>ETCC - Estimulação Transcraniana por Corrente Contínua</w:t>
      </w:r>
      <w:r w:rsidRPr="00DF7302">
        <w:t>;</w:t>
      </w:r>
    </w:p>
    <w:p w14:paraId="62C66D17" w14:textId="77777777" w:rsidR="00E02432" w:rsidRPr="00DF7302" w:rsidRDefault="000B38AF" w:rsidP="00DF7302">
      <w:pPr>
        <w:spacing w:line="360" w:lineRule="auto"/>
        <w:jc w:val="both"/>
        <w:rPr>
          <w:lang w:val="en-US"/>
        </w:rPr>
      </w:pPr>
      <w:r w:rsidRPr="00DF7302">
        <w:rPr>
          <w:lang w:val="en-US"/>
        </w:rPr>
        <w:t xml:space="preserve">mA </w:t>
      </w:r>
      <w:r w:rsidR="00E02432" w:rsidRPr="00DF7302">
        <w:rPr>
          <w:bCs/>
          <w:lang w:val="en-US"/>
        </w:rPr>
        <w:t>-</w:t>
      </w:r>
      <w:r w:rsidRPr="00DF7302">
        <w:rPr>
          <w:bCs/>
          <w:lang w:val="en-US"/>
        </w:rPr>
        <w:t xml:space="preserve"> </w:t>
      </w:r>
      <w:r w:rsidRPr="00DF7302">
        <w:rPr>
          <w:rStyle w:val="apple-style-span"/>
          <w:shd w:val="clear" w:color="auto" w:fill="FFFFFF"/>
          <w:lang w:val="en-US"/>
        </w:rPr>
        <w:t>Miliampère;</w:t>
      </w:r>
      <w:r w:rsidRPr="00DF7302">
        <w:rPr>
          <w:lang w:val="en-US"/>
        </w:rPr>
        <w:t xml:space="preserve"> </w:t>
      </w:r>
    </w:p>
    <w:p w14:paraId="7153E8DD" w14:textId="77777777" w:rsidR="000B38AF" w:rsidRPr="00DF7302" w:rsidRDefault="00E02432" w:rsidP="00DF7302">
      <w:pPr>
        <w:spacing w:line="360" w:lineRule="auto"/>
        <w:jc w:val="both"/>
        <w:rPr>
          <w:lang w:val="en-US"/>
        </w:rPr>
      </w:pPr>
      <w:r w:rsidRPr="00DF7302">
        <w:t>MEEM - Mini-exame do estado mental;</w:t>
      </w:r>
    </w:p>
    <w:p w14:paraId="3B195A80" w14:textId="77777777" w:rsidR="00E02432" w:rsidRPr="00DF7302" w:rsidRDefault="000B38AF" w:rsidP="00DF7302">
      <w:pPr>
        <w:spacing w:line="360" w:lineRule="auto"/>
        <w:jc w:val="both"/>
        <w:rPr>
          <w:i/>
          <w:lang w:val="en-US"/>
        </w:rPr>
      </w:pPr>
      <w:r w:rsidRPr="00DF7302">
        <w:rPr>
          <w:lang w:val="en-US"/>
        </w:rPr>
        <w:t xml:space="preserve">MINI PLUS </w:t>
      </w:r>
      <w:r w:rsidR="00E02432" w:rsidRPr="00DF7302">
        <w:rPr>
          <w:bCs/>
          <w:lang w:val="en-US"/>
        </w:rPr>
        <w:t>-</w:t>
      </w:r>
      <w:r w:rsidRPr="00DF7302">
        <w:rPr>
          <w:bCs/>
          <w:lang w:val="en-US"/>
        </w:rPr>
        <w:t xml:space="preserve"> </w:t>
      </w:r>
      <w:r w:rsidRPr="00DF7302">
        <w:rPr>
          <w:i/>
          <w:lang w:val="en-US"/>
        </w:rPr>
        <w:t>Mini International Neuropsychiatric Interview Brasilian;</w:t>
      </w:r>
    </w:p>
    <w:p w14:paraId="56B1AFD9" w14:textId="77777777" w:rsidR="000B38AF" w:rsidRPr="00DF7302" w:rsidRDefault="00E02432" w:rsidP="00DF7302">
      <w:pPr>
        <w:spacing w:line="360" w:lineRule="auto"/>
        <w:jc w:val="both"/>
        <w:rPr>
          <w:i/>
          <w:lang w:val="en-US"/>
        </w:rPr>
      </w:pPr>
      <w:r w:rsidRPr="00DF7302">
        <w:rPr>
          <w:lang w:val="en-US"/>
        </w:rPr>
        <w:t>SNB</w:t>
      </w:r>
      <w:r w:rsidRPr="00DF7302">
        <w:rPr>
          <w:i/>
          <w:lang w:val="en-US"/>
        </w:rPr>
        <w:t xml:space="preserve"> - </w:t>
      </w:r>
      <w:r w:rsidRPr="00DF7302">
        <w:t>Sociedade de Neurologia da Bahia;</w:t>
      </w:r>
    </w:p>
    <w:p w14:paraId="79B3FF61" w14:textId="77777777" w:rsidR="00E02432" w:rsidRPr="00DF7302" w:rsidRDefault="000B38AF" w:rsidP="00DF7302">
      <w:pPr>
        <w:spacing w:line="360" w:lineRule="auto"/>
        <w:jc w:val="both"/>
      </w:pPr>
      <w:r w:rsidRPr="00DF7302">
        <w:t xml:space="preserve">TCLE </w:t>
      </w:r>
      <w:r w:rsidR="00E02432" w:rsidRPr="00DF7302">
        <w:rPr>
          <w:bCs/>
        </w:rPr>
        <w:t>-</w:t>
      </w:r>
      <w:r w:rsidRPr="00DF7302">
        <w:rPr>
          <w:bCs/>
        </w:rPr>
        <w:t xml:space="preserve"> T</w:t>
      </w:r>
      <w:r w:rsidRPr="00DF7302">
        <w:t>ermo de Consentimento L</w:t>
      </w:r>
      <w:r w:rsidR="00E02432" w:rsidRPr="00DF7302">
        <w:t>ivre e Esclarecido;</w:t>
      </w:r>
    </w:p>
    <w:p w14:paraId="09592D7E" w14:textId="77777777" w:rsidR="000B38AF" w:rsidRPr="00DF7302" w:rsidRDefault="00E02432" w:rsidP="00DF7302">
      <w:pPr>
        <w:spacing w:line="360" w:lineRule="auto"/>
        <w:jc w:val="both"/>
        <w:rPr>
          <w:lang w:val="en-US"/>
        </w:rPr>
      </w:pPr>
      <w:r w:rsidRPr="00DF7302">
        <w:t xml:space="preserve">TDAH - </w:t>
      </w:r>
      <w:r w:rsidR="000B38AF" w:rsidRPr="00DF7302">
        <w:rPr>
          <w:lang w:val="en-US"/>
        </w:rPr>
        <w:t>Transtorno de Déficit de</w:t>
      </w:r>
      <w:r w:rsidRPr="00DF7302">
        <w:rPr>
          <w:lang w:val="en-US"/>
        </w:rPr>
        <w:t xml:space="preserve"> Atenção e Hiperatividade.</w:t>
      </w:r>
    </w:p>
    <w:p w14:paraId="3D32FAFD" w14:textId="77777777" w:rsidR="000B38AF" w:rsidRPr="00DF7302" w:rsidRDefault="000B38AF" w:rsidP="00DF7302">
      <w:pPr>
        <w:spacing w:line="360" w:lineRule="auto"/>
        <w:jc w:val="both"/>
        <w:rPr>
          <w:b/>
          <w:bCs/>
          <w:caps/>
        </w:rPr>
      </w:pPr>
    </w:p>
    <w:p w14:paraId="67D388EF" w14:textId="77777777" w:rsidR="000B38AF" w:rsidRPr="00DF7302" w:rsidRDefault="000B38AF" w:rsidP="00DF7302">
      <w:pPr>
        <w:spacing w:line="360" w:lineRule="auto"/>
        <w:jc w:val="both"/>
        <w:rPr>
          <w:b/>
          <w:bCs/>
          <w:caps/>
        </w:rPr>
      </w:pPr>
    </w:p>
    <w:p w14:paraId="39392E8A" w14:textId="77777777" w:rsidR="000B38AF" w:rsidRPr="00DF7302" w:rsidRDefault="000B38AF" w:rsidP="00DF7302">
      <w:pPr>
        <w:spacing w:line="360" w:lineRule="auto"/>
        <w:jc w:val="both"/>
        <w:rPr>
          <w:b/>
          <w:bCs/>
          <w:caps/>
        </w:rPr>
      </w:pPr>
    </w:p>
    <w:p w14:paraId="61BB2552" w14:textId="77777777" w:rsidR="000B38AF" w:rsidRPr="00DF7302" w:rsidRDefault="000B38AF" w:rsidP="00DF7302">
      <w:pPr>
        <w:spacing w:line="360" w:lineRule="auto"/>
        <w:jc w:val="both"/>
        <w:rPr>
          <w:b/>
          <w:bCs/>
          <w:caps/>
        </w:rPr>
      </w:pPr>
    </w:p>
    <w:p w14:paraId="639395AD" w14:textId="77777777" w:rsidR="000B38AF" w:rsidRPr="00DF7302" w:rsidRDefault="000B38AF" w:rsidP="00DF7302">
      <w:pPr>
        <w:spacing w:line="360" w:lineRule="auto"/>
        <w:jc w:val="both"/>
        <w:rPr>
          <w:b/>
          <w:bCs/>
          <w:caps/>
        </w:rPr>
      </w:pPr>
    </w:p>
    <w:p w14:paraId="2FE1F45A" w14:textId="77777777" w:rsidR="000B38AF" w:rsidRPr="00DF7302" w:rsidRDefault="000B38AF" w:rsidP="00DF7302">
      <w:pPr>
        <w:spacing w:line="360" w:lineRule="auto"/>
        <w:jc w:val="both"/>
        <w:rPr>
          <w:b/>
          <w:bCs/>
          <w:caps/>
        </w:rPr>
      </w:pPr>
    </w:p>
    <w:p w14:paraId="0A67E6C2" w14:textId="77777777" w:rsidR="000B38AF" w:rsidRPr="00DF7302" w:rsidRDefault="000B38AF" w:rsidP="00DF7302">
      <w:pPr>
        <w:spacing w:line="360" w:lineRule="auto"/>
        <w:jc w:val="both"/>
        <w:rPr>
          <w:b/>
          <w:bCs/>
          <w:caps/>
        </w:rPr>
      </w:pPr>
    </w:p>
    <w:p w14:paraId="26FDFEAD" w14:textId="77777777" w:rsidR="00DF7302" w:rsidRDefault="00DF7302" w:rsidP="00DF7302">
      <w:pPr>
        <w:spacing w:line="360" w:lineRule="auto"/>
        <w:jc w:val="both"/>
        <w:rPr>
          <w:b/>
          <w:bCs/>
        </w:rPr>
      </w:pPr>
    </w:p>
    <w:p w14:paraId="791FF1EF" w14:textId="77777777" w:rsidR="00DF7302" w:rsidRDefault="00DF7302" w:rsidP="00DF7302">
      <w:pPr>
        <w:spacing w:line="360" w:lineRule="auto"/>
        <w:jc w:val="both"/>
        <w:rPr>
          <w:b/>
          <w:bCs/>
        </w:rPr>
      </w:pPr>
    </w:p>
    <w:p w14:paraId="59915BC7" w14:textId="77777777" w:rsidR="00DF7302" w:rsidRDefault="00DF7302" w:rsidP="00DF7302">
      <w:pPr>
        <w:spacing w:line="360" w:lineRule="auto"/>
        <w:jc w:val="both"/>
        <w:rPr>
          <w:b/>
          <w:bCs/>
        </w:rPr>
      </w:pPr>
    </w:p>
    <w:p w14:paraId="387AC82C" w14:textId="77777777" w:rsidR="00DF7302" w:rsidRDefault="00DF7302" w:rsidP="00DF7302">
      <w:pPr>
        <w:spacing w:line="360" w:lineRule="auto"/>
        <w:jc w:val="both"/>
        <w:rPr>
          <w:b/>
          <w:bCs/>
        </w:rPr>
      </w:pPr>
    </w:p>
    <w:p w14:paraId="595E0285" w14:textId="77777777" w:rsidR="00DF7302" w:rsidRDefault="00DF7302" w:rsidP="00DF7302">
      <w:pPr>
        <w:spacing w:line="360" w:lineRule="auto"/>
        <w:jc w:val="both"/>
        <w:rPr>
          <w:b/>
          <w:bCs/>
        </w:rPr>
      </w:pPr>
    </w:p>
    <w:p w14:paraId="06938D8C" w14:textId="77777777" w:rsidR="00DF7302" w:rsidRDefault="00DF7302" w:rsidP="00DF7302">
      <w:pPr>
        <w:spacing w:line="360" w:lineRule="auto"/>
        <w:jc w:val="both"/>
        <w:rPr>
          <w:b/>
          <w:bCs/>
        </w:rPr>
      </w:pPr>
    </w:p>
    <w:p w14:paraId="65A9F68B" w14:textId="77777777" w:rsidR="00DF7302" w:rsidRDefault="00DF7302" w:rsidP="00DF7302">
      <w:pPr>
        <w:spacing w:line="360" w:lineRule="auto"/>
        <w:jc w:val="both"/>
        <w:rPr>
          <w:b/>
          <w:bCs/>
        </w:rPr>
      </w:pPr>
    </w:p>
    <w:p w14:paraId="446425A9" w14:textId="77777777" w:rsidR="00DF7302" w:rsidRDefault="00DF7302" w:rsidP="00DF7302">
      <w:pPr>
        <w:spacing w:line="360" w:lineRule="auto"/>
        <w:jc w:val="both"/>
        <w:rPr>
          <w:b/>
          <w:bCs/>
        </w:rPr>
      </w:pPr>
    </w:p>
    <w:p w14:paraId="5105A533" w14:textId="77777777" w:rsidR="00DF7302" w:rsidRDefault="00DF7302" w:rsidP="00DF7302">
      <w:pPr>
        <w:spacing w:line="360" w:lineRule="auto"/>
        <w:jc w:val="both"/>
        <w:rPr>
          <w:b/>
          <w:bCs/>
        </w:rPr>
      </w:pPr>
    </w:p>
    <w:p w14:paraId="44448289" w14:textId="53028EF4" w:rsidR="000B38AF" w:rsidRPr="00DF7302" w:rsidRDefault="000B38AF" w:rsidP="00DF7302">
      <w:pPr>
        <w:spacing w:line="360" w:lineRule="auto"/>
        <w:jc w:val="both"/>
        <w:rPr>
          <w:b/>
          <w:bCs/>
          <w:u w:val="single"/>
        </w:rPr>
      </w:pPr>
      <w:r w:rsidRPr="00DF7302">
        <w:rPr>
          <w:b/>
          <w:bCs/>
        </w:rPr>
        <w:lastRenderedPageBreak/>
        <w:t xml:space="preserve">I. </w:t>
      </w:r>
      <w:r w:rsidRPr="00DF7302">
        <w:rPr>
          <w:b/>
          <w:bCs/>
          <w:u w:val="single"/>
        </w:rPr>
        <w:t>OBJETIVOS</w:t>
      </w:r>
    </w:p>
    <w:p w14:paraId="279DBBF1" w14:textId="77777777" w:rsidR="00DF7302" w:rsidRDefault="00DF7302" w:rsidP="00DF7302">
      <w:pPr>
        <w:pStyle w:val="Ttulo5"/>
        <w:ind w:left="0"/>
        <w:jc w:val="both"/>
        <w:rPr>
          <w:rFonts w:ascii="Times New Roman" w:hAnsi="Times New Roman" w:cs="Times New Roman"/>
        </w:rPr>
      </w:pPr>
    </w:p>
    <w:p w14:paraId="1350A6DA" w14:textId="530267BA" w:rsidR="000B38AF" w:rsidRPr="00DF7302" w:rsidRDefault="00592CCD" w:rsidP="00DF7302">
      <w:pPr>
        <w:pStyle w:val="Ttulo5"/>
        <w:ind w:left="0"/>
        <w:jc w:val="both"/>
        <w:rPr>
          <w:rFonts w:ascii="Times New Roman" w:hAnsi="Times New Roman" w:cs="Times New Roman"/>
        </w:rPr>
      </w:pPr>
      <w:r w:rsidRPr="00DF7302">
        <w:rPr>
          <w:rFonts w:ascii="Times New Roman" w:hAnsi="Times New Roman" w:cs="Times New Roman"/>
        </w:rPr>
        <w:t>I</w:t>
      </w:r>
      <w:r w:rsidR="000B38AF" w:rsidRPr="00DF7302">
        <w:rPr>
          <w:rFonts w:ascii="Times New Roman" w:hAnsi="Times New Roman" w:cs="Times New Roman"/>
        </w:rPr>
        <w:t>.a. Geral</w:t>
      </w:r>
    </w:p>
    <w:p w14:paraId="181DADF3" w14:textId="77777777" w:rsidR="000B38AF" w:rsidRPr="00DF7302" w:rsidRDefault="000B38AF" w:rsidP="00DF7302">
      <w:pPr>
        <w:spacing w:line="360" w:lineRule="auto"/>
        <w:ind w:firstLine="708"/>
        <w:jc w:val="both"/>
      </w:pPr>
      <w:r w:rsidRPr="00DF7302">
        <w:t xml:space="preserve">Avaliar os aspectos neurobiológicos associados ao </w:t>
      </w:r>
      <w:r w:rsidR="002210FA" w:rsidRPr="00DF7302">
        <w:rPr>
          <w:lang w:val="en-US"/>
        </w:rPr>
        <w:t>Transtorno do</w:t>
      </w:r>
      <w:r w:rsidRPr="00DF7302">
        <w:rPr>
          <w:lang w:val="en-US"/>
        </w:rPr>
        <w:t xml:space="preserve"> Déficit de Atenção e Hiperatividade (TDAH)</w:t>
      </w:r>
      <w:r w:rsidRPr="00DF7302">
        <w:t xml:space="preserve"> e a contribuição da estimulação transcraniana por corrente contínua (ETCC) na adequação do controle inibitório.</w:t>
      </w:r>
    </w:p>
    <w:p w14:paraId="45A6F1F5" w14:textId="1E5228AF" w:rsidR="000B38AF" w:rsidRPr="00DF7302" w:rsidRDefault="000B38AF" w:rsidP="00DF7302">
      <w:pPr>
        <w:spacing w:line="360" w:lineRule="auto"/>
        <w:jc w:val="both"/>
        <w:rPr>
          <w:b/>
          <w:bCs/>
        </w:rPr>
      </w:pPr>
      <w:r w:rsidRPr="00DF7302">
        <w:tab/>
      </w:r>
      <w:r w:rsidRPr="00DF7302">
        <w:rPr>
          <w:b/>
          <w:bCs/>
        </w:rPr>
        <w:t>I.b. Específicos</w:t>
      </w:r>
    </w:p>
    <w:p w14:paraId="695E5D87" w14:textId="6A69468B" w:rsidR="00210029" w:rsidRPr="00DF7302" w:rsidRDefault="00592CCD" w:rsidP="00DF7302">
      <w:pPr>
        <w:spacing w:line="360" w:lineRule="auto"/>
        <w:ind w:firstLine="708"/>
        <w:jc w:val="both"/>
        <w:rPr>
          <w:b/>
        </w:rPr>
      </w:pPr>
      <w:r w:rsidRPr="00DF7302">
        <w:rPr>
          <w:b/>
        </w:rPr>
        <w:t xml:space="preserve">        I</w:t>
      </w:r>
      <w:r w:rsidR="000B38AF" w:rsidRPr="00DF7302">
        <w:rPr>
          <w:b/>
        </w:rPr>
        <w:t>.b.1.</w:t>
      </w:r>
      <w:r w:rsidR="000B38AF" w:rsidRPr="00DF7302">
        <w:t xml:space="preserve"> </w:t>
      </w:r>
      <w:r w:rsidR="00210029" w:rsidRPr="00DF7302">
        <w:t xml:space="preserve">Avaliar a contribuição da estimulação transcraniana por corrente contínua, comparando-a com intervenção </w:t>
      </w:r>
      <w:r w:rsidR="00210029" w:rsidRPr="00DF7302">
        <w:rPr>
          <w:i/>
        </w:rPr>
        <w:t>sham</w:t>
      </w:r>
      <w:r w:rsidR="00210029" w:rsidRPr="00DF7302">
        <w:t xml:space="preserve">, na modulação do controle inibitório em adultos com TDAH </w:t>
      </w:r>
      <w:r w:rsidR="00873360" w:rsidRPr="00DF7302">
        <w:t xml:space="preserve">através de </w:t>
      </w:r>
      <w:r w:rsidR="00210029" w:rsidRPr="00DF7302">
        <w:t>tarefa</w:t>
      </w:r>
      <w:r w:rsidR="00873360" w:rsidRPr="00DF7302">
        <w:t>s</w:t>
      </w:r>
      <w:r w:rsidR="00210029" w:rsidRPr="00DF7302">
        <w:t xml:space="preserve"> Go / No go;</w:t>
      </w:r>
      <w:r w:rsidR="00210029" w:rsidRPr="00DF7302">
        <w:rPr>
          <w:b/>
        </w:rPr>
        <w:t xml:space="preserve"> </w:t>
      </w:r>
    </w:p>
    <w:p w14:paraId="1F1AF8D5" w14:textId="017A3B75" w:rsidR="00210029" w:rsidRPr="00DF7302" w:rsidRDefault="00210029" w:rsidP="00DF7302">
      <w:pPr>
        <w:spacing w:line="360" w:lineRule="auto"/>
        <w:ind w:firstLine="708"/>
        <w:jc w:val="both"/>
      </w:pPr>
      <w:r w:rsidRPr="00DF7302">
        <w:rPr>
          <w:b/>
        </w:rPr>
        <w:t xml:space="preserve">        </w:t>
      </w:r>
      <w:r w:rsidR="00592CCD" w:rsidRPr="00DF7302">
        <w:rPr>
          <w:b/>
        </w:rPr>
        <w:t>I</w:t>
      </w:r>
      <w:r w:rsidR="000B38AF" w:rsidRPr="00DF7302">
        <w:rPr>
          <w:b/>
        </w:rPr>
        <w:t>.b.2.</w:t>
      </w:r>
      <w:r w:rsidR="000B38AF" w:rsidRPr="00DF7302">
        <w:t xml:space="preserve"> </w:t>
      </w:r>
      <w:r w:rsidRPr="00DF7302">
        <w:t>Examinar os aspectos neurobiológicos evidenciados através da atividade elétrica cerebral observada por análise de poder de bandas de frequência em pacientes com TDAH, usando eletroencefalografia quantitativa;</w:t>
      </w:r>
    </w:p>
    <w:p w14:paraId="02106CFD" w14:textId="060FB9DA" w:rsidR="00064EBC" w:rsidRPr="00DF7302" w:rsidRDefault="000B38AF" w:rsidP="00DF7302">
      <w:pPr>
        <w:spacing w:line="360" w:lineRule="auto"/>
        <w:ind w:firstLine="708"/>
        <w:jc w:val="both"/>
      </w:pPr>
      <w:r w:rsidRPr="00DF7302">
        <w:rPr>
          <w:b/>
        </w:rPr>
        <w:t xml:space="preserve">       </w:t>
      </w:r>
      <w:r w:rsidR="00064EBC" w:rsidRPr="00DF7302">
        <w:rPr>
          <w:b/>
        </w:rPr>
        <w:t xml:space="preserve"> </w:t>
      </w:r>
      <w:r w:rsidR="00592CCD" w:rsidRPr="00DF7302">
        <w:rPr>
          <w:b/>
        </w:rPr>
        <w:t>I</w:t>
      </w:r>
      <w:r w:rsidRPr="00DF7302">
        <w:rPr>
          <w:b/>
        </w:rPr>
        <w:t>.b.3.</w:t>
      </w:r>
      <w:r w:rsidRPr="00DF7302">
        <w:t xml:space="preserve"> </w:t>
      </w:r>
      <w:r w:rsidR="002F61C8" w:rsidRPr="00DF7302">
        <w:t>Realizar a Reconstrução da Rede Funcional Cerebral, de cada participante, baseando-se nos dados do EEG quantitativo, através de modelagem matemático-computacional;</w:t>
      </w:r>
    </w:p>
    <w:p w14:paraId="5F22BAA3" w14:textId="2459A32F" w:rsidR="00210029" w:rsidRPr="00DF7302" w:rsidRDefault="000B38AF" w:rsidP="00DF7302">
      <w:pPr>
        <w:spacing w:line="360" w:lineRule="auto"/>
        <w:ind w:firstLine="708"/>
        <w:jc w:val="both"/>
      </w:pPr>
      <w:r w:rsidRPr="00DF7302">
        <w:t xml:space="preserve">   </w:t>
      </w:r>
      <w:r w:rsidR="00064EBC" w:rsidRPr="00DF7302">
        <w:t xml:space="preserve">    </w:t>
      </w:r>
      <w:r w:rsidR="00592CCD" w:rsidRPr="00DF7302">
        <w:rPr>
          <w:b/>
        </w:rPr>
        <w:t>I</w:t>
      </w:r>
      <w:r w:rsidRPr="00DF7302">
        <w:rPr>
          <w:b/>
        </w:rPr>
        <w:t>.b.4</w:t>
      </w:r>
      <w:r w:rsidRPr="00DF7302">
        <w:t xml:space="preserve">. </w:t>
      </w:r>
      <w:r w:rsidR="00210029" w:rsidRPr="00DF7302">
        <w:t xml:space="preserve">Registrar os indicadores de qualidade de vida em adultos com Transtorno de </w:t>
      </w:r>
      <w:r w:rsidR="00210029" w:rsidRPr="00DF7302">
        <w:rPr>
          <w:lang w:val="en-US"/>
        </w:rPr>
        <w:t xml:space="preserve">déficit de atenção e hiperatividade, </w:t>
      </w:r>
      <w:r w:rsidR="00210029" w:rsidRPr="00DF7302">
        <w:t xml:space="preserve">através do </w:t>
      </w:r>
      <w:r w:rsidR="00210029" w:rsidRPr="00DF7302">
        <w:rPr>
          <w:lang w:val="en-US" w:eastAsia="en-US"/>
        </w:rPr>
        <w:t>Questionário de Qualidade de Vida em Adultos com TDAH (AAQoL);</w:t>
      </w:r>
    </w:p>
    <w:p w14:paraId="14C167AC" w14:textId="77777777" w:rsidR="000B38AF" w:rsidRPr="00DF7302" w:rsidRDefault="000B38AF" w:rsidP="00DF7302">
      <w:pPr>
        <w:spacing w:line="360" w:lineRule="auto"/>
        <w:ind w:firstLine="708"/>
        <w:jc w:val="both"/>
      </w:pPr>
    </w:p>
    <w:p w14:paraId="5AB2E735" w14:textId="25498526" w:rsidR="000B38AF" w:rsidRPr="00DF7302" w:rsidRDefault="00592CCD" w:rsidP="00DF7302">
      <w:pPr>
        <w:spacing w:line="360" w:lineRule="auto"/>
        <w:jc w:val="both"/>
      </w:pPr>
      <w:r w:rsidRPr="00DF7302">
        <w:rPr>
          <w:b/>
        </w:rPr>
        <w:t>I</w:t>
      </w:r>
      <w:r w:rsidR="000B38AF" w:rsidRPr="00DF7302">
        <w:rPr>
          <w:b/>
        </w:rPr>
        <w:t>I.</w:t>
      </w:r>
      <w:r w:rsidR="000B38AF" w:rsidRPr="00DF7302">
        <w:t xml:space="preserve"> </w:t>
      </w:r>
      <w:r w:rsidR="000B38AF" w:rsidRPr="00DF7302">
        <w:rPr>
          <w:b/>
          <w:u w:val="single"/>
        </w:rPr>
        <w:t>FUNDAMENTAÇÃO TEÓRICA</w:t>
      </w:r>
    </w:p>
    <w:p w14:paraId="1C5CBF29" w14:textId="77777777" w:rsidR="000B38AF" w:rsidRPr="00DF7302" w:rsidRDefault="000B38AF" w:rsidP="00DF7302">
      <w:pPr>
        <w:spacing w:line="360" w:lineRule="auto"/>
        <w:jc w:val="both"/>
      </w:pPr>
    </w:p>
    <w:p w14:paraId="2D1E58BE" w14:textId="7738453D" w:rsidR="000B38AF" w:rsidRPr="00DF7302" w:rsidRDefault="000B38AF" w:rsidP="00DF7302">
      <w:pPr>
        <w:spacing w:line="360" w:lineRule="auto"/>
        <w:ind w:firstLine="708"/>
        <w:jc w:val="both"/>
      </w:pPr>
      <w:r w:rsidRPr="00DF7302">
        <w:t>O desenvolvimento humano compreende fases e esferas de exposição ambiental e social que influenciadas por aspectos fisiológicos e culturais constroem o escopo psíquico e físico de um indivíduo. Nesta ambiência, o transtorno</w:t>
      </w:r>
      <w:r w:rsidR="00313856" w:rsidRPr="00DF7302">
        <w:t xml:space="preserve"> de déficit de atenção e hipera</w:t>
      </w:r>
      <w:r w:rsidRPr="00DF7302">
        <w:t>tividade (TDAH), enquanto uma condição expressa por hiperatividade, impulsividade e redução da atenção sustentada e dirigida, pode colaborar para o comprometimento do desenvolvimento sócio-afetivo do indivíduo, se não houver uma intervenção precoce e efetiva [1,2].</w:t>
      </w:r>
    </w:p>
    <w:p w14:paraId="003F4A7E" w14:textId="77777777" w:rsidR="000B38AF" w:rsidRPr="00DF7302" w:rsidRDefault="000B38AF" w:rsidP="00DF7302">
      <w:pPr>
        <w:spacing w:line="360" w:lineRule="auto"/>
        <w:ind w:firstLine="708"/>
        <w:jc w:val="both"/>
      </w:pPr>
      <w:r w:rsidRPr="00DF7302">
        <w:t xml:space="preserve">O TDAH apresenta taxas de prevalência, em estudos americanos, de 5 a 9% na infância, principalmente em escolares, e entre estes 67% mantém a sintomatologia na vida adulta, repercutindo no desenvolvimento psicossocial, profissional e emocional [3- 6]. Em um recente estudo nacional, Arruda e colaboradores observaram uma prevalência de TDAH entre crianças e adolescentes de 4,4%, em acordo com dados da </w:t>
      </w:r>
      <w:r w:rsidRPr="00DF7302">
        <w:lastRenderedPageBreak/>
        <w:t>literatura mundial [7]. Entretanto, apesar do significativo impacto social, parte destes pacientes permanece sem diagnóstico, e portanto sem a intervenção terapêutica devida. O diagnóstico baseia-se na avaliação clínica e identificação de critérios estabelecidos pelo Manual Diagnóstico e Estatístico de Transtornos Mentais- 4º edição-revisão textual (DSM-IV-TR), como critérios de desatenção, de hiperatividade, de impulsividade e critérios gerais [1- 4, 6].</w:t>
      </w:r>
    </w:p>
    <w:p w14:paraId="6FAD70A7" w14:textId="77777777" w:rsidR="00CF2F8A" w:rsidRPr="00DF7302" w:rsidRDefault="000B38AF" w:rsidP="00DF7302">
      <w:pPr>
        <w:spacing w:line="360" w:lineRule="auto"/>
        <w:ind w:firstLine="708"/>
        <w:jc w:val="both"/>
      </w:pPr>
      <w:r w:rsidRPr="00DF7302">
        <w:t xml:space="preserve">O quadro clínico origina-se, possivelmente, de desordens no córtex pré-frontal e de suas conexões subcorticais [1, 6, 8]. Esta suposição é respaldada pela hipótese de que se trata de um distúrbio neurobiológico, evidenciado por déficit funcional em neurotransmissores- como a dopamina e noradrenalina, e déficit funcional no lobo frontal, desencadeando os sintomas observados nos portadores de TDAH, tais como impulsividade, dificuldade em inibir comportamentos distratores, em planejar e executar tarefas, em direcionar a atenção e manter a concentração [6]. </w:t>
      </w:r>
      <w:r w:rsidR="00CF2F8A" w:rsidRPr="00DF7302">
        <w:t>Estas observações evidenciam o comprometimento de importantes funções executivas em indivíduos com TDAH [2-4, 6, 8, 9].</w:t>
      </w:r>
    </w:p>
    <w:p w14:paraId="464E6BF1" w14:textId="141A799B" w:rsidR="000B38AF" w:rsidRPr="00DF7302" w:rsidRDefault="00CF2F8A" w:rsidP="00DF7302">
      <w:pPr>
        <w:spacing w:line="360" w:lineRule="auto"/>
        <w:ind w:firstLine="708"/>
        <w:jc w:val="both"/>
      </w:pPr>
      <w:r w:rsidRPr="00DF7302">
        <w:t xml:space="preserve"> </w:t>
      </w:r>
      <w:r w:rsidR="000B38AF" w:rsidRPr="00DF7302">
        <w:t>O córtex pré-frontal é a principal área encefálica responsável pelas funções executivas [10].  Estas correspondem a habilidades neurocognitivas de planejamento e execução de ações intencionais e auto-organizadas [8, 9, 11]. Entre as funções executivas, o controle inibitório é um dos aspectos mais comprometidos no transtorn</w:t>
      </w:r>
      <w:r w:rsidR="001542C7" w:rsidRPr="00DF7302">
        <w:t>o de déficit de atenção e hiper</w:t>
      </w:r>
      <w:r w:rsidR="000B38AF" w:rsidRPr="00DF7302">
        <w:t>atividade [6]. Este corresponde à condição de inibir um comportamento inconveniente ou inadequado ou/e ini</w:t>
      </w:r>
      <w:r w:rsidR="001542C7" w:rsidRPr="00DF7302">
        <w:t>bir reposta à estímulos distraidores</w:t>
      </w:r>
      <w:r w:rsidR="000B38AF" w:rsidRPr="00DF7302">
        <w:t xml:space="preserve"> [6, 8, 12]. Um transtorno do controle inibitório, portanto, prejudica significativamente o desempenho social, afetivo e cognitivo do indivíduo, seja por impossibilitar a interrupção de uma ação inapropriada ou por não intervir na interrupção de um estímulo que descontinue respostas adequadas [2, 3, 6].</w:t>
      </w:r>
    </w:p>
    <w:p w14:paraId="498FD745" w14:textId="77777777" w:rsidR="000B38AF" w:rsidRPr="00DF7302" w:rsidRDefault="000B38AF" w:rsidP="00DF7302">
      <w:pPr>
        <w:spacing w:line="360" w:lineRule="auto"/>
        <w:ind w:firstLine="708"/>
        <w:jc w:val="both"/>
      </w:pPr>
      <w:r w:rsidRPr="00DF7302">
        <w:t>Há evidências de uma associação fisiológica entre o córtex pré-frontal e o controle inibitório [8, 12, 13]. Alterações nesta estrutura anatômica possivelmente são responsáveis por um prejuízo no controle inibitório, evidenciado comportamentalmente por ações que refletem inconsequência, imprevisibilidade, intolerância à espera, respostas rápidas e inconsistentes, eventuais exposições a situações de risco, e aceitação de múltiplas responsabilidades e tarefas, simultaneamente, com consequentes abandonos posteriores [8, 13].</w:t>
      </w:r>
    </w:p>
    <w:p w14:paraId="2E425280" w14:textId="77777777" w:rsidR="000B38AF" w:rsidRPr="00DF7302" w:rsidRDefault="000B38AF" w:rsidP="00DF7302">
      <w:pPr>
        <w:spacing w:line="360" w:lineRule="auto"/>
        <w:ind w:firstLine="708"/>
        <w:jc w:val="both"/>
      </w:pPr>
      <w:r w:rsidRPr="00DF7302">
        <w:t xml:space="preserve">Esta relação anatômica e compreensão dos mecanismos neurobiológicos compõem um arcabouço fisiológico que sustenta a hipótese de que a ativação da área </w:t>
      </w:r>
      <w:r w:rsidRPr="00DF7302">
        <w:lastRenderedPageBreak/>
        <w:t>pré-frontal resultará em um maior e mais adequado controle inibitório, minimizando as repercussões sócio-afetivas associadas  a esta condição.</w:t>
      </w:r>
    </w:p>
    <w:p w14:paraId="4A30ADA0" w14:textId="7BAEFE45" w:rsidR="0069148D" w:rsidRPr="00DF7302" w:rsidRDefault="00935C7B" w:rsidP="00DF7302">
      <w:pPr>
        <w:spacing w:line="360" w:lineRule="auto"/>
        <w:ind w:firstLine="708"/>
        <w:jc w:val="both"/>
      </w:pPr>
      <w:r w:rsidRPr="00DF7302">
        <w:t>A estimulação transcraniana por corrente contínua</w:t>
      </w:r>
      <w:r w:rsidR="001146D6" w:rsidRPr="00DF7302">
        <w:t xml:space="preserve"> (ETCC)</w:t>
      </w:r>
      <w:r w:rsidRPr="00DF7302">
        <w:t xml:space="preserve"> é uma técnica neuromodulatória simples e bem conhecida [14, 15], que utiliza correntes eléctricas de baixa tensão, para aumentar ou diminuir a excitabilidade neuronal da área estimulada [14, 16]</w:t>
      </w:r>
      <w:r w:rsidR="000B38AF" w:rsidRPr="00DF7302">
        <w:t xml:space="preserve">. Esta é uma intervenção não-invasiva e segura, possuindo efeitos adversos pouco frequentes e inexpressivos, caracterizados por leve desconforto local, prurido, parestesia e/ou cefaleia, de curta duração [16]. </w:t>
      </w:r>
      <w:r w:rsidR="0069148D" w:rsidRPr="00DF7302">
        <w:t xml:space="preserve">A aplicação desta técnica e a avaliação dos seus efeitos será realizada por observação clínica considerando como parâmetros uma redução na sintomatologia avaliada através </w:t>
      </w:r>
      <w:r w:rsidR="00873360" w:rsidRPr="00DF7302">
        <w:t>de</w:t>
      </w:r>
      <w:r w:rsidR="0069148D" w:rsidRPr="00DF7302">
        <w:t xml:space="preserve"> tarefa</w:t>
      </w:r>
      <w:r w:rsidR="00873360" w:rsidRPr="00DF7302">
        <w:t>s</w:t>
      </w:r>
      <w:r w:rsidR="0069148D" w:rsidRPr="00DF7302">
        <w:t xml:space="preserve"> neuropsicológica</w:t>
      </w:r>
      <w:r w:rsidR="00873360" w:rsidRPr="00DF7302">
        <w:t>s</w:t>
      </w:r>
      <w:r w:rsidR="0069148D" w:rsidRPr="00DF7302">
        <w:t>- Go/ No go, e por avaliações neurofisiológicas como eletroencefalograma quantitativo (QEEG) e reconstrução de redes cerebrais. Neste ensaio clínico, estas técnicas irão avaliar provável ativação do córtex pré-frontal após ETCC, e investigarão a hipótese de aumento no co</w:t>
      </w:r>
      <w:r w:rsidR="00313856" w:rsidRPr="00DF7302">
        <w:t>ntrole inibitório e suas consequ</w:t>
      </w:r>
      <w:r w:rsidR="0069148D" w:rsidRPr="00DF7302">
        <w:t xml:space="preserve">ências comportamentais. Será aplicada estimulação anódica de 1mA, objetivando aumento da excitabilidade do córtex dorsolateral pré-frontal, de acordo com a correlação anatómica e fisiológica acima mencionadas. Ao final, espera-se um melhor ajustamento das respostas comportamentais associados ao controle inibitório que compromete, em última instância, a qualidade de vida de indivíduos com TDAH [16]. </w:t>
      </w:r>
    </w:p>
    <w:p w14:paraId="1FA4BFEF" w14:textId="77777777" w:rsidR="00EF6FF0" w:rsidRPr="00DF7302" w:rsidRDefault="00EF6FF0" w:rsidP="00DF7302">
      <w:pPr>
        <w:spacing w:line="360" w:lineRule="auto"/>
        <w:ind w:firstLine="708"/>
        <w:jc w:val="both"/>
      </w:pPr>
      <w:r w:rsidRPr="00DF7302">
        <w:t xml:space="preserve">O conceito de qualidade de vida é complexo, amplo e pode ser entendido em diferentes contextos: biológicos, econômicos, culturais e sociais [19]. Considerando a abordagem deste estudo- a perspectiva biológica, qualidade de vida expressa a condição dos indivíduos compreenderem a doença, seus desafios e inadequações comportamentais de uma forma clara que lhes permita definir estratégias de adaptação. </w:t>
      </w:r>
    </w:p>
    <w:p w14:paraId="62A8BEA8" w14:textId="7F3441AA" w:rsidR="00EF6FF0" w:rsidRPr="00DF7302" w:rsidRDefault="00EF6FF0" w:rsidP="00DF7302">
      <w:pPr>
        <w:spacing w:line="360" w:lineRule="auto"/>
        <w:ind w:firstLine="708"/>
        <w:jc w:val="both"/>
      </w:pPr>
      <w:r w:rsidRPr="00DF7302">
        <w:t xml:space="preserve">Considerando os métodos terapêuticos disponíveis, fármacos como o </w:t>
      </w:r>
      <w:r w:rsidR="00C448A4" w:rsidRPr="00DF7302">
        <w:t xml:space="preserve">metilfenidato e lisdexanfetamina contribuem para </w:t>
      </w:r>
      <w:r w:rsidRPr="00DF7302">
        <w:t xml:space="preserve">melhor controle sintomático [20]. No entanto, esses medicamentos apresentam efeitos colaterais importantes, com ocorrência imprevisível, tais como insônia, perda de apetite, dor de cabeça, espasmos musculares, irritabilidade, ansiedade, eventos cardiovasculares, entre outros, que podem eventualmente resultar em interrupção do tratamento [20-24]. Neste contexto, novas estratégias terapêuticas com perfil simples e seguro, como a estimulação transcraniana por corrente contínua, são essenciais. </w:t>
      </w:r>
    </w:p>
    <w:p w14:paraId="043070AD" w14:textId="658BA107" w:rsidR="000B38AF" w:rsidRPr="00DF7302" w:rsidRDefault="00680B38" w:rsidP="00DF7302">
      <w:pPr>
        <w:pStyle w:val="Default"/>
        <w:spacing w:line="360" w:lineRule="auto"/>
        <w:ind w:firstLine="708"/>
        <w:jc w:val="both"/>
        <w:rPr>
          <w:color w:val="auto"/>
        </w:rPr>
      </w:pPr>
      <w:r w:rsidRPr="00DF7302">
        <w:rPr>
          <w:color w:val="auto"/>
        </w:rPr>
        <w:t xml:space="preserve">Objetivamos neste estudo, investigar a eficácia da ETCC sobre o córtex pré-frontal na modulação do controle inibitório em adultos com TDAH, evidenciada através </w:t>
      </w:r>
      <w:r w:rsidRPr="00DF7302">
        <w:rPr>
          <w:color w:val="auto"/>
        </w:rPr>
        <w:lastRenderedPageBreak/>
        <w:t>de parâmetros comportamental e neurofisiológicos, mencionados anteriormente. Esperamos observar um aumento na resposta inibitória em pacientes com TDAH, podendo resultar em uma maior capacidade para inibir comportamentos inadequados, através da aplicação de uma técnica de baixo custo, segura e não-invasiva.</w:t>
      </w:r>
    </w:p>
    <w:p w14:paraId="27B5E64C" w14:textId="77777777" w:rsidR="00680B38" w:rsidRPr="00DF7302" w:rsidRDefault="00680B38" w:rsidP="00DF7302">
      <w:pPr>
        <w:pStyle w:val="Default"/>
        <w:spacing w:line="360" w:lineRule="auto"/>
        <w:ind w:firstLine="708"/>
        <w:jc w:val="both"/>
        <w:rPr>
          <w:color w:val="auto"/>
        </w:rPr>
      </w:pPr>
    </w:p>
    <w:p w14:paraId="515F3F8A" w14:textId="496F4C7A" w:rsidR="000B38AF" w:rsidRPr="00DF7302" w:rsidRDefault="000B38AF" w:rsidP="00DF7302">
      <w:pPr>
        <w:spacing w:line="360" w:lineRule="auto"/>
        <w:rPr>
          <w:b/>
          <w:u w:val="single"/>
        </w:rPr>
      </w:pPr>
      <w:r w:rsidRPr="00DF7302">
        <w:rPr>
          <w:b/>
        </w:rPr>
        <w:t>I</w:t>
      </w:r>
      <w:r w:rsidR="00313856" w:rsidRPr="00DF7302">
        <w:rPr>
          <w:b/>
        </w:rPr>
        <w:t>II</w:t>
      </w:r>
      <w:r w:rsidRPr="00DF7302">
        <w:rPr>
          <w:b/>
        </w:rPr>
        <w:t xml:space="preserve">. </w:t>
      </w:r>
      <w:r w:rsidRPr="00DF7302">
        <w:rPr>
          <w:b/>
          <w:u w:val="single"/>
        </w:rPr>
        <w:t>MATERIAIS E MÉTODOS</w:t>
      </w:r>
    </w:p>
    <w:p w14:paraId="4E156ECB" w14:textId="77777777" w:rsidR="000B38AF" w:rsidRPr="00DF7302" w:rsidRDefault="000B38AF" w:rsidP="00DF7302">
      <w:pPr>
        <w:spacing w:line="360" w:lineRule="auto"/>
        <w:rPr>
          <w:b/>
        </w:rPr>
      </w:pPr>
    </w:p>
    <w:p w14:paraId="27483D89" w14:textId="1988B81E" w:rsidR="000B38AF" w:rsidRPr="00DF7302" w:rsidRDefault="00313856" w:rsidP="00DF7302">
      <w:pPr>
        <w:spacing w:line="360" w:lineRule="auto"/>
      </w:pPr>
      <w:r w:rsidRPr="00DF7302">
        <w:rPr>
          <w:b/>
        </w:rPr>
        <w:t>III</w:t>
      </w:r>
      <w:r w:rsidR="000B38AF" w:rsidRPr="00DF7302">
        <w:rPr>
          <w:b/>
        </w:rPr>
        <w:t>.a</w:t>
      </w:r>
      <w:r w:rsidR="000B38AF" w:rsidRPr="00DF7302">
        <w:t xml:space="preserve">. </w:t>
      </w:r>
      <w:r w:rsidR="000B38AF" w:rsidRPr="00DF7302">
        <w:rPr>
          <w:b/>
        </w:rPr>
        <w:t>Desenho do Estudo</w:t>
      </w:r>
    </w:p>
    <w:p w14:paraId="090C5264" w14:textId="77777777" w:rsidR="00DF7302" w:rsidRDefault="00DF7302" w:rsidP="00DF7302">
      <w:pPr>
        <w:spacing w:line="360" w:lineRule="auto"/>
        <w:ind w:firstLine="708"/>
        <w:jc w:val="both"/>
      </w:pPr>
    </w:p>
    <w:p w14:paraId="1799D4CF" w14:textId="7725D632" w:rsidR="000B38AF" w:rsidRPr="00DF7302" w:rsidRDefault="005365E5" w:rsidP="00DF7302">
      <w:pPr>
        <w:spacing w:line="360" w:lineRule="auto"/>
        <w:ind w:firstLine="708"/>
        <w:jc w:val="both"/>
      </w:pPr>
      <w:r w:rsidRPr="00DF7302">
        <w:t xml:space="preserve">Trata-se de um estudo paralelo e transversal que incluirá etapas descritivas e analíticas destinadas a investigar os aspectos neurobiológicos de pacientes com transtorno de déficit de atenção e hiperatividade, e a resposta destes parâmetros, associados ao controle inibitório, à modulação por estimulação transcraniana por corrente contínua. </w:t>
      </w:r>
    </w:p>
    <w:p w14:paraId="3D1555A1" w14:textId="77777777" w:rsidR="00DF7302" w:rsidRDefault="00DF7302" w:rsidP="00DF7302">
      <w:pPr>
        <w:spacing w:line="360" w:lineRule="auto"/>
        <w:jc w:val="both"/>
        <w:rPr>
          <w:b/>
          <w:bCs/>
        </w:rPr>
      </w:pPr>
    </w:p>
    <w:p w14:paraId="0385BACE" w14:textId="41363F36" w:rsidR="000B38AF" w:rsidRPr="00DF7302" w:rsidRDefault="00313856" w:rsidP="00DF7302">
      <w:pPr>
        <w:spacing w:line="360" w:lineRule="auto"/>
        <w:jc w:val="both"/>
        <w:rPr>
          <w:b/>
        </w:rPr>
      </w:pPr>
      <w:r w:rsidRPr="00DF7302">
        <w:rPr>
          <w:b/>
          <w:bCs/>
        </w:rPr>
        <w:t>III</w:t>
      </w:r>
      <w:r w:rsidR="000B38AF" w:rsidRPr="00DF7302">
        <w:rPr>
          <w:b/>
          <w:bCs/>
        </w:rPr>
        <w:t xml:space="preserve">.b. </w:t>
      </w:r>
      <w:r w:rsidR="000B38AF" w:rsidRPr="00DF7302">
        <w:rPr>
          <w:b/>
        </w:rPr>
        <w:t>População</w:t>
      </w:r>
    </w:p>
    <w:p w14:paraId="7389D063" w14:textId="77777777" w:rsidR="00DF7302" w:rsidRDefault="00DF7302" w:rsidP="00DF7302">
      <w:pPr>
        <w:spacing w:line="360" w:lineRule="auto"/>
        <w:ind w:firstLine="708"/>
        <w:jc w:val="both"/>
      </w:pPr>
    </w:p>
    <w:p w14:paraId="37541271" w14:textId="401FCBE1" w:rsidR="000B38AF" w:rsidRPr="00DF7302" w:rsidRDefault="005365E5" w:rsidP="00DF7302">
      <w:pPr>
        <w:spacing w:line="360" w:lineRule="auto"/>
        <w:ind w:firstLine="708"/>
        <w:jc w:val="both"/>
      </w:pPr>
      <w:r w:rsidRPr="00DF7302">
        <w:t>Pacientes com transtorno de déficit de atenção e hiperatividade serão recrutados através de carta e e-mail para a Associação Psiquiátrica da Bahia (APB), Sociedade de Neurologia da Bahia (SNB) e Associação Brasileira de Neurologia, Psiquiatria e Profissões Afins (ABENEPI)-capítulo Bahia. Também serão contactados, através de correspondência e telefone, profissionais especialistas em TDAH, convidando-os a encaminhar prováveis pacientes ao estudo. Serão ainda publicados anúncios em internet e redes sociais, no período de outubro de 2012 a dezembro de 2012, de acordo com os critérios de inclusão.</w:t>
      </w:r>
    </w:p>
    <w:p w14:paraId="2F543DE9" w14:textId="0F1AA5B1" w:rsidR="000B38AF" w:rsidRPr="00DF7302" w:rsidRDefault="00C128AF" w:rsidP="00DF7302">
      <w:pPr>
        <w:spacing w:line="360" w:lineRule="auto"/>
        <w:ind w:firstLine="708"/>
        <w:jc w:val="both"/>
        <w:rPr>
          <w:b/>
        </w:rPr>
      </w:pPr>
      <w:r w:rsidRPr="00DF7302">
        <w:rPr>
          <w:b/>
        </w:rPr>
        <w:t xml:space="preserve">            III</w:t>
      </w:r>
      <w:r w:rsidR="000B38AF" w:rsidRPr="00DF7302">
        <w:rPr>
          <w:b/>
        </w:rPr>
        <w:t>.b.1. Critérios de inclusão</w:t>
      </w:r>
    </w:p>
    <w:p w14:paraId="4DD7EAB6" w14:textId="15B1D0DA" w:rsidR="000B38AF" w:rsidRPr="00DF7302" w:rsidRDefault="000B38AF" w:rsidP="00DF7302">
      <w:pPr>
        <w:spacing w:line="360" w:lineRule="auto"/>
        <w:ind w:left="1416" w:firstLine="708"/>
        <w:jc w:val="both"/>
      </w:pPr>
      <w:r w:rsidRPr="00DF7302">
        <w:t>-</w:t>
      </w:r>
      <w:r w:rsidR="00D26334" w:rsidRPr="00DF7302">
        <w:rPr>
          <w:rStyle w:val="hps"/>
          <w:lang w:val="pt-PT"/>
        </w:rPr>
        <w:t>Habilidade para</w:t>
      </w:r>
      <w:r w:rsidR="00D26334" w:rsidRPr="00DF7302">
        <w:rPr>
          <w:lang w:val="pt-PT"/>
        </w:rPr>
        <w:t xml:space="preserve"> </w:t>
      </w:r>
      <w:r w:rsidR="00D26334" w:rsidRPr="00DF7302">
        <w:rPr>
          <w:rStyle w:val="hps"/>
          <w:lang w:val="pt-PT"/>
        </w:rPr>
        <w:t>entender e</w:t>
      </w:r>
      <w:r w:rsidR="00D26334" w:rsidRPr="00DF7302">
        <w:rPr>
          <w:lang w:val="pt-PT"/>
        </w:rPr>
        <w:t xml:space="preserve"> </w:t>
      </w:r>
      <w:r w:rsidR="00D26334" w:rsidRPr="00DF7302">
        <w:rPr>
          <w:rStyle w:val="hps"/>
          <w:lang w:val="pt-PT"/>
        </w:rPr>
        <w:t>assinar o formulário de</w:t>
      </w:r>
      <w:r w:rsidR="00D26334" w:rsidRPr="00DF7302">
        <w:rPr>
          <w:lang w:val="pt-PT"/>
        </w:rPr>
        <w:t xml:space="preserve"> </w:t>
      </w:r>
      <w:r w:rsidR="00D26334" w:rsidRPr="00DF7302">
        <w:rPr>
          <w:rStyle w:val="hps"/>
          <w:lang w:val="pt-PT"/>
        </w:rPr>
        <w:t>consentimento informado;</w:t>
      </w:r>
    </w:p>
    <w:p w14:paraId="6F542480" w14:textId="77777777" w:rsidR="000B38AF" w:rsidRPr="00DF7302" w:rsidRDefault="000B38AF" w:rsidP="00DF7302">
      <w:pPr>
        <w:spacing w:line="360" w:lineRule="auto"/>
        <w:ind w:left="1416" w:firstLine="708"/>
        <w:jc w:val="both"/>
      </w:pPr>
      <w:r w:rsidRPr="00DF7302">
        <w:t>-Diagnóstico de transtorno de déficit de atenção e hiperatividade, fundamentado no DSM-IV-TR</w:t>
      </w:r>
      <w:r w:rsidR="000D38AB" w:rsidRPr="00DF7302">
        <w:t xml:space="preserve"> e </w:t>
      </w:r>
      <w:r w:rsidR="000D38AB" w:rsidRPr="00DF7302">
        <w:rPr>
          <w:bCs/>
          <w:i/>
          <w:lang w:val="en-US" w:eastAsia="en-US"/>
        </w:rPr>
        <w:t>Adult Self-Report Scale</w:t>
      </w:r>
      <w:r w:rsidR="000D38AB" w:rsidRPr="00DF7302">
        <w:rPr>
          <w:bCs/>
          <w:lang w:val="en-US" w:eastAsia="en-US"/>
        </w:rPr>
        <w:t xml:space="preserve"> (</w:t>
      </w:r>
      <w:r w:rsidR="000D38AB" w:rsidRPr="00DF7302">
        <w:t>ASRS)</w:t>
      </w:r>
      <w:r w:rsidRPr="00DF7302">
        <w:t xml:space="preserve">; </w:t>
      </w:r>
    </w:p>
    <w:p w14:paraId="0A094148" w14:textId="77777777" w:rsidR="000B38AF" w:rsidRPr="00DF7302" w:rsidRDefault="000B38AF" w:rsidP="00DF7302">
      <w:pPr>
        <w:spacing w:line="360" w:lineRule="auto"/>
        <w:ind w:left="1416" w:firstLine="708"/>
        <w:jc w:val="both"/>
      </w:pPr>
      <w:r w:rsidRPr="00DF7302">
        <w:t>-Residentes na Bahia;</w:t>
      </w:r>
    </w:p>
    <w:p w14:paraId="201A2786" w14:textId="77777777" w:rsidR="000B38AF" w:rsidRPr="00DF7302" w:rsidRDefault="000B38AF" w:rsidP="00DF7302">
      <w:pPr>
        <w:spacing w:line="360" w:lineRule="auto"/>
        <w:ind w:left="1416" w:firstLine="708"/>
        <w:jc w:val="both"/>
      </w:pPr>
      <w:r w:rsidRPr="00DF7302">
        <w:t>-Maiores de 18 anos.</w:t>
      </w:r>
    </w:p>
    <w:p w14:paraId="73B2EE0A" w14:textId="77777777" w:rsidR="00DF7302" w:rsidRDefault="00C128AF" w:rsidP="00DF7302">
      <w:pPr>
        <w:spacing w:line="360" w:lineRule="auto"/>
        <w:ind w:firstLine="708"/>
        <w:jc w:val="both"/>
        <w:rPr>
          <w:b/>
        </w:rPr>
      </w:pPr>
      <w:r w:rsidRPr="00DF7302">
        <w:rPr>
          <w:b/>
        </w:rPr>
        <w:t xml:space="preserve">        </w:t>
      </w:r>
    </w:p>
    <w:p w14:paraId="165EC872" w14:textId="77777777" w:rsidR="00DF7302" w:rsidRDefault="00DF7302" w:rsidP="00DF7302">
      <w:pPr>
        <w:spacing w:line="360" w:lineRule="auto"/>
        <w:ind w:firstLine="708"/>
        <w:jc w:val="both"/>
        <w:rPr>
          <w:b/>
        </w:rPr>
      </w:pPr>
    </w:p>
    <w:p w14:paraId="702A3543" w14:textId="3262E102" w:rsidR="000B38AF" w:rsidRPr="00DF7302" w:rsidRDefault="00C128AF" w:rsidP="00DF7302">
      <w:pPr>
        <w:spacing w:line="360" w:lineRule="auto"/>
        <w:ind w:left="708" w:firstLine="708"/>
        <w:jc w:val="both"/>
        <w:rPr>
          <w:b/>
        </w:rPr>
      </w:pPr>
      <w:r w:rsidRPr="00DF7302">
        <w:rPr>
          <w:b/>
        </w:rPr>
        <w:lastRenderedPageBreak/>
        <w:t>III</w:t>
      </w:r>
      <w:r w:rsidR="000B38AF" w:rsidRPr="00DF7302">
        <w:rPr>
          <w:b/>
        </w:rPr>
        <w:t>.b.2. Critérios de exclusão</w:t>
      </w:r>
    </w:p>
    <w:p w14:paraId="1E4A33A4" w14:textId="77777777" w:rsidR="000B38AF" w:rsidRPr="00DF7302" w:rsidRDefault="000B38AF" w:rsidP="00DF7302">
      <w:pPr>
        <w:spacing w:line="360" w:lineRule="auto"/>
        <w:ind w:left="1416" w:firstLine="708"/>
        <w:jc w:val="both"/>
      </w:pPr>
      <w:r w:rsidRPr="00DF7302">
        <w:t>-Comorbidades psiquiátricas tais como: esquizofrenia e transtorno bipolar;</w:t>
      </w:r>
    </w:p>
    <w:p w14:paraId="1FABEE6D" w14:textId="3CD91D7B" w:rsidR="000B38AF" w:rsidRPr="00DF7302" w:rsidRDefault="000B38AF" w:rsidP="00DF7302">
      <w:pPr>
        <w:spacing w:line="360" w:lineRule="auto"/>
        <w:ind w:left="1416" w:firstLine="708"/>
        <w:jc w:val="both"/>
      </w:pPr>
      <w:r w:rsidRPr="00DF7302">
        <w:t>-Incapacidade de compreensão dos questionários utilizados</w:t>
      </w:r>
      <w:r w:rsidR="00D26334" w:rsidRPr="00DF7302">
        <w:t xml:space="preserve"> (</w:t>
      </w:r>
      <w:r w:rsidR="00D26334" w:rsidRPr="00DF7302">
        <w:rPr>
          <w:lang w:val="pt-PT"/>
        </w:rPr>
        <w:t>comprometimento cognitivo</w:t>
      </w:r>
      <w:r w:rsidR="00D26334" w:rsidRPr="00DF7302">
        <w:rPr>
          <w:rStyle w:val="hps"/>
          <w:lang w:val="pt-PT"/>
        </w:rPr>
        <w:t>- escore</w:t>
      </w:r>
      <w:r w:rsidR="00D26334" w:rsidRPr="00DF7302">
        <w:rPr>
          <w:lang w:val="pt-PT"/>
        </w:rPr>
        <w:t xml:space="preserve"> </w:t>
      </w:r>
      <w:r w:rsidR="00D26334" w:rsidRPr="00DF7302">
        <w:rPr>
          <w:rStyle w:val="hps"/>
          <w:lang w:val="pt-PT"/>
        </w:rPr>
        <w:t>≤</w:t>
      </w:r>
      <w:r w:rsidR="00D26334" w:rsidRPr="00DF7302">
        <w:rPr>
          <w:lang w:val="pt-PT"/>
        </w:rPr>
        <w:t xml:space="preserve"> </w:t>
      </w:r>
      <w:r w:rsidR="00D26334" w:rsidRPr="00DF7302">
        <w:rPr>
          <w:rStyle w:val="hps"/>
          <w:lang w:val="pt-PT"/>
        </w:rPr>
        <w:t>24 no</w:t>
      </w:r>
      <w:r w:rsidR="00D26334" w:rsidRPr="00DF7302">
        <w:rPr>
          <w:lang w:val="pt-PT"/>
        </w:rPr>
        <w:t xml:space="preserve"> </w:t>
      </w:r>
      <w:r w:rsidR="00D26334" w:rsidRPr="00DF7302">
        <w:rPr>
          <w:rStyle w:val="hps"/>
          <w:lang w:val="pt-PT"/>
        </w:rPr>
        <w:t>Mini Exame do Estado</w:t>
      </w:r>
      <w:r w:rsidR="00D26334" w:rsidRPr="00DF7302">
        <w:rPr>
          <w:lang w:val="pt-PT"/>
        </w:rPr>
        <w:t xml:space="preserve"> </w:t>
      </w:r>
      <w:r w:rsidR="00D26334" w:rsidRPr="00DF7302">
        <w:rPr>
          <w:rStyle w:val="hps"/>
          <w:lang w:val="pt-PT"/>
        </w:rPr>
        <w:t>Mental</w:t>
      </w:r>
      <w:r w:rsidR="00D26334" w:rsidRPr="00DF7302">
        <w:rPr>
          <w:lang w:val="pt-PT"/>
        </w:rPr>
        <w:t>)</w:t>
      </w:r>
      <w:r w:rsidRPr="00DF7302">
        <w:t xml:space="preserve"> ou não alfabetizados;</w:t>
      </w:r>
    </w:p>
    <w:p w14:paraId="241E5CA2" w14:textId="39D4122D" w:rsidR="000B38AF" w:rsidRPr="00DF7302" w:rsidRDefault="000B38AF" w:rsidP="00DF7302">
      <w:pPr>
        <w:spacing w:line="360" w:lineRule="auto"/>
        <w:ind w:left="1416" w:firstLine="708"/>
        <w:jc w:val="both"/>
      </w:pPr>
      <w:r w:rsidRPr="00DF7302">
        <w:t>-Abuso de substâncias psicoativas</w:t>
      </w:r>
      <w:r w:rsidR="00D26334" w:rsidRPr="00DF7302">
        <w:t xml:space="preserve"> ou álcool</w:t>
      </w:r>
      <w:r w:rsidRPr="00DF7302">
        <w:t>, exceto nicotina e cafeína, nos últimos 12 meses.</w:t>
      </w:r>
    </w:p>
    <w:p w14:paraId="3BD48978" w14:textId="77777777" w:rsidR="000B38AF" w:rsidRPr="00DF7302" w:rsidRDefault="000B38AF" w:rsidP="00DF7302">
      <w:pPr>
        <w:spacing w:line="360" w:lineRule="auto"/>
        <w:ind w:left="1416" w:firstLine="708"/>
        <w:jc w:val="both"/>
      </w:pPr>
    </w:p>
    <w:p w14:paraId="63AA9988" w14:textId="70828499" w:rsidR="000B38AF" w:rsidRPr="00DF7302" w:rsidRDefault="00C128AF" w:rsidP="00DF7302">
      <w:pPr>
        <w:suppressAutoHyphens/>
        <w:spacing w:line="360" w:lineRule="auto"/>
        <w:ind w:left="708" w:firstLine="708"/>
        <w:jc w:val="both"/>
        <w:rPr>
          <w:b/>
          <w:bCs/>
        </w:rPr>
      </w:pPr>
      <w:r w:rsidRPr="00DF7302">
        <w:rPr>
          <w:b/>
        </w:rPr>
        <w:t>III</w:t>
      </w:r>
      <w:r w:rsidR="000B38AF" w:rsidRPr="00DF7302">
        <w:rPr>
          <w:b/>
        </w:rPr>
        <w:t>.b.3.</w:t>
      </w:r>
      <w:r w:rsidR="000B38AF" w:rsidRPr="00DF7302">
        <w:rPr>
          <w:b/>
          <w:bCs/>
        </w:rPr>
        <w:t xml:space="preserve"> Tamanho da amostra</w:t>
      </w:r>
    </w:p>
    <w:p w14:paraId="22D0E78D" w14:textId="77777777" w:rsidR="000B38AF" w:rsidRPr="00DF7302" w:rsidRDefault="000B38AF" w:rsidP="00DF7302">
      <w:pPr>
        <w:spacing w:line="360" w:lineRule="auto"/>
        <w:jc w:val="both"/>
      </w:pPr>
      <w:r w:rsidRPr="00DF7302">
        <w:tab/>
      </w:r>
    </w:p>
    <w:p w14:paraId="2506DAF8" w14:textId="77777777" w:rsidR="009E7F54" w:rsidRPr="00DF7302" w:rsidRDefault="009E7F54" w:rsidP="00DF7302">
      <w:pPr>
        <w:suppressAutoHyphens/>
        <w:spacing w:line="360" w:lineRule="auto"/>
        <w:ind w:left="708" w:firstLine="708"/>
        <w:jc w:val="both"/>
      </w:pPr>
      <w:r w:rsidRPr="00DF7302">
        <w:t>Trata-se de amostra randomizada de indivíduos com TDAH recrutados através de Internet, redes sociais, além de contato com especialistas e sociedades especializadas em neurologia, psiquiatria e áreas afins, no período do estudo. Este tamanho amostral foi calculado estimando-se uma diferença de proporção entre o grupo de ativo e controle de 40%, na modificação do desempenho da tarefa Go/No go, antes e após as intervenções.</w:t>
      </w:r>
    </w:p>
    <w:p w14:paraId="4094F3E4" w14:textId="130B1232" w:rsidR="000B38AF" w:rsidRPr="00DF7302" w:rsidRDefault="009E7F54" w:rsidP="00DF7302">
      <w:pPr>
        <w:suppressAutoHyphens/>
        <w:spacing w:line="360" w:lineRule="auto"/>
        <w:ind w:left="708" w:firstLine="708"/>
        <w:jc w:val="both"/>
      </w:pPr>
      <w:r w:rsidRPr="00DF7302">
        <w:t>Este cálculo foi realizado utilizando-se o programa estatístico Stata 12.0, considerando um erro alfa de 0,05 e um poder de 0,80, obtendo-se uma amostra de 25 sujeitos em cada grupo, intervenção e controle. Considerando possíveis fatores inesperados, assumimos uma taxa de desistência de 20%, alcançando uma amostra final de 60 indivíduos.</w:t>
      </w:r>
    </w:p>
    <w:p w14:paraId="2AC5C130" w14:textId="77777777" w:rsidR="009E7F54" w:rsidRPr="00DF7302" w:rsidRDefault="009E7F54" w:rsidP="00DF7302">
      <w:pPr>
        <w:suppressAutoHyphens/>
        <w:spacing w:line="360" w:lineRule="auto"/>
        <w:ind w:left="708" w:firstLine="708"/>
        <w:jc w:val="both"/>
      </w:pPr>
    </w:p>
    <w:p w14:paraId="2D5D4EE4" w14:textId="7A53908C" w:rsidR="002354B4" w:rsidRPr="00DF7302" w:rsidRDefault="009E7F54" w:rsidP="00DF7302">
      <w:pPr>
        <w:suppressAutoHyphens/>
        <w:spacing w:line="360" w:lineRule="auto"/>
        <w:jc w:val="both"/>
        <w:rPr>
          <w:b/>
        </w:rPr>
      </w:pPr>
      <w:r w:rsidRPr="00DF7302">
        <w:rPr>
          <w:b/>
        </w:rPr>
        <w:t>III</w:t>
      </w:r>
      <w:r w:rsidR="000B38AF" w:rsidRPr="00DF7302">
        <w:rPr>
          <w:b/>
        </w:rPr>
        <w:t>.c. Variáveis do Estudo</w:t>
      </w:r>
    </w:p>
    <w:p w14:paraId="6FA84B3B" w14:textId="77777777" w:rsidR="000B38AF" w:rsidRPr="00DF7302" w:rsidRDefault="000B38AF" w:rsidP="00DF7302">
      <w:pPr>
        <w:suppressAutoHyphens/>
        <w:spacing w:line="360" w:lineRule="auto"/>
        <w:jc w:val="both"/>
      </w:pPr>
    </w:p>
    <w:p w14:paraId="265AFE70" w14:textId="415E888B" w:rsidR="000B38AF" w:rsidRPr="00DF7302" w:rsidRDefault="00873360" w:rsidP="00DF7302">
      <w:pPr>
        <w:tabs>
          <w:tab w:val="left" w:pos="3630"/>
        </w:tabs>
        <w:spacing w:line="360" w:lineRule="auto"/>
        <w:jc w:val="both"/>
        <w:rPr>
          <w:b/>
        </w:rPr>
      </w:pPr>
      <w:r w:rsidRPr="00DF7302">
        <w:rPr>
          <w:b/>
        </w:rPr>
        <w:t xml:space="preserve">          III</w:t>
      </w:r>
      <w:r w:rsidR="000B38AF" w:rsidRPr="00DF7302">
        <w:rPr>
          <w:b/>
        </w:rPr>
        <w:t>.c.1. Variáveis dependentes</w:t>
      </w:r>
    </w:p>
    <w:p w14:paraId="26D07C92" w14:textId="4D3C722A" w:rsidR="00873360" w:rsidRPr="00DF7302" w:rsidRDefault="000B38AF" w:rsidP="00DF7302">
      <w:pPr>
        <w:spacing w:line="360" w:lineRule="auto"/>
      </w:pPr>
      <w:r w:rsidRPr="00DF7302">
        <w:rPr>
          <w:b/>
        </w:rPr>
        <w:t xml:space="preserve">          </w:t>
      </w:r>
      <w:r w:rsidR="00873360" w:rsidRPr="00DF7302">
        <w:t xml:space="preserve">      As seguintes variáveis serão avaliadas: desempenho nas tarefas neuropsicológicas (Go/ No go); análise de poder de faixas de bandas de frequências através de EEGQ; e modelo de reconstrução de redes cerebrais, de cada indivíduo, também através de EEGQ.</w:t>
      </w:r>
    </w:p>
    <w:p w14:paraId="4AA1DC30" w14:textId="77777777" w:rsidR="00873360" w:rsidRPr="00DF7302" w:rsidRDefault="00873360" w:rsidP="00DF7302">
      <w:pPr>
        <w:spacing w:line="360" w:lineRule="auto"/>
        <w:jc w:val="both"/>
        <w:rPr>
          <w:b/>
        </w:rPr>
      </w:pPr>
    </w:p>
    <w:p w14:paraId="22D50F2C" w14:textId="0A12E6B4" w:rsidR="000B38AF" w:rsidRPr="00DF7302" w:rsidRDefault="000B38AF" w:rsidP="00DF7302">
      <w:pPr>
        <w:spacing w:line="360" w:lineRule="auto"/>
        <w:jc w:val="both"/>
        <w:rPr>
          <w:b/>
          <w:u w:val="single"/>
        </w:rPr>
      </w:pPr>
      <w:r w:rsidRPr="00DF7302">
        <w:rPr>
          <w:b/>
        </w:rPr>
        <w:t xml:space="preserve">          </w:t>
      </w:r>
      <w:r w:rsidR="00873360" w:rsidRPr="00DF7302">
        <w:rPr>
          <w:b/>
        </w:rPr>
        <w:t>III</w:t>
      </w:r>
      <w:r w:rsidRPr="00DF7302">
        <w:rPr>
          <w:b/>
        </w:rPr>
        <w:t>.c.2. Variáveis independentes</w:t>
      </w:r>
    </w:p>
    <w:p w14:paraId="27BDA297" w14:textId="14AF2FE7" w:rsidR="000B38AF" w:rsidRPr="00DF7302" w:rsidRDefault="000B38AF" w:rsidP="00DF7302">
      <w:pPr>
        <w:spacing w:line="360" w:lineRule="auto"/>
        <w:ind w:firstLine="708"/>
        <w:jc w:val="both"/>
      </w:pPr>
      <w:r w:rsidRPr="00DF7302">
        <w:t xml:space="preserve">Estimulação transcraniana por corrente contínua e procedimento </w:t>
      </w:r>
      <w:r w:rsidR="00873360" w:rsidRPr="00DF7302">
        <w:rPr>
          <w:i/>
        </w:rPr>
        <w:t>sham</w:t>
      </w:r>
      <w:r w:rsidRPr="00DF7302">
        <w:t>.</w:t>
      </w:r>
    </w:p>
    <w:p w14:paraId="22F48A4E" w14:textId="77777777" w:rsidR="00DF7302" w:rsidRDefault="00DF7302" w:rsidP="00DF7302">
      <w:pPr>
        <w:spacing w:line="360" w:lineRule="auto"/>
        <w:jc w:val="both"/>
      </w:pPr>
    </w:p>
    <w:p w14:paraId="489D3C46" w14:textId="5533EC41" w:rsidR="000B38AF" w:rsidRPr="00DF7302" w:rsidRDefault="00873360" w:rsidP="00DF7302">
      <w:pPr>
        <w:spacing w:line="360" w:lineRule="auto"/>
        <w:jc w:val="both"/>
        <w:rPr>
          <w:b/>
        </w:rPr>
      </w:pPr>
      <w:r w:rsidRPr="00DF7302">
        <w:rPr>
          <w:b/>
        </w:rPr>
        <w:lastRenderedPageBreak/>
        <w:t>III</w:t>
      </w:r>
      <w:r w:rsidR="000B38AF" w:rsidRPr="00DF7302">
        <w:rPr>
          <w:b/>
        </w:rPr>
        <w:t>.d. Descrição dos Procedimentos</w:t>
      </w:r>
    </w:p>
    <w:p w14:paraId="531E279D" w14:textId="77777777" w:rsidR="000B38AF" w:rsidRPr="00DF7302" w:rsidRDefault="000B38AF" w:rsidP="00DF7302">
      <w:pPr>
        <w:spacing w:line="360" w:lineRule="auto"/>
        <w:ind w:firstLine="708"/>
        <w:jc w:val="both"/>
      </w:pPr>
    </w:p>
    <w:p w14:paraId="1EDEFA08" w14:textId="2366332C" w:rsidR="00066BC2" w:rsidRPr="00DF7302" w:rsidRDefault="00066BC2" w:rsidP="00DF7302">
      <w:pPr>
        <w:spacing w:line="360" w:lineRule="auto"/>
        <w:ind w:firstLine="708"/>
        <w:jc w:val="both"/>
      </w:pPr>
      <w:r w:rsidRPr="00DF7302">
        <w:t>Após a triagem através de entrevista psiquiátrica, explicação sobre todas as etapas do estudo, e concordância expressa através de assinatura do termo de consentimento, os pacientes com TDAH serão submetidos a uma avaliação cognitiva através do mini-exame do estado mental (MEEM), ao Mini International Neuropsychiatric Interview Brazilian (MINI PLUS), Adult Self-Report Scale (ASRS), questionário sobre a qualidade de vida em adultos com TDAH (AAQoL), e uma entrevista através de um questionário. Este roteiro de avaliação é um instrumento com base nos critérios de diagnóstico de TDAH baseados no DSM-IV-TR, e consiste em questões epidemiológicas e clíni</w:t>
      </w:r>
      <w:r w:rsidR="001C7FF1" w:rsidRPr="00DF7302">
        <w:t>cas.</w:t>
      </w:r>
    </w:p>
    <w:p w14:paraId="12E98673" w14:textId="77777777" w:rsidR="001C7FF1" w:rsidRPr="00DF7302" w:rsidRDefault="001C7FF1" w:rsidP="00DF7302">
      <w:pPr>
        <w:spacing w:line="360" w:lineRule="auto"/>
        <w:ind w:firstLine="708"/>
        <w:jc w:val="both"/>
      </w:pPr>
      <w:r w:rsidRPr="00DF7302">
        <w:t>Os indivíduos serão alocados em dois grupos através de randomização em bloco, objetivando uma distribuição equitativa entre os grupos (30 indivíduos em cada). Serão compostos blocos de 10 participantes, totalizando seis blocos. Para compor cada um dos grupos serão convocados 5 sujeitos de cada bloco.</w:t>
      </w:r>
    </w:p>
    <w:p w14:paraId="2ADE0430" w14:textId="4F4F6C55" w:rsidR="00BB5295" w:rsidRPr="00DF7302" w:rsidRDefault="00066BC2" w:rsidP="00DF7302">
      <w:pPr>
        <w:spacing w:line="360" w:lineRule="auto"/>
        <w:ind w:firstLine="708"/>
        <w:jc w:val="both"/>
      </w:pPr>
      <w:r w:rsidRPr="00DF7302">
        <w:t xml:space="preserve">Após esta etapa inicial, a atividade elétrica cerebral será registrada, durante 5 minutos, através de EEG com 32 canais posicionados no couro cabeludo em acordo com o sistema internacional 10-20. A gravação será com os indivíduos em repouso, no primeiro minuto com os olhos abertos, fixos em um ponto específico, e nos últimos 4 minutos com os olhos fechados. Em seguida, os participantes serão convidados a realizar duas tarefas do tipo Go/ No go, no computador, adaptadas da versão original, a primeira utilizando como alvo uma fruta, e a segunda uma letra. Após as tarefas cognitivas, os indivíduos serão submetidos a estimulação ativa ou </w:t>
      </w:r>
      <w:r w:rsidRPr="00DF7302">
        <w:rPr>
          <w:i/>
        </w:rPr>
        <w:t>sham</w:t>
      </w:r>
      <w:r w:rsidRPr="00DF7302">
        <w:t xml:space="preserve">, de acordo com a randomização prévia. </w:t>
      </w:r>
    </w:p>
    <w:p w14:paraId="79332208" w14:textId="77777777" w:rsidR="001C7FF1" w:rsidRPr="00DF7302" w:rsidRDefault="001C7FF1" w:rsidP="00DF7302">
      <w:pPr>
        <w:spacing w:line="360" w:lineRule="auto"/>
        <w:ind w:firstLine="708"/>
        <w:jc w:val="both"/>
      </w:pPr>
      <w:r w:rsidRPr="00DF7302">
        <w:t>Os 30 participantes do grupo de intervenção serão submetidos à ETCC com voltagem de 1mA, ânodo em córtex pré-frontal dorsolateral esquerdo e cátodo na região equivalente à direita. Nos 30 indivíduos do grupo controle (sham) serão colocados eletrodos em posições idênticas e simulada a estimulação, porém o aparelho será ligado por apenas 30 segundos, para que o paciente tenha a sensação inicial, sendo desligado em seguida. A intervenção e o procedimento placebo ocorrerão em 1 única sessão para avaliação do efeito imediato, com duração de 20 minutos.</w:t>
      </w:r>
    </w:p>
    <w:p w14:paraId="34FBDBDC" w14:textId="36F54E01" w:rsidR="001C7FF1" w:rsidRPr="00DF7302" w:rsidRDefault="001C7FF1" w:rsidP="00DF7302">
      <w:pPr>
        <w:spacing w:line="360" w:lineRule="auto"/>
        <w:ind w:firstLine="708"/>
        <w:jc w:val="both"/>
      </w:pPr>
      <w:r w:rsidRPr="00DF7302">
        <w:t>No final da intervenção, os indivíduos irão realizar novamente duas tarefas Go/ No go (selecionadas aleatoriamente para evitar o efeito de aprendizagem), e irão submeter-se a outro registro de EEG, com as mesmas características técnicas anteriores.</w:t>
      </w:r>
    </w:p>
    <w:p w14:paraId="032FC9F6" w14:textId="178C44BB" w:rsidR="006C7955" w:rsidRPr="00DF7302" w:rsidRDefault="006C7955" w:rsidP="00DF7302">
      <w:pPr>
        <w:spacing w:line="360" w:lineRule="auto"/>
        <w:ind w:firstLine="708"/>
        <w:jc w:val="both"/>
      </w:pPr>
      <w:r w:rsidRPr="00DF7302">
        <w:lastRenderedPageBreak/>
        <w:t>Este estudo será realizado no Laboratório de Eletroestimulação Funcional da Universidade Federal da Bahia.</w:t>
      </w:r>
    </w:p>
    <w:p w14:paraId="39AD8B3C" w14:textId="77777777" w:rsidR="001C7FF1" w:rsidRPr="00DF7302" w:rsidRDefault="001C7FF1" w:rsidP="00DF7302">
      <w:pPr>
        <w:spacing w:line="360" w:lineRule="auto"/>
        <w:ind w:firstLine="708"/>
        <w:jc w:val="both"/>
      </w:pPr>
    </w:p>
    <w:p w14:paraId="5485E6B9" w14:textId="5781ACA7" w:rsidR="002354B4" w:rsidRPr="00DF7302" w:rsidRDefault="002C66B8" w:rsidP="00DF7302">
      <w:pPr>
        <w:suppressAutoHyphens/>
        <w:spacing w:line="360" w:lineRule="auto"/>
        <w:jc w:val="both"/>
        <w:rPr>
          <w:b/>
        </w:rPr>
      </w:pPr>
      <w:r w:rsidRPr="00DF7302">
        <w:rPr>
          <w:b/>
        </w:rPr>
        <w:t>III</w:t>
      </w:r>
      <w:r w:rsidR="000B38AF" w:rsidRPr="00DF7302">
        <w:rPr>
          <w:b/>
        </w:rPr>
        <w:t>.e. Plano de análise estatística</w:t>
      </w:r>
    </w:p>
    <w:p w14:paraId="2FF12B03" w14:textId="77777777" w:rsidR="000B38AF" w:rsidRPr="00DF7302" w:rsidRDefault="000B38AF" w:rsidP="00DF7302">
      <w:pPr>
        <w:suppressAutoHyphens/>
        <w:spacing w:line="360" w:lineRule="auto"/>
        <w:jc w:val="both"/>
        <w:rPr>
          <w:b/>
        </w:rPr>
      </w:pPr>
    </w:p>
    <w:p w14:paraId="07526BCE" w14:textId="77777777" w:rsidR="00C63474" w:rsidRPr="00DF7302" w:rsidRDefault="00C63474" w:rsidP="00DF7302">
      <w:pPr>
        <w:pStyle w:val="WW-Recuodecorpodetexto2"/>
        <w:spacing w:line="360" w:lineRule="auto"/>
        <w:rPr>
          <w:sz w:val="24"/>
          <w:szCs w:val="24"/>
        </w:rPr>
      </w:pPr>
      <w:r w:rsidRPr="00DF7302">
        <w:rPr>
          <w:sz w:val="24"/>
          <w:szCs w:val="24"/>
        </w:rPr>
        <w:t>1ª etapa: descrições sócio-demográfica, clínica e epidemiológica dos grupos, utilizando os procedimentos habituais da estatística descritiva, como cálculo de frequências, medidas de tendência central e de dispersão;</w:t>
      </w:r>
    </w:p>
    <w:p w14:paraId="7FFE75E1" w14:textId="77777777" w:rsidR="00C63474" w:rsidRPr="00DF7302" w:rsidRDefault="00C63474" w:rsidP="00DF7302">
      <w:pPr>
        <w:pStyle w:val="WW-Recuodecorpodetexto2"/>
        <w:spacing w:line="360" w:lineRule="auto"/>
        <w:rPr>
          <w:sz w:val="24"/>
          <w:szCs w:val="24"/>
        </w:rPr>
      </w:pPr>
      <w:r w:rsidRPr="00DF7302">
        <w:rPr>
          <w:sz w:val="24"/>
          <w:szCs w:val="24"/>
        </w:rPr>
        <w:t>2ª etapa: as referidas características serão comparadas entre os grupos, antes da intervenção, utilizando análise de variância (ANOVA) para variáveis contínuas e teste do qui-quadrado para variáveis categóricas;</w:t>
      </w:r>
    </w:p>
    <w:p w14:paraId="5FFD33D8" w14:textId="77777777" w:rsidR="00C63474" w:rsidRPr="00DF7302" w:rsidRDefault="00C63474" w:rsidP="00DF7302">
      <w:pPr>
        <w:pStyle w:val="WW-Recuodecorpodetexto2"/>
        <w:spacing w:line="360" w:lineRule="auto"/>
        <w:rPr>
          <w:sz w:val="24"/>
          <w:szCs w:val="24"/>
        </w:rPr>
      </w:pPr>
      <w:r w:rsidRPr="00DF7302">
        <w:rPr>
          <w:sz w:val="24"/>
          <w:szCs w:val="24"/>
        </w:rPr>
        <w:t>3ª etapa: teste de Shapiro-Wilk será realizado para avaliar a normalidade das variáveis dependentes;</w:t>
      </w:r>
    </w:p>
    <w:p w14:paraId="0FBAD018" w14:textId="77777777" w:rsidR="00C63474" w:rsidRPr="00DF7302" w:rsidRDefault="00C63474" w:rsidP="00DF7302">
      <w:pPr>
        <w:pStyle w:val="WW-Recuodecorpodetexto2"/>
        <w:spacing w:line="360" w:lineRule="auto"/>
        <w:rPr>
          <w:sz w:val="24"/>
          <w:szCs w:val="24"/>
        </w:rPr>
      </w:pPr>
      <w:r w:rsidRPr="00DF7302">
        <w:rPr>
          <w:sz w:val="24"/>
          <w:szCs w:val="24"/>
        </w:rPr>
        <w:t>4ª etapa: análise de amostras pareadas e independentes, utilizando o teste t para comparação dentro de cada grupo e entre os grupos de intervenção, ou aplicação de testes não-paramétricos equivalentes (de acordo com os resultados do teste de Shapiro-Wilk), antes e depois da intervenção;</w:t>
      </w:r>
    </w:p>
    <w:p w14:paraId="0CCDEE68" w14:textId="77777777" w:rsidR="00C63474" w:rsidRPr="00DF7302" w:rsidRDefault="00C63474" w:rsidP="00DF7302">
      <w:pPr>
        <w:pStyle w:val="WW-Recuodecorpodetexto2"/>
        <w:spacing w:line="360" w:lineRule="auto"/>
        <w:rPr>
          <w:sz w:val="24"/>
          <w:szCs w:val="24"/>
        </w:rPr>
      </w:pPr>
      <w:r w:rsidRPr="00DF7302">
        <w:rPr>
          <w:sz w:val="24"/>
          <w:szCs w:val="24"/>
        </w:rPr>
        <w:t>5ª etapa: teste do qui-quadrado de Person para avaliar a eficácia da técnica de cegamento, comparando entre os grupos.</w:t>
      </w:r>
    </w:p>
    <w:p w14:paraId="723CD6F5" w14:textId="4F2BDD90" w:rsidR="000B38AF" w:rsidRPr="00DF7302" w:rsidRDefault="00C63474" w:rsidP="00DF7302">
      <w:pPr>
        <w:pStyle w:val="WW-Recuodecorpodetexto2"/>
        <w:tabs>
          <w:tab w:val="clear" w:pos="0"/>
        </w:tabs>
        <w:spacing w:line="360" w:lineRule="auto"/>
        <w:rPr>
          <w:sz w:val="24"/>
          <w:szCs w:val="24"/>
        </w:rPr>
      </w:pPr>
      <w:r w:rsidRPr="00DF7302">
        <w:rPr>
          <w:sz w:val="24"/>
          <w:szCs w:val="24"/>
        </w:rPr>
        <w:t xml:space="preserve">Estas análises serão realizadas através do programa estatístico </w:t>
      </w:r>
      <w:r w:rsidRPr="00DF7302">
        <w:rPr>
          <w:i/>
          <w:sz w:val="24"/>
          <w:szCs w:val="24"/>
        </w:rPr>
        <w:t>Stata</w:t>
      </w:r>
      <w:r w:rsidRPr="00DF7302">
        <w:rPr>
          <w:sz w:val="24"/>
          <w:szCs w:val="24"/>
        </w:rPr>
        <w:t xml:space="preserve">, versão 12.0 para </w:t>
      </w:r>
      <w:r w:rsidRPr="00DF7302">
        <w:rPr>
          <w:i/>
          <w:sz w:val="24"/>
          <w:szCs w:val="24"/>
        </w:rPr>
        <w:t>Windows</w:t>
      </w:r>
      <w:r w:rsidRPr="00DF7302">
        <w:rPr>
          <w:sz w:val="24"/>
          <w:szCs w:val="24"/>
        </w:rPr>
        <w:t>. Os resultados serão considerados estatisticamente significantes se valor de p ≤ 0,05.</w:t>
      </w:r>
    </w:p>
    <w:p w14:paraId="60DFB9D9" w14:textId="77777777" w:rsidR="00C63474" w:rsidRPr="00DF7302" w:rsidRDefault="00C63474" w:rsidP="00DF7302">
      <w:pPr>
        <w:pStyle w:val="WW-Recuodecorpodetexto2"/>
        <w:tabs>
          <w:tab w:val="clear" w:pos="0"/>
        </w:tabs>
        <w:spacing w:line="360" w:lineRule="auto"/>
        <w:rPr>
          <w:sz w:val="24"/>
          <w:szCs w:val="24"/>
        </w:rPr>
      </w:pPr>
    </w:p>
    <w:p w14:paraId="230F79B4" w14:textId="53CFD5F5" w:rsidR="002354B4" w:rsidRPr="00DF7302" w:rsidRDefault="00E97AB2" w:rsidP="00DF7302">
      <w:pPr>
        <w:suppressAutoHyphens/>
        <w:spacing w:line="360" w:lineRule="auto"/>
        <w:jc w:val="both"/>
        <w:rPr>
          <w:b/>
        </w:rPr>
      </w:pPr>
      <w:r w:rsidRPr="00DF7302">
        <w:rPr>
          <w:b/>
        </w:rPr>
        <w:t>III</w:t>
      </w:r>
      <w:r w:rsidR="000B38AF" w:rsidRPr="00DF7302">
        <w:rPr>
          <w:b/>
        </w:rPr>
        <w:t>.f. Limitações do estudo e estratégias para evitar viés</w:t>
      </w:r>
    </w:p>
    <w:p w14:paraId="23BCBC3E" w14:textId="77777777" w:rsidR="000B38AF" w:rsidRPr="00DF7302" w:rsidRDefault="000B38AF" w:rsidP="00DF7302">
      <w:pPr>
        <w:suppressAutoHyphens/>
        <w:spacing w:line="360" w:lineRule="auto"/>
        <w:jc w:val="both"/>
        <w:rPr>
          <w:b/>
        </w:rPr>
      </w:pPr>
    </w:p>
    <w:p w14:paraId="1A8E65CD" w14:textId="77777777" w:rsidR="000B38AF" w:rsidRPr="00DF7302" w:rsidRDefault="000B38AF" w:rsidP="00DF7302">
      <w:pPr>
        <w:suppressAutoHyphens/>
        <w:spacing w:line="360" w:lineRule="auto"/>
        <w:ind w:firstLine="708"/>
        <w:jc w:val="both"/>
        <w:rPr>
          <w:b/>
        </w:rPr>
      </w:pPr>
      <w:r w:rsidRPr="00DF7302">
        <w:rPr>
          <w:b/>
        </w:rPr>
        <w:t xml:space="preserve">IV.f.1. Erro de seleção: </w:t>
      </w:r>
      <w:r w:rsidRPr="00DF7302">
        <w:t>serão utilizados critérios objetivos e já amplamente empregados para ao diagnóstico de transtorno de déficit de atenção e hiperatividade, sendo a possibilidade de inclusão de indivíduos com outro diagnóstico improvável.</w:t>
      </w:r>
    </w:p>
    <w:p w14:paraId="63E423B1" w14:textId="77777777" w:rsidR="000B38AF" w:rsidRPr="00DF7302" w:rsidRDefault="000B38AF" w:rsidP="00DF7302">
      <w:pPr>
        <w:suppressAutoHyphens/>
        <w:spacing w:line="360" w:lineRule="auto"/>
        <w:jc w:val="both"/>
      </w:pPr>
      <w:r w:rsidRPr="00DF7302">
        <w:t xml:space="preserve">            </w:t>
      </w:r>
      <w:r w:rsidRPr="00DF7302">
        <w:rPr>
          <w:b/>
        </w:rPr>
        <w:t>IV.f.2.</w:t>
      </w:r>
      <w:r w:rsidRPr="00DF7302">
        <w:t xml:space="preserve"> </w:t>
      </w:r>
      <w:r w:rsidRPr="00DF7302">
        <w:rPr>
          <w:b/>
        </w:rPr>
        <w:t xml:space="preserve">Erro de aferição: </w:t>
      </w:r>
      <w:r w:rsidRPr="00DF7302">
        <w:t>as escalas utilizadas são instrumentos com validade e precisão reconhecidos e aceitáveis.</w:t>
      </w:r>
    </w:p>
    <w:p w14:paraId="423A1C4F" w14:textId="77777777" w:rsidR="000B38AF" w:rsidRPr="00DF7302" w:rsidRDefault="000B38AF" w:rsidP="00DF7302">
      <w:pPr>
        <w:suppressAutoHyphens/>
        <w:spacing w:line="360" w:lineRule="auto"/>
        <w:jc w:val="both"/>
      </w:pPr>
    </w:p>
    <w:p w14:paraId="1A6A8C09" w14:textId="77777777" w:rsidR="00DF7302" w:rsidRDefault="00DF7302" w:rsidP="00DF7302">
      <w:pPr>
        <w:spacing w:line="360" w:lineRule="auto"/>
        <w:jc w:val="both"/>
        <w:rPr>
          <w:b/>
          <w:caps/>
        </w:rPr>
      </w:pPr>
    </w:p>
    <w:p w14:paraId="048AE381" w14:textId="77777777" w:rsidR="00DF7302" w:rsidRDefault="00DF7302" w:rsidP="00DF7302">
      <w:pPr>
        <w:spacing w:line="360" w:lineRule="auto"/>
        <w:jc w:val="both"/>
        <w:rPr>
          <w:b/>
          <w:caps/>
        </w:rPr>
      </w:pPr>
    </w:p>
    <w:p w14:paraId="5F46821C" w14:textId="77777777" w:rsidR="00DF7302" w:rsidRDefault="00DF7302" w:rsidP="00DF7302">
      <w:pPr>
        <w:spacing w:line="360" w:lineRule="auto"/>
        <w:jc w:val="both"/>
        <w:rPr>
          <w:b/>
          <w:caps/>
        </w:rPr>
      </w:pPr>
    </w:p>
    <w:p w14:paraId="14635797" w14:textId="674FEA93" w:rsidR="00E97AB2" w:rsidRPr="00DF7302" w:rsidRDefault="00E97AB2" w:rsidP="00DF7302">
      <w:pPr>
        <w:spacing w:line="360" w:lineRule="auto"/>
        <w:jc w:val="both"/>
        <w:rPr>
          <w:b/>
          <w:caps/>
        </w:rPr>
      </w:pPr>
      <w:r w:rsidRPr="00DF7302">
        <w:rPr>
          <w:b/>
          <w:caps/>
        </w:rPr>
        <w:lastRenderedPageBreak/>
        <w:t xml:space="preserve">IV. </w:t>
      </w:r>
      <w:r w:rsidRPr="00DF7302">
        <w:rPr>
          <w:b/>
          <w:caps/>
          <w:u w:val="single"/>
        </w:rPr>
        <w:t>ASPECTOS ÉTICOS</w:t>
      </w:r>
    </w:p>
    <w:p w14:paraId="4223F759" w14:textId="77777777" w:rsidR="00E97AB2" w:rsidRPr="00DF7302" w:rsidRDefault="00E97AB2" w:rsidP="00DF7302">
      <w:pPr>
        <w:spacing w:line="360" w:lineRule="auto"/>
        <w:jc w:val="both"/>
        <w:rPr>
          <w:b/>
          <w:caps/>
        </w:rPr>
      </w:pPr>
    </w:p>
    <w:p w14:paraId="30EABB8D" w14:textId="5B2956B6" w:rsidR="000B38AF" w:rsidRPr="00DF7302" w:rsidRDefault="00E97AB2" w:rsidP="00DF7302">
      <w:pPr>
        <w:spacing w:line="360" w:lineRule="auto"/>
        <w:jc w:val="both"/>
      </w:pPr>
      <w:r w:rsidRPr="00DF7302">
        <w:t xml:space="preserve">           O estudo segue estritamente os preceitos de ética em pesquisa envolvendo seres humanos, em acordo com a declaração de Helsinki. Todos os participantes serão informados sobre a natureza do estudo e todos os procedimentos. Serão incluídos apenas os que formalizarem consentimento de participação por escrito, em conformidade com a resolução 196/96 do conselho nacional de saúde (Brasil), através do termo de consentimento livre e esclarecido- TCLE [25]. Será necessária a assinatura de uma testemunha considerando aqueles pacientes incapazes de assinar o termo de consentimento livre e esclarecido.</w:t>
      </w:r>
    </w:p>
    <w:p w14:paraId="5BF06B12" w14:textId="77777777" w:rsidR="00E97AB2" w:rsidRPr="00DF7302" w:rsidRDefault="00E97AB2" w:rsidP="00DF7302">
      <w:pPr>
        <w:spacing w:line="360" w:lineRule="auto"/>
        <w:jc w:val="both"/>
      </w:pPr>
    </w:p>
    <w:p w14:paraId="3829D9E1" w14:textId="38321024" w:rsidR="000B38AF" w:rsidRPr="00DF7302" w:rsidRDefault="009C160D" w:rsidP="00DF7302">
      <w:pPr>
        <w:spacing w:line="360" w:lineRule="auto"/>
        <w:jc w:val="both"/>
        <w:rPr>
          <w:b/>
          <w:u w:val="single"/>
        </w:rPr>
      </w:pPr>
      <w:r w:rsidRPr="00DF7302">
        <w:rPr>
          <w:b/>
        </w:rPr>
        <w:t>V</w:t>
      </w:r>
      <w:r w:rsidR="000B38AF" w:rsidRPr="00DF7302">
        <w:rPr>
          <w:b/>
        </w:rPr>
        <w:t xml:space="preserve">. </w:t>
      </w:r>
      <w:r w:rsidR="000B38AF" w:rsidRPr="00DF7302">
        <w:rPr>
          <w:b/>
          <w:u w:val="single"/>
        </w:rPr>
        <w:t>VIABILIDADE TÉCNICA, CIENTÍFICA E FINANCEIRA</w:t>
      </w:r>
    </w:p>
    <w:p w14:paraId="3898556B" w14:textId="77777777" w:rsidR="000B38AF" w:rsidRPr="00DF7302" w:rsidRDefault="000B38AF" w:rsidP="00DF7302">
      <w:pPr>
        <w:spacing w:line="360" w:lineRule="auto"/>
        <w:jc w:val="both"/>
        <w:rPr>
          <w:b/>
          <w:u w:val="single"/>
        </w:rPr>
      </w:pPr>
    </w:p>
    <w:p w14:paraId="46857F55" w14:textId="77777777" w:rsidR="0025015A" w:rsidRPr="00DF7302" w:rsidRDefault="0025015A" w:rsidP="00DF7302">
      <w:pPr>
        <w:pStyle w:val="Recuodecorpodetexto2"/>
        <w:spacing w:line="360" w:lineRule="auto"/>
        <w:ind w:left="0" w:firstLine="708"/>
        <w:jc w:val="both"/>
      </w:pPr>
      <w:r w:rsidRPr="00DF7302">
        <w:t>O objetivo deste estudo é avaliar aspectos neurobiológicos associados ao transtorno de déficit de atenção e hiperatividade, e a contribuição da estimulação transcraniana por corrente contínua na modulação do controle inibitório e de parâmetros neurofisiológicos, demonstrados através de avaliações cognitivas (Go/ No go), EEGQ e do modelo de reconstrução de redes cerebrais. Este estudo não irá interferir com o tratamento habitual dos indivíduos com TDAH, para evitar quaisquer prejuízos associados à interrupção do tratamento. Através da investigação da eficácia de uma técnica simples, aplicada sobre o córtex pré-frontal, espera-se aumentar o controle inibitório em indivíduos com TDAH. Também esperamos que o presente ensaio clínico contribua cientificamente para o desenvolvimento de métodos de avaliação neurofisiológicos deste transtorno, e para a avaliação da aplicabilidade de uma técnica de baixo custo, não-invasiva e segura para a otimização da resposta inibitória nesta população.</w:t>
      </w:r>
    </w:p>
    <w:p w14:paraId="0A031E10" w14:textId="0A72B287" w:rsidR="000B38AF" w:rsidRPr="00DF7302" w:rsidRDefault="0025015A" w:rsidP="00DF7302">
      <w:pPr>
        <w:pStyle w:val="Recuodecorpodetexto2"/>
        <w:spacing w:after="0" w:line="360" w:lineRule="auto"/>
        <w:ind w:left="0" w:firstLine="708"/>
        <w:jc w:val="both"/>
      </w:pPr>
      <w:r w:rsidRPr="00DF7302">
        <w:t>O orçamento do projeto foi revisado e aprovado pelo Prof. Dr. Eduardo Pondé, e inclui os custos dos materiais utilizados na coleta de dados. O laboratório onde a coleta de dados será realizada, já dispõe dos equipamentos necessários, tais como aparelhos de ETCC, EEG com 32 canais, computadores, além de eletrodos, cabos e esponjas, sendo estimada apenas uma despesa muito baixa com materiais como questionários, o que explica o baixo orçamento e reitera a viabilidade financeira deste projeto.</w:t>
      </w:r>
    </w:p>
    <w:p w14:paraId="6D37A5EE" w14:textId="77777777" w:rsidR="0025015A" w:rsidRPr="00DF7302" w:rsidRDefault="0025015A" w:rsidP="00DF7302">
      <w:pPr>
        <w:pStyle w:val="Recuodecorpodetexto2"/>
        <w:spacing w:after="0" w:line="360" w:lineRule="auto"/>
        <w:ind w:left="0" w:firstLine="708"/>
        <w:jc w:val="both"/>
      </w:pPr>
    </w:p>
    <w:p w14:paraId="2D6A0C9C" w14:textId="77777777" w:rsidR="0025015A" w:rsidRPr="00DF7302" w:rsidRDefault="0025015A" w:rsidP="00DF7302">
      <w:pPr>
        <w:spacing w:line="360" w:lineRule="auto"/>
        <w:jc w:val="both"/>
        <w:rPr>
          <w:b/>
        </w:rPr>
      </w:pPr>
      <w:r w:rsidRPr="00DF7302">
        <w:rPr>
          <w:b/>
        </w:rPr>
        <w:lastRenderedPageBreak/>
        <w:t xml:space="preserve">VI. </w:t>
      </w:r>
      <w:r w:rsidRPr="00DF7302">
        <w:rPr>
          <w:b/>
          <w:u w:val="single"/>
        </w:rPr>
        <w:t>RELEVÂNCIA</w:t>
      </w:r>
    </w:p>
    <w:p w14:paraId="5872789D" w14:textId="77777777" w:rsidR="0025015A" w:rsidRPr="00DF7302" w:rsidRDefault="0025015A" w:rsidP="00DF7302">
      <w:pPr>
        <w:spacing w:line="360" w:lineRule="auto"/>
        <w:jc w:val="both"/>
        <w:rPr>
          <w:b/>
        </w:rPr>
      </w:pPr>
    </w:p>
    <w:p w14:paraId="3A8A04DD" w14:textId="218C88CE" w:rsidR="0025015A" w:rsidRPr="00DF7302" w:rsidRDefault="0025015A" w:rsidP="00DF7302">
      <w:pPr>
        <w:spacing w:line="360" w:lineRule="auto"/>
        <w:jc w:val="both"/>
      </w:pPr>
      <w:r w:rsidRPr="00DF7302">
        <w:rPr>
          <w:b/>
        </w:rPr>
        <w:t xml:space="preserve">             </w:t>
      </w:r>
      <w:r w:rsidRPr="00DF7302">
        <w:t>Os resultados deste ensaio clínico nos permitirão avaliar os aspectos comportamentais e neurobiológicas do transtorno de déficit de atenção e hiperatividade, além de observar os parâmetros sócio-demográficas e clínico-epidemiológicos desta população.</w:t>
      </w:r>
    </w:p>
    <w:p w14:paraId="5BE9665A" w14:textId="77777777" w:rsidR="0025015A" w:rsidRPr="00DF7302" w:rsidRDefault="0025015A" w:rsidP="00DF7302">
      <w:pPr>
        <w:spacing w:line="360" w:lineRule="auto"/>
        <w:ind w:firstLine="708"/>
        <w:jc w:val="both"/>
      </w:pPr>
      <w:r w:rsidRPr="00DF7302">
        <w:t>Também será avaliada, como mencionado previamente, uma técnica de baixo custo, simples e não-invasiva para a modulação do controle inibitório.</w:t>
      </w:r>
    </w:p>
    <w:p w14:paraId="052E6214" w14:textId="04F2573A" w:rsidR="000B38AF" w:rsidRPr="00DF7302" w:rsidRDefault="0025015A" w:rsidP="00DF7302">
      <w:pPr>
        <w:spacing w:line="360" w:lineRule="auto"/>
        <w:ind w:firstLine="708"/>
        <w:jc w:val="both"/>
      </w:pPr>
      <w:r w:rsidRPr="00DF7302">
        <w:t>Segundo nosso conhecimento, este estudo será o primeiro a avaliar os efeitos cognitivos e neurofisiológicos da ETCC em pacientes com TDAH. A longo prazo, esperamos que os nossos resultados possam reforçar programas abrangentes de intervenção e abordagem multidisciplinar em pacientes com TDAH.</w:t>
      </w:r>
    </w:p>
    <w:p w14:paraId="1EA1389D" w14:textId="77777777" w:rsidR="0025015A" w:rsidRPr="00DF7302" w:rsidRDefault="0025015A" w:rsidP="00DF7302">
      <w:pPr>
        <w:spacing w:line="360" w:lineRule="auto"/>
        <w:jc w:val="both"/>
        <w:rPr>
          <w:b/>
          <w:u w:val="single"/>
        </w:rPr>
      </w:pPr>
    </w:p>
    <w:p w14:paraId="5F753B22" w14:textId="03D9F356" w:rsidR="000B38AF" w:rsidRPr="00DF7302" w:rsidRDefault="006C7955" w:rsidP="00DF7302">
      <w:pPr>
        <w:spacing w:line="360" w:lineRule="auto"/>
        <w:jc w:val="both"/>
        <w:rPr>
          <w:b/>
          <w:bCs/>
        </w:rPr>
      </w:pPr>
      <w:r w:rsidRPr="00DF7302">
        <w:rPr>
          <w:b/>
        </w:rPr>
        <w:t>VI</w:t>
      </w:r>
      <w:r w:rsidR="000B38AF" w:rsidRPr="00DF7302">
        <w:rPr>
          <w:b/>
        </w:rPr>
        <w:t>I.</w:t>
      </w:r>
      <w:r w:rsidR="000B38AF" w:rsidRPr="00DF7302">
        <w:rPr>
          <w:b/>
          <w:bCs/>
        </w:rPr>
        <w:t xml:space="preserve"> </w:t>
      </w:r>
      <w:r w:rsidR="000B38AF" w:rsidRPr="00DF7302">
        <w:rPr>
          <w:b/>
          <w:bCs/>
          <w:u w:val="single"/>
        </w:rPr>
        <w:t>CRONOGRAMA</w:t>
      </w:r>
    </w:p>
    <w:p w14:paraId="2F6A6517" w14:textId="77777777" w:rsidR="000B38AF" w:rsidRPr="00DF7302" w:rsidRDefault="000B38AF" w:rsidP="00DF7302">
      <w:pPr>
        <w:spacing w:line="360" w:lineRule="auto"/>
        <w:jc w:val="both"/>
        <w:rPr>
          <w:b/>
          <w:bCs/>
        </w:rPr>
      </w:pPr>
    </w:p>
    <w:p w14:paraId="78F88BA8" w14:textId="0883637E" w:rsidR="000B38AF" w:rsidRPr="00DF7302" w:rsidRDefault="006C7955" w:rsidP="00DF7302">
      <w:pPr>
        <w:spacing w:line="360" w:lineRule="auto"/>
        <w:ind w:firstLine="708"/>
        <w:jc w:val="both"/>
        <w:rPr>
          <w:bCs/>
        </w:rPr>
      </w:pPr>
      <w:r w:rsidRPr="00DF7302">
        <w:rPr>
          <w:bCs/>
        </w:rPr>
        <w:t>Após a aprovação do projeto, por este Comité de Ética em Pesqusia, o recrutamento será iniciado em maio de 2013, com coleta de dados a partir de junho de 2013. Espera-se que a análise inicial dos dados ocorra aproximadamente em março de 2014, seguida de elaboração da tese e respectivos artigos científicos, durante o segundo semestre de 2014.</w:t>
      </w:r>
    </w:p>
    <w:p w14:paraId="30E90A9E" w14:textId="77777777" w:rsidR="000B38AF" w:rsidRPr="00DF7302" w:rsidRDefault="000B38AF" w:rsidP="00DF7302">
      <w:pPr>
        <w:spacing w:line="360" w:lineRule="auto"/>
      </w:pPr>
    </w:p>
    <w:p w14:paraId="77492CD5" w14:textId="77777777" w:rsidR="002354B4" w:rsidRPr="00DF7302" w:rsidRDefault="002354B4" w:rsidP="00DF7302">
      <w:pPr>
        <w:spacing w:line="360" w:lineRule="auto"/>
        <w:rPr>
          <w:b/>
        </w:rPr>
      </w:pPr>
    </w:p>
    <w:p w14:paraId="4D49D4A0" w14:textId="7CC75626" w:rsidR="000B38AF" w:rsidRPr="00DF7302" w:rsidRDefault="006C7955" w:rsidP="00DF7302">
      <w:pPr>
        <w:spacing w:line="360" w:lineRule="auto"/>
        <w:rPr>
          <w:bCs/>
          <w:lang w:val="en-US"/>
        </w:rPr>
      </w:pPr>
      <w:r w:rsidRPr="00DF7302">
        <w:rPr>
          <w:b/>
        </w:rPr>
        <w:t>VIII</w:t>
      </w:r>
      <w:r w:rsidR="000B38AF" w:rsidRPr="00DF7302">
        <w:rPr>
          <w:b/>
        </w:rPr>
        <w:t>.</w:t>
      </w:r>
      <w:r w:rsidR="000B38AF" w:rsidRPr="00DF7302">
        <w:t xml:space="preserve"> </w:t>
      </w:r>
      <w:r w:rsidR="000B38AF" w:rsidRPr="00DF7302">
        <w:rPr>
          <w:b/>
          <w:u w:val="single"/>
        </w:rPr>
        <w:t>REFERÊNCIAS</w:t>
      </w:r>
    </w:p>
    <w:p w14:paraId="246ED1AC" w14:textId="77777777" w:rsidR="000B38AF" w:rsidRPr="00DF7302" w:rsidRDefault="000B38AF" w:rsidP="00DF7302">
      <w:pPr>
        <w:pStyle w:val="NormalWeb"/>
        <w:spacing w:before="2" w:after="2" w:line="360" w:lineRule="auto"/>
        <w:jc w:val="both"/>
      </w:pPr>
      <w:r w:rsidRPr="00DF7302">
        <w:t xml:space="preserve">1. </w:t>
      </w:r>
      <w:r w:rsidRPr="00DF7302">
        <w:rPr>
          <w:caps/>
        </w:rPr>
        <w:t>Lange</w:t>
      </w:r>
      <w:r w:rsidRPr="00DF7302">
        <w:t xml:space="preserve">, K. W. et al. The history of attention deficit hyperactivity disorder. </w:t>
      </w:r>
      <w:r w:rsidRPr="00DF7302">
        <w:rPr>
          <w:b/>
        </w:rPr>
        <w:t xml:space="preserve">ADHD Atten Def Hyp Disord </w:t>
      </w:r>
      <w:r w:rsidRPr="00DF7302">
        <w:t>, v. 2, p. 241-255, 2010;</w:t>
      </w:r>
    </w:p>
    <w:p w14:paraId="4A6E7B44" w14:textId="77777777" w:rsidR="000B38AF" w:rsidRPr="00DF7302" w:rsidRDefault="000B38AF" w:rsidP="00DF7302">
      <w:pPr>
        <w:pStyle w:val="NormalWeb"/>
        <w:spacing w:before="2" w:after="2" w:line="360" w:lineRule="auto"/>
        <w:jc w:val="both"/>
      </w:pPr>
      <w:r w:rsidRPr="00DF7302">
        <w:t xml:space="preserve">2. </w:t>
      </w:r>
      <w:r w:rsidRPr="00DF7302">
        <w:rPr>
          <w:caps/>
        </w:rPr>
        <w:t>Haavik</w:t>
      </w:r>
      <w:r w:rsidRPr="00DF7302">
        <w:t xml:space="preserve">, J. et al. Clinical assessment and diagnosis of adults with attention-deficit/hyperactivity Disorder. </w:t>
      </w:r>
      <w:r w:rsidRPr="00DF7302">
        <w:rPr>
          <w:b/>
          <w:iCs/>
        </w:rPr>
        <w:t>Expert Rev. Neurother</w:t>
      </w:r>
      <w:r w:rsidRPr="00DF7302">
        <w:rPr>
          <w:iCs/>
        </w:rPr>
        <w:t xml:space="preserve">., v. </w:t>
      </w:r>
      <w:r w:rsidRPr="00DF7302">
        <w:t>10, n. 10, p. 1569-1580,  2010;</w:t>
      </w:r>
    </w:p>
    <w:p w14:paraId="0B7BB9FF" w14:textId="77777777" w:rsidR="000B38AF" w:rsidRPr="00DF7302" w:rsidRDefault="000B38AF" w:rsidP="00DF7302">
      <w:pPr>
        <w:pStyle w:val="NormalWeb"/>
        <w:spacing w:before="2" w:after="2" w:line="360" w:lineRule="auto"/>
        <w:jc w:val="both"/>
      </w:pPr>
      <w:r w:rsidRPr="00DF7302">
        <w:t xml:space="preserve">3. </w:t>
      </w:r>
      <w:r w:rsidRPr="00DF7302">
        <w:rPr>
          <w:caps/>
        </w:rPr>
        <w:t>Lundervold</w:t>
      </w:r>
      <w:r w:rsidRPr="00DF7302">
        <w:t xml:space="preserve">, A. J. et al. Attention Network Test in adults with ADHD - the impact of affective fluctuations. </w:t>
      </w:r>
      <w:r w:rsidRPr="00DF7302">
        <w:rPr>
          <w:b/>
        </w:rPr>
        <w:t>Behavioral and Brain Functions</w:t>
      </w:r>
      <w:r w:rsidRPr="00DF7302">
        <w:t>, v. 7, n. 27, p. 1-8, 2011;</w:t>
      </w:r>
    </w:p>
    <w:p w14:paraId="249B1A65" w14:textId="77777777" w:rsidR="000B38AF" w:rsidRPr="00DF7302" w:rsidRDefault="000B38AF" w:rsidP="00DF7302">
      <w:pPr>
        <w:pStyle w:val="NormalWeb"/>
        <w:spacing w:before="2" w:after="2" w:line="360" w:lineRule="auto"/>
        <w:jc w:val="both"/>
      </w:pPr>
      <w:r w:rsidRPr="00DF7302">
        <w:lastRenderedPageBreak/>
        <w:t xml:space="preserve">4. </w:t>
      </w:r>
      <w:r w:rsidRPr="00DF7302">
        <w:rPr>
          <w:bCs/>
          <w:caps/>
        </w:rPr>
        <w:t>Ranby</w:t>
      </w:r>
      <w:r w:rsidRPr="00DF7302">
        <w:rPr>
          <w:bCs/>
        </w:rPr>
        <w:t xml:space="preserve">, K. W. et al. Understanding the Phenotypic Structure of Adult Retrospective ADHD Symptoms During Childhood in the United States. </w:t>
      </w:r>
      <w:r w:rsidRPr="00DF7302">
        <w:rPr>
          <w:b/>
        </w:rPr>
        <w:t>Clin Child Adolesc Psychol.</w:t>
      </w:r>
      <w:r w:rsidRPr="00DF7302">
        <w:t>, v. 41, n. 3, p. 261-274, 2012;</w:t>
      </w:r>
    </w:p>
    <w:p w14:paraId="6D50555A" w14:textId="77777777" w:rsidR="000B38AF" w:rsidRPr="00DF7302" w:rsidRDefault="000B38AF" w:rsidP="00DF7302">
      <w:pPr>
        <w:pStyle w:val="NormalWeb"/>
        <w:spacing w:before="2" w:after="2" w:line="360" w:lineRule="auto"/>
        <w:jc w:val="both"/>
      </w:pPr>
      <w:r w:rsidRPr="00DF7302">
        <w:t xml:space="preserve">5. </w:t>
      </w:r>
      <w:r w:rsidRPr="00DF7302">
        <w:rPr>
          <w:caps/>
        </w:rPr>
        <w:t>Mattos</w:t>
      </w:r>
      <w:r w:rsidRPr="00DF7302">
        <w:t xml:space="preserve">, P.; </w:t>
      </w:r>
      <w:r w:rsidRPr="00DF7302">
        <w:rPr>
          <w:caps/>
        </w:rPr>
        <w:t>Coutinho</w:t>
      </w:r>
      <w:r w:rsidRPr="00DF7302">
        <w:t xml:space="preserve">, G. </w:t>
      </w:r>
      <w:r w:rsidRPr="00DF7302">
        <w:rPr>
          <w:iCs/>
        </w:rPr>
        <w:t xml:space="preserve">Quality of life and ADHD. </w:t>
      </w:r>
      <w:r w:rsidRPr="00DF7302">
        <w:rPr>
          <w:b/>
        </w:rPr>
        <w:t>J. Bras. Psiquiatr.</w:t>
      </w:r>
      <w:r w:rsidRPr="00DF7302">
        <w:t>, v. 56, n. 1, p. 50-52, 2007;</w:t>
      </w:r>
    </w:p>
    <w:p w14:paraId="3DE75488" w14:textId="77777777" w:rsidR="000B38AF" w:rsidRPr="00DF7302" w:rsidRDefault="000B38AF" w:rsidP="00DF7302">
      <w:pPr>
        <w:pStyle w:val="NormalWeb"/>
        <w:spacing w:before="2" w:after="2" w:line="360" w:lineRule="auto"/>
        <w:jc w:val="both"/>
        <w:rPr>
          <w:i/>
          <w:iCs/>
        </w:rPr>
      </w:pPr>
      <w:r w:rsidRPr="00DF7302">
        <w:t xml:space="preserve">6. </w:t>
      </w:r>
      <w:r w:rsidRPr="00DF7302">
        <w:rPr>
          <w:iCs/>
          <w:caps/>
        </w:rPr>
        <w:t>Lopes</w:t>
      </w:r>
      <w:r w:rsidRPr="00DF7302">
        <w:rPr>
          <w:iCs/>
        </w:rPr>
        <w:t xml:space="preserve">, R. M. F. et al. </w:t>
      </w:r>
      <w:r w:rsidRPr="00DF7302">
        <w:rPr>
          <w:bCs/>
        </w:rPr>
        <w:t xml:space="preserve">Assessment of the attention deficit hyperactivity disorder (ADHD) in adults: a literature revision. </w:t>
      </w:r>
      <w:r w:rsidRPr="00DF7302">
        <w:rPr>
          <w:b/>
          <w:iCs/>
        </w:rPr>
        <w:t>Avaliação Psicológica</w:t>
      </w:r>
      <w:r w:rsidRPr="00DF7302">
        <w:rPr>
          <w:iCs/>
        </w:rPr>
        <w:t>, v.  4, n. 1, p. 65-74, 2005;</w:t>
      </w:r>
    </w:p>
    <w:p w14:paraId="6EA2C28A" w14:textId="77777777" w:rsidR="000B38AF" w:rsidRPr="00DF7302" w:rsidRDefault="000B38AF" w:rsidP="00DF7302">
      <w:pPr>
        <w:pStyle w:val="NormalWeb"/>
        <w:spacing w:before="2" w:after="2" w:line="360" w:lineRule="auto"/>
        <w:jc w:val="both"/>
      </w:pPr>
      <w:r w:rsidRPr="00DF7302">
        <w:rPr>
          <w:i/>
          <w:iCs/>
        </w:rPr>
        <w:t xml:space="preserve">7. </w:t>
      </w:r>
      <w:r w:rsidRPr="00DF7302">
        <w:t xml:space="preserve">ARRUDA, M. et al. Are psychostimulants overprescribed in Brazilian school-aged children? A nationwide study. In: 3rd International Congress on ADHD, 2011, Berlin, Germany. Disponível em &lt; </w:t>
      </w:r>
      <w:hyperlink r:id="rId10" w:history="1">
        <w:r w:rsidRPr="00DF7302">
          <w:rPr>
            <w:rStyle w:val="Hyperlink"/>
            <w:color w:val="auto"/>
          </w:rPr>
          <w:t>http://www.aprendercrianca.com.br/todas-as-categorias-dp461</w:t>
        </w:r>
      </w:hyperlink>
      <w:r w:rsidRPr="00DF7302">
        <w:t xml:space="preserve"> &gt;. Acesso em: 05 de setembro de 2012;</w:t>
      </w:r>
    </w:p>
    <w:p w14:paraId="750E1FDE" w14:textId="77777777" w:rsidR="000B38AF" w:rsidRPr="00DF7302" w:rsidRDefault="000B38AF" w:rsidP="00DF7302">
      <w:pPr>
        <w:pStyle w:val="NormalWeb"/>
        <w:spacing w:before="2" w:after="2" w:line="360" w:lineRule="auto"/>
        <w:jc w:val="both"/>
      </w:pPr>
      <w:r w:rsidRPr="00DF7302">
        <w:t xml:space="preserve">8. </w:t>
      </w:r>
      <w:r w:rsidRPr="00DF7302">
        <w:rPr>
          <w:caps/>
        </w:rPr>
        <w:t>Arnsten</w:t>
      </w:r>
      <w:r w:rsidRPr="00DF7302">
        <w:t xml:space="preserve">, A. F. T.; </w:t>
      </w:r>
      <w:r w:rsidRPr="00DF7302">
        <w:rPr>
          <w:caps/>
        </w:rPr>
        <w:t>Li</w:t>
      </w:r>
      <w:r w:rsidRPr="00DF7302">
        <w:t xml:space="preserve">, B. </w:t>
      </w:r>
      <w:r w:rsidRPr="00DF7302">
        <w:rPr>
          <w:bCs/>
        </w:rPr>
        <w:t xml:space="preserve">Neurobiology of Executive Functions: Catecholamine Influences on Prefrontal Cortical Functions. </w:t>
      </w:r>
      <w:r w:rsidRPr="00DF7302">
        <w:rPr>
          <w:b/>
        </w:rPr>
        <w:t>Biol Psychiatry</w:t>
      </w:r>
      <w:r w:rsidRPr="00DF7302">
        <w:t>, v. 57, p. 1377-1384, 2005;</w:t>
      </w:r>
    </w:p>
    <w:p w14:paraId="39E96BAE" w14:textId="77777777" w:rsidR="000B38AF" w:rsidRPr="00DF7302" w:rsidRDefault="000B38AF" w:rsidP="00DF7302">
      <w:pPr>
        <w:autoSpaceDE w:val="0"/>
        <w:autoSpaceDN w:val="0"/>
        <w:adjustRightInd w:val="0"/>
        <w:spacing w:line="360" w:lineRule="auto"/>
        <w:jc w:val="both"/>
        <w:rPr>
          <w:bCs/>
        </w:rPr>
      </w:pPr>
      <w:r w:rsidRPr="00DF7302">
        <w:t xml:space="preserve">9. MESQUITA, C. et al. Neuropsychological profile of adults with attention deficits: differences between ADHD and clinical controls. </w:t>
      </w:r>
      <w:r w:rsidRPr="00DF7302">
        <w:rPr>
          <w:b/>
          <w:iCs/>
        </w:rPr>
        <w:t>Rev Psiq Clín.</w:t>
      </w:r>
      <w:r w:rsidRPr="00DF7302">
        <w:rPr>
          <w:iCs/>
        </w:rPr>
        <w:t>, v. 37, n. 5, p. 212-215, 2010;</w:t>
      </w:r>
      <w:r w:rsidRPr="00DF7302">
        <w:rPr>
          <w:bCs/>
        </w:rPr>
        <w:t xml:space="preserve"> </w:t>
      </w:r>
    </w:p>
    <w:p w14:paraId="4AD4B891" w14:textId="77777777" w:rsidR="000B38AF" w:rsidRPr="00DF7302" w:rsidRDefault="000B38AF" w:rsidP="00DF7302">
      <w:pPr>
        <w:autoSpaceDE w:val="0"/>
        <w:autoSpaceDN w:val="0"/>
        <w:adjustRightInd w:val="0"/>
        <w:spacing w:line="360" w:lineRule="auto"/>
        <w:jc w:val="both"/>
        <w:rPr>
          <w:bCs/>
        </w:rPr>
      </w:pPr>
    </w:p>
    <w:p w14:paraId="5DB98205" w14:textId="77777777" w:rsidR="000B38AF" w:rsidRPr="00DF7302" w:rsidRDefault="000B38AF" w:rsidP="00DF7302">
      <w:pPr>
        <w:autoSpaceDE w:val="0"/>
        <w:autoSpaceDN w:val="0"/>
        <w:adjustRightInd w:val="0"/>
        <w:spacing w:line="360" w:lineRule="auto"/>
        <w:jc w:val="both"/>
      </w:pPr>
      <w:r w:rsidRPr="00DF7302">
        <w:rPr>
          <w:bCs/>
        </w:rPr>
        <w:t xml:space="preserve">10. PUIG, M. V.; GULLEDGE, A. T. Serotonin and prefrontal cortex function: neurons, networks, and circuits. </w:t>
      </w:r>
      <w:r w:rsidRPr="00DF7302">
        <w:rPr>
          <w:b/>
          <w:bCs/>
        </w:rPr>
        <w:t>Molecular Neurobiology</w:t>
      </w:r>
      <w:r w:rsidRPr="00DF7302">
        <w:rPr>
          <w:bCs/>
        </w:rPr>
        <w:t xml:space="preserve">, 2011. </w:t>
      </w:r>
      <w:r w:rsidRPr="00DF7302">
        <w:t>No prelo;</w:t>
      </w:r>
    </w:p>
    <w:p w14:paraId="30BDD082" w14:textId="77777777" w:rsidR="000B38AF" w:rsidRPr="00DF7302" w:rsidRDefault="000B38AF" w:rsidP="00DF7302">
      <w:pPr>
        <w:autoSpaceDE w:val="0"/>
        <w:autoSpaceDN w:val="0"/>
        <w:adjustRightInd w:val="0"/>
        <w:spacing w:line="360" w:lineRule="auto"/>
        <w:jc w:val="both"/>
      </w:pPr>
    </w:p>
    <w:p w14:paraId="7CF4EB22" w14:textId="77777777" w:rsidR="000B38AF" w:rsidRPr="00DF7302" w:rsidRDefault="000B38AF" w:rsidP="00DF7302">
      <w:pPr>
        <w:autoSpaceDE w:val="0"/>
        <w:autoSpaceDN w:val="0"/>
        <w:adjustRightInd w:val="0"/>
        <w:spacing w:line="360" w:lineRule="auto"/>
        <w:jc w:val="both"/>
        <w:rPr>
          <w:bCs/>
        </w:rPr>
      </w:pPr>
      <w:r w:rsidRPr="00DF7302">
        <w:t xml:space="preserve">11. </w:t>
      </w:r>
      <w:r w:rsidRPr="00DF7302">
        <w:rPr>
          <w:bCs/>
        </w:rPr>
        <w:t xml:space="preserve">SPENCER-SMITH, M.; ANDERSON, V. Healthy and abnormal development of the prefrontal cortex. </w:t>
      </w:r>
      <w:r w:rsidRPr="00DF7302">
        <w:rPr>
          <w:b/>
          <w:bCs/>
        </w:rPr>
        <w:t>Developmental Neurorehabilitation</w:t>
      </w:r>
      <w:r w:rsidRPr="00DF7302">
        <w:rPr>
          <w:bCs/>
        </w:rPr>
        <w:t>, v. 12, n. 5, p. 279-297, 2009;</w:t>
      </w:r>
    </w:p>
    <w:p w14:paraId="5AED645F" w14:textId="77777777" w:rsidR="000B38AF" w:rsidRPr="00DF7302" w:rsidRDefault="000B38AF" w:rsidP="00DF7302">
      <w:pPr>
        <w:pStyle w:val="NormalWeb"/>
        <w:spacing w:before="2" w:after="2" w:line="360" w:lineRule="auto"/>
        <w:jc w:val="both"/>
        <w:rPr>
          <w:iCs/>
        </w:rPr>
      </w:pPr>
      <w:r w:rsidRPr="00DF7302">
        <w:rPr>
          <w:iCs/>
        </w:rPr>
        <w:t xml:space="preserve">12. BROWN, T. E. </w:t>
      </w:r>
      <w:r w:rsidRPr="00DF7302">
        <w:rPr>
          <w:bCs/>
        </w:rPr>
        <w:t xml:space="preserve">Executive Functions and Attention Deficit Hyperactivity Disorder: Implications of two conflicting views. </w:t>
      </w:r>
      <w:r w:rsidRPr="00DF7302">
        <w:rPr>
          <w:b/>
          <w:iCs/>
        </w:rPr>
        <w:t>International Journal of Disability, Development and Education</w:t>
      </w:r>
      <w:r w:rsidRPr="00DF7302">
        <w:rPr>
          <w:iCs/>
        </w:rPr>
        <w:t>, v. 53, n. 1, p.  35–46, 2006;</w:t>
      </w:r>
    </w:p>
    <w:p w14:paraId="60307570" w14:textId="77777777" w:rsidR="000B38AF" w:rsidRPr="00DF7302" w:rsidRDefault="000B38AF" w:rsidP="00DF7302">
      <w:pPr>
        <w:pStyle w:val="NormalWeb"/>
        <w:spacing w:before="2" w:after="2" w:line="360" w:lineRule="auto"/>
        <w:jc w:val="both"/>
      </w:pPr>
      <w:r w:rsidRPr="00DF7302">
        <w:rPr>
          <w:iCs/>
        </w:rPr>
        <w:lastRenderedPageBreak/>
        <w:t xml:space="preserve">13. </w:t>
      </w:r>
      <w:r w:rsidRPr="00DF7302">
        <w:rPr>
          <w:position w:val="2"/>
        </w:rPr>
        <w:t xml:space="preserve">BOLFER. C. P. M. </w:t>
      </w:r>
      <w:r w:rsidRPr="00DF7302">
        <w:t>Avaliação Neuropsicológica das funções executivas e da atenção em crianças com transtorno do déficit de atenção/hiperatividade (TDAH). 2009. 113 f. Dissertação (Mestrado em Neurologia) – Faculdade de Medicina, Universidade de São Paulo, São Paulo. 2009;</w:t>
      </w:r>
    </w:p>
    <w:p w14:paraId="3E163D3A" w14:textId="77777777" w:rsidR="000B38AF" w:rsidRPr="00DF7302" w:rsidRDefault="000B38AF" w:rsidP="00DF7302">
      <w:pPr>
        <w:autoSpaceDE w:val="0"/>
        <w:autoSpaceDN w:val="0"/>
        <w:adjustRightInd w:val="0"/>
        <w:spacing w:line="360" w:lineRule="auto"/>
        <w:jc w:val="both"/>
        <w:rPr>
          <w:bCs/>
        </w:rPr>
      </w:pPr>
      <w:r w:rsidRPr="00DF7302">
        <w:t xml:space="preserve">14. </w:t>
      </w:r>
      <w:r w:rsidRPr="00DF7302">
        <w:rPr>
          <w:bCs/>
        </w:rPr>
        <w:t xml:space="preserve">STAGG, C. J.; NITSCHE, M. A. Physiological basis of transcranial direct current stimulation. </w:t>
      </w:r>
      <w:r w:rsidRPr="00DF7302">
        <w:rPr>
          <w:b/>
          <w:bCs/>
        </w:rPr>
        <w:t>Neuroscientist</w:t>
      </w:r>
      <w:r w:rsidRPr="00DF7302">
        <w:rPr>
          <w:bCs/>
        </w:rPr>
        <w:t>, v. 17, p. 37-53, 2011;</w:t>
      </w:r>
    </w:p>
    <w:p w14:paraId="7637B75A" w14:textId="77777777" w:rsidR="000B38AF" w:rsidRPr="00DF7302" w:rsidRDefault="000B38AF" w:rsidP="00DF7302">
      <w:pPr>
        <w:autoSpaceDE w:val="0"/>
        <w:autoSpaceDN w:val="0"/>
        <w:adjustRightInd w:val="0"/>
        <w:spacing w:line="360" w:lineRule="auto"/>
        <w:jc w:val="both"/>
        <w:rPr>
          <w:bCs/>
        </w:rPr>
      </w:pPr>
    </w:p>
    <w:p w14:paraId="5281FD5E" w14:textId="77777777" w:rsidR="000B38AF" w:rsidRPr="00DF7302" w:rsidRDefault="000B38AF" w:rsidP="00DF7302">
      <w:pPr>
        <w:autoSpaceDE w:val="0"/>
        <w:autoSpaceDN w:val="0"/>
        <w:adjustRightInd w:val="0"/>
        <w:spacing w:line="360" w:lineRule="auto"/>
        <w:jc w:val="both"/>
        <w:rPr>
          <w:bCs/>
        </w:rPr>
      </w:pPr>
      <w:r w:rsidRPr="00DF7302">
        <w:t xml:space="preserve">15. BRUNONI, A. R. et al. Clinical research with transcranial direct current stimulation (tDCS): challenges and future directions. </w:t>
      </w:r>
      <w:r w:rsidRPr="00DF7302">
        <w:rPr>
          <w:b/>
        </w:rPr>
        <w:t>Brain Stimulation</w:t>
      </w:r>
      <w:r w:rsidRPr="00DF7302">
        <w:t>, 2011. No prelo;</w:t>
      </w:r>
    </w:p>
    <w:p w14:paraId="5FE1DAC9" w14:textId="77777777" w:rsidR="000B38AF" w:rsidRPr="00DF7302" w:rsidRDefault="000B38AF" w:rsidP="00DF7302">
      <w:pPr>
        <w:pStyle w:val="NormalWeb"/>
        <w:spacing w:before="2" w:after="2" w:line="360" w:lineRule="auto"/>
        <w:jc w:val="both"/>
      </w:pPr>
      <w:r w:rsidRPr="00DF7302">
        <w:t xml:space="preserve">16. DASILVA, A. S. et al. Electrode Positioning and Montage in Transcranial Direct Current Stimulation. </w:t>
      </w:r>
      <w:r w:rsidRPr="00DF7302">
        <w:rPr>
          <w:b/>
        </w:rPr>
        <w:t>J. Vis. Exp.</w:t>
      </w:r>
      <w:r w:rsidRPr="00DF7302">
        <w:t>, v. 51, p. 1-11, 2011;</w:t>
      </w:r>
    </w:p>
    <w:p w14:paraId="7693307A" w14:textId="77777777" w:rsidR="000B38AF" w:rsidRPr="00DF7302" w:rsidRDefault="000B38AF" w:rsidP="00DF7302">
      <w:pPr>
        <w:pStyle w:val="NormalWeb"/>
        <w:spacing w:before="2" w:after="2" w:line="360" w:lineRule="auto"/>
        <w:jc w:val="both"/>
      </w:pPr>
      <w:r w:rsidRPr="00DF7302">
        <w:t xml:space="preserve">17. BRANDÃO, L. A.; DOMINGUES, R. C. Introduction and technique. In. BRANDÃO, L. A. (Org.). </w:t>
      </w:r>
      <w:r w:rsidRPr="00DF7302">
        <w:rPr>
          <w:b/>
        </w:rPr>
        <w:t>MR Spectroscopy of the Brain</w:t>
      </w:r>
      <w:r w:rsidRPr="00DF7302">
        <w:t>. Rio de Janeiro: Revinter, 2003. p. 2-17;</w:t>
      </w:r>
    </w:p>
    <w:p w14:paraId="07B7A1E6" w14:textId="77777777" w:rsidR="000B38AF" w:rsidRPr="00DF7302" w:rsidRDefault="000B38AF" w:rsidP="00DF7302">
      <w:pPr>
        <w:pStyle w:val="NormalWeb"/>
        <w:spacing w:before="2" w:after="2" w:line="360" w:lineRule="auto"/>
        <w:jc w:val="both"/>
      </w:pPr>
      <w:r w:rsidRPr="00DF7302">
        <w:t xml:space="preserve">18. ________ . Psychiatric Disorders. In. BRANDÃO, L. A. (Org.). </w:t>
      </w:r>
      <w:r w:rsidRPr="00DF7302">
        <w:rPr>
          <w:b/>
        </w:rPr>
        <w:t>MR Spectroscopy of the Brain</w:t>
      </w:r>
      <w:r w:rsidRPr="00DF7302">
        <w:t>. Rio de Janeiro: Revinter, 2003. p. 182-189;</w:t>
      </w:r>
    </w:p>
    <w:p w14:paraId="2ACAA57C" w14:textId="77777777" w:rsidR="000B38AF" w:rsidRPr="00DF7302" w:rsidRDefault="000B38AF" w:rsidP="00DF7302">
      <w:pPr>
        <w:pStyle w:val="NormalWeb"/>
        <w:spacing w:before="2" w:after="2" w:line="360" w:lineRule="auto"/>
        <w:jc w:val="both"/>
      </w:pPr>
      <w:r w:rsidRPr="00DF7302">
        <w:t xml:space="preserve">19. AGARWAL, R. et al. The Quality of Life of Adults with Attention Deficit Hyperactivity Disorder: A Systematic Review. </w:t>
      </w:r>
      <w:r w:rsidRPr="00DF7302">
        <w:rPr>
          <w:b/>
        </w:rPr>
        <w:t>Innov Clin Neurosci.</w:t>
      </w:r>
      <w:r w:rsidRPr="00DF7302">
        <w:t>, v. 9, n. 5–6, p. 10-21, 2012;</w:t>
      </w:r>
    </w:p>
    <w:p w14:paraId="3B3B50FA" w14:textId="77777777" w:rsidR="000B38AF" w:rsidRPr="00DF7302" w:rsidRDefault="000B38AF" w:rsidP="00DF7302">
      <w:pPr>
        <w:pStyle w:val="NormalWeb"/>
        <w:spacing w:before="2" w:after="2" w:line="360" w:lineRule="auto"/>
        <w:jc w:val="both"/>
      </w:pPr>
      <w:r w:rsidRPr="00DF7302">
        <w:t xml:space="preserve">20. KOOIJ, S. J. et al. European consensus statement on diagnosis and treatment of adult ADHD: The European Network Adult ADHD. </w:t>
      </w:r>
      <w:r w:rsidRPr="00DF7302">
        <w:rPr>
          <w:b/>
        </w:rPr>
        <w:t>BMC Psychiatry</w:t>
      </w:r>
      <w:r w:rsidRPr="00DF7302">
        <w:t>, v. 10, n. 67, p 1- 24,  2010;</w:t>
      </w:r>
    </w:p>
    <w:p w14:paraId="6D9E52DF" w14:textId="77777777" w:rsidR="000B38AF" w:rsidRPr="00DF7302" w:rsidRDefault="000B38AF" w:rsidP="00DF7302">
      <w:pPr>
        <w:pStyle w:val="NormalWeb"/>
        <w:spacing w:before="2" w:after="2" w:line="360" w:lineRule="auto"/>
        <w:jc w:val="both"/>
      </w:pPr>
      <w:r w:rsidRPr="00DF7302">
        <w:t xml:space="preserve">21. GRAHAM, J. et al. European guidelines on managing adverse effects of medication for ADHD. </w:t>
      </w:r>
      <w:r w:rsidRPr="00DF7302">
        <w:rPr>
          <w:b/>
        </w:rPr>
        <w:t>Eur Child Adolesc Psychiatry</w:t>
      </w:r>
      <w:r w:rsidRPr="00DF7302">
        <w:t>, v. 20, p. 17-37, 2011;</w:t>
      </w:r>
    </w:p>
    <w:p w14:paraId="6DDE1CDC" w14:textId="77777777" w:rsidR="000B38AF" w:rsidRPr="00DF7302" w:rsidRDefault="000B38AF" w:rsidP="00DF7302">
      <w:pPr>
        <w:pStyle w:val="NormalWeb"/>
        <w:spacing w:before="2" w:after="2" w:line="360" w:lineRule="auto"/>
        <w:jc w:val="both"/>
      </w:pPr>
      <w:r w:rsidRPr="00DF7302">
        <w:t xml:space="preserve">22. HABEL, L. A. et al. </w:t>
      </w:r>
      <w:r w:rsidRPr="00DF7302">
        <w:rPr>
          <w:bCs/>
        </w:rPr>
        <w:t xml:space="preserve">ADHD Medications and Risk of Serious Cardiovascular Events In Young and Middle-Aged Adults. </w:t>
      </w:r>
      <w:r w:rsidRPr="00DF7302">
        <w:rPr>
          <w:b/>
        </w:rPr>
        <w:t>JAMA</w:t>
      </w:r>
      <w:r w:rsidRPr="00DF7302">
        <w:t>, v. 306, n. 24, p. 2673-2683, 2011;</w:t>
      </w:r>
    </w:p>
    <w:p w14:paraId="7D061AD4" w14:textId="77777777" w:rsidR="000B38AF" w:rsidRPr="00DF7302" w:rsidRDefault="000B38AF" w:rsidP="00DF7302">
      <w:pPr>
        <w:pStyle w:val="NormalWeb"/>
        <w:spacing w:before="2" w:after="2" w:line="360" w:lineRule="auto"/>
        <w:jc w:val="both"/>
      </w:pPr>
      <w:r w:rsidRPr="00DF7302">
        <w:lastRenderedPageBreak/>
        <w:t xml:space="preserve">23. MATTINGLY , G. et al. Attention Deficit Hyperactivity Disorder Subtypes and Symptom Response in Adults Treated With Lisdexamfetamine Dimesylate. </w:t>
      </w:r>
      <w:r w:rsidRPr="00DF7302">
        <w:rPr>
          <w:b/>
        </w:rPr>
        <w:t>Innov Clin Neurosci.</w:t>
      </w:r>
      <w:r w:rsidRPr="00DF7302">
        <w:t>, v. 9, n. 5-6, p. 22-30, 2012;</w:t>
      </w:r>
    </w:p>
    <w:p w14:paraId="6E404168" w14:textId="77777777" w:rsidR="000B38AF" w:rsidRPr="00DF7302" w:rsidRDefault="000B38AF" w:rsidP="00DF7302">
      <w:pPr>
        <w:pStyle w:val="NormalWeb"/>
        <w:spacing w:before="2" w:after="2" w:line="360" w:lineRule="auto"/>
        <w:jc w:val="both"/>
      </w:pPr>
      <w:r w:rsidRPr="00DF7302">
        <w:t xml:space="preserve">24. </w:t>
      </w:r>
      <w:r w:rsidRPr="00DF7302">
        <w:rPr>
          <w:bCs/>
        </w:rPr>
        <w:t xml:space="preserve">SEPÚLVEDA, D. R. et al. Misuse of Prescribed Stimulant Medication for ADHD and Associated Patterns of Substance Use: Preliminary Analysis Among College Students. </w:t>
      </w:r>
      <w:r w:rsidRPr="00DF7302">
        <w:rPr>
          <w:b/>
        </w:rPr>
        <w:t>J Pharm Pract.</w:t>
      </w:r>
      <w:r w:rsidRPr="00DF7302">
        <w:t>, v. 24, n. 6, p. 551-560, 2011;</w:t>
      </w:r>
    </w:p>
    <w:p w14:paraId="321A1F81" w14:textId="77777777" w:rsidR="000B38AF" w:rsidRPr="00DF7302" w:rsidRDefault="000B38AF" w:rsidP="00DF7302">
      <w:pPr>
        <w:autoSpaceDE w:val="0"/>
        <w:autoSpaceDN w:val="0"/>
        <w:adjustRightInd w:val="0"/>
        <w:spacing w:line="360" w:lineRule="auto"/>
        <w:jc w:val="both"/>
        <w:rPr>
          <w:bCs/>
        </w:rPr>
      </w:pPr>
      <w:r w:rsidRPr="00DF7302">
        <w:t xml:space="preserve">25. </w:t>
      </w:r>
      <w:r w:rsidRPr="00DF7302">
        <w:rPr>
          <w:iCs/>
        </w:rPr>
        <w:t xml:space="preserve">BRASIL, Ministério da Saúde. Resolução 196/96 do Conselho Nacional de Saúde/MS sobre diretrizes e normas regulamentadoras de pesquisa envolvendo seres humanos. </w:t>
      </w:r>
      <w:r w:rsidRPr="00DF7302">
        <w:rPr>
          <w:b/>
          <w:iCs/>
        </w:rPr>
        <w:t>Diário Oficial da União</w:t>
      </w:r>
      <w:r w:rsidRPr="00DF7302">
        <w:rPr>
          <w:iCs/>
        </w:rPr>
        <w:t>, 10 de outubro de 1996.</w:t>
      </w:r>
    </w:p>
    <w:sectPr w:rsidR="000B38AF" w:rsidRPr="00DF7302" w:rsidSect="00DF7302">
      <w:footerReference w:type="even" r:id="rId11"/>
      <w:footerReference w:type="default" r:id="rId12"/>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4606A" w14:textId="77777777" w:rsidR="007F5921" w:rsidRDefault="007F5921" w:rsidP="00DF7302">
      <w:r>
        <w:separator/>
      </w:r>
    </w:p>
  </w:endnote>
  <w:endnote w:type="continuationSeparator" w:id="0">
    <w:p w14:paraId="2CE5FD81" w14:textId="77777777" w:rsidR="007F5921" w:rsidRDefault="007F5921" w:rsidP="00DF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2050206030506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9A01" w14:textId="77777777" w:rsidR="00DF7302" w:rsidRDefault="00DF7302" w:rsidP="00DF73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C41DBC" w14:textId="77777777" w:rsidR="00DF7302" w:rsidRDefault="00DF7302" w:rsidP="00DF730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CCAF" w14:textId="77777777" w:rsidR="00DF7302" w:rsidRDefault="00DF7302" w:rsidP="00DF73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2150">
      <w:rPr>
        <w:rStyle w:val="Nmerodepgina"/>
        <w:noProof/>
      </w:rPr>
      <w:t>15</w:t>
    </w:r>
    <w:r>
      <w:rPr>
        <w:rStyle w:val="Nmerodepgina"/>
      </w:rPr>
      <w:fldChar w:fldCharType="end"/>
    </w:r>
  </w:p>
  <w:p w14:paraId="5A0DC080" w14:textId="77777777" w:rsidR="00DF7302" w:rsidRDefault="00DF7302" w:rsidP="00DF730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91E75" w14:textId="77777777" w:rsidR="007F5921" w:rsidRDefault="007F5921" w:rsidP="00DF7302">
      <w:r>
        <w:separator/>
      </w:r>
    </w:p>
  </w:footnote>
  <w:footnote w:type="continuationSeparator" w:id="0">
    <w:p w14:paraId="2EC3012E" w14:textId="77777777" w:rsidR="007F5921" w:rsidRDefault="007F5921" w:rsidP="00DF7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EB0CAB10"/>
    <w:name w:val="WW8Num1"/>
    <w:lvl w:ilvl="0">
      <w:start w:val="4"/>
      <w:numFmt w:val="decimal"/>
      <w:lvlText w:val="(%1)"/>
      <w:lvlJc w:val="left"/>
      <w:pPr>
        <w:tabs>
          <w:tab w:val="num" w:pos="283"/>
        </w:tabs>
      </w:pPr>
      <w:rPr>
        <w:b/>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nsid w:val="02F92A6B"/>
    <w:multiLevelType w:val="hybridMultilevel"/>
    <w:tmpl w:val="F14A5BF6"/>
    <w:lvl w:ilvl="0" w:tplc="7F28A5C6">
      <w:start w:val="1"/>
      <w:numFmt w:val="bullet"/>
      <w:lvlText w:val=""/>
      <w:lvlJc w:val="left"/>
      <w:pPr>
        <w:tabs>
          <w:tab w:val="num" w:pos="720"/>
        </w:tabs>
        <w:ind w:left="720" w:hanging="360"/>
      </w:pPr>
      <w:rPr>
        <w:rFonts w:ascii="Wingdings" w:hAnsi="Wingdings" w:hint="default"/>
      </w:rPr>
    </w:lvl>
    <w:lvl w:ilvl="1" w:tplc="51581F1C" w:tentative="1">
      <w:start w:val="1"/>
      <w:numFmt w:val="bullet"/>
      <w:lvlText w:val=""/>
      <w:lvlJc w:val="left"/>
      <w:pPr>
        <w:tabs>
          <w:tab w:val="num" w:pos="1440"/>
        </w:tabs>
        <w:ind w:left="1440" w:hanging="360"/>
      </w:pPr>
      <w:rPr>
        <w:rFonts w:ascii="Wingdings" w:hAnsi="Wingdings" w:hint="default"/>
      </w:rPr>
    </w:lvl>
    <w:lvl w:ilvl="2" w:tplc="E592C01E" w:tentative="1">
      <w:start w:val="1"/>
      <w:numFmt w:val="bullet"/>
      <w:lvlText w:val=""/>
      <w:lvlJc w:val="left"/>
      <w:pPr>
        <w:tabs>
          <w:tab w:val="num" w:pos="2160"/>
        </w:tabs>
        <w:ind w:left="2160" w:hanging="360"/>
      </w:pPr>
      <w:rPr>
        <w:rFonts w:ascii="Wingdings" w:hAnsi="Wingdings" w:hint="default"/>
      </w:rPr>
    </w:lvl>
    <w:lvl w:ilvl="3" w:tplc="C48A589A" w:tentative="1">
      <w:start w:val="1"/>
      <w:numFmt w:val="bullet"/>
      <w:lvlText w:val=""/>
      <w:lvlJc w:val="left"/>
      <w:pPr>
        <w:tabs>
          <w:tab w:val="num" w:pos="2880"/>
        </w:tabs>
        <w:ind w:left="2880" w:hanging="360"/>
      </w:pPr>
      <w:rPr>
        <w:rFonts w:ascii="Wingdings" w:hAnsi="Wingdings" w:hint="default"/>
      </w:rPr>
    </w:lvl>
    <w:lvl w:ilvl="4" w:tplc="7FEAD342" w:tentative="1">
      <w:start w:val="1"/>
      <w:numFmt w:val="bullet"/>
      <w:lvlText w:val=""/>
      <w:lvlJc w:val="left"/>
      <w:pPr>
        <w:tabs>
          <w:tab w:val="num" w:pos="3600"/>
        </w:tabs>
        <w:ind w:left="3600" w:hanging="360"/>
      </w:pPr>
      <w:rPr>
        <w:rFonts w:ascii="Wingdings" w:hAnsi="Wingdings" w:hint="default"/>
      </w:rPr>
    </w:lvl>
    <w:lvl w:ilvl="5" w:tplc="01904382" w:tentative="1">
      <w:start w:val="1"/>
      <w:numFmt w:val="bullet"/>
      <w:lvlText w:val=""/>
      <w:lvlJc w:val="left"/>
      <w:pPr>
        <w:tabs>
          <w:tab w:val="num" w:pos="4320"/>
        </w:tabs>
        <w:ind w:left="4320" w:hanging="360"/>
      </w:pPr>
      <w:rPr>
        <w:rFonts w:ascii="Wingdings" w:hAnsi="Wingdings" w:hint="default"/>
      </w:rPr>
    </w:lvl>
    <w:lvl w:ilvl="6" w:tplc="5DE6CDA0" w:tentative="1">
      <w:start w:val="1"/>
      <w:numFmt w:val="bullet"/>
      <w:lvlText w:val=""/>
      <w:lvlJc w:val="left"/>
      <w:pPr>
        <w:tabs>
          <w:tab w:val="num" w:pos="5040"/>
        </w:tabs>
        <w:ind w:left="5040" w:hanging="360"/>
      </w:pPr>
      <w:rPr>
        <w:rFonts w:ascii="Wingdings" w:hAnsi="Wingdings" w:hint="default"/>
      </w:rPr>
    </w:lvl>
    <w:lvl w:ilvl="7" w:tplc="FF805A6E" w:tentative="1">
      <w:start w:val="1"/>
      <w:numFmt w:val="bullet"/>
      <w:lvlText w:val=""/>
      <w:lvlJc w:val="left"/>
      <w:pPr>
        <w:tabs>
          <w:tab w:val="num" w:pos="5760"/>
        </w:tabs>
        <w:ind w:left="5760" w:hanging="360"/>
      </w:pPr>
      <w:rPr>
        <w:rFonts w:ascii="Wingdings" w:hAnsi="Wingdings" w:hint="default"/>
      </w:rPr>
    </w:lvl>
    <w:lvl w:ilvl="8" w:tplc="959C20F0" w:tentative="1">
      <w:start w:val="1"/>
      <w:numFmt w:val="bullet"/>
      <w:lvlText w:val=""/>
      <w:lvlJc w:val="left"/>
      <w:pPr>
        <w:tabs>
          <w:tab w:val="num" w:pos="6480"/>
        </w:tabs>
        <w:ind w:left="6480" w:hanging="360"/>
      </w:pPr>
      <w:rPr>
        <w:rFonts w:ascii="Wingdings" w:hAnsi="Wingdings" w:hint="default"/>
      </w:rPr>
    </w:lvl>
  </w:abstractNum>
  <w:abstractNum w:abstractNumId="3">
    <w:nsid w:val="070C15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3978CB"/>
    <w:multiLevelType w:val="singleLevel"/>
    <w:tmpl w:val="DE68C062"/>
    <w:lvl w:ilvl="0">
      <w:start w:val="1"/>
      <w:numFmt w:val="bullet"/>
      <w:lvlText w:val=""/>
      <w:lvlJc w:val="left"/>
      <w:pPr>
        <w:tabs>
          <w:tab w:val="num" w:pos="360"/>
        </w:tabs>
        <w:ind w:left="360" w:hanging="360"/>
      </w:pPr>
      <w:rPr>
        <w:rFonts w:ascii="Symbol" w:hAnsi="Symbol" w:hint="default"/>
      </w:rPr>
    </w:lvl>
  </w:abstractNum>
  <w:abstractNum w:abstractNumId="5">
    <w:nsid w:val="0B796395"/>
    <w:multiLevelType w:val="multilevel"/>
    <w:tmpl w:val="BF2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F2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E3779F5"/>
    <w:multiLevelType w:val="hybridMultilevel"/>
    <w:tmpl w:val="FFF2788A"/>
    <w:lvl w:ilvl="0" w:tplc="EB8E556A">
      <w:start w:val="1"/>
      <w:numFmt w:val="bullet"/>
      <w:lvlText w:val=""/>
      <w:lvlJc w:val="left"/>
      <w:pPr>
        <w:tabs>
          <w:tab w:val="num" w:pos="720"/>
        </w:tabs>
        <w:ind w:left="720" w:hanging="360"/>
      </w:pPr>
      <w:rPr>
        <w:rFonts w:ascii="Wingdings" w:hAnsi="Wingdings" w:hint="default"/>
      </w:rPr>
    </w:lvl>
    <w:lvl w:ilvl="1" w:tplc="54E2B550" w:tentative="1">
      <w:start w:val="1"/>
      <w:numFmt w:val="bullet"/>
      <w:lvlText w:val=""/>
      <w:lvlJc w:val="left"/>
      <w:pPr>
        <w:tabs>
          <w:tab w:val="num" w:pos="1440"/>
        </w:tabs>
        <w:ind w:left="1440" w:hanging="360"/>
      </w:pPr>
      <w:rPr>
        <w:rFonts w:ascii="Wingdings" w:hAnsi="Wingdings" w:hint="default"/>
      </w:rPr>
    </w:lvl>
    <w:lvl w:ilvl="2" w:tplc="731A21BE" w:tentative="1">
      <w:start w:val="1"/>
      <w:numFmt w:val="bullet"/>
      <w:lvlText w:val=""/>
      <w:lvlJc w:val="left"/>
      <w:pPr>
        <w:tabs>
          <w:tab w:val="num" w:pos="2160"/>
        </w:tabs>
        <w:ind w:left="2160" w:hanging="360"/>
      </w:pPr>
      <w:rPr>
        <w:rFonts w:ascii="Wingdings" w:hAnsi="Wingdings" w:hint="default"/>
      </w:rPr>
    </w:lvl>
    <w:lvl w:ilvl="3" w:tplc="D020E640" w:tentative="1">
      <w:start w:val="1"/>
      <w:numFmt w:val="bullet"/>
      <w:lvlText w:val=""/>
      <w:lvlJc w:val="left"/>
      <w:pPr>
        <w:tabs>
          <w:tab w:val="num" w:pos="2880"/>
        </w:tabs>
        <w:ind w:left="2880" w:hanging="360"/>
      </w:pPr>
      <w:rPr>
        <w:rFonts w:ascii="Wingdings" w:hAnsi="Wingdings" w:hint="default"/>
      </w:rPr>
    </w:lvl>
    <w:lvl w:ilvl="4" w:tplc="C0FE7264" w:tentative="1">
      <w:start w:val="1"/>
      <w:numFmt w:val="bullet"/>
      <w:lvlText w:val=""/>
      <w:lvlJc w:val="left"/>
      <w:pPr>
        <w:tabs>
          <w:tab w:val="num" w:pos="3600"/>
        </w:tabs>
        <w:ind w:left="3600" w:hanging="360"/>
      </w:pPr>
      <w:rPr>
        <w:rFonts w:ascii="Wingdings" w:hAnsi="Wingdings" w:hint="default"/>
      </w:rPr>
    </w:lvl>
    <w:lvl w:ilvl="5" w:tplc="D4C04B62" w:tentative="1">
      <w:start w:val="1"/>
      <w:numFmt w:val="bullet"/>
      <w:lvlText w:val=""/>
      <w:lvlJc w:val="left"/>
      <w:pPr>
        <w:tabs>
          <w:tab w:val="num" w:pos="4320"/>
        </w:tabs>
        <w:ind w:left="4320" w:hanging="360"/>
      </w:pPr>
      <w:rPr>
        <w:rFonts w:ascii="Wingdings" w:hAnsi="Wingdings" w:hint="default"/>
      </w:rPr>
    </w:lvl>
    <w:lvl w:ilvl="6" w:tplc="7834D742" w:tentative="1">
      <w:start w:val="1"/>
      <w:numFmt w:val="bullet"/>
      <w:lvlText w:val=""/>
      <w:lvlJc w:val="left"/>
      <w:pPr>
        <w:tabs>
          <w:tab w:val="num" w:pos="5040"/>
        </w:tabs>
        <w:ind w:left="5040" w:hanging="360"/>
      </w:pPr>
      <w:rPr>
        <w:rFonts w:ascii="Wingdings" w:hAnsi="Wingdings" w:hint="default"/>
      </w:rPr>
    </w:lvl>
    <w:lvl w:ilvl="7" w:tplc="A06A7356" w:tentative="1">
      <w:start w:val="1"/>
      <w:numFmt w:val="bullet"/>
      <w:lvlText w:val=""/>
      <w:lvlJc w:val="left"/>
      <w:pPr>
        <w:tabs>
          <w:tab w:val="num" w:pos="5760"/>
        </w:tabs>
        <w:ind w:left="5760" w:hanging="360"/>
      </w:pPr>
      <w:rPr>
        <w:rFonts w:ascii="Wingdings" w:hAnsi="Wingdings" w:hint="default"/>
      </w:rPr>
    </w:lvl>
    <w:lvl w:ilvl="8" w:tplc="3DB6DB5A" w:tentative="1">
      <w:start w:val="1"/>
      <w:numFmt w:val="bullet"/>
      <w:lvlText w:val=""/>
      <w:lvlJc w:val="left"/>
      <w:pPr>
        <w:tabs>
          <w:tab w:val="num" w:pos="6480"/>
        </w:tabs>
        <w:ind w:left="6480" w:hanging="360"/>
      </w:pPr>
      <w:rPr>
        <w:rFonts w:ascii="Wingdings" w:hAnsi="Wingdings" w:hint="default"/>
      </w:rPr>
    </w:lvl>
  </w:abstractNum>
  <w:abstractNum w:abstractNumId="8">
    <w:nsid w:val="11981D3D"/>
    <w:multiLevelType w:val="hybridMultilevel"/>
    <w:tmpl w:val="6AD26C92"/>
    <w:lvl w:ilvl="0" w:tplc="A6BC20CA">
      <w:numFmt w:val="decimal"/>
      <w:lvlText w:val="%1."/>
      <w:lvlJc w:val="left"/>
      <w:pPr>
        <w:ind w:left="615" w:hanging="360"/>
      </w:pPr>
      <w:rPr>
        <w:rFonts w:hint="default"/>
      </w:rPr>
    </w:lvl>
    <w:lvl w:ilvl="1" w:tplc="04160019" w:tentative="1">
      <w:start w:val="1"/>
      <w:numFmt w:val="lowerLetter"/>
      <w:lvlText w:val="%2."/>
      <w:lvlJc w:val="left"/>
      <w:pPr>
        <w:ind w:left="1335" w:hanging="360"/>
      </w:pPr>
    </w:lvl>
    <w:lvl w:ilvl="2" w:tplc="0416001B" w:tentative="1">
      <w:start w:val="1"/>
      <w:numFmt w:val="lowerRoman"/>
      <w:lvlText w:val="%3."/>
      <w:lvlJc w:val="right"/>
      <w:pPr>
        <w:ind w:left="2055" w:hanging="180"/>
      </w:pPr>
    </w:lvl>
    <w:lvl w:ilvl="3" w:tplc="0416000F" w:tentative="1">
      <w:start w:val="1"/>
      <w:numFmt w:val="decimal"/>
      <w:lvlText w:val="%4."/>
      <w:lvlJc w:val="left"/>
      <w:pPr>
        <w:ind w:left="2775" w:hanging="360"/>
      </w:pPr>
    </w:lvl>
    <w:lvl w:ilvl="4" w:tplc="04160019" w:tentative="1">
      <w:start w:val="1"/>
      <w:numFmt w:val="lowerLetter"/>
      <w:lvlText w:val="%5."/>
      <w:lvlJc w:val="left"/>
      <w:pPr>
        <w:ind w:left="3495" w:hanging="360"/>
      </w:pPr>
    </w:lvl>
    <w:lvl w:ilvl="5" w:tplc="0416001B" w:tentative="1">
      <w:start w:val="1"/>
      <w:numFmt w:val="lowerRoman"/>
      <w:lvlText w:val="%6."/>
      <w:lvlJc w:val="right"/>
      <w:pPr>
        <w:ind w:left="4215" w:hanging="180"/>
      </w:pPr>
    </w:lvl>
    <w:lvl w:ilvl="6" w:tplc="0416000F" w:tentative="1">
      <w:start w:val="1"/>
      <w:numFmt w:val="decimal"/>
      <w:lvlText w:val="%7."/>
      <w:lvlJc w:val="left"/>
      <w:pPr>
        <w:ind w:left="4935" w:hanging="360"/>
      </w:pPr>
    </w:lvl>
    <w:lvl w:ilvl="7" w:tplc="04160019" w:tentative="1">
      <w:start w:val="1"/>
      <w:numFmt w:val="lowerLetter"/>
      <w:lvlText w:val="%8."/>
      <w:lvlJc w:val="left"/>
      <w:pPr>
        <w:ind w:left="5655" w:hanging="360"/>
      </w:pPr>
    </w:lvl>
    <w:lvl w:ilvl="8" w:tplc="0416001B" w:tentative="1">
      <w:start w:val="1"/>
      <w:numFmt w:val="lowerRoman"/>
      <w:lvlText w:val="%9."/>
      <w:lvlJc w:val="right"/>
      <w:pPr>
        <w:ind w:left="6375" w:hanging="180"/>
      </w:pPr>
    </w:lvl>
  </w:abstractNum>
  <w:abstractNum w:abstractNumId="9">
    <w:nsid w:val="11DA0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4C462DD"/>
    <w:multiLevelType w:val="hybridMultilevel"/>
    <w:tmpl w:val="BF7A33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182393"/>
    <w:multiLevelType w:val="hybridMultilevel"/>
    <w:tmpl w:val="03B694AE"/>
    <w:lvl w:ilvl="0" w:tplc="3C2487A6">
      <w:start w:val="1"/>
      <w:numFmt w:val="bullet"/>
      <w:lvlText w:val=""/>
      <w:lvlJc w:val="left"/>
      <w:pPr>
        <w:tabs>
          <w:tab w:val="num" w:pos="720"/>
        </w:tabs>
        <w:ind w:left="720" w:hanging="360"/>
      </w:pPr>
      <w:rPr>
        <w:rFonts w:ascii="Wingdings" w:hAnsi="Wingdings" w:hint="default"/>
      </w:rPr>
    </w:lvl>
    <w:lvl w:ilvl="1" w:tplc="76480216" w:tentative="1">
      <w:start w:val="1"/>
      <w:numFmt w:val="bullet"/>
      <w:lvlText w:val=""/>
      <w:lvlJc w:val="left"/>
      <w:pPr>
        <w:tabs>
          <w:tab w:val="num" w:pos="1440"/>
        </w:tabs>
        <w:ind w:left="1440" w:hanging="360"/>
      </w:pPr>
      <w:rPr>
        <w:rFonts w:ascii="Wingdings" w:hAnsi="Wingdings" w:hint="default"/>
      </w:rPr>
    </w:lvl>
    <w:lvl w:ilvl="2" w:tplc="4CE08F44" w:tentative="1">
      <w:start w:val="1"/>
      <w:numFmt w:val="bullet"/>
      <w:lvlText w:val=""/>
      <w:lvlJc w:val="left"/>
      <w:pPr>
        <w:tabs>
          <w:tab w:val="num" w:pos="2160"/>
        </w:tabs>
        <w:ind w:left="2160" w:hanging="360"/>
      </w:pPr>
      <w:rPr>
        <w:rFonts w:ascii="Wingdings" w:hAnsi="Wingdings" w:hint="default"/>
      </w:rPr>
    </w:lvl>
    <w:lvl w:ilvl="3" w:tplc="8522EA94" w:tentative="1">
      <w:start w:val="1"/>
      <w:numFmt w:val="bullet"/>
      <w:lvlText w:val=""/>
      <w:lvlJc w:val="left"/>
      <w:pPr>
        <w:tabs>
          <w:tab w:val="num" w:pos="2880"/>
        </w:tabs>
        <w:ind w:left="2880" w:hanging="360"/>
      </w:pPr>
      <w:rPr>
        <w:rFonts w:ascii="Wingdings" w:hAnsi="Wingdings" w:hint="default"/>
      </w:rPr>
    </w:lvl>
    <w:lvl w:ilvl="4" w:tplc="B1D276C4" w:tentative="1">
      <w:start w:val="1"/>
      <w:numFmt w:val="bullet"/>
      <w:lvlText w:val=""/>
      <w:lvlJc w:val="left"/>
      <w:pPr>
        <w:tabs>
          <w:tab w:val="num" w:pos="3600"/>
        </w:tabs>
        <w:ind w:left="3600" w:hanging="360"/>
      </w:pPr>
      <w:rPr>
        <w:rFonts w:ascii="Wingdings" w:hAnsi="Wingdings" w:hint="default"/>
      </w:rPr>
    </w:lvl>
    <w:lvl w:ilvl="5" w:tplc="A9DE29F6" w:tentative="1">
      <w:start w:val="1"/>
      <w:numFmt w:val="bullet"/>
      <w:lvlText w:val=""/>
      <w:lvlJc w:val="left"/>
      <w:pPr>
        <w:tabs>
          <w:tab w:val="num" w:pos="4320"/>
        </w:tabs>
        <w:ind w:left="4320" w:hanging="360"/>
      </w:pPr>
      <w:rPr>
        <w:rFonts w:ascii="Wingdings" w:hAnsi="Wingdings" w:hint="default"/>
      </w:rPr>
    </w:lvl>
    <w:lvl w:ilvl="6" w:tplc="2F7CFC80" w:tentative="1">
      <w:start w:val="1"/>
      <w:numFmt w:val="bullet"/>
      <w:lvlText w:val=""/>
      <w:lvlJc w:val="left"/>
      <w:pPr>
        <w:tabs>
          <w:tab w:val="num" w:pos="5040"/>
        </w:tabs>
        <w:ind w:left="5040" w:hanging="360"/>
      </w:pPr>
      <w:rPr>
        <w:rFonts w:ascii="Wingdings" w:hAnsi="Wingdings" w:hint="default"/>
      </w:rPr>
    </w:lvl>
    <w:lvl w:ilvl="7" w:tplc="57DC0642" w:tentative="1">
      <w:start w:val="1"/>
      <w:numFmt w:val="bullet"/>
      <w:lvlText w:val=""/>
      <w:lvlJc w:val="left"/>
      <w:pPr>
        <w:tabs>
          <w:tab w:val="num" w:pos="5760"/>
        </w:tabs>
        <w:ind w:left="5760" w:hanging="360"/>
      </w:pPr>
      <w:rPr>
        <w:rFonts w:ascii="Wingdings" w:hAnsi="Wingdings" w:hint="default"/>
      </w:rPr>
    </w:lvl>
    <w:lvl w:ilvl="8" w:tplc="654A52B6" w:tentative="1">
      <w:start w:val="1"/>
      <w:numFmt w:val="bullet"/>
      <w:lvlText w:val=""/>
      <w:lvlJc w:val="left"/>
      <w:pPr>
        <w:tabs>
          <w:tab w:val="num" w:pos="6480"/>
        </w:tabs>
        <w:ind w:left="6480" w:hanging="360"/>
      </w:pPr>
      <w:rPr>
        <w:rFonts w:ascii="Wingdings" w:hAnsi="Wingdings" w:hint="default"/>
      </w:rPr>
    </w:lvl>
  </w:abstractNum>
  <w:abstractNum w:abstractNumId="12">
    <w:nsid w:val="1A126B18"/>
    <w:multiLevelType w:val="hybridMultilevel"/>
    <w:tmpl w:val="736C9BA4"/>
    <w:lvl w:ilvl="0" w:tplc="7B6E91DC">
      <w:start w:val="1"/>
      <w:numFmt w:val="bullet"/>
      <w:lvlText w:val=""/>
      <w:lvlJc w:val="left"/>
      <w:pPr>
        <w:tabs>
          <w:tab w:val="num" w:pos="720"/>
        </w:tabs>
        <w:ind w:left="720" w:hanging="360"/>
      </w:pPr>
      <w:rPr>
        <w:rFonts w:ascii="Wingdings" w:hAnsi="Wingdings" w:hint="default"/>
      </w:rPr>
    </w:lvl>
    <w:lvl w:ilvl="1" w:tplc="2C4A6CE2" w:tentative="1">
      <w:start w:val="1"/>
      <w:numFmt w:val="bullet"/>
      <w:lvlText w:val=""/>
      <w:lvlJc w:val="left"/>
      <w:pPr>
        <w:tabs>
          <w:tab w:val="num" w:pos="1440"/>
        </w:tabs>
        <w:ind w:left="1440" w:hanging="360"/>
      </w:pPr>
      <w:rPr>
        <w:rFonts w:ascii="Wingdings" w:hAnsi="Wingdings" w:hint="default"/>
      </w:rPr>
    </w:lvl>
    <w:lvl w:ilvl="2" w:tplc="937A3DB8" w:tentative="1">
      <w:start w:val="1"/>
      <w:numFmt w:val="bullet"/>
      <w:lvlText w:val=""/>
      <w:lvlJc w:val="left"/>
      <w:pPr>
        <w:tabs>
          <w:tab w:val="num" w:pos="2160"/>
        </w:tabs>
        <w:ind w:left="2160" w:hanging="360"/>
      </w:pPr>
      <w:rPr>
        <w:rFonts w:ascii="Wingdings" w:hAnsi="Wingdings" w:hint="default"/>
      </w:rPr>
    </w:lvl>
    <w:lvl w:ilvl="3" w:tplc="28189F5C" w:tentative="1">
      <w:start w:val="1"/>
      <w:numFmt w:val="bullet"/>
      <w:lvlText w:val=""/>
      <w:lvlJc w:val="left"/>
      <w:pPr>
        <w:tabs>
          <w:tab w:val="num" w:pos="2880"/>
        </w:tabs>
        <w:ind w:left="2880" w:hanging="360"/>
      </w:pPr>
      <w:rPr>
        <w:rFonts w:ascii="Wingdings" w:hAnsi="Wingdings" w:hint="default"/>
      </w:rPr>
    </w:lvl>
    <w:lvl w:ilvl="4" w:tplc="3440E620" w:tentative="1">
      <w:start w:val="1"/>
      <w:numFmt w:val="bullet"/>
      <w:lvlText w:val=""/>
      <w:lvlJc w:val="left"/>
      <w:pPr>
        <w:tabs>
          <w:tab w:val="num" w:pos="3600"/>
        </w:tabs>
        <w:ind w:left="3600" w:hanging="360"/>
      </w:pPr>
      <w:rPr>
        <w:rFonts w:ascii="Wingdings" w:hAnsi="Wingdings" w:hint="default"/>
      </w:rPr>
    </w:lvl>
    <w:lvl w:ilvl="5" w:tplc="EE9A3D1A" w:tentative="1">
      <w:start w:val="1"/>
      <w:numFmt w:val="bullet"/>
      <w:lvlText w:val=""/>
      <w:lvlJc w:val="left"/>
      <w:pPr>
        <w:tabs>
          <w:tab w:val="num" w:pos="4320"/>
        </w:tabs>
        <w:ind w:left="4320" w:hanging="360"/>
      </w:pPr>
      <w:rPr>
        <w:rFonts w:ascii="Wingdings" w:hAnsi="Wingdings" w:hint="default"/>
      </w:rPr>
    </w:lvl>
    <w:lvl w:ilvl="6" w:tplc="9FA4041E" w:tentative="1">
      <w:start w:val="1"/>
      <w:numFmt w:val="bullet"/>
      <w:lvlText w:val=""/>
      <w:lvlJc w:val="left"/>
      <w:pPr>
        <w:tabs>
          <w:tab w:val="num" w:pos="5040"/>
        </w:tabs>
        <w:ind w:left="5040" w:hanging="360"/>
      </w:pPr>
      <w:rPr>
        <w:rFonts w:ascii="Wingdings" w:hAnsi="Wingdings" w:hint="default"/>
      </w:rPr>
    </w:lvl>
    <w:lvl w:ilvl="7" w:tplc="4198F3EE" w:tentative="1">
      <w:start w:val="1"/>
      <w:numFmt w:val="bullet"/>
      <w:lvlText w:val=""/>
      <w:lvlJc w:val="left"/>
      <w:pPr>
        <w:tabs>
          <w:tab w:val="num" w:pos="5760"/>
        </w:tabs>
        <w:ind w:left="5760" w:hanging="360"/>
      </w:pPr>
      <w:rPr>
        <w:rFonts w:ascii="Wingdings" w:hAnsi="Wingdings" w:hint="default"/>
      </w:rPr>
    </w:lvl>
    <w:lvl w:ilvl="8" w:tplc="9404DE18" w:tentative="1">
      <w:start w:val="1"/>
      <w:numFmt w:val="bullet"/>
      <w:lvlText w:val=""/>
      <w:lvlJc w:val="left"/>
      <w:pPr>
        <w:tabs>
          <w:tab w:val="num" w:pos="6480"/>
        </w:tabs>
        <w:ind w:left="6480" w:hanging="360"/>
      </w:pPr>
      <w:rPr>
        <w:rFonts w:ascii="Wingdings" w:hAnsi="Wingdings" w:hint="default"/>
      </w:rPr>
    </w:lvl>
  </w:abstractNum>
  <w:abstractNum w:abstractNumId="13">
    <w:nsid w:val="22142305"/>
    <w:multiLevelType w:val="hybridMultilevel"/>
    <w:tmpl w:val="6186EF2C"/>
    <w:lvl w:ilvl="0" w:tplc="1EE6D3C0">
      <w:start w:val="1"/>
      <w:numFmt w:val="bullet"/>
      <w:lvlText w:val=""/>
      <w:lvlJc w:val="left"/>
      <w:pPr>
        <w:tabs>
          <w:tab w:val="num" w:pos="720"/>
        </w:tabs>
        <w:ind w:left="720" w:hanging="360"/>
      </w:pPr>
      <w:rPr>
        <w:rFonts w:ascii="Wingdings" w:hAnsi="Wingdings" w:hint="default"/>
      </w:rPr>
    </w:lvl>
    <w:lvl w:ilvl="1" w:tplc="288ABC00" w:tentative="1">
      <w:start w:val="1"/>
      <w:numFmt w:val="bullet"/>
      <w:lvlText w:val=""/>
      <w:lvlJc w:val="left"/>
      <w:pPr>
        <w:tabs>
          <w:tab w:val="num" w:pos="1440"/>
        </w:tabs>
        <w:ind w:left="1440" w:hanging="360"/>
      </w:pPr>
      <w:rPr>
        <w:rFonts w:ascii="Wingdings" w:hAnsi="Wingdings" w:hint="default"/>
      </w:rPr>
    </w:lvl>
    <w:lvl w:ilvl="2" w:tplc="0568C300" w:tentative="1">
      <w:start w:val="1"/>
      <w:numFmt w:val="bullet"/>
      <w:lvlText w:val=""/>
      <w:lvlJc w:val="left"/>
      <w:pPr>
        <w:tabs>
          <w:tab w:val="num" w:pos="2160"/>
        </w:tabs>
        <w:ind w:left="2160" w:hanging="360"/>
      </w:pPr>
      <w:rPr>
        <w:rFonts w:ascii="Wingdings" w:hAnsi="Wingdings" w:hint="default"/>
      </w:rPr>
    </w:lvl>
    <w:lvl w:ilvl="3" w:tplc="4C8C1DDA" w:tentative="1">
      <w:start w:val="1"/>
      <w:numFmt w:val="bullet"/>
      <w:lvlText w:val=""/>
      <w:lvlJc w:val="left"/>
      <w:pPr>
        <w:tabs>
          <w:tab w:val="num" w:pos="2880"/>
        </w:tabs>
        <w:ind w:left="2880" w:hanging="360"/>
      </w:pPr>
      <w:rPr>
        <w:rFonts w:ascii="Wingdings" w:hAnsi="Wingdings" w:hint="default"/>
      </w:rPr>
    </w:lvl>
    <w:lvl w:ilvl="4" w:tplc="A0009554" w:tentative="1">
      <w:start w:val="1"/>
      <w:numFmt w:val="bullet"/>
      <w:lvlText w:val=""/>
      <w:lvlJc w:val="left"/>
      <w:pPr>
        <w:tabs>
          <w:tab w:val="num" w:pos="3600"/>
        </w:tabs>
        <w:ind w:left="3600" w:hanging="360"/>
      </w:pPr>
      <w:rPr>
        <w:rFonts w:ascii="Wingdings" w:hAnsi="Wingdings" w:hint="default"/>
      </w:rPr>
    </w:lvl>
    <w:lvl w:ilvl="5" w:tplc="4992F75C" w:tentative="1">
      <w:start w:val="1"/>
      <w:numFmt w:val="bullet"/>
      <w:lvlText w:val=""/>
      <w:lvlJc w:val="left"/>
      <w:pPr>
        <w:tabs>
          <w:tab w:val="num" w:pos="4320"/>
        </w:tabs>
        <w:ind w:left="4320" w:hanging="360"/>
      </w:pPr>
      <w:rPr>
        <w:rFonts w:ascii="Wingdings" w:hAnsi="Wingdings" w:hint="default"/>
      </w:rPr>
    </w:lvl>
    <w:lvl w:ilvl="6" w:tplc="4822A304" w:tentative="1">
      <w:start w:val="1"/>
      <w:numFmt w:val="bullet"/>
      <w:lvlText w:val=""/>
      <w:lvlJc w:val="left"/>
      <w:pPr>
        <w:tabs>
          <w:tab w:val="num" w:pos="5040"/>
        </w:tabs>
        <w:ind w:left="5040" w:hanging="360"/>
      </w:pPr>
      <w:rPr>
        <w:rFonts w:ascii="Wingdings" w:hAnsi="Wingdings" w:hint="default"/>
      </w:rPr>
    </w:lvl>
    <w:lvl w:ilvl="7" w:tplc="641C03B2" w:tentative="1">
      <w:start w:val="1"/>
      <w:numFmt w:val="bullet"/>
      <w:lvlText w:val=""/>
      <w:lvlJc w:val="left"/>
      <w:pPr>
        <w:tabs>
          <w:tab w:val="num" w:pos="5760"/>
        </w:tabs>
        <w:ind w:left="5760" w:hanging="360"/>
      </w:pPr>
      <w:rPr>
        <w:rFonts w:ascii="Wingdings" w:hAnsi="Wingdings" w:hint="default"/>
      </w:rPr>
    </w:lvl>
    <w:lvl w:ilvl="8" w:tplc="13A4C270" w:tentative="1">
      <w:start w:val="1"/>
      <w:numFmt w:val="bullet"/>
      <w:lvlText w:val=""/>
      <w:lvlJc w:val="left"/>
      <w:pPr>
        <w:tabs>
          <w:tab w:val="num" w:pos="6480"/>
        </w:tabs>
        <w:ind w:left="6480" w:hanging="360"/>
      </w:pPr>
      <w:rPr>
        <w:rFonts w:ascii="Wingdings" w:hAnsi="Wingdings" w:hint="default"/>
      </w:rPr>
    </w:lvl>
  </w:abstractNum>
  <w:abstractNum w:abstractNumId="14">
    <w:nsid w:val="2B163534"/>
    <w:multiLevelType w:val="hybridMultilevel"/>
    <w:tmpl w:val="7F125D54"/>
    <w:lvl w:ilvl="0" w:tplc="E4EA6D58">
      <w:start w:val="1"/>
      <w:numFmt w:val="bullet"/>
      <w:lvlText w:val=""/>
      <w:lvlJc w:val="left"/>
      <w:pPr>
        <w:tabs>
          <w:tab w:val="num" w:pos="720"/>
        </w:tabs>
        <w:ind w:left="720" w:hanging="360"/>
      </w:pPr>
      <w:rPr>
        <w:rFonts w:ascii="Wingdings" w:hAnsi="Wingdings" w:hint="default"/>
      </w:rPr>
    </w:lvl>
    <w:lvl w:ilvl="1" w:tplc="3B545CAC" w:tentative="1">
      <w:start w:val="1"/>
      <w:numFmt w:val="bullet"/>
      <w:lvlText w:val=""/>
      <w:lvlJc w:val="left"/>
      <w:pPr>
        <w:tabs>
          <w:tab w:val="num" w:pos="1440"/>
        </w:tabs>
        <w:ind w:left="1440" w:hanging="360"/>
      </w:pPr>
      <w:rPr>
        <w:rFonts w:ascii="Wingdings" w:hAnsi="Wingdings" w:hint="default"/>
      </w:rPr>
    </w:lvl>
    <w:lvl w:ilvl="2" w:tplc="A374070C" w:tentative="1">
      <w:start w:val="1"/>
      <w:numFmt w:val="bullet"/>
      <w:lvlText w:val=""/>
      <w:lvlJc w:val="left"/>
      <w:pPr>
        <w:tabs>
          <w:tab w:val="num" w:pos="2160"/>
        </w:tabs>
        <w:ind w:left="2160" w:hanging="360"/>
      </w:pPr>
      <w:rPr>
        <w:rFonts w:ascii="Wingdings" w:hAnsi="Wingdings" w:hint="default"/>
      </w:rPr>
    </w:lvl>
    <w:lvl w:ilvl="3" w:tplc="9F505A06" w:tentative="1">
      <w:start w:val="1"/>
      <w:numFmt w:val="bullet"/>
      <w:lvlText w:val=""/>
      <w:lvlJc w:val="left"/>
      <w:pPr>
        <w:tabs>
          <w:tab w:val="num" w:pos="2880"/>
        </w:tabs>
        <w:ind w:left="2880" w:hanging="360"/>
      </w:pPr>
      <w:rPr>
        <w:rFonts w:ascii="Wingdings" w:hAnsi="Wingdings" w:hint="default"/>
      </w:rPr>
    </w:lvl>
    <w:lvl w:ilvl="4" w:tplc="F21CD944" w:tentative="1">
      <w:start w:val="1"/>
      <w:numFmt w:val="bullet"/>
      <w:lvlText w:val=""/>
      <w:lvlJc w:val="left"/>
      <w:pPr>
        <w:tabs>
          <w:tab w:val="num" w:pos="3600"/>
        </w:tabs>
        <w:ind w:left="3600" w:hanging="360"/>
      </w:pPr>
      <w:rPr>
        <w:rFonts w:ascii="Wingdings" w:hAnsi="Wingdings" w:hint="default"/>
      </w:rPr>
    </w:lvl>
    <w:lvl w:ilvl="5" w:tplc="81BC87A2" w:tentative="1">
      <w:start w:val="1"/>
      <w:numFmt w:val="bullet"/>
      <w:lvlText w:val=""/>
      <w:lvlJc w:val="left"/>
      <w:pPr>
        <w:tabs>
          <w:tab w:val="num" w:pos="4320"/>
        </w:tabs>
        <w:ind w:left="4320" w:hanging="360"/>
      </w:pPr>
      <w:rPr>
        <w:rFonts w:ascii="Wingdings" w:hAnsi="Wingdings" w:hint="default"/>
      </w:rPr>
    </w:lvl>
    <w:lvl w:ilvl="6" w:tplc="DCA65B00" w:tentative="1">
      <w:start w:val="1"/>
      <w:numFmt w:val="bullet"/>
      <w:lvlText w:val=""/>
      <w:lvlJc w:val="left"/>
      <w:pPr>
        <w:tabs>
          <w:tab w:val="num" w:pos="5040"/>
        </w:tabs>
        <w:ind w:left="5040" w:hanging="360"/>
      </w:pPr>
      <w:rPr>
        <w:rFonts w:ascii="Wingdings" w:hAnsi="Wingdings" w:hint="default"/>
      </w:rPr>
    </w:lvl>
    <w:lvl w:ilvl="7" w:tplc="7D12B6AE" w:tentative="1">
      <w:start w:val="1"/>
      <w:numFmt w:val="bullet"/>
      <w:lvlText w:val=""/>
      <w:lvlJc w:val="left"/>
      <w:pPr>
        <w:tabs>
          <w:tab w:val="num" w:pos="5760"/>
        </w:tabs>
        <w:ind w:left="5760" w:hanging="360"/>
      </w:pPr>
      <w:rPr>
        <w:rFonts w:ascii="Wingdings" w:hAnsi="Wingdings" w:hint="default"/>
      </w:rPr>
    </w:lvl>
    <w:lvl w:ilvl="8" w:tplc="DEF04650" w:tentative="1">
      <w:start w:val="1"/>
      <w:numFmt w:val="bullet"/>
      <w:lvlText w:val=""/>
      <w:lvlJc w:val="left"/>
      <w:pPr>
        <w:tabs>
          <w:tab w:val="num" w:pos="6480"/>
        </w:tabs>
        <w:ind w:left="6480" w:hanging="360"/>
      </w:pPr>
      <w:rPr>
        <w:rFonts w:ascii="Wingdings" w:hAnsi="Wingdings" w:hint="default"/>
      </w:rPr>
    </w:lvl>
  </w:abstractNum>
  <w:abstractNum w:abstractNumId="15">
    <w:nsid w:val="2C4A45BA"/>
    <w:multiLevelType w:val="hybridMultilevel"/>
    <w:tmpl w:val="6FD48466"/>
    <w:lvl w:ilvl="0" w:tplc="9FB6A0A6">
      <w:start w:val="1"/>
      <w:numFmt w:val="bullet"/>
      <w:lvlText w:val=""/>
      <w:lvlJc w:val="left"/>
      <w:pPr>
        <w:tabs>
          <w:tab w:val="num" w:pos="720"/>
        </w:tabs>
        <w:ind w:left="720" w:hanging="360"/>
      </w:pPr>
      <w:rPr>
        <w:rFonts w:ascii="Wingdings" w:hAnsi="Wingdings" w:hint="default"/>
      </w:rPr>
    </w:lvl>
    <w:lvl w:ilvl="1" w:tplc="88780D16" w:tentative="1">
      <w:start w:val="1"/>
      <w:numFmt w:val="bullet"/>
      <w:lvlText w:val=""/>
      <w:lvlJc w:val="left"/>
      <w:pPr>
        <w:tabs>
          <w:tab w:val="num" w:pos="1440"/>
        </w:tabs>
        <w:ind w:left="1440" w:hanging="360"/>
      </w:pPr>
      <w:rPr>
        <w:rFonts w:ascii="Wingdings" w:hAnsi="Wingdings" w:hint="default"/>
      </w:rPr>
    </w:lvl>
    <w:lvl w:ilvl="2" w:tplc="811235DC" w:tentative="1">
      <w:start w:val="1"/>
      <w:numFmt w:val="bullet"/>
      <w:lvlText w:val=""/>
      <w:lvlJc w:val="left"/>
      <w:pPr>
        <w:tabs>
          <w:tab w:val="num" w:pos="2160"/>
        </w:tabs>
        <w:ind w:left="2160" w:hanging="360"/>
      </w:pPr>
      <w:rPr>
        <w:rFonts w:ascii="Wingdings" w:hAnsi="Wingdings" w:hint="default"/>
      </w:rPr>
    </w:lvl>
    <w:lvl w:ilvl="3" w:tplc="B01A5E2E" w:tentative="1">
      <w:start w:val="1"/>
      <w:numFmt w:val="bullet"/>
      <w:lvlText w:val=""/>
      <w:lvlJc w:val="left"/>
      <w:pPr>
        <w:tabs>
          <w:tab w:val="num" w:pos="2880"/>
        </w:tabs>
        <w:ind w:left="2880" w:hanging="360"/>
      </w:pPr>
      <w:rPr>
        <w:rFonts w:ascii="Wingdings" w:hAnsi="Wingdings" w:hint="default"/>
      </w:rPr>
    </w:lvl>
    <w:lvl w:ilvl="4" w:tplc="645460C8" w:tentative="1">
      <w:start w:val="1"/>
      <w:numFmt w:val="bullet"/>
      <w:lvlText w:val=""/>
      <w:lvlJc w:val="left"/>
      <w:pPr>
        <w:tabs>
          <w:tab w:val="num" w:pos="3600"/>
        </w:tabs>
        <w:ind w:left="3600" w:hanging="360"/>
      </w:pPr>
      <w:rPr>
        <w:rFonts w:ascii="Wingdings" w:hAnsi="Wingdings" w:hint="default"/>
      </w:rPr>
    </w:lvl>
    <w:lvl w:ilvl="5" w:tplc="4BB86922" w:tentative="1">
      <w:start w:val="1"/>
      <w:numFmt w:val="bullet"/>
      <w:lvlText w:val=""/>
      <w:lvlJc w:val="left"/>
      <w:pPr>
        <w:tabs>
          <w:tab w:val="num" w:pos="4320"/>
        </w:tabs>
        <w:ind w:left="4320" w:hanging="360"/>
      </w:pPr>
      <w:rPr>
        <w:rFonts w:ascii="Wingdings" w:hAnsi="Wingdings" w:hint="default"/>
      </w:rPr>
    </w:lvl>
    <w:lvl w:ilvl="6" w:tplc="D2326F66" w:tentative="1">
      <w:start w:val="1"/>
      <w:numFmt w:val="bullet"/>
      <w:lvlText w:val=""/>
      <w:lvlJc w:val="left"/>
      <w:pPr>
        <w:tabs>
          <w:tab w:val="num" w:pos="5040"/>
        </w:tabs>
        <w:ind w:left="5040" w:hanging="360"/>
      </w:pPr>
      <w:rPr>
        <w:rFonts w:ascii="Wingdings" w:hAnsi="Wingdings" w:hint="default"/>
      </w:rPr>
    </w:lvl>
    <w:lvl w:ilvl="7" w:tplc="3F4A87CA" w:tentative="1">
      <w:start w:val="1"/>
      <w:numFmt w:val="bullet"/>
      <w:lvlText w:val=""/>
      <w:lvlJc w:val="left"/>
      <w:pPr>
        <w:tabs>
          <w:tab w:val="num" w:pos="5760"/>
        </w:tabs>
        <w:ind w:left="5760" w:hanging="360"/>
      </w:pPr>
      <w:rPr>
        <w:rFonts w:ascii="Wingdings" w:hAnsi="Wingdings" w:hint="default"/>
      </w:rPr>
    </w:lvl>
    <w:lvl w:ilvl="8" w:tplc="F6689D9E" w:tentative="1">
      <w:start w:val="1"/>
      <w:numFmt w:val="bullet"/>
      <w:lvlText w:val=""/>
      <w:lvlJc w:val="left"/>
      <w:pPr>
        <w:tabs>
          <w:tab w:val="num" w:pos="6480"/>
        </w:tabs>
        <w:ind w:left="6480" w:hanging="360"/>
      </w:pPr>
      <w:rPr>
        <w:rFonts w:ascii="Wingdings" w:hAnsi="Wingdings" w:hint="default"/>
      </w:rPr>
    </w:lvl>
  </w:abstractNum>
  <w:abstractNum w:abstractNumId="16">
    <w:nsid w:val="31FF2EC9"/>
    <w:multiLevelType w:val="hybridMultilevel"/>
    <w:tmpl w:val="340C2B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5A8272D"/>
    <w:multiLevelType w:val="hybridMultilevel"/>
    <w:tmpl w:val="4656C39A"/>
    <w:lvl w:ilvl="0" w:tplc="88023CE6">
      <w:start w:val="1"/>
      <w:numFmt w:val="bullet"/>
      <w:lvlText w:val=""/>
      <w:lvlJc w:val="left"/>
      <w:pPr>
        <w:tabs>
          <w:tab w:val="num" w:pos="720"/>
        </w:tabs>
        <w:ind w:left="720" w:hanging="360"/>
      </w:pPr>
      <w:rPr>
        <w:rFonts w:ascii="Wingdings" w:hAnsi="Wingdings" w:hint="default"/>
      </w:rPr>
    </w:lvl>
    <w:lvl w:ilvl="1" w:tplc="965E3E2C" w:tentative="1">
      <w:start w:val="1"/>
      <w:numFmt w:val="bullet"/>
      <w:lvlText w:val=""/>
      <w:lvlJc w:val="left"/>
      <w:pPr>
        <w:tabs>
          <w:tab w:val="num" w:pos="1440"/>
        </w:tabs>
        <w:ind w:left="1440" w:hanging="360"/>
      </w:pPr>
      <w:rPr>
        <w:rFonts w:ascii="Wingdings" w:hAnsi="Wingdings" w:hint="default"/>
      </w:rPr>
    </w:lvl>
    <w:lvl w:ilvl="2" w:tplc="B1DA7F9C" w:tentative="1">
      <w:start w:val="1"/>
      <w:numFmt w:val="bullet"/>
      <w:lvlText w:val=""/>
      <w:lvlJc w:val="left"/>
      <w:pPr>
        <w:tabs>
          <w:tab w:val="num" w:pos="2160"/>
        </w:tabs>
        <w:ind w:left="2160" w:hanging="360"/>
      </w:pPr>
      <w:rPr>
        <w:rFonts w:ascii="Wingdings" w:hAnsi="Wingdings" w:hint="default"/>
      </w:rPr>
    </w:lvl>
    <w:lvl w:ilvl="3" w:tplc="243EC90E" w:tentative="1">
      <w:start w:val="1"/>
      <w:numFmt w:val="bullet"/>
      <w:lvlText w:val=""/>
      <w:lvlJc w:val="left"/>
      <w:pPr>
        <w:tabs>
          <w:tab w:val="num" w:pos="2880"/>
        </w:tabs>
        <w:ind w:left="2880" w:hanging="360"/>
      </w:pPr>
      <w:rPr>
        <w:rFonts w:ascii="Wingdings" w:hAnsi="Wingdings" w:hint="default"/>
      </w:rPr>
    </w:lvl>
    <w:lvl w:ilvl="4" w:tplc="B9629222" w:tentative="1">
      <w:start w:val="1"/>
      <w:numFmt w:val="bullet"/>
      <w:lvlText w:val=""/>
      <w:lvlJc w:val="left"/>
      <w:pPr>
        <w:tabs>
          <w:tab w:val="num" w:pos="3600"/>
        </w:tabs>
        <w:ind w:left="3600" w:hanging="360"/>
      </w:pPr>
      <w:rPr>
        <w:rFonts w:ascii="Wingdings" w:hAnsi="Wingdings" w:hint="default"/>
      </w:rPr>
    </w:lvl>
    <w:lvl w:ilvl="5" w:tplc="8728AAC8" w:tentative="1">
      <w:start w:val="1"/>
      <w:numFmt w:val="bullet"/>
      <w:lvlText w:val=""/>
      <w:lvlJc w:val="left"/>
      <w:pPr>
        <w:tabs>
          <w:tab w:val="num" w:pos="4320"/>
        </w:tabs>
        <w:ind w:left="4320" w:hanging="360"/>
      </w:pPr>
      <w:rPr>
        <w:rFonts w:ascii="Wingdings" w:hAnsi="Wingdings" w:hint="default"/>
      </w:rPr>
    </w:lvl>
    <w:lvl w:ilvl="6" w:tplc="602E441E" w:tentative="1">
      <w:start w:val="1"/>
      <w:numFmt w:val="bullet"/>
      <w:lvlText w:val=""/>
      <w:lvlJc w:val="left"/>
      <w:pPr>
        <w:tabs>
          <w:tab w:val="num" w:pos="5040"/>
        </w:tabs>
        <w:ind w:left="5040" w:hanging="360"/>
      </w:pPr>
      <w:rPr>
        <w:rFonts w:ascii="Wingdings" w:hAnsi="Wingdings" w:hint="default"/>
      </w:rPr>
    </w:lvl>
    <w:lvl w:ilvl="7" w:tplc="A7CCB16E" w:tentative="1">
      <w:start w:val="1"/>
      <w:numFmt w:val="bullet"/>
      <w:lvlText w:val=""/>
      <w:lvlJc w:val="left"/>
      <w:pPr>
        <w:tabs>
          <w:tab w:val="num" w:pos="5760"/>
        </w:tabs>
        <w:ind w:left="5760" w:hanging="360"/>
      </w:pPr>
      <w:rPr>
        <w:rFonts w:ascii="Wingdings" w:hAnsi="Wingdings" w:hint="default"/>
      </w:rPr>
    </w:lvl>
    <w:lvl w:ilvl="8" w:tplc="6B7261FA" w:tentative="1">
      <w:start w:val="1"/>
      <w:numFmt w:val="bullet"/>
      <w:lvlText w:val=""/>
      <w:lvlJc w:val="left"/>
      <w:pPr>
        <w:tabs>
          <w:tab w:val="num" w:pos="6480"/>
        </w:tabs>
        <w:ind w:left="6480" w:hanging="360"/>
      </w:pPr>
      <w:rPr>
        <w:rFonts w:ascii="Wingdings" w:hAnsi="Wingdings" w:hint="default"/>
      </w:rPr>
    </w:lvl>
  </w:abstractNum>
  <w:abstractNum w:abstractNumId="18">
    <w:nsid w:val="368012EE"/>
    <w:multiLevelType w:val="singleLevel"/>
    <w:tmpl w:val="F0BAC9C2"/>
    <w:lvl w:ilvl="0">
      <w:start w:val="8"/>
      <w:numFmt w:val="bullet"/>
      <w:lvlText w:val="-"/>
      <w:lvlJc w:val="left"/>
      <w:pPr>
        <w:tabs>
          <w:tab w:val="num" w:pos="360"/>
        </w:tabs>
        <w:ind w:left="360" w:hanging="360"/>
      </w:pPr>
      <w:rPr>
        <w:rFonts w:ascii="Times New Roman" w:hAnsi="Times New Roman" w:hint="default"/>
      </w:rPr>
    </w:lvl>
  </w:abstractNum>
  <w:abstractNum w:abstractNumId="19">
    <w:nsid w:val="37520331"/>
    <w:multiLevelType w:val="hybridMultilevel"/>
    <w:tmpl w:val="43F215A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7AE4D96"/>
    <w:multiLevelType w:val="hybridMultilevel"/>
    <w:tmpl w:val="76145570"/>
    <w:lvl w:ilvl="0" w:tplc="96D4B0F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D77460"/>
    <w:multiLevelType w:val="hybridMultilevel"/>
    <w:tmpl w:val="1CB81712"/>
    <w:lvl w:ilvl="0" w:tplc="04160011">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4D4307C"/>
    <w:multiLevelType w:val="hybridMultilevel"/>
    <w:tmpl w:val="621AF77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Wingdings"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Wingdings"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Wingdings"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nsid w:val="4AA56BE0"/>
    <w:multiLevelType w:val="hybridMultilevel"/>
    <w:tmpl w:val="37261E9C"/>
    <w:lvl w:ilvl="0" w:tplc="C19C220A">
      <w:start w:val="1"/>
      <w:numFmt w:val="decimal"/>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24">
    <w:nsid w:val="4B5B2D01"/>
    <w:multiLevelType w:val="singleLevel"/>
    <w:tmpl w:val="860AD572"/>
    <w:lvl w:ilvl="0">
      <w:start w:val="23"/>
      <w:numFmt w:val="upperLetter"/>
      <w:lvlText w:val="%1."/>
      <w:lvlJc w:val="left"/>
      <w:pPr>
        <w:tabs>
          <w:tab w:val="num" w:pos="510"/>
        </w:tabs>
        <w:ind w:left="510" w:hanging="510"/>
      </w:pPr>
      <w:rPr>
        <w:rFonts w:hint="default"/>
      </w:rPr>
    </w:lvl>
  </w:abstractNum>
  <w:abstractNum w:abstractNumId="25">
    <w:nsid w:val="4DDE7612"/>
    <w:multiLevelType w:val="hybridMultilevel"/>
    <w:tmpl w:val="E56A9FAC"/>
    <w:lvl w:ilvl="0" w:tplc="932A59EA">
      <w:start w:val="1"/>
      <w:numFmt w:val="decimal"/>
      <w:lvlText w:val="%1."/>
      <w:lvlJc w:val="left"/>
      <w:pPr>
        <w:tabs>
          <w:tab w:val="num" w:pos="720"/>
        </w:tabs>
        <w:ind w:left="720" w:hanging="360"/>
      </w:pPr>
      <w:rPr>
        <w:rFonts w:hint="default"/>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2AD7484"/>
    <w:multiLevelType w:val="singleLevel"/>
    <w:tmpl w:val="DE68C062"/>
    <w:lvl w:ilvl="0">
      <w:start w:val="1"/>
      <w:numFmt w:val="bullet"/>
      <w:lvlText w:val=""/>
      <w:lvlJc w:val="left"/>
      <w:pPr>
        <w:tabs>
          <w:tab w:val="num" w:pos="360"/>
        </w:tabs>
        <w:ind w:left="360" w:hanging="360"/>
      </w:pPr>
      <w:rPr>
        <w:rFonts w:ascii="Symbol" w:hAnsi="Symbol" w:hint="default"/>
      </w:rPr>
    </w:lvl>
  </w:abstractNum>
  <w:abstractNum w:abstractNumId="27">
    <w:nsid w:val="57326996"/>
    <w:multiLevelType w:val="hybridMultilevel"/>
    <w:tmpl w:val="FD4021EC"/>
    <w:lvl w:ilvl="0" w:tplc="A2621C3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CDA6F13"/>
    <w:multiLevelType w:val="singleLevel"/>
    <w:tmpl w:val="AA761AC6"/>
    <w:lvl w:ilvl="0">
      <w:numFmt w:val="bullet"/>
      <w:lvlText w:val=""/>
      <w:lvlJc w:val="left"/>
      <w:pPr>
        <w:tabs>
          <w:tab w:val="num" w:pos="360"/>
        </w:tabs>
        <w:ind w:left="360" w:hanging="360"/>
      </w:pPr>
      <w:rPr>
        <w:rFonts w:ascii="Symbol" w:hAnsi="Symbol" w:hint="default"/>
      </w:rPr>
    </w:lvl>
  </w:abstractNum>
  <w:abstractNum w:abstractNumId="29">
    <w:nsid w:val="6D4E1772"/>
    <w:multiLevelType w:val="hybridMultilevel"/>
    <w:tmpl w:val="28744EF2"/>
    <w:lvl w:ilvl="0" w:tplc="289AE4D6">
      <w:start w:val="1"/>
      <w:numFmt w:val="bullet"/>
      <w:lvlText w:val=""/>
      <w:lvlJc w:val="left"/>
      <w:pPr>
        <w:tabs>
          <w:tab w:val="num" w:pos="720"/>
        </w:tabs>
        <w:ind w:left="720" w:hanging="360"/>
      </w:pPr>
      <w:rPr>
        <w:rFonts w:ascii="Wingdings" w:hAnsi="Wingdings" w:hint="default"/>
      </w:rPr>
    </w:lvl>
    <w:lvl w:ilvl="1" w:tplc="AC023686" w:tentative="1">
      <w:start w:val="1"/>
      <w:numFmt w:val="bullet"/>
      <w:lvlText w:val=""/>
      <w:lvlJc w:val="left"/>
      <w:pPr>
        <w:tabs>
          <w:tab w:val="num" w:pos="1440"/>
        </w:tabs>
        <w:ind w:left="1440" w:hanging="360"/>
      </w:pPr>
      <w:rPr>
        <w:rFonts w:ascii="Wingdings" w:hAnsi="Wingdings" w:hint="default"/>
      </w:rPr>
    </w:lvl>
    <w:lvl w:ilvl="2" w:tplc="3AC2B2A6" w:tentative="1">
      <w:start w:val="1"/>
      <w:numFmt w:val="bullet"/>
      <w:lvlText w:val=""/>
      <w:lvlJc w:val="left"/>
      <w:pPr>
        <w:tabs>
          <w:tab w:val="num" w:pos="2160"/>
        </w:tabs>
        <w:ind w:left="2160" w:hanging="360"/>
      </w:pPr>
      <w:rPr>
        <w:rFonts w:ascii="Wingdings" w:hAnsi="Wingdings" w:hint="default"/>
      </w:rPr>
    </w:lvl>
    <w:lvl w:ilvl="3" w:tplc="2ADEFBDC" w:tentative="1">
      <w:start w:val="1"/>
      <w:numFmt w:val="bullet"/>
      <w:lvlText w:val=""/>
      <w:lvlJc w:val="left"/>
      <w:pPr>
        <w:tabs>
          <w:tab w:val="num" w:pos="2880"/>
        </w:tabs>
        <w:ind w:left="2880" w:hanging="360"/>
      </w:pPr>
      <w:rPr>
        <w:rFonts w:ascii="Wingdings" w:hAnsi="Wingdings" w:hint="default"/>
      </w:rPr>
    </w:lvl>
    <w:lvl w:ilvl="4" w:tplc="CAB87BE0" w:tentative="1">
      <w:start w:val="1"/>
      <w:numFmt w:val="bullet"/>
      <w:lvlText w:val=""/>
      <w:lvlJc w:val="left"/>
      <w:pPr>
        <w:tabs>
          <w:tab w:val="num" w:pos="3600"/>
        </w:tabs>
        <w:ind w:left="3600" w:hanging="360"/>
      </w:pPr>
      <w:rPr>
        <w:rFonts w:ascii="Wingdings" w:hAnsi="Wingdings" w:hint="default"/>
      </w:rPr>
    </w:lvl>
    <w:lvl w:ilvl="5" w:tplc="D3E20240" w:tentative="1">
      <w:start w:val="1"/>
      <w:numFmt w:val="bullet"/>
      <w:lvlText w:val=""/>
      <w:lvlJc w:val="left"/>
      <w:pPr>
        <w:tabs>
          <w:tab w:val="num" w:pos="4320"/>
        </w:tabs>
        <w:ind w:left="4320" w:hanging="360"/>
      </w:pPr>
      <w:rPr>
        <w:rFonts w:ascii="Wingdings" w:hAnsi="Wingdings" w:hint="default"/>
      </w:rPr>
    </w:lvl>
    <w:lvl w:ilvl="6" w:tplc="B86A41C0" w:tentative="1">
      <w:start w:val="1"/>
      <w:numFmt w:val="bullet"/>
      <w:lvlText w:val=""/>
      <w:lvlJc w:val="left"/>
      <w:pPr>
        <w:tabs>
          <w:tab w:val="num" w:pos="5040"/>
        </w:tabs>
        <w:ind w:left="5040" w:hanging="360"/>
      </w:pPr>
      <w:rPr>
        <w:rFonts w:ascii="Wingdings" w:hAnsi="Wingdings" w:hint="default"/>
      </w:rPr>
    </w:lvl>
    <w:lvl w:ilvl="7" w:tplc="DECE2614" w:tentative="1">
      <w:start w:val="1"/>
      <w:numFmt w:val="bullet"/>
      <w:lvlText w:val=""/>
      <w:lvlJc w:val="left"/>
      <w:pPr>
        <w:tabs>
          <w:tab w:val="num" w:pos="5760"/>
        </w:tabs>
        <w:ind w:left="5760" w:hanging="360"/>
      </w:pPr>
      <w:rPr>
        <w:rFonts w:ascii="Wingdings" w:hAnsi="Wingdings" w:hint="default"/>
      </w:rPr>
    </w:lvl>
    <w:lvl w:ilvl="8" w:tplc="3482D53E" w:tentative="1">
      <w:start w:val="1"/>
      <w:numFmt w:val="bullet"/>
      <w:lvlText w:val=""/>
      <w:lvlJc w:val="left"/>
      <w:pPr>
        <w:tabs>
          <w:tab w:val="num" w:pos="6480"/>
        </w:tabs>
        <w:ind w:left="6480" w:hanging="360"/>
      </w:pPr>
      <w:rPr>
        <w:rFonts w:ascii="Wingdings" w:hAnsi="Wingdings" w:hint="default"/>
      </w:rPr>
    </w:lvl>
  </w:abstractNum>
  <w:abstractNum w:abstractNumId="30">
    <w:nsid w:val="71715A7E"/>
    <w:multiLevelType w:val="hybridMultilevel"/>
    <w:tmpl w:val="CAE084EC"/>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289505A"/>
    <w:multiLevelType w:val="singleLevel"/>
    <w:tmpl w:val="8500AF94"/>
    <w:lvl w:ilvl="0">
      <w:start w:val="5"/>
      <w:numFmt w:val="upperLetter"/>
      <w:lvlText w:val="%1."/>
      <w:lvlJc w:val="left"/>
      <w:pPr>
        <w:tabs>
          <w:tab w:val="num" w:pos="4005"/>
        </w:tabs>
        <w:ind w:left="4005" w:hanging="405"/>
      </w:pPr>
      <w:rPr>
        <w:rFonts w:hint="default"/>
      </w:rPr>
    </w:lvl>
  </w:abstractNum>
  <w:abstractNum w:abstractNumId="32">
    <w:nsid w:val="738D283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3">
    <w:nsid w:val="757A1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F17C19"/>
    <w:multiLevelType w:val="hybridMultilevel"/>
    <w:tmpl w:val="33722C90"/>
    <w:lvl w:ilvl="0" w:tplc="E29649B6">
      <w:start w:val="1"/>
      <w:numFmt w:val="bullet"/>
      <w:lvlText w:val=""/>
      <w:lvlJc w:val="left"/>
      <w:pPr>
        <w:tabs>
          <w:tab w:val="num" w:pos="720"/>
        </w:tabs>
        <w:ind w:left="720" w:hanging="360"/>
      </w:pPr>
      <w:rPr>
        <w:rFonts w:ascii="Wingdings" w:hAnsi="Wingdings" w:hint="default"/>
      </w:rPr>
    </w:lvl>
    <w:lvl w:ilvl="1" w:tplc="494417BC">
      <w:start w:val="1"/>
      <w:numFmt w:val="bullet"/>
      <w:lvlText w:val=""/>
      <w:lvlJc w:val="left"/>
      <w:pPr>
        <w:tabs>
          <w:tab w:val="num" w:pos="1440"/>
        </w:tabs>
        <w:ind w:left="1440" w:hanging="360"/>
      </w:pPr>
      <w:rPr>
        <w:rFonts w:ascii="Wingdings" w:hAnsi="Wingdings" w:hint="default"/>
      </w:rPr>
    </w:lvl>
    <w:lvl w:ilvl="2" w:tplc="D040C078" w:tentative="1">
      <w:start w:val="1"/>
      <w:numFmt w:val="bullet"/>
      <w:lvlText w:val=""/>
      <w:lvlJc w:val="left"/>
      <w:pPr>
        <w:tabs>
          <w:tab w:val="num" w:pos="2160"/>
        </w:tabs>
        <w:ind w:left="2160" w:hanging="360"/>
      </w:pPr>
      <w:rPr>
        <w:rFonts w:ascii="Wingdings" w:hAnsi="Wingdings" w:hint="default"/>
      </w:rPr>
    </w:lvl>
    <w:lvl w:ilvl="3" w:tplc="42BCB964" w:tentative="1">
      <w:start w:val="1"/>
      <w:numFmt w:val="bullet"/>
      <w:lvlText w:val=""/>
      <w:lvlJc w:val="left"/>
      <w:pPr>
        <w:tabs>
          <w:tab w:val="num" w:pos="2880"/>
        </w:tabs>
        <w:ind w:left="2880" w:hanging="360"/>
      </w:pPr>
      <w:rPr>
        <w:rFonts w:ascii="Wingdings" w:hAnsi="Wingdings" w:hint="default"/>
      </w:rPr>
    </w:lvl>
    <w:lvl w:ilvl="4" w:tplc="B5CA98C2" w:tentative="1">
      <w:start w:val="1"/>
      <w:numFmt w:val="bullet"/>
      <w:lvlText w:val=""/>
      <w:lvlJc w:val="left"/>
      <w:pPr>
        <w:tabs>
          <w:tab w:val="num" w:pos="3600"/>
        </w:tabs>
        <w:ind w:left="3600" w:hanging="360"/>
      </w:pPr>
      <w:rPr>
        <w:rFonts w:ascii="Wingdings" w:hAnsi="Wingdings" w:hint="default"/>
      </w:rPr>
    </w:lvl>
    <w:lvl w:ilvl="5" w:tplc="BE4275F8" w:tentative="1">
      <w:start w:val="1"/>
      <w:numFmt w:val="bullet"/>
      <w:lvlText w:val=""/>
      <w:lvlJc w:val="left"/>
      <w:pPr>
        <w:tabs>
          <w:tab w:val="num" w:pos="4320"/>
        </w:tabs>
        <w:ind w:left="4320" w:hanging="360"/>
      </w:pPr>
      <w:rPr>
        <w:rFonts w:ascii="Wingdings" w:hAnsi="Wingdings" w:hint="default"/>
      </w:rPr>
    </w:lvl>
    <w:lvl w:ilvl="6" w:tplc="16B8D59E" w:tentative="1">
      <w:start w:val="1"/>
      <w:numFmt w:val="bullet"/>
      <w:lvlText w:val=""/>
      <w:lvlJc w:val="left"/>
      <w:pPr>
        <w:tabs>
          <w:tab w:val="num" w:pos="5040"/>
        </w:tabs>
        <w:ind w:left="5040" w:hanging="360"/>
      </w:pPr>
      <w:rPr>
        <w:rFonts w:ascii="Wingdings" w:hAnsi="Wingdings" w:hint="default"/>
      </w:rPr>
    </w:lvl>
    <w:lvl w:ilvl="7" w:tplc="905C7E7A" w:tentative="1">
      <w:start w:val="1"/>
      <w:numFmt w:val="bullet"/>
      <w:lvlText w:val=""/>
      <w:lvlJc w:val="left"/>
      <w:pPr>
        <w:tabs>
          <w:tab w:val="num" w:pos="5760"/>
        </w:tabs>
        <w:ind w:left="5760" w:hanging="360"/>
      </w:pPr>
      <w:rPr>
        <w:rFonts w:ascii="Wingdings" w:hAnsi="Wingdings" w:hint="default"/>
      </w:rPr>
    </w:lvl>
    <w:lvl w:ilvl="8" w:tplc="AF3CFEC0" w:tentative="1">
      <w:start w:val="1"/>
      <w:numFmt w:val="bullet"/>
      <w:lvlText w:val=""/>
      <w:lvlJc w:val="left"/>
      <w:pPr>
        <w:tabs>
          <w:tab w:val="num" w:pos="6480"/>
        </w:tabs>
        <w:ind w:left="6480" w:hanging="360"/>
      </w:pPr>
      <w:rPr>
        <w:rFonts w:ascii="Wingdings" w:hAnsi="Wingdings" w:hint="default"/>
      </w:rPr>
    </w:lvl>
  </w:abstractNum>
  <w:abstractNum w:abstractNumId="35">
    <w:nsid w:val="79906A22"/>
    <w:multiLevelType w:val="singleLevel"/>
    <w:tmpl w:val="AA761AC6"/>
    <w:lvl w:ilvl="0">
      <w:numFmt w:val="bullet"/>
      <w:lvlText w:val=""/>
      <w:lvlJc w:val="left"/>
      <w:pPr>
        <w:tabs>
          <w:tab w:val="num" w:pos="360"/>
        </w:tabs>
        <w:ind w:left="360" w:hanging="360"/>
      </w:pPr>
      <w:rPr>
        <w:rFonts w:ascii="Symbol" w:hAnsi="Symbol" w:hint="default"/>
      </w:rPr>
    </w:lvl>
  </w:abstractNum>
  <w:num w:numId="1">
    <w:abstractNumId w:val="19"/>
  </w:num>
  <w:num w:numId="2">
    <w:abstractNumId w:val="23"/>
  </w:num>
  <w:num w:numId="3">
    <w:abstractNumId w:val="25"/>
  </w:num>
  <w:num w:numId="4">
    <w:abstractNumId w:val="21"/>
  </w:num>
  <w:num w:numId="5">
    <w:abstractNumId w:val="32"/>
  </w:num>
  <w:num w:numId="6">
    <w:abstractNumId w:val="27"/>
  </w:num>
  <w:num w:numId="7">
    <w:abstractNumId w:val="20"/>
  </w:num>
  <w:num w:numId="8">
    <w:abstractNumId w:val="30"/>
  </w:num>
  <w:num w:numId="9">
    <w:abstractNumId w:val="8"/>
  </w:num>
  <w:num w:numId="10">
    <w:abstractNumId w:val="5"/>
  </w:num>
  <w:num w:numId="11">
    <w:abstractNumId w:val="1"/>
  </w:num>
  <w:num w:numId="12">
    <w:abstractNumId w:val="7"/>
  </w:num>
  <w:num w:numId="13">
    <w:abstractNumId w:val="14"/>
  </w:num>
  <w:num w:numId="14">
    <w:abstractNumId w:val="12"/>
  </w:num>
  <w:num w:numId="15">
    <w:abstractNumId w:val="29"/>
  </w:num>
  <w:num w:numId="16">
    <w:abstractNumId w:val="17"/>
  </w:num>
  <w:num w:numId="17">
    <w:abstractNumId w:val="13"/>
  </w:num>
  <w:num w:numId="18">
    <w:abstractNumId w:val="11"/>
  </w:num>
  <w:num w:numId="19">
    <w:abstractNumId w:val="15"/>
  </w:num>
  <w:num w:numId="20">
    <w:abstractNumId w:val="2"/>
  </w:num>
  <w:num w:numId="21">
    <w:abstractNumId w:val="34"/>
  </w:num>
  <w:num w:numId="22">
    <w:abstractNumId w:val="10"/>
  </w:num>
  <w:num w:numId="23">
    <w:abstractNumId w:val="22"/>
  </w:num>
  <w:num w:numId="24">
    <w:abstractNumId w:val="3"/>
  </w:num>
  <w:num w:numId="25">
    <w:abstractNumId w:val="33"/>
  </w:num>
  <w:num w:numId="26">
    <w:abstractNumId w:val="6"/>
  </w:num>
  <w:num w:numId="27">
    <w:abstractNumId w:val="9"/>
  </w:num>
  <w:num w:numId="28">
    <w:abstractNumId w:val="16"/>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4"/>
  </w:num>
  <w:num w:numId="32">
    <w:abstractNumId w:val="26"/>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8"/>
  </w:num>
  <w:num w:numId="38">
    <w:abstractNumId w:val="24"/>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5">
    <w:abstractNumId w:val="31"/>
  </w:num>
  <w:num w:numId="46">
    <w:abstractNumId w:val="3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75"/>
    <w:rsid w:val="00064EBC"/>
    <w:rsid w:val="00066BC2"/>
    <w:rsid w:val="000B38AF"/>
    <w:rsid w:val="000D38AB"/>
    <w:rsid w:val="001031EA"/>
    <w:rsid w:val="001146D6"/>
    <w:rsid w:val="001412DF"/>
    <w:rsid w:val="001542C7"/>
    <w:rsid w:val="001C7FF1"/>
    <w:rsid w:val="00202015"/>
    <w:rsid w:val="00210029"/>
    <w:rsid w:val="002210FA"/>
    <w:rsid w:val="002354B4"/>
    <w:rsid w:val="0025015A"/>
    <w:rsid w:val="00257AB4"/>
    <w:rsid w:val="00264132"/>
    <w:rsid w:val="00287FBC"/>
    <w:rsid w:val="002A57E3"/>
    <w:rsid w:val="002C66B8"/>
    <w:rsid w:val="002F61C8"/>
    <w:rsid w:val="003040D0"/>
    <w:rsid w:val="003117AE"/>
    <w:rsid w:val="00313856"/>
    <w:rsid w:val="00395B1D"/>
    <w:rsid w:val="00440C32"/>
    <w:rsid w:val="005365E5"/>
    <w:rsid w:val="0056468E"/>
    <w:rsid w:val="00571ADE"/>
    <w:rsid w:val="00592CCD"/>
    <w:rsid w:val="005972E4"/>
    <w:rsid w:val="006555CB"/>
    <w:rsid w:val="00674D95"/>
    <w:rsid w:val="00680B38"/>
    <w:rsid w:val="0069148D"/>
    <w:rsid w:val="006C7955"/>
    <w:rsid w:val="006D25A8"/>
    <w:rsid w:val="00700DF2"/>
    <w:rsid w:val="00736F58"/>
    <w:rsid w:val="007604E8"/>
    <w:rsid w:val="007F5921"/>
    <w:rsid w:val="00833B19"/>
    <w:rsid w:val="00873360"/>
    <w:rsid w:val="00935C7B"/>
    <w:rsid w:val="00981BFF"/>
    <w:rsid w:val="009B5851"/>
    <w:rsid w:val="009C160D"/>
    <w:rsid w:val="009E4577"/>
    <w:rsid w:val="009E7F54"/>
    <w:rsid w:val="009F3306"/>
    <w:rsid w:val="00A72150"/>
    <w:rsid w:val="00AC2211"/>
    <w:rsid w:val="00B06A0A"/>
    <w:rsid w:val="00B07A69"/>
    <w:rsid w:val="00B42D11"/>
    <w:rsid w:val="00BB5295"/>
    <w:rsid w:val="00C128AF"/>
    <w:rsid w:val="00C3430D"/>
    <w:rsid w:val="00C448A4"/>
    <w:rsid w:val="00C63474"/>
    <w:rsid w:val="00C71B80"/>
    <w:rsid w:val="00CB46C9"/>
    <w:rsid w:val="00CF2F8A"/>
    <w:rsid w:val="00D26334"/>
    <w:rsid w:val="00DD1E0E"/>
    <w:rsid w:val="00DF4368"/>
    <w:rsid w:val="00DF7302"/>
    <w:rsid w:val="00E02432"/>
    <w:rsid w:val="00E35C9F"/>
    <w:rsid w:val="00E46C3F"/>
    <w:rsid w:val="00E97AB2"/>
    <w:rsid w:val="00EA1BE2"/>
    <w:rsid w:val="00EB5DD8"/>
    <w:rsid w:val="00EF6FF0"/>
    <w:rsid w:val="00F22ADA"/>
    <w:rsid w:val="00F36C3F"/>
    <w:rsid w:val="00F5756A"/>
    <w:rsid w:val="00F72375"/>
    <w:rsid w:val="00F9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006AA"/>
  <w15:docId w15:val="{1D350287-8C27-4A82-91D1-C8E1BAA2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375"/>
    <w:rPr>
      <w:lang w:val="pt-BR" w:eastAsia="pt-BR"/>
    </w:rPr>
  </w:style>
  <w:style w:type="paragraph" w:styleId="Ttulo1">
    <w:name w:val="heading 1"/>
    <w:basedOn w:val="Normal"/>
    <w:next w:val="Normal"/>
    <w:qFormat/>
    <w:rsid w:val="00312BF4"/>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12BF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86EA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EB5DD8"/>
    <w:pPr>
      <w:keepNext/>
      <w:tabs>
        <w:tab w:val="left" w:pos="440"/>
        <w:tab w:val="left" w:pos="4140"/>
        <w:tab w:val="left" w:pos="9360"/>
        <w:tab w:val="left" w:pos="10440"/>
      </w:tabs>
      <w:ind w:left="720" w:hanging="720"/>
      <w:jc w:val="center"/>
      <w:outlineLvl w:val="3"/>
    </w:pPr>
    <w:rPr>
      <w:rFonts w:ascii="Times" w:hAnsi="Times"/>
      <w:b/>
      <w:smallCaps/>
      <w:sz w:val="18"/>
      <w:szCs w:val="20"/>
      <w:lang w:val="en-US" w:eastAsia="en-US"/>
    </w:rPr>
  </w:style>
  <w:style w:type="paragraph" w:styleId="Ttulo5">
    <w:name w:val="heading 5"/>
    <w:basedOn w:val="Normal"/>
    <w:next w:val="Normal"/>
    <w:qFormat/>
    <w:rsid w:val="00FB4FE3"/>
    <w:pPr>
      <w:keepNext/>
      <w:spacing w:line="360" w:lineRule="auto"/>
      <w:ind w:left="12" w:firstLine="708"/>
      <w:outlineLvl w:val="4"/>
    </w:pPr>
    <w:rPr>
      <w:rFonts w:ascii="Arial" w:hAnsi="Arial" w:cs="Arial"/>
      <w:b/>
      <w:bCs/>
    </w:rPr>
  </w:style>
  <w:style w:type="paragraph" w:styleId="Ttulo6">
    <w:name w:val="heading 6"/>
    <w:basedOn w:val="Normal"/>
    <w:next w:val="Normal"/>
    <w:link w:val="Ttulo6Char"/>
    <w:qFormat/>
    <w:rsid w:val="00EB5DD8"/>
    <w:pPr>
      <w:keepNext/>
      <w:tabs>
        <w:tab w:val="left" w:pos="355"/>
        <w:tab w:val="left" w:pos="19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5"/>
    </w:pPr>
    <w:rPr>
      <w:rFonts w:ascii="Times" w:hAnsi="Times"/>
      <w:b/>
      <w:i/>
      <w:color w:val="000000"/>
      <w:sz w:val="20"/>
      <w:szCs w:val="20"/>
      <w:lang w:val="en-US" w:eastAsia="en-US"/>
    </w:rPr>
  </w:style>
  <w:style w:type="paragraph" w:styleId="Ttulo7">
    <w:name w:val="heading 7"/>
    <w:basedOn w:val="Normal"/>
    <w:next w:val="Normal"/>
    <w:link w:val="Ttulo7Char"/>
    <w:unhideWhenUsed/>
    <w:qFormat/>
    <w:rsid w:val="00C21540"/>
    <w:pPr>
      <w:spacing w:before="240" w:after="60"/>
      <w:outlineLvl w:val="6"/>
    </w:pPr>
    <w:rPr>
      <w:rFonts w:ascii="Calibri" w:hAnsi="Calibri"/>
    </w:rPr>
  </w:style>
  <w:style w:type="paragraph" w:styleId="Ttulo8">
    <w:name w:val="heading 8"/>
    <w:basedOn w:val="Normal"/>
    <w:next w:val="Normal"/>
    <w:link w:val="Ttulo8Char"/>
    <w:unhideWhenUsed/>
    <w:qFormat/>
    <w:rsid w:val="00C21540"/>
    <w:pPr>
      <w:spacing w:before="240" w:after="60"/>
      <w:outlineLvl w:val="7"/>
    </w:pPr>
    <w:rPr>
      <w:rFonts w:ascii="Calibri" w:hAnsi="Calibri"/>
      <w:i/>
      <w:iCs/>
    </w:rPr>
  </w:style>
  <w:style w:type="paragraph" w:styleId="Ttulo9">
    <w:name w:val="heading 9"/>
    <w:basedOn w:val="Normal"/>
    <w:next w:val="Normal"/>
    <w:link w:val="Ttulo9Char"/>
    <w:qFormat/>
    <w:rsid w:val="00EB5DD8"/>
    <w:pPr>
      <w:keepNext/>
      <w:tabs>
        <w:tab w:val="left" w:pos="355"/>
        <w:tab w:val="left" w:pos="1914"/>
      </w:tabs>
      <w:spacing w:before="60"/>
      <w:jc w:val="center"/>
      <w:outlineLvl w:val="8"/>
    </w:pPr>
    <w:rPr>
      <w:rFonts w:ascii="Times" w:hAnsi="Times"/>
      <w:b/>
      <w:color w:val="000000"/>
      <w:sz w:val="20"/>
      <w:szCs w:val="20"/>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F72375"/>
    <w:pPr>
      <w:jc w:val="center"/>
    </w:pPr>
    <w:rPr>
      <w:sz w:val="28"/>
    </w:rPr>
  </w:style>
  <w:style w:type="paragraph" w:styleId="Cabealho">
    <w:name w:val="header"/>
    <w:basedOn w:val="Normal"/>
    <w:link w:val="CabealhoChar"/>
    <w:rsid w:val="00F72375"/>
    <w:pPr>
      <w:tabs>
        <w:tab w:val="center" w:pos="4419"/>
        <w:tab w:val="right" w:pos="8838"/>
      </w:tabs>
    </w:pPr>
    <w:rPr>
      <w:sz w:val="20"/>
      <w:szCs w:val="20"/>
    </w:rPr>
  </w:style>
  <w:style w:type="paragraph" w:styleId="Recuodecorpodetexto">
    <w:name w:val="Body Text Indent"/>
    <w:basedOn w:val="Normal"/>
    <w:rsid w:val="00FB4FE3"/>
    <w:pPr>
      <w:spacing w:line="360" w:lineRule="auto"/>
      <w:ind w:left="360" w:firstLine="1080"/>
      <w:jc w:val="both"/>
    </w:pPr>
    <w:rPr>
      <w:rFonts w:ascii="Arial" w:hAnsi="Arial" w:cs="Arial"/>
    </w:rPr>
  </w:style>
  <w:style w:type="character" w:styleId="Hyperlink">
    <w:name w:val="Hyperlink"/>
    <w:uiPriority w:val="99"/>
    <w:rsid w:val="00230CB9"/>
    <w:rPr>
      <w:color w:val="0000FF"/>
      <w:u w:val="single"/>
    </w:rPr>
  </w:style>
  <w:style w:type="paragraph" w:customStyle="1" w:styleId="Default">
    <w:name w:val="Default"/>
    <w:rsid w:val="001C6F45"/>
    <w:pPr>
      <w:autoSpaceDE w:val="0"/>
      <w:autoSpaceDN w:val="0"/>
      <w:adjustRightInd w:val="0"/>
    </w:pPr>
    <w:rPr>
      <w:color w:val="000000"/>
      <w:lang w:val="pt-BR" w:eastAsia="pt-BR"/>
    </w:rPr>
  </w:style>
  <w:style w:type="paragraph" w:customStyle="1" w:styleId="WW-Recuodecorpodetexto2">
    <w:name w:val="WW-Recuo de corpo de texto 2"/>
    <w:basedOn w:val="Normal"/>
    <w:rsid w:val="00C86EA1"/>
    <w:pPr>
      <w:tabs>
        <w:tab w:val="left" w:pos="0"/>
      </w:tabs>
      <w:suppressAutoHyphens/>
      <w:ind w:firstLine="709"/>
      <w:jc w:val="both"/>
    </w:pPr>
    <w:rPr>
      <w:sz w:val="28"/>
      <w:szCs w:val="20"/>
      <w:lang w:eastAsia="en-US"/>
    </w:rPr>
  </w:style>
  <w:style w:type="paragraph" w:customStyle="1" w:styleId="NormalNegrito">
    <w:name w:val="Normal + Negrito"/>
    <w:aliases w:val="Justificado,Antes:  5 pt,Depois de:  5 pt,Es..."/>
    <w:basedOn w:val="Normal"/>
    <w:rsid w:val="00C86EA1"/>
    <w:pPr>
      <w:tabs>
        <w:tab w:val="left" w:pos="1418"/>
      </w:tabs>
      <w:spacing w:before="100" w:beforeAutospacing="1" w:after="100" w:afterAutospacing="1" w:line="360" w:lineRule="auto"/>
      <w:jc w:val="both"/>
    </w:pPr>
    <w:rPr>
      <w:b/>
      <w:bCs/>
      <w:u w:val="single"/>
    </w:rPr>
  </w:style>
  <w:style w:type="table" w:styleId="Tabelacontempornea">
    <w:name w:val="Table Contemporary"/>
    <w:basedOn w:val="Tabelanormal"/>
    <w:rsid w:val="00C86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
    <w:name w:val="ti"/>
    <w:basedOn w:val="Fontepargpadro"/>
    <w:rsid w:val="00C86EA1"/>
  </w:style>
  <w:style w:type="character" w:styleId="Forte">
    <w:name w:val="Strong"/>
    <w:uiPriority w:val="22"/>
    <w:qFormat/>
    <w:rsid w:val="00C86EA1"/>
    <w:rPr>
      <w:b/>
      <w:bCs/>
    </w:rPr>
  </w:style>
  <w:style w:type="character" w:styleId="nfase">
    <w:name w:val="Emphasis"/>
    <w:uiPriority w:val="20"/>
    <w:qFormat/>
    <w:rsid w:val="00C86EA1"/>
    <w:rPr>
      <w:i/>
      <w:iCs/>
    </w:rPr>
  </w:style>
  <w:style w:type="character" w:customStyle="1" w:styleId="fulltext-issue">
    <w:name w:val="fulltext-issue"/>
    <w:basedOn w:val="Fontepargpadro"/>
    <w:rsid w:val="00C86EA1"/>
  </w:style>
  <w:style w:type="paragraph" w:styleId="Textodenotaderodap">
    <w:name w:val="footnote text"/>
    <w:basedOn w:val="Normal"/>
    <w:semiHidden/>
    <w:rsid w:val="00312BF4"/>
    <w:rPr>
      <w:sz w:val="20"/>
      <w:szCs w:val="20"/>
    </w:rPr>
  </w:style>
  <w:style w:type="table" w:styleId="Tabelacomgrade">
    <w:name w:val="Table Grid"/>
    <w:basedOn w:val="Tabelanormal"/>
    <w:rsid w:val="002D1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rsid w:val="00083EAC"/>
    <w:pPr>
      <w:spacing w:after="120"/>
    </w:pPr>
  </w:style>
  <w:style w:type="character" w:customStyle="1" w:styleId="Ttulo7Char">
    <w:name w:val="Título 7 Char"/>
    <w:link w:val="Ttulo7"/>
    <w:rsid w:val="00C21540"/>
    <w:rPr>
      <w:rFonts w:ascii="Calibri" w:eastAsia="Times New Roman" w:hAnsi="Calibri" w:cs="Times New Roman"/>
      <w:sz w:val="24"/>
      <w:szCs w:val="24"/>
    </w:rPr>
  </w:style>
  <w:style w:type="character" w:customStyle="1" w:styleId="Ttulo8Char">
    <w:name w:val="Título 8 Char"/>
    <w:link w:val="Ttulo8"/>
    <w:rsid w:val="00C21540"/>
    <w:rPr>
      <w:rFonts w:ascii="Calibri" w:eastAsia="Times New Roman" w:hAnsi="Calibri" w:cs="Times New Roman"/>
      <w:i/>
      <w:iCs/>
      <w:sz w:val="24"/>
      <w:szCs w:val="24"/>
    </w:rPr>
  </w:style>
  <w:style w:type="paragraph" w:styleId="Corpodetexto2">
    <w:name w:val="Body Text 2"/>
    <w:basedOn w:val="Normal"/>
    <w:link w:val="Corpodetexto2Char"/>
    <w:rsid w:val="00C21540"/>
    <w:pPr>
      <w:spacing w:after="120" w:line="480" w:lineRule="auto"/>
    </w:pPr>
  </w:style>
  <w:style w:type="character" w:customStyle="1" w:styleId="Corpodetexto2Char">
    <w:name w:val="Corpo de texto 2 Char"/>
    <w:link w:val="Corpodetexto2"/>
    <w:rsid w:val="00C21540"/>
    <w:rPr>
      <w:sz w:val="24"/>
      <w:szCs w:val="24"/>
    </w:rPr>
  </w:style>
  <w:style w:type="paragraph" w:styleId="Corpodetexto3">
    <w:name w:val="Body Text 3"/>
    <w:basedOn w:val="Normal"/>
    <w:link w:val="Corpodetexto3Char"/>
    <w:rsid w:val="00C21540"/>
    <w:pPr>
      <w:spacing w:after="120"/>
    </w:pPr>
    <w:rPr>
      <w:sz w:val="16"/>
      <w:szCs w:val="16"/>
    </w:rPr>
  </w:style>
  <w:style w:type="character" w:customStyle="1" w:styleId="Corpodetexto3Char">
    <w:name w:val="Corpo de texto 3 Char"/>
    <w:link w:val="Corpodetexto3"/>
    <w:rsid w:val="00C21540"/>
    <w:rPr>
      <w:sz w:val="16"/>
      <w:szCs w:val="16"/>
    </w:rPr>
  </w:style>
  <w:style w:type="paragraph" w:styleId="NormalWeb">
    <w:name w:val="Normal (Web)"/>
    <w:basedOn w:val="Normal"/>
    <w:uiPriority w:val="99"/>
    <w:unhideWhenUsed/>
    <w:rsid w:val="008B72E9"/>
    <w:pPr>
      <w:spacing w:before="100" w:beforeAutospacing="1" w:after="100" w:afterAutospacing="1"/>
    </w:pPr>
  </w:style>
  <w:style w:type="character" w:customStyle="1" w:styleId="TtuloChar">
    <w:name w:val="Título Char"/>
    <w:link w:val="Ttulo"/>
    <w:rsid w:val="0056420F"/>
    <w:rPr>
      <w:sz w:val="28"/>
      <w:szCs w:val="24"/>
    </w:rPr>
  </w:style>
  <w:style w:type="paragraph" w:styleId="PargrafodaLista">
    <w:name w:val="List Paragraph"/>
    <w:basedOn w:val="Normal"/>
    <w:uiPriority w:val="34"/>
    <w:qFormat/>
    <w:rsid w:val="00686676"/>
    <w:pPr>
      <w:ind w:left="720"/>
      <w:contextualSpacing/>
    </w:pPr>
  </w:style>
  <w:style w:type="character" w:customStyle="1" w:styleId="CabealhoChar">
    <w:name w:val="Cabeçalho Char"/>
    <w:link w:val="Cabealho"/>
    <w:uiPriority w:val="99"/>
    <w:rsid w:val="00A5130C"/>
  </w:style>
  <w:style w:type="character" w:customStyle="1" w:styleId="apple-style-span">
    <w:name w:val="apple-style-span"/>
    <w:rsid w:val="0043288E"/>
  </w:style>
  <w:style w:type="character" w:customStyle="1" w:styleId="apple-converted-space">
    <w:name w:val="apple-converted-space"/>
    <w:rsid w:val="0043288E"/>
  </w:style>
  <w:style w:type="paragraph" w:styleId="Recuodecorpodetexto2">
    <w:name w:val="Body Text Indent 2"/>
    <w:basedOn w:val="Normal"/>
    <w:link w:val="Recuodecorpodetexto2Char"/>
    <w:rsid w:val="00140F2C"/>
    <w:pPr>
      <w:spacing w:after="120" w:line="480" w:lineRule="auto"/>
      <w:ind w:left="283"/>
    </w:pPr>
  </w:style>
  <w:style w:type="character" w:customStyle="1" w:styleId="Recuodecorpodetexto2Char">
    <w:name w:val="Recuo de corpo de texto 2 Char"/>
    <w:link w:val="Recuodecorpodetexto2"/>
    <w:rsid w:val="00140F2C"/>
    <w:rPr>
      <w:sz w:val="24"/>
      <w:szCs w:val="24"/>
    </w:rPr>
  </w:style>
  <w:style w:type="character" w:styleId="HiperlinkVisitado">
    <w:name w:val="FollowedHyperlink"/>
    <w:basedOn w:val="Fontepargpadro"/>
    <w:uiPriority w:val="99"/>
    <w:rsid w:val="005472FC"/>
    <w:rPr>
      <w:color w:val="800080"/>
      <w:u w:val="single"/>
    </w:rPr>
  </w:style>
  <w:style w:type="paragraph" w:styleId="Recuodecorpodetexto3">
    <w:name w:val="Body Text Indent 3"/>
    <w:basedOn w:val="Normal"/>
    <w:link w:val="Recuodecorpodetexto3Char"/>
    <w:rsid w:val="00EB5DD8"/>
    <w:pPr>
      <w:spacing w:after="120"/>
      <w:ind w:left="283"/>
    </w:pPr>
    <w:rPr>
      <w:sz w:val="16"/>
      <w:szCs w:val="16"/>
    </w:rPr>
  </w:style>
  <w:style w:type="character" w:customStyle="1" w:styleId="Recuodecorpodetexto3Char">
    <w:name w:val="Recuo de corpo de texto 3 Char"/>
    <w:basedOn w:val="Fontepargpadro"/>
    <w:link w:val="Recuodecorpodetexto3"/>
    <w:rsid w:val="00EB5DD8"/>
    <w:rPr>
      <w:sz w:val="16"/>
      <w:szCs w:val="16"/>
      <w:lang w:val="pt-BR" w:eastAsia="pt-BR"/>
    </w:rPr>
  </w:style>
  <w:style w:type="character" w:customStyle="1" w:styleId="Ttulo4Char">
    <w:name w:val="Título 4 Char"/>
    <w:basedOn w:val="Fontepargpadro"/>
    <w:link w:val="Ttulo4"/>
    <w:rsid w:val="00EB5DD8"/>
    <w:rPr>
      <w:rFonts w:ascii="Times" w:hAnsi="Times"/>
      <w:b/>
      <w:smallCaps/>
      <w:sz w:val="18"/>
    </w:rPr>
  </w:style>
  <w:style w:type="character" w:customStyle="1" w:styleId="Ttulo6Char">
    <w:name w:val="Título 6 Char"/>
    <w:basedOn w:val="Fontepargpadro"/>
    <w:link w:val="Ttulo6"/>
    <w:rsid w:val="00EB5DD8"/>
    <w:rPr>
      <w:rFonts w:ascii="Times" w:hAnsi="Times"/>
      <w:b/>
      <w:i/>
      <w:color w:val="000000"/>
    </w:rPr>
  </w:style>
  <w:style w:type="character" w:customStyle="1" w:styleId="Ttulo9Char">
    <w:name w:val="Título 9 Char"/>
    <w:basedOn w:val="Fontepargpadro"/>
    <w:link w:val="Ttulo9"/>
    <w:rsid w:val="00EB5DD8"/>
    <w:rPr>
      <w:rFonts w:ascii="Times" w:hAnsi="Times"/>
      <w:b/>
      <w:color w:val="000000"/>
    </w:rPr>
  </w:style>
  <w:style w:type="paragraph" w:styleId="Rodap">
    <w:name w:val="footer"/>
    <w:basedOn w:val="Normal"/>
    <w:link w:val="RodapChar"/>
    <w:rsid w:val="00EB5DD8"/>
    <w:pPr>
      <w:tabs>
        <w:tab w:val="center" w:pos="4320"/>
        <w:tab w:val="right" w:pos="8640"/>
      </w:tabs>
    </w:pPr>
    <w:rPr>
      <w:rFonts w:ascii="Times" w:hAnsi="Times"/>
      <w:szCs w:val="20"/>
      <w:lang w:val="en-US" w:eastAsia="en-US"/>
    </w:rPr>
  </w:style>
  <w:style w:type="character" w:customStyle="1" w:styleId="RodapChar">
    <w:name w:val="Rodapé Char"/>
    <w:basedOn w:val="Fontepargpadro"/>
    <w:link w:val="Rodap"/>
    <w:rsid w:val="00EB5DD8"/>
    <w:rPr>
      <w:rFonts w:ascii="Times" w:hAnsi="Times"/>
      <w:sz w:val="24"/>
    </w:rPr>
  </w:style>
  <w:style w:type="paragraph" w:customStyle="1" w:styleId="WPDefaults">
    <w:name w:val="WP Defaults"/>
    <w:next w:val="Normal"/>
    <w:rsid w:val="00EB5DD8"/>
    <w:rPr>
      <w:rFonts w:ascii="New York" w:hAnsi="New York"/>
    </w:rPr>
  </w:style>
  <w:style w:type="paragraph" w:styleId="Legenda">
    <w:name w:val="caption"/>
    <w:basedOn w:val="Normal"/>
    <w:next w:val="Normal"/>
    <w:qFormat/>
    <w:rsid w:val="00EB5DD8"/>
    <w:pPr>
      <w:spacing w:before="120" w:after="120"/>
    </w:pPr>
    <w:rPr>
      <w:rFonts w:ascii="Times" w:hAnsi="Times"/>
      <w:b/>
      <w:szCs w:val="20"/>
      <w:lang w:val="en-US" w:eastAsia="en-US"/>
    </w:rPr>
  </w:style>
  <w:style w:type="paragraph" w:styleId="Textodenotadefim">
    <w:name w:val="endnote text"/>
    <w:basedOn w:val="Normal"/>
    <w:link w:val="TextodenotadefimChar"/>
    <w:rsid w:val="00EB5DD8"/>
    <w:rPr>
      <w:sz w:val="20"/>
      <w:szCs w:val="20"/>
      <w:lang w:val="pt-PT" w:eastAsia="en-US"/>
    </w:rPr>
  </w:style>
  <w:style w:type="character" w:customStyle="1" w:styleId="TextodenotadefimChar">
    <w:name w:val="Texto de nota de fim Char"/>
    <w:basedOn w:val="Fontepargpadro"/>
    <w:link w:val="Textodenotadefim"/>
    <w:rsid w:val="00EB5DD8"/>
    <w:rPr>
      <w:lang w:val="pt-PT"/>
    </w:rPr>
  </w:style>
  <w:style w:type="paragraph" w:styleId="Textoembloco">
    <w:name w:val="Block Text"/>
    <w:basedOn w:val="Normal"/>
    <w:rsid w:val="00EB5DD8"/>
    <w:pPr>
      <w:tabs>
        <w:tab w:val="left" w:pos="720"/>
        <w:tab w:val="left" w:pos="7200"/>
        <w:tab w:val="left" w:pos="8820"/>
      </w:tabs>
      <w:ind w:left="720" w:right="720"/>
      <w:jc w:val="both"/>
    </w:pPr>
    <w:rPr>
      <w:rFonts w:ascii="Times" w:hAnsi="Times"/>
      <w:smallCaps/>
      <w:sz w:val="14"/>
      <w:szCs w:val="20"/>
      <w:lang w:val="en-US" w:eastAsia="en-US"/>
    </w:rPr>
  </w:style>
  <w:style w:type="character" w:customStyle="1" w:styleId="Ttulo3Char">
    <w:name w:val="Título 3 Char"/>
    <w:basedOn w:val="Fontepargpadro"/>
    <w:link w:val="Ttulo3"/>
    <w:rsid w:val="007604E8"/>
    <w:rPr>
      <w:rFonts w:ascii="Arial" w:hAnsi="Arial" w:cs="Arial"/>
      <w:b/>
      <w:bCs/>
      <w:sz w:val="26"/>
      <w:szCs w:val="26"/>
      <w:lang w:val="pt-BR" w:eastAsia="pt-BR"/>
    </w:rPr>
  </w:style>
  <w:style w:type="character" w:customStyle="1" w:styleId="hps">
    <w:name w:val="hps"/>
    <w:basedOn w:val="Fontepargpadro"/>
    <w:rsid w:val="00D26334"/>
  </w:style>
  <w:style w:type="paragraph" w:styleId="Textodebalo">
    <w:name w:val="Balloon Text"/>
    <w:basedOn w:val="Normal"/>
    <w:link w:val="TextodebaloChar"/>
    <w:rsid w:val="00873360"/>
    <w:rPr>
      <w:rFonts w:ascii="Lucida Grande" w:hAnsi="Lucida Grande" w:cs="Lucida Grande"/>
      <w:sz w:val="18"/>
      <w:szCs w:val="18"/>
    </w:rPr>
  </w:style>
  <w:style w:type="character" w:customStyle="1" w:styleId="TextodebaloChar">
    <w:name w:val="Texto de balão Char"/>
    <w:basedOn w:val="Fontepargpadro"/>
    <w:link w:val="Textodebalo"/>
    <w:rsid w:val="00873360"/>
    <w:rPr>
      <w:rFonts w:ascii="Lucida Grande" w:hAnsi="Lucida Grande" w:cs="Lucida Grande"/>
      <w:sz w:val="18"/>
      <w:szCs w:val="18"/>
      <w:lang w:val="pt-BR" w:eastAsia="pt-BR"/>
    </w:rPr>
  </w:style>
  <w:style w:type="character" w:styleId="Nmerodepgina">
    <w:name w:val="page number"/>
    <w:basedOn w:val="Fontepargpadro"/>
    <w:rsid w:val="00DF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0750">
      <w:bodyDiv w:val="1"/>
      <w:marLeft w:val="0"/>
      <w:marRight w:val="0"/>
      <w:marTop w:val="0"/>
      <w:marBottom w:val="0"/>
      <w:divBdr>
        <w:top w:val="none" w:sz="0" w:space="0" w:color="auto"/>
        <w:left w:val="none" w:sz="0" w:space="0" w:color="auto"/>
        <w:bottom w:val="none" w:sz="0" w:space="0" w:color="auto"/>
        <w:right w:val="none" w:sz="0" w:space="0" w:color="auto"/>
      </w:divBdr>
    </w:div>
    <w:div w:id="163671198">
      <w:bodyDiv w:val="1"/>
      <w:marLeft w:val="0"/>
      <w:marRight w:val="0"/>
      <w:marTop w:val="0"/>
      <w:marBottom w:val="0"/>
      <w:divBdr>
        <w:top w:val="none" w:sz="0" w:space="0" w:color="auto"/>
        <w:left w:val="none" w:sz="0" w:space="0" w:color="auto"/>
        <w:bottom w:val="none" w:sz="0" w:space="0" w:color="auto"/>
        <w:right w:val="none" w:sz="0" w:space="0" w:color="auto"/>
      </w:divBdr>
    </w:div>
    <w:div w:id="215240652">
      <w:bodyDiv w:val="1"/>
      <w:marLeft w:val="0"/>
      <w:marRight w:val="0"/>
      <w:marTop w:val="0"/>
      <w:marBottom w:val="0"/>
      <w:divBdr>
        <w:top w:val="none" w:sz="0" w:space="0" w:color="auto"/>
        <w:left w:val="none" w:sz="0" w:space="0" w:color="auto"/>
        <w:bottom w:val="none" w:sz="0" w:space="0" w:color="auto"/>
        <w:right w:val="none" w:sz="0" w:space="0" w:color="auto"/>
      </w:divBdr>
    </w:div>
    <w:div w:id="259993203">
      <w:bodyDiv w:val="1"/>
      <w:marLeft w:val="0"/>
      <w:marRight w:val="0"/>
      <w:marTop w:val="0"/>
      <w:marBottom w:val="0"/>
      <w:divBdr>
        <w:top w:val="none" w:sz="0" w:space="0" w:color="auto"/>
        <w:left w:val="none" w:sz="0" w:space="0" w:color="auto"/>
        <w:bottom w:val="none" w:sz="0" w:space="0" w:color="auto"/>
        <w:right w:val="none" w:sz="0" w:space="0" w:color="auto"/>
      </w:divBdr>
    </w:div>
    <w:div w:id="474105746">
      <w:bodyDiv w:val="1"/>
      <w:marLeft w:val="0"/>
      <w:marRight w:val="0"/>
      <w:marTop w:val="0"/>
      <w:marBottom w:val="0"/>
      <w:divBdr>
        <w:top w:val="none" w:sz="0" w:space="0" w:color="auto"/>
        <w:left w:val="none" w:sz="0" w:space="0" w:color="auto"/>
        <w:bottom w:val="none" w:sz="0" w:space="0" w:color="auto"/>
        <w:right w:val="none" w:sz="0" w:space="0" w:color="auto"/>
      </w:divBdr>
    </w:div>
    <w:div w:id="517742485">
      <w:bodyDiv w:val="1"/>
      <w:marLeft w:val="0"/>
      <w:marRight w:val="0"/>
      <w:marTop w:val="0"/>
      <w:marBottom w:val="0"/>
      <w:divBdr>
        <w:top w:val="none" w:sz="0" w:space="0" w:color="auto"/>
        <w:left w:val="none" w:sz="0" w:space="0" w:color="auto"/>
        <w:bottom w:val="none" w:sz="0" w:space="0" w:color="auto"/>
        <w:right w:val="none" w:sz="0" w:space="0" w:color="auto"/>
      </w:divBdr>
    </w:div>
    <w:div w:id="536628243">
      <w:bodyDiv w:val="1"/>
      <w:marLeft w:val="0"/>
      <w:marRight w:val="0"/>
      <w:marTop w:val="0"/>
      <w:marBottom w:val="0"/>
      <w:divBdr>
        <w:top w:val="none" w:sz="0" w:space="0" w:color="auto"/>
        <w:left w:val="none" w:sz="0" w:space="0" w:color="auto"/>
        <w:bottom w:val="none" w:sz="0" w:space="0" w:color="auto"/>
        <w:right w:val="none" w:sz="0" w:space="0" w:color="auto"/>
      </w:divBdr>
    </w:div>
    <w:div w:id="561604768">
      <w:bodyDiv w:val="1"/>
      <w:marLeft w:val="0"/>
      <w:marRight w:val="0"/>
      <w:marTop w:val="0"/>
      <w:marBottom w:val="0"/>
      <w:divBdr>
        <w:top w:val="none" w:sz="0" w:space="0" w:color="auto"/>
        <w:left w:val="none" w:sz="0" w:space="0" w:color="auto"/>
        <w:bottom w:val="none" w:sz="0" w:space="0" w:color="auto"/>
        <w:right w:val="none" w:sz="0" w:space="0" w:color="auto"/>
      </w:divBdr>
    </w:div>
    <w:div w:id="573708159">
      <w:bodyDiv w:val="1"/>
      <w:marLeft w:val="0"/>
      <w:marRight w:val="0"/>
      <w:marTop w:val="0"/>
      <w:marBottom w:val="0"/>
      <w:divBdr>
        <w:top w:val="none" w:sz="0" w:space="0" w:color="auto"/>
        <w:left w:val="none" w:sz="0" w:space="0" w:color="auto"/>
        <w:bottom w:val="none" w:sz="0" w:space="0" w:color="auto"/>
        <w:right w:val="none" w:sz="0" w:space="0" w:color="auto"/>
      </w:divBdr>
      <w:divsChild>
        <w:div w:id="1858152331">
          <w:marLeft w:val="0"/>
          <w:marRight w:val="0"/>
          <w:marTop w:val="0"/>
          <w:marBottom w:val="0"/>
          <w:divBdr>
            <w:top w:val="none" w:sz="0" w:space="0" w:color="auto"/>
            <w:left w:val="none" w:sz="0" w:space="0" w:color="auto"/>
            <w:bottom w:val="none" w:sz="0" w:space="0" w:color="auto"/>
            <w:right w:val="none" w:sz="0" w:space="0" w:color="auto"/>
          </w:divBdr>
          <w:divsChild>
            <w:div w:id="1576940434">
              <w:marLeft w:val="0"/>
              <w:marRight w:val="0"/>
              <w:marTop w:val="0"/>
              <w:marBottom w:val="0"/>
              <w:divBdr>
                <w:top w:val="none" w:sz="0" w:space="0" w:color="auto"/>
                <w:left w:val="none" w:sz="0" w:space="0" w:color="auto"/>
                <w:bottom w:val="none" w:sz="0" w:space="0" w:color="auto"/>
                <w:right w:val="none" w:sz="0" w:space="0" w:color="auto"/>
              </w:divBdr>
              <w:divsChild>
                <w:div w:id="922304208">
                  <w:marLeft w:val="0"/>
                  <w:marRight w:val="0"/>
                  <w:marTop w:val="0"/>
                  <w:marBottom w:val="0"/>
                  <w:divBdr>
                    <w:top w:val="none" w:sz="0" w:space="0" w:color="auto"/>
                    <w:left w:val="none" w:sz="0" w:space="0" w:color="auto"/>
                    <w:bottom w:val="none" w:sz="0" w:space="0" w:color="auto"/>
                    <w:right w:val="none" w:sz="0" w:space="0" w:color="auto"/>
                  </w:divBdr>
                  <w:divsChild>
                    <w:div w:id="1141145586">
                      <w:marLeft w:val="0"/>
                      <w:marRight w:val="0"/>
                      <w:marTop w:val="0"/>
                      <w:marBottom w:val="0"/>
                      <w:divBdr>
                        <w:top w:val="none" w:sz="0" w:space="0" w:color="auto"/>
                        <w:left w:val="none" w:sz="0" w:space="0" w:color="auto"/>
                        <w:bottom w:val="none" w:sz="0" w:space="0" w:color="auto"/>
                        <w:right w:val="none" w:sz="0" w:space="0" w:color="auto"/>
                      </w:divBdr>
                    </w:div>
                    <w:div w:id="2672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2738">
              <w:marLeft w:val="0"/>
              <w:marRight w:val="0"/>
              <w:marTop w:val="0"/>
              <w:marBottom w:val="0"/>
              <w:divBdr>
                <w:top w:val="none" w:sz="0" w:space="0" w:color="auto"/>
                <w:left w:val="none" w:sz="0" w:space="0" w:color="auto"/>
                <w:bottom w:val="none" w:sz="0" w:space="0" w:color="auto"/>
                <w:right w:val="none" w:sz="0" w:space="0" w:color="auto"/>
              </w:divBdr>
              <w:divsChild>
                <w:div w:id="173611753">
                  <w:marLeft w:val="0"/>
                  <w:marRight w:val="0"/>
                  <w:marTop w:val="0"/>
                  <w:marBottom w:val="0"/>
                  <w:divBdr>
                    <w:top w:val="none" w:sz="0" w:space="0" w:color="auto"/>
                    <w:left w:val="none" w:sz="0" w:space="0" w:color="auto"/>
                    <w:bottom w:val="none" w:sz="0" w:space="0" w:color="auto"/>
                    <w:right w:val="none" w:sz="0" w:space="0" w:color="auto"/>
                  </w:divBdr>
                </w:div>
              </w:divsChild>
            </w:div>
            <w:div w:id="589242073">
              <w:marLeft w:val="0"/>
              <w:marRight w:val="0"/>
              <w:marTop w:val="0"/>
              <w:marBottom w:val="0"/>
              <w:divBdr>
                <w:top w:val="none" w:sz="0" w:space="0" w:color="auto"/>
                <w:left w:val="none" w:sz="0" w:space="0" w:color="auto"/>
                <w:bottom w:val="none" w:sz="0" w:space="0" w:color="auto"/>
                <w:right w:val="none" w:sz="0" w:space="0" w:color="auto"/>
              </w:divBdr>
              <w:divsChild>
                <w:div w:id="553589085">
                  <w:marLeft w:val="0"/>
                  <w:marRight w:val="0"/>
                  <w:marTop w:val="0"/>
                  <w:marBottom w:val="0"/>
                  <w:divBdr>
                    <w:top w:val="none" w:sz="0" w:space="0" w:color="auto"/>
                    <w:left w:val="none" w:sz="0" w:space="0" w:color="auto"/>
                    <w:bottom w:val="none" w:sz="0" w:space="0" w:color="auto"/>
                    <w:right w:val="none" w:sz="0" w:space="0" w:color="auto"/>
                  </w:divBdr>
                  <w:divsChild>
                    <w:div w:id="4302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5903">
      <w:bodyDiv w:val="1"/>
      <w:marLeft w:val="0"/>
      <w:marRight w:val="0"/>
      <w:marTop w:val="0"/>
      <w:marBottom w:val="0"/>
      <w:divBdr>
        <w:top w:val="none" w:sz="0" w:space="0" w:color="auto"/>
        <w:left w:val="none" w:sz="0" w:space="0" w:color="auto"/>
        <w:bottom w:val="none" w:sz="0" w:space="0" w:color="auto"/>
        <w:right w:val="none" w:sz="0" w:space="0" w:color="auto"/>
      </w:divBdr>
      <w:divsChild>
        <w:div w:id="2089302952">
          <w:marLeft w:val="432"/>
          <w:marRight w:val="0"/>
          <w:marTop w:val="120"/>
          <w:marBottom w:val="0"/>
          <w:divBdr>
            <w:top w:val="none" w:sz="0" w:space="0" w:color="auto"/>
            <w:left w:val="none" w:sz="0" w:space="0" w:color="auto"/>
            <w:bottom w:val="none" w:sz="0" w:space="0" w:color="auto"/>
            <w:right w:val="none" w:sz="0" w:space="0" w:color="auto"/>
          </w:divBdr>
        </w:div>
      </w:divsChild>
    </w:div>
    <w:div w:id="692537141">
      <w:bodyDiv w:val="1"/>
      <w:marLeft w:val="0"/>
      <w:marRight w:val="0"/>
      <w:marTop w:val="0"/>
      <w:marBottom w:val="0"/>
      <w:divBdr>
        <w:top w:val="none" w:sz="0" w:space="0" w:color="auto"/>
        <w:left w:val="none" w:sz="0" w:space="0" w:color="auto"/>
        <w:bottom w:val="none" w:sz="0" w:space="0" w:color="auto"/>
        <w:right w:val="none" w:sz="0" w:space="0" w:color="auto"/>
      </w:divBdr>
      <w:divsChild>
        <w:div w:id="1699044006">
          <w:marLeft w:val="432"/>
          <w:marRight w:val="0"/>
          <w:marTop w:val="120"/>
          <w:marBottom w:val="0"/>
          <w:divBdr>
            <w:top w:val="none" w:sz="0" w:space="0" w:color="auto"/>
            <w:left w:val="none" w:sz="0" w:space="0" w:color="auto"/>
            <w:bottom w:val="none" w:sz="0" w:space="0" w:color="auto"/>
            <w:right w:val="none" w:sz="0" w:space="0" w:color="auto"/>
          </w:divBdr>
        </w:div>
      </w:divsChild>
    </w:div>
    <w:div w:id="712000191">
      <w:bodyDiv w:val="1"/>
      <w:marLeft w:val="0"/>
      <w:marRight w:val="0"/>
      <w:marTop w:val="0"/>
      <w:marBottom w:val="0"/>
      <w:divBdr>
        <w:top w:val="none" w:sz="0" w:space="0" w:color="auto"/>
        <w:left w:val="none" w:sz="0" w:space="0" w:color="auto"/>
        <w:bottom w:val="none" w:sz="0" w:space="0" w:color="auto"/>
        <w:right w:val="none" w:sz="0" w:space="0" w:color="auto"/>
      </w:divBdr>
      <w:divsChild>
        <w:div w:id="2139495764">
          <w:marLeft w:val="432"/>
          <w:marRight w:val="0"/>
          <w:marTop w:val="120"/>
          <w:marBottom w:val="0"/>
          <w:divBdr>
            <w:top w:val="none" w:sz="0" w:space="0" w:color="auto"/>
            <w:left w:val="none" w:sz="0" w:space="0" w:color="auto"/>
            <w:bottom w:val="none" w:sz="0" w:space="0" w:color="auto"/>
            <w:right w:val="none" w:sz="0" w:space="0" w:color="auto"/>
          </w:divBdr>
        </w:div>
      </w:divsChild>
    </w:div>
    <w:div w:id="716667546">
      <w:bodyDiv w:val="1"/>
      <w:marLeft w:val="0"/>
      <w:marRight w:val="0"/>
      <w:marTop w:val="0"/>
      <w:marBottom w:val="0"/>
      <w:divBdr>
        <w:top w:val="none" w:sz="0" w:space="0" w:color="auto"/>
        <w:left w:val="none" w:sz="0" w:space="0" w:color="auto"/>
        <w:bottom w:val="none" w:sz="0" w:space="0" w:color="auto"/>
        <w:right w:val="none" w:sz="0" w:space="0" w:color="auto"/>
      </w:divBdr>
      <w:divsChild>
        <w:div w:id="2139100296">
          <w:marLeft w:val="432"/>
          <w:marRight w:val="0"/>
          <w:marTop w:val="120"/>
          <w:marBottom w:val="0"/>
          <w:divBdr>
            <w:top w:val="none" w:sz="0" w:space="0" w:color="auto"/>
            <w:left w:val="none" w:sz="0" w:space="0" w:color="auto"/>
            <w:bottom w:val="none" w:sz="0" w:space="0" w:color="auto"/>
            <w:right w:val="none" w:sz="0" w:space="0" w:color="auto"/>
          </w:divBdr>
        </w:div>
      </w:divsChild>
    </w:div>
    <w:div w:id="906720048">
      <w:bodyDiv w:val="1"/>
      <w:marLeft w:val="0"/>
      <w:marRight w:val="0"/>
      <w:marTop w:val="0"/>
      <w:marBottom w:val="0"/>
      <w:divBdr>
        <w:top w:val="none" w:sz="0" w:space="0" w:color="auto"/>
        <w:left w:val="none" w:sz="0" w:space="0" w:color="auto"/>
        <w:bottom w:val="none" w:sz="0" w:space="0" w:color="auto"/>
        <w:right w:val="none" w:sz="0" w:space="0" w:color="auto"/>
      </w:divBdr>
      <w:divsChild>
        <w:div w:id="931740294">
          <w:marLeft w:val="432"/>
          <w:marRight w:val="0"/>
          <w:marTop w:val="120"/>
          <w:marBottom w:val="0"/>
          <w:divBdr>
            <w:top w:val="none" w:sz="0" w:space="0" w:color="auto"/>
            <w:left w:val="none" w:sz="0" w:space="0" w:color="auto"/>
            <w:bottom w:val="none" w:sz="0" w:space="0" w:color="auto"/>
            <w:right w:val="none" w:sz="0" w:space="0" w:color="auto"/>
          </w:divBdr>
        </w:div>
      </w:divsChild>
    </w:div>
    <w:div w:id="916667184">
      <w:bodyDiv w:val="1"/>
      <w:marLeft w:val="0"/>
      <w:marRight w:val="0"/>
      <w:marTop w:val="0"/>
      <w:marBottom w:val="0"/>
      <w:divBdr>
        <w:top w:val="none" w:sz="0" w:space="0" w:color="auto"/>
        <w:left w:val="none" w:sz="0" w:space="0" w:color="auto"/>
        <w:bottom w:val="none" w:sz="0" w:space="0" w:color="auto"/>
        <w:right w:val="none" w:sz="0" w:space="0" w:color="auto"/>
      </w:divBdr>
      <w:divsChild>
        <w:div w:id="664361131">
          <w:marLeft w:val="432"/>
          <w:marRight w:val="0"/>
          <w:marTop w:val="120"/>
          <w:marBottom w:val="0"/>
          <w:divBdr>
            <w:top w:val="none" w:sz="0" w:space="0" w:color="auto"/>
            <w:left w:val="none" w:sz="0" w:space="0" w:color="auto"/>
            <w:bottom w:val="none" w:sz="0" w:space="0" w:color="auto"/>
            <w:right w:val="none" w:sz="0" w:space="0" w:color="auto"/>
          </w:divBdr>
        </w:div>
      </w:divsChild>
    </w:div>
    <w:div w:id="940719772">
      <w:bodyDiv w:val="1"/>
      <w:marLeft w:val="0"/>
      <w:marRight w:val="0"/>
      <w:marTop w:val="0"/>
      <w:marBottom w:val="0"/>
      <w:divBdr>
        <w:top w:val="none" w:sz="0" w:space="0" w:color="auto"/>
        <w:left w:val="none" w:sz="0" w:space="0" w:color="auto"/>
        <w:bottom w:val="none" w:sz="0" w:space="0" w:color="auto"/>
        <w:right w:val="none" w:sz="0" w:space="0" w:color="auto"/>
      </w:divBdr>
    </w:div>
    <w:div w:id="990016347">
      <w:bodyDiv w:val="1"/>
      <w:marLeft w:val="0"/>
      <w:marRight w:val="0"/>
      <w:marTop w:val="0"/>
      <w:marBottom w:val="0"/>
      <w:divBdr>
        <w:top w:val="none" w:sz="0" w:space="0" w:color="auto"/>
        <w:left w:val="none" w:sz="0" w:space="0" w:color="auto"/>
        <w:bottom w:val="none" w:sz="0" w:space="0" w:color="auto"/>
        <w:right w:val="none" w:sz="0" w:space="0" w:color="auto"/>
      </w:divBdr>
    </w:div>
    <w:div w:id="1181241914">
      <w:bodyDiv w:val="1"/>
      <w:marLeft w:val="0"/>
      <w:marRight w:val="0"/>
      <w:marTop w:val="0"/>
      <w:marBottom w:val="0"/>
      <w:divBdr>
        <w:top w:val="none" w:sz="0" w:space="0" w:color="auto"/>
        <w:left w:val="none" w:sz="0" w:space="0" w:color="auto"/>
        <w:bottom w:val="none" w:sz="0" w:space="0" w:color="auto"/>
        <w:right w:val="none" w:sz="0" w:space="0" w:color="auto"/>
      </w:divBdr>
    </w:div>
    <w:div w:id="1371878644">
      <w:bodyDiv w:val="1"/>
      <w:marLeft w:val="0"/>
      <w:marRight w:val="0"/>
      <w:marTop w:val="0"/>
      <w:marBottom w:val="0"/>
      <w:divBdr>
        <w:top w:val="none" w:sz="0" w:space="0" w:color="auto"/>
        <w:left w:val="none" w:sz="0" w:space="0" w:color="auto"/>
        <w:bottom w:val="none" w:sz="0" w:space="0" w:color="auto"/>
        <w:right w:val="none" w:sz="0" w:space="0" w:color="auto"/>
      </w:divBdr>
      <w:divsChild>
        <w:div w:id="2071687808">
          <w:marLeft w:val="1008"/>
          <w:marRight w:val="0"/>
          <w:marTop w:val="101"/>
          <w:marBottom w:val="0"/>
          <w:divBdr>
            <w:top w:val="none" w:sz="0" w:space="0" w:color="auto"/>
            <w:left w:val="none" w:sz="0" w:space="0" w:color="auto"/>
            <w:bottom w:val="none" w:sz="0" w:space="0" w:color="auto"/>
            <w:right w:val="none" w:sz="0" w:space="0" w:color="auto"/>
          </w:divBdr>
        </w:div>
        <w:div w:id="2123528663">
          <w:marLeft w:val="1008"/>
          <w:marRight w:val="0"/>
          <w:marTop w:val="101"/>
          <w:marBottom w:val="0"/>
          <w:divBdr>
            <w:top w:val="none" w:sz="0" w:space="0" w:color="auto"/>
            <w:left w:val="none" w:sz="0" w:space="0" w:color="auto"/>
            <w:bottom w:val="none" w:sz="0" w:space="0" w:color="auto"/>
            <w:right w:val="none" w:sz="0" w:space="0" w:color="auto"/>
          </w:divBdr>
        </w:div>
      </w:divsChild>
    </w:div>
    <w:div w:id="1597589409">
      <w:bodyDiv w:val="1"/>
      <w:marLeft w:val="0"/>
      <w:marRight w:val="0"/>
      <w:marTop w:val="0"/>
      <w:marBottom w:val="0"/>
      <w:divBdr>
        <w:top w:val="none" w:sz="0" w:space="0" w:color="auto"/>
        <w:left w:val="none" w:sz="0" w:space="0" w:color="auto"/>
        <w:bottom w:val="none" w:sz="0" w:space="0" w:color="auto"/>
        <w:right w:val="none" w:sz="0" w:space="0" w:color="auto"/>
      </w:divBdr>
      <w:divsChild>
        <w:div w:id="1938828874">
          <w:marLeft w:val="432"/>
          <w:marRight w:val="0"/>
          <w:marTop w:val="120"/>
          <w:marBottom w:val="0"/>
          <w:divBdr>
            <w:top w:val="none" w:sz="0" w:space="0" w:color="auto"/>
            <w:left w:val="none" w:sz="0" w:space="0" w:color="auto"/>
            <w:bottom w:val="none" w:sz="0" w:space="0" w:color="auto"/>
            <w:right w:val="none" w:sz="0" w:space="0" w:color="auto"/>
          </w:divBdr>
        </w:div>
      </w:divsChild>
    </w:div>
    <w:div w:id="1651791482">
      <w:bodyDiv w:val="1"/>
      <w:marLeft w:val="0"/>
      <w:marRight w:val="0"/>
      <w:marTop w:val="0"/>
      <w:marBottom w:val="0"/>
      <w:divBdr>
        <w:top w:val="none" w:sz="0" w:space="0" w:color="auto"/>
        <w:left w:val="none" w:sz="0" w:space="0" w:color="auto"/>
        <w:bottom w:val="none" w:sz="0" w:space="0" w:color="auto"/>
        <w:right w:val="none" w:sz="0" w:space="0" w:color="auto"/>
      </w:divBdr>
      <w:divsChild>
        <w:div w:id="1641497544">
          <w:marLeft w:val="432"/>
          <w:marRight w:val="0"/>
          <w:marTop w:val="120"/>
          <w:marBottom w:val="0"/>
          <w:divBdr>
            <w:top w:val="none" w:sz="0" w:space="0" w:color="auto"/>
            <w:left w:val="none" w:sz="0" w:space="0" w:color="auto"/>
            <w:bottom w:val="none" w:sz="0" w:space="0" w:color="auto"/>
            <w:right w:val="none" w:sz="0" w:space="0" w:color="auto"/>
          </w:divBdr>
        </w:div>
      </w:divsChild>
    </w:div>
    <w:div w:id="1654217749">
      <w:bodyDiv w:val="1"/>
      <w:marLeft w:val="0"/>
      <w:marRight w:val="0"/>
      <w:marTop w:val="0"/>
      <w:marBottom w:val="0"/>
      <w:divBdr>
        <w:top w:val="none" w:sz="0" w:space="0" w:color="auto"/>
        <w:left w:val="none" w:sz="0" w:space="0" w:color="auto"/>
        <w:bottom w:val="none" w:sz="0" w:space="0" w:color="auto"/>
        <w:right w:val="none" w:sz="0" w:space="0" w:color="auto"/>
      </w:divBdr>
    </w:div>
    <w:div w:id="1662809194">
      <w:bodyDiv w:val="1"/>
      <w:marLeft w:val="0"/>
      <w:marRight w:val="0"/>
      <w:marTop w:val="0"/>
      <w:marBottom w:val="0"/>
      <w:divBdr>
        <w:top w:val="none" w:sz="0" w:space="0" w:color="auto"/>
        <w:left w:val="none" w:sz="0" w:space="0" w:color="auto"/>
        <w:bottom w:val="none" w:sz="0" w:space="0" w:color="auto"/>
        <w:right w:val="none" w:sz="0" w:space="0" w:color="auto"/>
      </w:divBdr>
      <w:divsChild>
        <w:div w:id="1733966137">
          <w:marLeft w:val="432"/>
          <w:marRight w:val="0"/>
          <w:marTop w:val="120"/>
          <w:marBottom w:val="0"/>
          <w:divBdr>
            <w:top w:val="none" w:sz="0" w:space="0" w:color="auto"/>
            <w:left w:val="none" w:sz="0" w:space="0" w:color="auto"/>
            <w:bottom w:val="none" w:sz="0" w:space="0" w:color="auto"/>
            <w:right w:val="none" w:sz="0" w:space="0" w:color="auto"/>
          </w:divBdr>
        </w:div>
      </w:divsChild>
    </w:div>
    <w:div w:id="1744329628">
      <w:bodyDiv w:val="1"/>
      <w:marLeft w:val="0"/>
      <w:marRight w:val="0"/>
      <w:marTop w:val="0"/>
      <w:marBottom w:val="0"/>
      <w:divBdr>
        <w:top w:val="none" w:sz="0" w:space="0" w:color="auto"/>
        <w:left w:val="none" w:sz="0" w:space="0" w:color="auto"/>
        <w:bottom w:val="none" w:sz="0" w:space="0" w:color="auto"/>
        <w:right w:val="none" w:sz="0" w:space="0" w:color="auto"/>
      </w:divBdr>
    </w:div>
    <w:div w:id="1749232325">
      <w:bodyDiv w:val="1"/>
      <w:marLeft w:val="0"/>
      <w:marRight w:val="0"/>
      <w:marTop w:val="0"/>
      <w:marBottom w:val="0"/>
      <w:divBdr>
        <w:top w:val="none" w:sz="0" w:space="0" w:color="auto"/>
        <w:left w:val="none" w:sz="0" w:space="0" w:color="auto"/>
        <w:bottom w:val="none" w:sz="0" w:space="0" w:color="auto"/>
        <w:right w:val="none" w:sz="0" w:space="0" w:color="auto"/>
      </w:divBdr>
      <w:divsChild>
        <w:div w:id="496071260">
          <w:marLeft w:val="432"/>
          <w:marRight w:val="0"/>
          <w:marTop w:val="120"/>
          <w:marBottom w:val="0"/>
          <w:divBdr>
            <w:top w:val="none" w:sz="0" w:space="0" w:color="auto"/>
            <w:left w:val="none" w:sz="0" w:space="0" w:color="auto"/>
            <w:bottom w:val="none" w:sz="0" w:space="0" w:color="auto"/>
            <w:right w:val="none" w:sz="0" w:space="0" w:color="auto"/>
          </w:divBdr>
        </w:div>
      </w:divsChild>
    </w:div>
    <w:div w:id="1787892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rendercrianca.com.br/todas-as-categorias-dp46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E738-D000-4C31-87C1-01FB84BB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3788</Words>
  <Characters>20456</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24196</CharactersWithSpaces>
  <SharedDoc>false</SharedDoc>
  <HLinks>
    <vt:vector size="6" baseType="variant">
      <vt:variant>
        <vt:i4>2949121</vt:i4>
      </vt:variant>
      <vt:variant>
        <vt:i4>3</vt:i4>
      </vt:variant>
      <vt:variant>
        <vt:i4>0</vt:i4>
      </vt:variant>
      <vt:variant>
        <vt:i4>5</vt:i4>
      </vt:variant>
      <vt:variant>
        <vt:lpwstr>http://www.aprendercrianca.com.br/todas-as-categorias-dp461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Sonildes Souza Alves</cp:lastModifiedBy>
  <cp:revision>2</cp:revision>
  <cp:lastPrinted>2011-04-27T19:58:00Z</cp:lastPrinted>
  <dcterms:created xsi:type="dcterms:W3CDTF">2014-12-15T13:05:00Z</dcterms:created>
  <dcterms:modified xsi:type="dcterms:W3CDTF">2014-12-15T13:05:00Z</dcterms:modified>
</cp:coreProperties>
</file>