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9C4C" w14:textId="3EFA29A5" w:rsidR="000567B6" w:rsidRPr="008622D3" w:rsidRDefault="00101252" w:rsidP="00C35A04">
      <w:pPr>
        <w:jc w:val="both"/>
        <w:rPr>
          <w:rFonts w:eastAsia="Times New Roman"/>
          <w:color w:val="000000"/>
          <w:sz w:val="22"/>
          <w:szCs w:val="22"/>
        </w:rPr>
      </w:pPr>
      <w:r w:rsidRPr="008622D3">
        <w:rPr>
          <w:rFonts w:eastAsia="Times New Roman"/>
          <w:b/>
          <w:bCs/>
          <w:color w:val="000000"/>
          <w:sz w:val="22"/>
          <w:szCs w:val="22"/>
        </w:rPr>
        <w:t>Figure 1: House Sparrow Distribution from 1800 to 2019.</w:t>
      </w:r>
      <w:r w:rsidRPr="008622D3">
        <w:rPr>
          <w:rFonts w:eastAsia="Times New Roman"/>
          <w:color w:val="000000"/>
          <w:sz w:val="22"/>
          <w:szCs w:val="22"/>
        </w:rPr>
        <w:t xml:space="preserve"> </w:t>
      </w:r>
      <w:r w:rsidR="005C5E67">
        <w:rPr>
          <w:rFonts w:eastAsia="Times New Roman"/>
          <w:color w:val="000000"/>
          <w:sz w:val="22"/>
          <w:szCs w:val="22"/>
        </w:rPr>
        <w:t xml:space="preserve">1800 distribution map was adapted from Summers-Smith 1963, 1980 distribution map from Summers-Smith 1988 and Long 1981, and </w:t>
      </w:r>
      <w:r w:rsidRPr="008622D3">
        <w:rPr>
          <w:rFonts w:eastAsia="Times New Roman"/>
          <w:color w:val="000000"/>
          <w:sz w:val="22"/>
          <w:szCs w:val="22"/>
        </w:rPr>
        <w:t>2019 distribution map was from Hanson et al.</w:t>
      </w:r>
      <w:r w:rsidR="00D84C4B">
        <w:rPr>
          <w:rFonts w:eastAsia="Times New Roman"/>
          <w:i/>
          <w:iCs/>
          <w:color w:val="000000"/>
          <w:sz w:val="22"/>
          <w:szCs w:val="22"/>
        </w:rPr>
        <w:t xml:space="preserve"> 2020</w:t>
      </w:r>
      <w:r w:rsidRPr="008622D3">
        <w:rPr>
          <w:rFonts w:eastAsia="Times New Roman"/>
          <w:color w:val="000000"/>
          <w:sz w:val="22"/>
          <w:szCs w:val="22"/>
        </w:rPr>
        <w:t>.</w:t>
      </w:r>
      <w:r w:rsidR="005C5E67">
        <w:rPr>
          <w:rFonts w:eastAsia="Times New Roman"/>
          <w:color w:val="000000"/>
          <w:sz w:val="22"/>
          <w:szCs w:val="22"/>
        </w:rPr>
        <w:t xml:space="preserve"> All maps were supplemented with sources listed below</w:t>
      </w:r>
      <w:r w:rsidR="00AD4FDB">
        <w:rPr>
          <w:rFonts w:eastAsia="Times New Roman"/>
          <w:color w:val="000000"/>
          <w:sz w:val="22"/>
          <w:szCs w:val="22"/>
        </w:rPr>
        <w:t>.</w:t>
      </w:r>
    </w:p>
    <w:p w14:paraId="0D9C05C6" w14:textId="77777777" w:rsidR="00101252" w:rsidRPr="008622D3" w:rsidRDefault="00101252" w:rsidP="00C35A04">
      <w:pPr>
        <w:jc w:val="both"/>
        <w:rPr>
          <w:rFonts w:eastAsia="Times New Roman"/>
          <w:color w:val="000000"/>
          <w:sz w:val="22"/>
          <w:szCs w:val="22"/>
        </w:rPr>
      </w:pPr>
    </w:p>
    <w:p w14:paraId="359641A4" w14:textId="77777777" w:rsidR="00101252" w:rsidRPr="008622D3" w:rsidRDefault="00101252" w:rsidP="00C35A04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8622D3">
        <w:rPr>
          <w:rFonts w:eastAsia="Times New Roman"/>
          <w:b/>
          <w:bCs/>
          <w:color w:val="000000"/>
          <w:sz w:val="22"/>
          <w:szCs w:val="22"/>
        </w:rPr>
        <w:t xml:space="preserve">Table 1: Global House Sparrow Introduction or Translocation Events by Region. </w:t>
      </w:r>
      <w:r w:rsidRPr="008622D3">
        <w:rPr>
          <w:rFonts w:eastAsia="Times New Roman"/>
          <w:bCs/>
          <w:color w:val="000000"/>
          <w:sz w:val="22"/>
          <w:szCs w:val="22"/>
        </w:rPr>
        <w:t>Table complied using sources listed below.</w:t>
      </w:r>
    </w:p>
    <w:p w14:paraId="6060F9B5" w14:textId="7A236433" w:rsidR="00101252" w:rsidRDefault="00101252">
      <w:pPr>
        <w:rPr>
          <w:rFonts w:eastAsia="Times New Roman"/>
          <w:bCs/>
          <w:color w:val="000000"/>
          <w:sz w:val="22"/>
          <w:szCs w:val="22"/>
        </w:rPr>
      </w:pPr>
    </w:p>
    <w:p w14:paraId="3AC7DFDB" w14:textId="4AF5D156" w:rsidR="00AD4FDB" w:rsidRPr="00AD4FDB" w:rsidRDefault="00AD4FDB">
      <w:pPr>
        <w:rPr>
          <w:rFonts w:eastAsia="Times New Roman"/>
          <w:b/>
          <w:bCs/>
          <w:color w:val="000000"/>
          <w:sz w:val="22"/>
          <w:szCs w:val="22"/>
        </w:rPr>
      </w:pPr>
      <w:r w:rsidRPr="00AD4FDB">
        <w:rPr>
          <w:rFonts w:eastAsia="Times New Roman"/>
          <w:b/>
          <w:bCs/>
          <w:color w:val="000000"/>
          <w:sz w:val="22"/>
          <w:szCs w:val="22"/>
        </w:rPr>
        <w:t>Sources used for Figure 1 and Table 1:</w:t>
      </w:r>
    </w:p>
    <w:p w14:paraId="54A80C21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sz w:val="22"/>
          <w:szCs w:val="22"/>
        </w:rPr>
        <w:fldChar w:fldCharType="begin" w:fldLock="1"/>
      </w:r>
      <w:r w:rsidRPr="008622D3">
        <w:rPr>
          <w:sz w:val="22"/>
          <w:szCs w:val="22"/>
        </w:rPr>
        <w:instrText xml:space="preserve">ADDIN Mendeley Bibliography CSL_BIBLIOGRAPHY </w:instrText>
      </w:r>
      <w:r w:rsidRPr="008622D3">
        <w:rPr>
          <w:sz w:val="22"/>
          <w:szCs w:val="22"/>
        </w:rPr>
        <w:fldChar w:fldCharType="separate"/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Alexandria Gazette</w:t>
      </w:r>
      <w:r w:rsidRPr="008622D3">
        <w:rPr>
          <w:rFonts w:eastAsia="Times New Roman" w:cs="Times New Roman"/>
          <w:noProof/>
          <w:sz w:val="22"/>
          <w:szCs w:val="22"/>
        </w:rPr>
        <w:t>. 1859. “Alex,” May 3, 1859. https://chroniclingamerica.loc.gov/lccn/sn85025007/1859-05-03/ed-1/seq-2/.</w:t>
      </w:r>
    </w:p>
    <w:p w14:paraId="4DE641C1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Anderson, Ted. 2006.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Biology of the Ubiquitous House Sparrow: From Genes to Populations</w:t>
      </w:r>
      <w:r w:rsidRPr="008622D3">
        <w:rPr>
          <w:rFonts w:eastAsia="Times New Roman" w:cs="Times New Roman"/>
          <w:noProof/>
          <w:sz w:val="22"/>
          <w:szCs w:val="22"/>
        </w:rPr>
        <w:t xml:space="preserve">.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Biology of the Ubiquitous House Sparrow: From Genes to Populations</w:t>
      </w:r>
      <w:r w:rsidRPr="008622D3">
        <w:rPr>
          <w:rFonts w:eastAsia="Times New Roman" w:cs="Times New Roman"/>
          <w:noProof/>
          <w:sz w:val="22"/>
          <w:szCs w:val="22"/>
        </w:rPr>
        <w:t>. https://doi.org/10.1093/acprof:oso/9780195304114.001.0001.</w:t>
      </w:r>
    </w:p>
    <w:p w14:paraId="157554F2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Andrew, Samuel C, and Simon C Griffith. 2016. “Inaccuracies in the History of a Well-Known Introduction: A Case Study of the Australian House Sparrow (Passer Domesticus).”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Avian Research</w:t>
      </w:r>
      <w:r w:rsidRPr="008622D3">
        <w:rPr>
          <w:rFonts w:eastAsia="Times New Roman" w:cs="Times New Roman"/>
          <w:noProof/>
          <w:sz w:val="22"/>
          <w:szCs w:val="22"/>
        </w:rPr>
        <w:t xml:space="preserve"> 7 (1): 1–15. https://doi.org/10.1186/s40657-016-0044-3.</w:t>
      </w:r>
    </w:p>
    <w:p w14:paraId="5148747F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Ashford, R. W. 1978. “First Record of House Sparrow for Papua New Guinea.”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Emu</w:t>
      </w:r>
      <w:r w:rsidRPr="008622D3">
        <w:rPr>
          <w:rFonts w:eastAsia="Times New Roman" w:cs="Times New Roman"/>
          <w:noProof/>
          <w:sz w:val="22"/>
          <w:szCs w:val="22"/>
        </w:rPr>
        <w:t xml:space="preserve"> 78 (1). https://doi.org/10.1071/MU9780036.</w:t>
      </w:r>
    </w:p>
    <w:p w14:paraId="63AA08E5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Azpiroz, Adrián, David Ascanio, Robin Restall, Alejandra Soto, Carlos Bosque, and Adriana Rodríguez-Ferraro. 2006. “Status and Distribution of the House Sparrow (Passer Domesticus) in Venezuela.”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Ornithologia Neotropical</w:t>
      </w:r>
      <w:r w:rsidRPr="008622D3">
        <w:rPr>
          <w:rFonts w:eastAsia="Times New Roman" w:cs="Times New Roman"/>
          <w:noProof/>
          <w:sz w:val="22"/>
          <w:szCs w:val="22"/>
        </w:rPr>
        <w:t xml:space="preserve"> 14: 457–60.</w:t>
      </w:r>
    </w:p>
    <w:p w14:paraId="0D243474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Barrows, Walter Bradford. 1889. “The English Sparrow (Passer Domesticus) in North America, Especially in Its Relation to Agriculture.”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US Department of Agriculture, Division of Economic Ornithology and Mammalogy</w:t>
      </w:r>
      <w:r w:rsidRPr="008622D3">
        <w:rPr>
          <w:rFonts w:eastAsia="Times New Roman" w:cs="Times New Roman"/>
          <w:noProof/>
          <w:sz w:val="22"/>
          <w:szCs w:val="22"/>
        </w:rPr>
        <w:t>, no. 1.</w:t>
      </w:r>
    </w:p>
    <w:p w14:paraId="40FCF1E6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Broun, Maurice. 1971. “House Sparrows Feeding Young at Night.”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The Auk</w:t>
      </w:r>
      <w:r w:rsidRPr="008622D3">
        <w:rPr>
          <w:rFonts w:eastAsia="Times New Roman" w:cs="Times New Roman"/>
          <w:noProof/>
          <w:sz w:val="22"/>
          <w:szCs w:val="22"/>
        </w:rPr>
        <w:t xml:space="preserve"> 88 (4): 924–25.</w:t>
      </w:r>
    </w:p>
    <w:p w14:paraId="42D8E164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Dyer, Ellie E., David W. Redding, and Tim M. Blackburn. 2017. “The Global Avian Invasions Atlas, a Database of Alien Bird Distributions Worldwide.”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Scientific Data</w:t>
      </w:r>
      <w:r w:rsidRPr="008622D3">
        <w:rPr>
          <w:rFonts w:eastAsia="Times New Roman" w:cs="Times New Roman"/>
          <w:noProof/>
          <w:sz w:val="22"/>
          <w:szCs w:val="22"/>
        </w:rPr>
        <w:t xml:space="preserve"> 4: 170041. https://doi.org/10.1038/sdata.2017.41.</w:t>
      </w:r>
      <w:bookmarkStart w:id="0" w:name="_GoBack"/>
      <w:bookmarkEnd w:id="0"/>
    </w:p>
    <w:p w14:paraId="154B9531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>eBird. 2017. “EBird: An Online Database of Bird Distribution and Abundance (Web Application).” EBird, Ithaca, New York. 2017. www.ebird.org.</w:t>
      </w:r>
    </w:p>
    <w:p w14:paraId="0FA746CE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>Goodman, Steven M, P Achille, Henri A Andriniaina, and E Nahina. 2017. “The Distribution and Ecology of Invasive Alien Vertebrate Species in the Greater Toamasina Region , Central Eastern Madagascar,” 95–109.</w:t>
      </w:r>
    </w:p>
    <w:p w14:paraId="1F5403B0" w14:textId="23D83D89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Hanson, Haley E., Jaime E. Zolik, and Lynn B. Martin. </w:t>
      </w:r>
      <w:r w:rsidR="00D84C4B">
        <w:rPr>
          <w:rFonts w:eastAsia="Times New Roman" w:cs="Times New Roman"/>
          <w:noProof/>
          <w:sz w:val="22"/>
          <w:szCs w:val="22"/>
        </w:rPr>
        <w:t>2020</w:t>
      </w:r>
      <w:r w:rsidRPr="008622D3">
        <w:rPr>
          <w:rFonts w:eastAsia="Times New Roman" w:cs="Times New Roman"/>
          <w:noProof/>
          <w:sz w:val="22"/>
          <w:szCs w:val="22"/>
        </w:rPr>
        <w:t xml:space="preserve">. “House Sparrow (Passer Domesticus).” In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CABI- Invasive Birds: Global Trends and Impacts</w:t>
      </w:r>
      <w:r w:rsidRPr="008622D3">
        <w:rPr>
          <w:rFonts w:eastAsia="Times New Roman" w:cs="Times New Roman"/>
          <w:noProof/>
          <w:sz w:val="22"/>
          <w:szCs w:val="22"/>
        </w:rPr>
        <w:t>.</w:t>
      </w:r>
    </w:p>
    <w:p w14:paraId="751E28E9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Lever, C. 1987.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Naturalized Birds of the World</w:t>
      </w:r>
      <w:r w:rsidRPr="008622D3">
        <w:rPr>
          <w:rFonts w:eastAsia="Times New Roman" w:cs="Times New Roman"/>
          <w:noProof/>
          <w:sz w:val="22"/>
          <w:szCs w:val="22"/>
        </w:rPr>
        <w:t>. New York: Longman Scientific and Technical.</w:t>
      </w:r>
    </w:p>
    <w:p w14:paraId="211478C5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Long, John L. 1981.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Introduced Birds of the World</w:t>
      </w:r>
      <w:r w:rsidRPr="008622D3">
        <w:rPr>
          <w:rFonts w:eastAsia="Times New Roman" w:cs="Times New Roman"/>
          <w:noProof/>
          <w:sz w:val="22"/>
          <w:szCs w:val="22"/>
        </w:rPr>
        <w:t>. David and Charles.</w:t>
      </w:r>
    </w:p>
    <w:p w14:paraId="2969D670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Moulton, Michael P., Wendell P. Cropper, Michael L. Avery, and Linda E. Moulton. 2010. “The Earliest House Sparrow Introductions to North America.”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Biological Invasions</w:t>
      </w:r>
      <w:r w:rsidRPr="008622D3">
        <w:rPr>
          <w:rFonts w:eastAsia="Times New Roman" w:cs="Times New Roman"/>
          <w:noProof/>
          <w:sz w:val="22"/>
          <w:szCs w:val="22"/>
        </w:rPr>
        <w:t xml:space="preserve"> 12 (9): 2955–58. https://doi.org/10.1007/s10530-010-9692-0.</w:t>
      </w:r>
    </w:p>
    <w:p w14:paraId="5C545B5B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i/>
          <w:iCs/>
          <w:noProof/>
          <w:sz w:val="22"/>
          <w:szCs w:val="22"/>
        </w:rPr>
        <w:t>New Zealand Mail</w:t>
      </w:r>
      <w:r w:rsidRPr="008622D3">
        <w:rPr>
          <w:rFonts w:eastAsia="Times New Roman" w:cs="Times New Roman"/>
          <w:noProof/>
          <w:sz w:val="22"/>
          <w:szCs w:val="22"/>
        </w:rPr>
        <w:t>. 1871. “Farmers’ Column, Sparrows,” April 29, 1871. https://paperspast.natlib.govt.nz/newspapers/NZMAIL18710429.2.30.</w:t>
      </w:r>
    </w:p>
    <w:p w14:paraId="2B4195A4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i/>
          <w:iCs/>
          <w:noProof/>
          <w:sz w:val="22"/>
          <w:szCs w:val="22"/>
        </w:rPr>
        <w:t>Press (Papers Past)</w:t>
      </w:r>
      <w:r w:rsidRPr="008622D3">
        <w:rPr>
          <w:rFonts w:eastAsia="Times New Roman" w:cs="Times New Roman"/>
          <w:noProof/>
          <w:sz w:val="22"/>
          <w:szCs w:val="22"/>
        </w:rPr>
        <w:t>. 1879. “Sparrows,” December 20, 1879. https://paperspast.natlib.govt.nz/newspapers/CHP18791220.2.26.2.</w:t>
      </w:r>
    </w:p>
    <w:p w14:paraId="0E16776B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Ravinet, Mark, Tore Oldeide Elgvin, Cassandra Trier, Mansour Aliabadian, Andrey Gavrilov, and Glenn-Peter Sætre. 2018. “Signatures of Human-Commensalism in the House Sparrow Genome.”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Proceedings. Biological Sciences</w:t>
      </w:r>
      <w:r w:rsidRPr="008622D3">
        <w:rPr>
          <w:rFonts w:eastAsia="Times New Roman" w:cs="Times New Roman"/>
          <w:noProof/>
          <w:sz w:val="22"/>
          <w:szCs w:val="22"/>
        </w:rPr>
        <w:t xml:space="preserve"> 285 (1884): 20181246. https://doi.org/10.1098/rspb.2018.1246.</w:t>
      </w:r>
    </w:p>
    <w:p w14:paraId="0EEFF840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Robbins, Chandler S. 1973. “Introduction, Spread, and Present Abundance of the House Sparrow in </w:t>
      </w:r>
      <w:r w:rsidRPr="008622D3">
        <w:rPr>
          <w:rFonts w:eastAsia="Times New Roman" w:cs="Times New Roman"/>
          <w:noProof/>
          <w:sz w:val="22"/>
          <w:szCs w:val="22"/>
        </w:rPr>
        <w:lastRenderedPageBreak/>
        <w:t xml:space="preserve">North America.”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Ornithological Monographs</w:t>
      </w:r>
      <w:r w:rsidRPr="008622D3">
        <w:rPr>
          <w:rFonts w:eastAsia="Times New Roman" w:cs="Times New Roman"/>
          <w:noProof/>
          <w:sz w:val="22"/>
          <w:szCs w:val="22"/>
        </w:rPr>
        <w:t xml:space="preserve"> 14: 3–9.</w:t>
      </w:r>
    </w:p>
    <w:p w14:paraId="27136174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Summers-Smith, J. Denis. 1963.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The House Sparrow</w:t>
      </w:r>
      <w:r w:rsidRPr="008622D3">
        <w:rPr>
          <w:rFonts w:eastAsia="Times New Roman" w:cs="Times New Roman"/>
          <w:noProof/>
          <w:sz w:val="22"/>
          <w:szCs w:val="22"/>
        </w:rPr>
        <w:t>. First Edit. London: Collins.</w:t>
      </w:r>
    </w:p>
    <w:p w14:paraId="2D8E6D71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———. 1988.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The Sparrows: A Study of the Genus Passer</w:t>
      </w:r>
      <w:r w:rsidRPr="008622D3">
        <w:rPr>
          <w:rFonts w:eastAsia="Times New Roman" w:cs="Times New Roman"/>
          <w:noProof/>
          <w:sz w:val="22"/>
          <w:szCs w:val="22"/>
        </w:rPr>
        <w:t>. A &amp; C Black Publishers Ltd.</w:t>
      </w:r>
    </w:p>
    <w:p w14:paraId="4C095AC5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———. 1992.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In Search of Sparrows</w:t>
      </w:r>
      <w:r w:rsidRPr="008622D3">
        <w:rPr>
          <w:rFonts w:eastAsia="Times New Roman" w:cs="Times New Roman"/>
          <w:noProof/>
          <w:sz w:val="22"/>
          <w:szCs w:val="22"/>
        </w:rPr>
        <w:t>. Academic Press.</w:t>
      </w:r>
    </w:p>
    <w:p w14:paraId="1DEC25CA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>———. 2007. “Personal Communication.”</w:t>
      </w:r>
    </w:p>
    <w:p w14:paraId="07727148" w14:textId="77777777" w:rsidR="008622D3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The Hawaiian Gazette. 1871. “Sparrows.”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Chronicling America: Historic American Newspapers. Lib. of Congress.</w:t>
      </w:r>
      <w:r w:rsidRPr="008622D3">
        <w:rPr>
          <w:rFonts w:eastAsia="Times New Roman" w:cs="Times New Roman"/>
          <w:noProof/>
          <w:sz w:val="22"/>
          <w:szCs w:val="22"/>
        </w:rPr>
        <w:t>, August 9, 1871. https://chroniclingamerica.loc.gov/lccn/sn83025121/1871-08-09/ed-1/seq-3/.</w:t>
      </w:r>
    </w:p>
    <w:p w14:paraId="301868F1" w14:textId="4C7081CA" w:rsidR="00101252" w:rsidRPr="008622D3" w:rsidRDefault="008622D3" w:rsidP="008622D3">
      <w:pPr>
        <w:widowControl w:val="0"/>
        <w:autoSpaceDE w:val="0"/>
        <w:autoSpaceDN w:val="0"/>
        <w:adjustRightInd w:val="0"/>
        <w:ind w:left="480" w:hanging="480"/>
        <w:rPr>
          <w:sz w:val="22"/>
          <w:szCs w:val="22"/>
        </w:rPr>
      </w:pPr>
      <w:r w:rsidRPr="008622D3">
        <w:rPr>
          <w:sz w:val="22"/>
          <w:szCs w:val="22"/>
        </w:rPr>
        <w:fldChar w:fldCharType="end"/>
      </w:r>
    </w:p>
    <w:p w14:paraId="13F004CA" w14:textId="77777777" w:rsidR="00C35A04" w:rsidRPr="008622D3" w:rsidRDefault="00C35A04" w:rsidP="00C35A04">
      <w:pPr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8622D3">
        <w:rPr>
          <w:rFonts w:eastAsia="Times New Roman"/>
          <w:b/>
          <w:bCs/>
          <w:color w:val="000000"/>
          <w:sz w:val="22"/>
          <w:szCs w:val="22"/>
        </w:rPr>
        <w:t>Table 2:</w:t>
      </w:r>
      <w:r w:rsidRPr="008622D3">
        <w:rPr>
          <w:rFonts w:eastAsia="Times New Roman"/>
          <w:color w:val="000000"/>
          <w:sz w:val="22"/>
          <w:szCs w:val="22"/>
        </w:rPr>
        <w:t xml:space="preserve"> </w:t>
      </w:r>
      <w:r w:rsidRPr="008622D3">
        <w:rPr>
          <w:rFonts w:eastAsia="Times New Roman"/>
          <w:b/>
          <w:color w:val="000000"/>
          <w:sz w:val="22"/>
          <w:szCs w:val="22"/>
        </w:rPr>
        <w:t>House Sparrows Available in Museum Collections.</w:t>
      </w:r>
      <w:r w:rsidRPr="008622D3">
        <w:rPr>
          <w:rFonts w:eastAsia="Times New Roman"/>
          <w:color w:val="000000"/>
          <w:sz w:val="22"/>
          <w:szCs w:val="22"/>
        </w:rPr>
        <w:t xml:space="preserve"> </w:t>
      </w:r>
    </w:p>
    <w:p w14:paraId="0A0C4C8F" w14:textId="033692B5" w:rsidR="00C9659C" w:rsidRDefault="00C9659C" w:rsidP="00C35A04">
      <w:pPr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Listed are house sparrow museum collections, the number of specimens present in each, and the time of specimen sampling. All data was compiled from all collections present in the </w:t>
      </w:r>
      <w:proofErr w:type="spellStart"/>
      <w:r>
        <w:rPr>
          <w:rFonts w:eastAsia="Times New Roman"/>
          <w:color w:val="000000"/>
          <w:sz w:val="22"/>
          <w:szCs w:val="22"/>
        </w:rPr>
        <w:t>VertNet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database </w:t>
      </w:r>
      <w:r>
        <w:rPr>
          <w:rFonts w:eastAsia="Times New Roman"/>
          <w:color w:val="000000"/>
          <w:sz w:val="22"/>
          <w:szCs w:val="22"/>
        </w:rPr>
        <w:fldChar w:fldCharType="begin" w:fldLock="1"/>
      </w:r>
      <w:r>
        <w:rPr>
          <w:rFonts w:eastAsia="Times New Roman"/>
          <w:color w:val="000000"/>
          <w:sz w:val="22"/>
          <w:szCs w:val="22"/>
        </w:rPr>
        <w:instrText>ADDIN CSL_CITATION {"citationItems":[{"id":"ITEM-1","itemData":{"DOI":"10.1371/journal.pbio.1000309","ISSN":"15449173","abstract":"Responding to the urgent need to make biodiversity records broadly accessible, the natural history community turned to “the cloud.”","author":[{"dropping-particle":"","family":"Constable","given":"Heather","non-dropping-particle":"","parse-names":false,"suffix":""},{"dropping-particle":"","family":"Guralnick","given":"Robert","non-dropping-particle":"","parse-names":false,"suffix":""},{"dropping-particle":"","family":"Wieczorek","given":"John","non-dropping-particle":"","parse-names":false,"suffix":""},{"dropping-particle":"","family":"Spencer","given":"Carol","non-dropping-particle":"","parse-names":false,"suffix":""},{"dropping-particle":"","family":"Peterson","given":"A. Townsend","non-dropping-particle":"","parse-names":false,"suffix":""},{"dropping-particle":"","family":"Bart","given":"Hank","non-dropping-particle":"","parse-names":false,"suffix":""},{"dropping-particle":"","family":"Bates","given":"John","non-dropping-particle":"","parse-names":false,"suffix":""},{"dropping-particle":"","family":"Cotter","given":"Gladys","non-dropping-particle":"","parse-names":false,"suffix":""},{"dropping-particle":"","family":"Hanken","given":"James","non-dropping-particle":"","parse-names":false,"suffix":""},{"dropping-particle":"","family":"Moritz","given":"Craig","non-dropping-particle":"","parse-names":false,"suffix":""},{"dropping-particle":"","family":"Simmons","given":"Nancy","non-dropping-particle":"","parse-names":false,"suffix":""},{"dropping-particle":"","family":"Trueb","given":"Linda","non-dropping-particle":"","parse-names":false,"suffix":""}],"container-title":"PLoS Biology","id":"ITEM-1","issued":{"date-parts":[["2010"]]},"title":"VertNet: A new model for biodiversity data sharing","type":"article"},"uris":["http://www.mendeley.com/documents/?uuid=ea17b225-704a-4550-baf9-a97c7d65cfc4"]}],"mendeley":{"formattedCitation":"(Constable et al. 2010)","plainTextFormattedCitation":"(Constable et al. 2010)"},"properties":{"noteIndex":0},"schema":"https://github.com/citation-style-language/schema/raw/master/csl-citation.json"}</w:instrText>
      </w:r>
      <w:r>
        <w:rPr>
          <w:rFonts w:eastAsia="Times New Roman"/>
          <w:color w:val="000000"/>
          <w:sz w:val="22"/>
          <w:szCs w:val="22"/>
        </w:rPr>
        <w:fldChar w:fldCharType="separate"/>
      </w:r>
      <w:r w:rsidRPr="0028320C">
        <w:rPr>
          <w:rFonts w:eastAsia="Times New Roman"/>
          <w:noProof/>
          <w:color w:val="000000"/>
          <w:sz w:val="22"/>
          <w:szCs w:val="22"/>
        </w:rPr>
        <w:t>(Constable et al. 2010)</w:t>
      </w:r>
      <w:r>
        <w:rPr>
          <w:rFonts w:eastAsia="Times New Roman"/>
          <w:color w:val="000000"/>
          <w:sz w:val="22"/>
          <w:szCs w:val="22"/>
        </w:rPr>
        <w:fldChar w:fldCharType="end"/>
      </w:r>
      <w:r>
        <w:rPr>
          <w:rFonts w:eastAsia="Times New Roman"/>
          <w:color w:val="000000"/>
          <w:sz w:val="22"/>
          <w:szCs w:val="22"/>
        </w:rPr>
        <w:t>.</w:t>
      </w:r>
    </w:p>
    <w:p w14:paraId="0AA3F95A" w14:textId="77777777" w:rsidR="00C9659C" w:rsidRDefault="00C9659C" w:rsidP="00C35A04">
      <w:pPr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</w:p>
    <w:p w14:paraId="15925122" w14:textId="14909B56" w:rsidR="00C744DE" w:rsidRPr="00C744DE" w:rsidRDefault="00C744DE" w:rsidP="00C35A04">
      <w:pPr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 search was performed in February 2020 on </w:t>
      </w:r>
      <w:proofErr w:type="spellStart"/>
      <w:r>
        <w:rPr>
          <w:rFonts w:eastAsia="Times New Roman"/>
          <w:color w:val="000000"/>
          <w:sz w:val="22"/>
          <w:szCs w:val="22"/>
        </w:rPr>
        <w:t>VertNet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using the advanced search option</w:t>
      </w:r>
      <w:r w:rsidR="00C9659C">
        <w:rPr>
          <w:rFonts w:eastAsia="Times New Roman"/>
          <w:color w:val="000000"/>
          <w:sz w:val="22"/>
          <w:szCs w:val="22"/>
        </w:rPr>
        <w:t xml:space="preserve"> </w:t>
      </w:r>
      <w:r w:rsidR="00C9659C">
        <w:rPr>
          <w:rFonts w:eastAsia="Times New Roman"/>
          <w:color w:val="000000"/>
          <w:sz w:val="22"/>
          <w:szCs w:val="22"/>
        </w:rPr>
        <w:fldChar w:fldCharType="begin" w:fldLock="1"/>
      </w:r>
      <w:r w:rsidR="00C9659C">
        <w:rPr>
          <w:rFonts w:eastAsia="Times New Roman"/>
          <w:color w:val="000000"/>
          <w:sz w:val="22"/>
          <w:szCs w:val="22"/>
        </w:rPr>
        <w:instrText>ADDIN CSL_CITATION {"citationItems":[{"id":"ITEM-1","itemData":{"DOI":"10.1371/journal.pbio.1000309","ISSN":"15449173","abstract":"Responding to the urgent need to make biodiversity records broadly accessible, the natural history community turned to “the cloud.”","author":[{"dropping-particle":"","family":"Constable","given":"Heather","non-dropping-particle":"","parse-names":false,"suffix":""},{"dropping-particle":"","family":"Guralnick","given":"Robert","non-dropping-particle":"","parse-names":false,"suffix":""},{"dropping-particle":"","family":"Wieczorek","given":"John","non-dropping-particle":"","parse-names":false,"suffix":""},{"dropping-particle":"","family":"Spencer","given":"Carol","non-dropping-particle":"","parse-names":false,"suffix":""},{"dropping-particle":"","family":"Peterson","given":"A. Townsend","non-dropping-particle":"","parse-names":false,"suffix":""},{"dropping-particle":"","family":"Bart","given":"Hank","non-dropping-particle":"","parse-names":false,"suffix":""},{"dropping-particle":"","family":"Bates","given":"John","non-dropping-particle":"","parse-names":false,"suffix":""},{"dropping-particle":"","family":"Cotter","given":"Gladys","non-dropping-particle":"","parse-names":false,"suffix":""},{"dropping-particle":"","family":"Hanken","given":"James","non-dropping-particle":"","parse-names":false,"suffix":""},{"dropping-particle":"","family":"Moritz","given":"Craig","non-dropping-particle":"","parse-names":false,"suffix":""},{"dropping-particle":"","family":"Simmons","given":"Nancy","non-dropping-particle":"","parse-names":false,"suffix":""},{"dropping-particle":"","family":"Trueb","given":"Linda","non-dropping-particle":"","parse-names":false,"suffix":""}],"container-title":"PLoS Biology","id":"ITEM-1","issued":{"date-parts":[["2010"]]},"title":"VertNet: A new model for biodiversity data sharing","type":"article"},"uris":["http://www.mendeley.com/documents/?uuid=ea17b225-704a-4550-baf9-a97c7d65cfc4"]}],"mendeley":{"formattedCitation":"(Constable et al. 2010)","plainTextFormattedCitation":"(Constable et al. 2010)"},"properties":{"noteIndex":0},"schema":"https://github.com/citation-style-language/schema/raw/master/csl-citation.json"}</w:instrText>
      </w:r>
      <w:r w:rsidR="00C9659C">
        <w:rPr>
          <w:rFonts w:eastAsia="Times New Roman"/>
          <w:color w:val="000000"/>
          <w:sz w:val="22"/>
          <w:szCs w:val="22"/>
        </w:rPr>
        <w:fldChar w:fldCharType="separate"/>
      </w:r>
      <w:r w:rsidR="00C9659C" w:rsidRPr="0028320C">
        <w:rPr>
          <w:rFonts w:eastAsia="Times New Roman"/>
          <w:noProof/>
          <w:color w:val="000000"/>
          <w:sz w:val="22"/>
          <w:szCs w:val="22"/>
        </w:rPr>
        <w:t>(Constable et al. 2010)</w:t>
      </w:r>
      <w:r w:rsidR="00C9659C">
        <w:rPr>
          <w:rFonts w:eastAsia="Times New Roman"/>
          <w:color w:val="000000"/>
          <w:sz w:val="22"/>
          <w:szCs w:val="22"/>
        </w:rPr>
        <w:fldChar w:fldCharType="end"/>
      </w:r>
      <w:r>
        <w:rPr>
          <w:rFonts w:eastAsia="Times New Roman"/>
          <w:color w:val="000000"/>
          <w:sz w:val="22"/>
          <w:szCs w:val="22"/>
        </w:rPr>
        <w:t xml:space="preserve">. Each individual institution listed in the database was searched separately with </w:t>
      </w:r>
      <w:r>
        <w:rPr>
          <w:rFonts w:eastAsia="Times New Roman"/>
          <w:i/>
          <w:color w:val="000000"/>
          <w:sz w:val="22"/>
          <w:szCs w:val="22"/>
        </w:rPr>
        <w:t>Passer</w:t>
      </w:r>
      <w:r>
        <w:rPr>
          <w:rFonts w:eastAsia="Times New Roman"/>
          <w:color w:val="000000"/>
          <w:sz w:val="22"/>
          <w:szCs w:val="22"/>
        </w:rPr>
        <w:t xml:space="preserve"> entered in the </w:t>
      </w:r>
      <w:r w:rsidR="00923900">
        <w:rPr>
          <w:rFonts w:eastAsia="Times New Roman"/>
          <w:color w:val="000000"/>
          <w:sz w:val="22"/>
          <w:szCs w:val="22"/>
        </w:rPr>
        <w:t>“</w:t>
      </w:r>
      <w:r>
        <w:rPr>
          <w:rFonts w:eastAsia="Times New Roman"/>
          <w:color w:val="000000"/>
          <w:sz w:val="22"/>
          <w:szCs w:val="22"/>
        </w:rPr>
        <w:t>Genus</w:t>
      </w:r>
      <w:r w:rsidR="00923900">
        <w:rPr>
          <w:rFonts w:eastAsia="Times New Roman"/>
          <w:color w:val="000000"/>
          <w:sz w:val="22"/>
          <w:szCs w:val="22"/>
        </w:rPr>
        <w:t>”</w:t>
      </w:r>
      <w:r>
        <w:rPr>
          <w:rFonts w:eastAsia="Times New Roman"/>
          <w:color w:val="000000"/>
          <w:sz w:val="22"/>
          <w:szCs w:val="22"/>
        </w:rPr>
        <w:t xml:space="preserve"> field, </w:t>
      </w:r>
      <w:r>
        <w:rPr>
          <w:rFonts w:eastAsia="Times New Roman"/>
          <w:i/>
          <w:color w:val="000000"/>
          <w:sz w:val="22"/>
          <w:szCs w:val="22"/>
        </w:rPr>
        <w:t>domesticus</w:t>
      </w:r>
      <w:r>
        <w:rPr>
          <w:rFonts w:eastAsia="Times New Roman"/>
          <w:color w:val="000000"/>
          <w:sz w:val="22"/>
          <w:szCs w:val="22"/>
        </w:rPr>
        <w:t xml:space="preserve"> in the “</w:t>
      </w:r>
      <w:proofErr w:type="spellStart"/>
      <w:r>
        <w:rPr>
          <w:rFonts w:eastAsia="Times New Roman"/>
          <w:color w:val="000000"/>
          <w:sz w:val="22"/>
          <w:szCs w:val="22"/>
        </w:rPr>
        <w:t>SpecificEpithet</w:t>
      </w:r>
      <w:proofErr w:type="spellEnd"/>
      <w:r>
        <w:rPr>
          <w:rFonts w:eastAsia="Times New Roman"/>
          <w:color w:val="000000"/>
          <w:sz w:val="22"/>
          <w:szCs w:val="22"/>
        </w:rPr>
        <w:t>” field, and specimen selected as the “Record type”. The total number of matching records w</w:t>
      </w:r>
      <w:r w:rsidR="00923900">
        <w:rPr>
          <w:rFonts w:eastAsia="Times New Roman"/>
          <w:color w:val="000000"/>
          <w:sz w:val="22"/>
          <w:szCs w:val="22"/>
        </w:rPr>
        <w:t>as</w:t>
      </w:r>
      <w:r>
        <w:rPr>
          <w:rFonts w:eastAsia="Times New Roman"/>
          <w:color w:val="000000"/>
          <w:sz w:val="22"/>
          <w:szCs w:val="22"/>
        </w:rPr>
        <w:t xml:space="preserve"> recorded. Subsequent searches were performed with dates between 1700-1899, 1900-1950, and 1951-2020 entered into the “Year” to “Year” search fields and the total number of records </w:t>
      </w:r>
      <w:r w:rsidR="00923900">
        <w:rPr>
          <w:rFonts w:eastAsia="Times New Roman"/>
          <w:color w:val="000000"/>
          <w:sz w:val="22"/>
          <w:szCs w:val="22"/>
        </w:rPr>
        <w:t xml:space="preserve">was </w:t>
      </w:r>
      <w:r>
        <w:rPr>
          <w:rFonts w:eastAsia="Times New Roman"/>
          <w:color w:val="000000"/>
          <w:sz w:val="22"/>
          <w:szCs w:val="22"/>
        </w:rPr>
        <w:t>recorded for each institution.</w:t>
      </w:r>
    </w:p>
    <w:p w14:paraId="28B4B515" w14:textId="2244E75F" w:rsidR="00C35A04" w:rsidRPr="008622D3" w:rsidRDefault="00C35A04" w:rsidP="00C744DE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noProof/>
          <w:sz w:val="22"/>
          <w:szCs w:val="22"/>
        </w:rPr>
      </w:pPr>
      <w:r w:rsidRPr="008622D3">
        <w:rPr>
          <w:rFonts w:eastAsia="Times New Roman"/>
          <w:color w:val="000000"/>
          <w:sz w:val="22"/>
          <w:szCs w:val="22"/>
        </w:rPr>
        <w:fldChar w:fldCharType="begin" w:fldLock="1"/>
      </w:r>
      <w:r w:rsidRPr="008622D3">
        <w:rPr>
          <w:rFonts w:eastAsia="Times New Roman"/>
          <w:color w:val="000000"/>
          <w:sz w:val="22"/>
          <w:szCs w:val="22"/>
        </w:rPr>
        <w:instrText xml:space="preserve">ADDIN Mendeley Bibliography CSL_BIBLIOGRAPHY </w:instrText>
      </w:r>
      <w:r w:rsidRPr="008622D3">
        <w:rPr>
          <w:rFonts w:eastAsia="Times New Roman"/>
          <w:color w:val="000000"/>
          <w:sz w:val="22"/>
          <w:szCs w:val="22"/>
        </w:rPr>
        <w:fldChar w:fldCharType="separate"/>
      </w:r>
    </w:p>
    <w:p w14:paraId="3793ABB7" w14:textId="77777777" w:rsidR="00C35A04" w:rsidRPr="008622D3" w:rsidRDefault="00C35A04" w:rsidP="00C35A04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  <w:sz w:val="22"/>
          <w:szCs w:val="22"/>
        </w:rPr>
      </w:pPr>
      <w:r w:rsidRPr="008622D3">
        <w:rPr>
          <w:rFonts w:eastAsia="Times New Roman" w:cs="Times New Roman"/>
          <w:noProof/>
          <w:sz w:val="22"/>
          <w:szCs w:val="22"/>
        </w:rPr>
        <w:t xml:space="preserve">Constable, Heather, Robert Guralnick, John Wieczorek, Carol Spencer, A. Townsend Peterson, Hank Bart, John Bates, et al. 2010. “VertNet: A New Model for Biodiversity Data Sharing.” </w:t>
      </w:r>
      <w:r w:rsidRPr="008622D3">
        <w:rPr>
          <w:rFonts w:eastAsia="Times New Roman" w:cs="Times New Roman"/>
          <w:i/>
          <w:iCs/>
          <w:noProof/>
          <w:sz w:val="22"/>
          <w:szCs w:val="22"/>
        </w:rPr>
        <w:t>PLoS Biology</w:t>
      </w:r>
      <w:r w:rsidRPr="008622D3">
        <w:rPr>
          <w:rFonts w:eastAsia="Times New Roman" w:cs="Times New Roman"/>
          <w:noProof/>
          <w:sz w:val="22"/>
          <w:szCs w:val="22"/>
        </w:rPr>
        <w:t>. https://doi.org/10.1371/journal.pbio.1000309.</w:t>
      </w:r>
    </w:p>
    <w:p w14:paraId="1D28978B" w14:textId="07E547F4" w:rsidR="00101252" w:rsidRPr="00C35A04" w:rsidRDefault="00C35A04" w:rsidP="00C35A04">
      <w:pPr>
        <w:rPr>
          <w:sz w:val="22"/>
          <w:szCs w:val="22"/>
        </w:rPr>
      </w:pPr>
      <w:r w:rsidRPr="008622D3">
        <w:rPr>
          <w:rFonts w:eastAsia="Times New Roman"/>
          <w:color w:val="000000"/>
          <w:sz w:val="22"/>
          <w:szCs w:val="22"/>
        </w:rPr>
        <w:fldChar w:fldCharType="end"/>
      </w:r>
    </w:p>
    <w:sectPr w:rsidR="00101252" w:rsidRPr="00C35A04" w:rsidSect="00E6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52"/>
    <w:rsid w:val="00101252"/>
    <w:rsid w:val="00293DC4"/>
    <w:rsid w:val="005C5E67"/>
    <w:rsid w:val="008622D3"/>
    <w:rsid w:val="00923900"/>
    <w:rsid w:val="009D7E4F"/>
    <w:rsid w:val="00AD4FDB"/>
    <w:rsid w:val="00C35A04"/>
    <w:rsid w:val="00C744DE"/>
    <w:rsid w:val="00C9659C"/>
    <w:rsid w:val="00D84C4B"/>
    <w:rsid w:val="00E16DBB"/>
    <w:rsid w:val="00E6213F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CA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252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25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5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DE"/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D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126834-51F7-C84E-A7A4-7BA217E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Hanson</dc:creator>
  <cp:keywords/>
  <dc:description/>
  <cp:lastModifiedBy>Haley Hanson</cp:lastModifiedBy>
  <cp:revision>3</cp:revision>
  <cp:lastPrinted>2019-10-16T12:19:00Z</cp:lastPrinted>
  <dcterms:created xsi:type="dcterms:W3CDTF">2020-02-26T19:28:00Z</dcterms:created>
  <dcterms:modified xsi:type="dcterms:W3CDTF">2020-02-28T18:33:00Z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https://csl.mendeley.com/styles/489211071/vancouver</vt:lpwstr>
  </property>
  <property fmtid="{D5CDD505-2E9C-101B-9397-08002B2CF9AE}" pid="21" name="Mendeley Recent Style Name 9_1">
    <vt:lpwstr>Vancouver - Haley Hanson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53d383c3-4f97-3459-9d15-1faea1d4b7ae</vt:lpwstr>
  </property>
  <property fmtid="{D5CDD505-2E9C-101B-9397-08002B2CF9AE}" pid="24" name="Mendeley Citation Style_1">
    <vt:lpwstr>http://www.zotero.org/styles/chicago-author-date</vt:lpwstr>
  </property>
</Properties>
</file>