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FD6" w:rsidRPr="0009438E" w:rsidRDefault="00A24FD6" w:rsidP="00A24FD6">
      <w:pPr>
        <w:pStyle w:val="MDPI22heading2"/>
        <w:spacing w:line="360" w:lineRule="auto"/>
        <w:jc w:val="both"/>
        <w:rPr>
          <w:rFonts w:ascii="Times New Roman" w:hAnsi="Times New Roman"/>
          <w:i w:val="0"/>
          <w:szCs w:val="20"/>
        </w:rPr>
      </w:pPr>
      <w:r w:rsidRPr="0009438E">
        <w:rPr>
          <w:rFonts w:ascii="Times New Roman" w:hAnsi="Times New Roman"/>
          <w:b/>
          <w:bCs/>
          <w:i w:val="0"/>
          <w:szCs w:val="20"/>
        </w:rPr>
        <w:t>Table S</w:t>
      </w:r>
      <w:r>
        <w:rPr>
          <w:rFonts w:ascii="Times New Roman" w:hAnsi="Times New Roman"/>
          <w:b/>
          <w:bCs/>
          <w:i w:val="0"/>
          <w:szCs w:val="20"/>
        </w:rPr>
        <w:t>1</w:t>
      </w:r>
      <w:r w:rsidRPr="0009438E">
        <w:rPr>
          <w:rFonts w:ascii="Times New Roman" w:hAnsi="Times New Roman"/>
          <w:b/>
          <w:bCs/>
          <w:i w:val="0"/>
          <w:szCs w:val="20"/>
        </w:rPr>
        <w:t xml:space="preserve">. </w:t>
      </w:r>
      <w:r w:rsidRPr="008A379D">
        <w:rPr>
          <w:rFonts w:ascii="Times New Roman" w:hAnsi="Times New Roman"/>
          <w:i w:val="0"/>
          <w:iCs/>
          <w:szCs w:val="20"/>
        </w:rPr>
        <w:t>Table of measured concentrations of hydrothermal fluid samples from the Bruse high-temperature vent, and associated diffuse venting sediment. A zero-Mg endmember composition is calculated for the high temperature fluid samples, whose Mg concentrations approach that of zero, with only negligible contributions from sampler dead volume seawater (Reeves et al. 2011</w:t>
      </w:r>
      <w:r w:rsidR="00CC0DFE">
        <w:rPr>
          <w:rFonts w:ascii="Times New Roman" w:hAnsi="Times New Roman"/>
          <w:i w:val="0"/>
          <w:iCs/>
          <w:szCs w:val="20"/>
        </w:rPr>
        <w:t>a</w:t>
      </w:r>
      <w:r w:rsidRPr="008A379D">
        <w:rPr>
          <w:rFonts w:ascii="Times New Roman" w:hAnsi="Times New Roman"/>
          <w:i w:val="0"/>
          <w:iCs/>
          <w:szCs w:val="20"/>
        </w:rPr>
        <w:t>). Calculation of a zero-Mg endmember is not meaningful for the highly diluted and cooled associated diffuse vent fluids.</w:t>
      </w:r>
    </w:p>
    <w:tbl>
      <w:tblPr>
        <w:tblW w:w="9750" w:type="dxa"/>
        <w:tblInd w:w="-144" w:type="dxa"/>
        <w:tblLook w:val="04A0" w:firstRow="1" w:lastRow="0" w:firstColumn="1" w:lastColumn="0" w:noHBand="0" w:noVBand="1"/>
      </w:tblPr>
      <w:tblGrid>
        <w:gridCol w:w="1880"/>
        <w:gridCol w:w="670"/>
        <w:gridCol w:w="576"/>
        <w:gridCol w:w="681"/>
        <w:gridCol w:w="656"/>
        <w:gridCol w:w="556"/>
        <w:gridCol w:w="617"/>
        <w:gridCol w:w="636"/>
        <w:gridCol w:w="636"/>
        <w:gridCol w:w="556"/>
        <w:gridCol w:w="736"/>
        <w:gridCol w:w="736"/>
        <w:gridCol w:w="814"/>
      </w:tblGrid>
      <w:tr w:rsidR="00CC0DFE" w:rsidRPr="0003103F" w:rsidTr="00F44308">
        <w:trPr>
          <w:trHeight w:val="24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Depth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</w:t>
            </w:r>
            <w:r w:rsidRPr="00031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max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pH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Mg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H</w:t>
            </w:r>
            <w:r w:rsidRPr="00031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H</w:t>
            </w:r>
            <w:r w:rsidRPr="00031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2</w:t>
            </w:r>
            <w:r w:rsidRPr="00031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CH</w:t>
            </w:r>
            <w:r w:rsidRPr="00031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Na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Ca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Cl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SO</w:t>
            </w:r>
            <w:r w:rsidRPr="00031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4</w:t>
            </w:r>
          </w:p>
        </w:tc>
      </w:tr>
      <w:tr w:rsidR="00CC0DFE" w:rsidRPr="0003103F" w:rsidTr="00F44308">
        <w:trPr>
          <w:trHeight w:val="260"/>
        </w:trPr>
        <w:tc>
          <w:tcPr>
            <w:tcW w:w="18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Sample</w:t>
            </w:r>
          </w:p>
        </w:tc>
        <w:tc>
          <w:tcPr>
            <w:tcW w:w="6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°C</w:t>
            </w:r>
          </w:p>
        </w:tc>
        <w:tc>
          <w:tcPr>
            <w:tcW w:w="68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(25°C)</w:t>
            </w:r>
          </w:p>
        </w:tc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mm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µM</w:t>
            </w:r>
          </w:p>
        </w:tc>
        <w:tc>
          <w:tcPr>
            <w:tcW w:w="6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mM</w:t>
            </w:r>
          </w:p>
        </w:tc>
        <w:tc>
          <w:tcPr>
            <w:tcW w:w="6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mm</w:t>
            </w:r>
          </w:p>
        </w:tc>
        <w:tc>
          <w:tcPr>
            <w:tcW w:w="6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mm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mm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mm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mm</w:t>
            </w:r>
          </w:p>
        </w:tc>
        <w:tc>
          <w:tcPr>
            <w:tcW w:w="81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mm</w:t>
            </w:r>
          </w:p>
        </w:tc>
      </w:tr>
      <w:tr w:rsidR="00CC0DFE" w:rsidRPr="00CC0DFE" w:rsidTr="00F44308">
        <w:trPr>
          <w:trHeight w:val="260"/>
        </w:trPr>
        <w:tc>
          <w:tcPr>
            <w:tcW w:w="4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CC0DFE" w:rsidRDefault="00CC0DFE" w:rsidP="00F4430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C0D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Bruse High-Temperature Vent (71°17.910`N, 5°42.240`W)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DFE" w:rsidRPr="00CC0DFE" w:rsidRDefault="00CC0DFE" w:rsidP="00F44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DFE" w:rsidRPr="00CC0DFE" w:rsidRDefault="00CC0DFE" w:rsidP="00F44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DFE" w:rsidRPr="00CC0DFE" w:rsidRDefault="00CC0DFE" w:rsidP="00F44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DFE" w:rsidRPr="00CC0DFE" w:rsidRDefault="00CC0DFE" w:rsidP="00F44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DFE" w:rsidRPr="00CC0DFE" w:rsidRDefault="00CC0DFE" w:rsidP="00F44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DFE" w:rsidRPr="00CC0DFE" w:rsidRDefault="00CC0DFE" w:rsidP="00F44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DFE" w:rsidRPr="00CC0DFE" w:rsidRDefault="00CC0DFE" w:rsidP="00F44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DFE" w:rsidRPr="00CC0DFE" w:rsidRDefault="00CC0DFE" w:rsidP="00F44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CC0DFE" w:rsidRPr="0003103F" w:rsidTr="00F44308">
        <w:trPr>
          <w:trHeight w:val="240"/>
        </w:trPr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sz w:val="16"/>
                <w:szCs w:val="16"/>
              </w:rPr>
              <w:t>GS16B-16-ROV05-IGT2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sz w:val="16"/>
                <w:szCs w:val="16"/>
              </w:rPr>
              <w:t>561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sz w:val="16"/>
                <w:szCs w:val="16"/>
              </w:rPr>
              <w:t>4.9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sz w:val="16"/>
                <w:szCs w:val="16"/>
              </w:rPr>
              <w:t>3.4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sz w:val="16"/>
                <w:szCs w:val="16"/>
              </w:rPr>
              <w:t>1.0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sz w:val="16"/>
                <w:szCs w:val="16"/>
              </w:rPr>
              <w:t>5.7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sz w:val="16"/>
                <w:szCs w:val="16"/>
              </w:rPr>
              <w:t>34.2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sz w:val="16"/>
                <w:szCs w:val="16"/>
              </w:rPr>
              <w:t>31.7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sz w:val="16"/>
                <w:szCs w:val="16"/>
              </w:rPr>
              <w:t>3.1</w:t>
            </w:r>
          </w:p>
        </w:tc>
      </w:tr>
      <w:tr w:rsidR="00CC0DFE" w:rsidRPr="0003103F" w:rsidTr="00F44308">
        <w:trPr>
          <w:trHeight w:val="240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sz w:val="16"/>
                <w:szCs w:val="16"/>
              </w:rPr>
              <w:t>GS16B-16-ROV05-IGT3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sz w:val="16"/>
                <w:szCs w:val="16"/>
              </w:rPr>
              <w:t>561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sz w:val="16"/>
                <w:szCs w:val="16"/>
              </w:rPr>
              <w:t>4.8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sz w:val="16"/>
                <w:szCs w:val="16"/>
              </w:rPr>
              <w:t>1.0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sz w:val="16"/>
                <w:szCs w:val="16"/>
              </w:rPr>
              <w:t>5.9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sz w:val="16"/>
                <w:szCs w:val="16"/>
              </w:rPr>
              <w:t>409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sz w:val="16"/>
                <w:szCs w:val="16"/>
              </w:rPr>
              <w:t>35.1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sz w:val="16"/>
                <w:szCs w:val="16"/>
              </w:rPr>
              <w:t>31.7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sz w:val="16"/>
                <w:szCs w:val="16"/>
              </w:rPr>
              <w:t>482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sz w:val="16"/>
                <w:szCs w:val="16"/>
              </w:rPr>
              <w:t>1.2</w:t>
            </w:r>
          </w:p>
        </w:tc>
      </w:tr>
      <w:tr w:rsidR="00CC0DFE" w:rsidRPr="0003103F" w:rsidTr="00F44308">
        <w:trPr>
          <w:trHeight w:val="24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Endmember: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35.9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32.8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~0</w:t>
            </w:r>
          </w:p>
        </w:tc>
      </w:tr>
      <w:tr w:rsidR="00CC0DFE" w:rsidRPr="0003103F" w:rsidTr="00F44308">
        <w:trPr>
          <w:trHeight w:val="14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C0DFE" w:rsidRPr="0003103F" w:rsidTr="00F44308">
        <w:trPr>
          <w:trHeight w:val="240"/>
        </w:trPr>
        <w:tc>
          <w:tcPr>
            <w:tcW w:w="50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Bruse Diffuse Venting/Incubators (71°17.916'N, 5°42.228'W)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C0DFE" w:rsidRPr="0003103F" w:rsidTr="00F44308">
        <w:trPr>
          <w:trHeight w:val="240"/>
        </w:trPr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sz w:val="16"/>
                <w:szCs w:val="16"/>
              </w:rPr>
              <w:t>GS17-213-ROV25-IGT2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sz w:val="16"/>
                <w:szCs w:val="16"/>
              </w:rPr>
              <w:t>565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sz w:val="16"/>
                <w:szCs w:val="16"/>
              </w:rPr>
              <w:t>5.7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sz w:val="16"/>
                <w:szCs w:val="16"/>
              </w:rPr>
              <w:t>50.6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sz w:val="16"/>
                <w:szCs w:val="16"/>
              </w:rPr>
              <w:t>BD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sz w:val="16"/>
                <w:szCs w:val="16"/>
              </w:rPr>
              <w:t>0.013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sz w:val="16"/>
                <w:szCs w:val="16"/>
              </w:rPr>
              <w:t>470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sz w:val="16"/>
                <w:szCs w:val="16"/>
              </w:rPr>
              <w:t>12.0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sz w:val="16"/>
                <w:szCs w:val="16"/>
              </w:rPr>
              <w:t>12.4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sz w:val="16"/>
                <w:szCs w:val="16"/>
              </w:rPr>
              <w:t>27.8</w:t>
            </w:r>
          </w:p>
        </w:tc>
      </w:tr>
      <w:tr w:rsidR="00CC0DFE" w:rsidRPr="0003103F" w:rsidTr="00F44308">
        <w:trPr>
          <w:trHeight w:val="240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sz w:val="16"/>
                <w:szCs w:val="16"/>
              </w:rPr>
              <w:t>GS17-213-ROV25-IGT4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sz w:val="16"/>
                <w:szCs w:val="16"/>
              </w:rPr>
              <w:t>565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sz w:val="16"/>
                <w:szCs w:val="16"/>
              </w:rPr>
              <w:t>5.9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sz w:val="16"/>
                <w:szCs w:val="16"/>
              </w:rPr>
              <w:t>51.9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sz w:val="16"/>
                <w:szCs w:val="16"/>
              </w:rPr>
              <w:t>BD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sz w:val="16"/>
                <w:szCs w:val="16"/>
              </w:rPr>
              <w:t>474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sz w:val="16"/>
                <w:szCs w:val="16"/>
              </w:rPr>
              <w:t>11.4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sz w:val="16"/>
                <w:szCs w:val="16"/>
              </w:rPr>
              <w:t>11.5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sz w:val="16"/>
                <w:szCs w:val="16"/>
              </w:rPr>
              <w:t>525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sz w:val="16"/>
                <w:szCs w:val="16"/>
              </w:rPr>
              <w:t>28.1</w:t>
            </w:r>
          </w:p>
        </w:tc>
      </w:tr>
      <w:tr w:rsidR="00CC0DFE" w:rsidRPr="0003103F" w:rsidTr="00F44308">
        <w:trPr>
          <w:trHeight w:val="12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FE" w:rsidRPr="0003103F" w:rsidRDefault="00CC0DFE" w:rsidP="00F443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FE" w:rsidRPr="0003103F" w:rsidRDefault="00CC0DFE" w:rsidP="00F443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FE" w:rsidRPr="0003103F" w:rsidRDefault="00CC0DFE" w:rsidP="00F443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FE" w:rsidRPr="0003103F" w:rsidRDefault="00CC0DFE" w:rsidP="00F443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FE" w:rsidRPr="0003103F" w:rsidRDefault="00CC0DFE" w:rsidP="00F443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FE" w:rsidRPr="0003103F" w:rsidRDefault="00CC0DFE" w:rsidP="00F443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FE" w:rsidRPr="0003103F" w:rsidRDefault="00CC0DFE" w:rsidP="00F443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FE" w:rsidRPr="0003103F" w:rsidRDefault="00CC0DFE" w:rsidP="00F443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FE" w:rsidRPr="0003103F" w:rsidRDefault="00CC0DFE" w:rsidP="00F443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FE" w:rsidRPr="0003103F" w:rsidRDefault="00CC0DFE" w:rsidP="00F443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FE" w:rsidRPr="0003103F" w:rsidRDefault="00CC0DFE" w:rsidP="00F443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FE" w:rsidRPr="0003103F" w:rsidRDefault="00CC0DFE" w:rsidP="00F443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FE" w:rsidRPr="0003103F" w:rsidRDefault="00CC0DFE" w:rsidP="00F443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C0DFE" w:rsidRPr="0003103F" w:rsidTr="00F44308">
        <w:trPr>
          <w:trHeight w:val="240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DFE" w:rsidRPr="0003103F" w:rsidRDefault="00CC0DFE" w:rsidP="00F4430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Bottom Seawater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sz w:val="16"/>
                <w:szCs w:val="16"/>
              </w:rPr>
              <w:t>-0.4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7.8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sz w:val="16"/>
                <w:szCs w:val="16"/>
              </w:rPr>
              <w:t>52.6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sz w:val="16"/>
                <w:szCs w:val="16"/>
              </w:rPr>
              <w:t>475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sz w:val="16"/>
                <w:szCs w:val="16"/>
              </w:rPr>
              <w:t>10.3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sz w:val="16"/>
                <w:szCs w:val="16"/>
              </w:rPr>
              <w:t>10.2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sz w:val="16"/>
                <w:szCs w:val="16"/>
              </w:rPr>
              <w:t>545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DFE" w:rsidRPr="0003103F" w:rsidRDefault="00CC0DFE" w:rsidP="00F443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sz w:val="16"/>
                <w:szCs w:val="16"/>
              </w:rPr>
              <w:t>28.2</w:t>
            </w:r>
          </w:p>
        </w:tc>
      </w:tr>
      <w:tr w:rsidR="00CC0DFE" w:rsidRPr="0003103F" w:rsidTr="00F44308">
        <w:trPr>
          <w:trHeight w:val="240"/>
        </w:trPr>
        <w:tc>
          <w:tcPr>
            <w:tcW w:w="975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DFE" w:rsidRPr="0003103F" w:rsidRDefault="00CC0DFE" w:rsidP="00F44308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3103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T</w:t>
            </w:r>
            <w:r w:rsidRPr="0003103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vertAlign w:val="subscript"/>
              </w:rPr>
              <w:t>max</w:t>
            </w:r>
            <w:r w:rsidRPr="0003103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= maximum measured realtime temperature during sampling. mm = mmol/kg fluid; μM = mmol/L; mM = mmol/L</w:t>
            </w:r>
          </w:p>
        </w:tc>
      </w:tr>
    </w:tbl>
    <w:p w:rsidR="00A24FD6" w:rsidRPr="000757E0" w:rsidRDefault="00A24FD6" w:rsidP="00A24FD6">
      <w:pPr>
        <w:pStyle w:val="MDPI22heading2"/>
        <w:spacing w:line="360" w:lineRule="auto"/>
        <w:jc w:val="both"/>
        <w:rPr>
          <w:rFonts w:ascii="Times New Roman" w:hAnsi="Times New Roman"/>
          <w:i w:val="0"/>
          <w:szCs w:val="20"/>
        </w:rPr>
      </w:pPr>
      <w:bookmarkStart w:id="0" w:name="_GoBack"/>
      <w:bookmarkEnd w:id="0"/>
    </w:p>
    <w:p w:rsidR="007E1684" w:rsidRDefault="007E1684"/>
    <w:sectPr w:rsidR="007E1684" w:rsidSect="009C0B2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FD6"/>
    <w:rsid w:val="000C2F4C"/>
    <w:rsid w:val="00126767"/>
    <w:rsid w:val="001F6360"/>
    <w:rsid w:val="0022432A"/>
    <w:rsid w:val="002A5831"/>
    <w:rsid w:val="00301823"/>
    <w:rsid w:val="00335F62"/>
    <w:rsid w:val="003D2F86"/>
    <w:rsid w:val="0044329A"/>
    <w:rsid w:val="00454F78"/>
    <w:rsid w:val="00494009"/>
    <w:rsid w:val="00503A87"/>
    <w:rsid w:val="00516B9C"/>
    <w:rsid w:val="005D7B4C"/>
    <w:rsid w:val="005F53B4"/>
    <w:rsid w:val="00607084"/>
    <w:rsid w:val="006731FC"/>
    <w:rsid w:val="00681EC2"/>
    <w:rsid w:val="006C2410"/>
    <w:rsid w:val="006E5559"/>
    <w:rsid w:val="00791514"/>
    <w:rsid w:val="007D3038"/>
    <w:rsid w:val="007E1684"/>
    <w:rsid w:val="00810D92"/>
    <w:rsid w:val="008413AC"/>
    <w:rsid w:val="008C39CD"/>
    <w:rsid w:val="008C39F1"/>
    <w:rsid w:val="008E547D"/>
    <w:rsid w:val="0090760A"/>
    <w:rsid w:val="0095202C"/>
    <w:rsid w:val="009B3F1B"/>
    <w:rsid w:val="009C0B2B"/>
    <w:rsid w:val="009E246E"/>
    <w:rsid w:val="00A24FD6"/>
    <w:rsid w:val="00A4028F"/>
    <w:rsid w:val="00A61E26"/>
    <w:rsid w:val="00A743A4"/>
    <w:rsid w:val="00AB67D7"/>
    <w:rsid w:val="00AD22E8"/>
    <w:rsid w:val="00B41550"/>
    <w:rsid w:val="00B51F18"/>
    <w:rsid w:val="00BC7566"/>
    <w:rsid w:val="00C50C9F"/>
    <w:rsid w:val="00C804C1"/>
    <w:rsid w:val="00C9189F"/>
    <w:rsid w:val="00CB16EE"/>
    <w:rsid w:val="00CC0DFE"/>
    <w:rsid w:val="00CD6CE0"/>
    <w:rsid w:val="00CE6AA1"/>
    <w:rsid w:val="00D12614"/>
    <w:rsid w:val="00DA49B3"/>
    <w:rsid w:val="00ED7BC9"/>
    <w:rsid w:val="00EE6D5B"/>
    <w:rsid w:val="00F134B5"/>
    <w:rsid w:val="00F44E3F"/>
    <w:rsid w:val="00F62EAD"/>
    <w:rsid w:val="00F65967"/>
    <w:rsid w:val="00F6695E"/>
    <w:rsid w:val="00FE4EEB"/>
    <w:rsid w:val="00FF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1D43DE"/>
  <w15:chartTrackingRefBased/>
  <w15:docId w15:val="{11673CDE-3A75-6F42-B2F8-9888AD5E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DPI22heading2">
    <w:name w:val="MDPI_2.2_heading2"/>
    <w:basedOn w:val="Normal"/>
    <w:qFormat/>
    <w:rsid w:val="00A24FD6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sz w:val="20"/>
      <w:szCs w:val="22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Microsoft Office-bruker</cp:lastModifiedBy>
  <cp:revision>2</cp:revision>
  <dcterms:created xsi:type="dcterms:W3CDTF">2019-10-21T09:03:00Z</dcterms:created>
  <dcterms:modified xsi:type="dcterms:W3CDTF">2020-02-11T17:23:00Z</dcterms:modified>
</cp:coreProperties>
</file>