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937" w:rsidRPr="00D31B80" w:rsidRDefault="00764FF6" w:rsidP="00764FF6">
      <w:pPr>
        <w:spacing w:after="0" w:line="360" w:lineRule="auto"/>
        <w:rPr>
          <w:rFonts w:ascii="Calibri" w:eastAsiaTheme="majorEastAsia" w:hAnsi="Calibri" w:cstheme="majorBidi"/>
          <w:bCs/>
          <w:sz w:val="28"/>
          <w:szCs w:val="28"/>
        </w:rPr>
      </w:pPr>
      <w:bookmarkStart w:id="0" w:name="_GoBack"/>
      <w:bookmarkEnd w:id="0"/>
      <w:r>
        <w:rPr>
          <w:rFonts w:ascii="Calibri" w:hAnsi="Calibri" w:cs="Arial"/>
          <w:b/>
          <w:sz w:val="32"/>
        </w:rPr>
        <w:t>S</w:t>
      </w:r>
      <w:r w:rsidR="00046717">
        <w:rPr>
          <w:rFonts w:ascii="Calibri" w:hAnsi="Calibri" w:cs="Arial"/>
          <w:b/>
          <w:sz w:val="32"/>
        </w:rPr>
        <w:t>4</w:t>
      </w:r>
      <w:r>
        <w:rPr>
          <w:rFonts w:ascii="Calibri" w:hAnsi="Calibri" w:cs="Arial"/>
          <w:b/>
          <w:sz w:val="32"/>
        </w:rPr>
        <w:t xml:space="preserve">-file: </w:t>
      </w:r>
      <w:r w:rsidR="003D3503">
        <w:rPr>
          <w:rFonts w:ascii="Calibri" w:hAnsi="Calibri" w:cs="Arial"/>
          <w:b/>
          <w:sz w:val="32"/>
        </w:rPr>
        <w:t>Additional r</w:t>
      </w:r>
      <w:r w:rsidR="00484937" w:rsidRPr="00D31B80">
        <w:rPr>
          <w:rFonts w:ascii="Calibri" w:hAnsi="Calibri" w:cs="Arial"/>
          <w:b/>
          <w:sz w:val="32"/>
        </w:rPr>
        <w:t>esults</w:t>
      </w:r>
      <w:r w:rsidR="003D3503">
        <w:rPr>
          <w:rFonts w:ascii="Calibri" w:hAnsi="Calibri" w:cs="Arial"/>
          <w:b/>
          <w:sz w:val="32"/>
        </w:rPr>
        <w:t xml:space="preserve"> </w:t>
      </w:r>
    </w:p>
    <w:p w:rsidR="00484937" w:rsidRPr="00D31B80" w:rsidRDefault="00484937" w:rsidP="002A5AC2">
      <w:pPr>
        <w:spacing w:after="0" w:line="360" w:lineRule="auto"/>
        <w:rPr>
          <w:rFonts w:ascii="Calibri" w:hAnsi="Calibri" w:cs="Arial"/>
        </w:rPr>
      </w:pPr>
    </w:p>
    <w:sdt>
      <w:sdtPr>
        <w:rPr>
          <w:rFonts w:ascii="Calibri" w:eastAsiaTheme="minorHAnsi" w:hAnsi="Calibri" w:cstheme="minorBidi"/>
          <w:b w:val="0"/>
          <w:bCs w:val="0"/>
          <w:sz w:val="22"/>
          <w:szCs w:val="22"/>
          <w:lang w:val="en-GB" w:eastAsia="en-US"/>
        </w:rPr>
        <w:id w:val="1458602496"/>
        <w:docPartObj>
          <w:docPartGallery w:val="Table of Contents"/>
          <w:docPartUnique/>
        </w:docPartObj>
      </w:sdtPr>
      <w:sdtEndPr>
        <w:rPr>
          <w:noProof/>
        </w:rPr>
      </w:sdtEndPr>
      <w:sdtContent>
        <w:p w:rsidR="00484937" w:rsidRPr="00D31B80" w:rsidRDefault="00484937" w:rsidP="00764FF6">
          <w:pPr>
            <w:pStyle w:val="TOCHeading"/>
            <w:numPr>
              <w:ilvl w:val="0"/>
              <w:numId w:val="0"/>
            </w:numPr>
            <w:spacing w:line="360" w:lineRule="auto"/>
            <w:ind w:left="432" w:hanging="432"/>
            <w:rPr>
              <w:rFonts w:ascii="Calibri" w:hAnsi="Calibri"/>
            </w:rPr>
          </w:pPr>
          <w:r w:rsidRPr="00D31B80">
            <w:rPr>
              <w:rFonts w:ascii="Calibri" w:hAnsi="Calibri"/>
            </w:rPr>
            <w:t>Contents</w:t>
          </w:r>
        </w:p>
        <w:p w:rsidR="001A4127" w:rsidRDefault="00484937">
          <w:pPr>
            <w:pStyle w:val="TOC1"/>
            <w:tabs>
              <w:tab w:val="left" w:pos="440"/>
              <w:tab w:val="right" w:leader="dot" w:pos="9062"/>
            </w:tabs>
            <w:rPr>
              <w:rFonts w:eastAsiaTheme="minorEastAsia"/>
              <w:noProof/>
              <w:lang w:eastAsia="en-GB"/>
            </w:rPr>
          </w:pPr>
          <w:r w:rsidRPr="00D31B80">
            <w:rPr>
              <w:rFonts w:ascii="Calibri" w:hAnsi="Calibri"/>
            </w:rPr>
            <w:fldChar w:fldCharType="begin"/>
          </w:r>
          <w:r w:rsidRPr="00D31B80">
            <w:rPr>
              <w:rFonts w:ascii="Calibri" w:hAnsi="Calibri"/>
            </w:rPr>
            <w:instrText xml:space="preserve"> TOC \o "1-3" \h \z \u </w:instrText>
          </w:r>
          <w:r w:rsidRPr="00D31B80">
            <w:rPr>
              <w:rFonts w:ascii="Calibri" w:hAnsi="Calibri"/>
            </w:rPr>
            <w:fldChar w:fldCharType="separate"/>
          </w:r>
          <w:hyperlink w:anchor="_Toc22294585" w:history="1">
            <w:r w:rsidR="001A4127" w:rsidRPr="00E71A45">
              <w:rPr>
                <w:rStyle w:val="Hyperlink"/>
                <w:noProof/>
              </w:rPr>
              <w:t>1</w:t>
            </w:r>
            <w:r w:rsidR="001A4127">
              <w:rPr>
                <w:rFonts w:eastAsiaTheme="minorEastAsia"/>
                <w:noProof/>
                <w:lang w:eastAsia="en-GB"/>
              </w:rPr>
              <w:tab/>
            </w:r>
            <w:r w:rsidR="001A4127" w:rsidRPr="00E71A45">
              <w:rPr>
                <w:rStyle w:val="Hyperlink"/>
                <w:noProof/>
              </w:rPr>
              <w:t>Estimated pre-intervention EIR</w:t>
            </w:r>
            <w:r w:rsidR="001A4127">
              <w:rPr>
                <w:noProof/>
                <w:webHidden/>
              </w:rPr>
              <w:tab/>
            </w:r>
            <w:r w:rsidR="001A4127">
              <w:rPr>
                <w:noProof/>
                <w:webHidden/>
              </w:rPr>
              <w:fldChar w:fldCharType="begin"/>
            </w:r>
            <w:r w:rsidR="001A4127">
              <w:rPr>
                <w:noProof/>
                <w:webHidden/>
              </w:rPr>
              <w:instrText xml:space="preserve"> PAGEREF _Toc22294585 \h </w:instrText>
            </w:r>
            <w:r w:rsidR="001A4127">
              <w:rPr>
                <w:noProof/>
                <w:webHidden/>
              </w:rPr>
            </w:r>
            <w:r w:rsidR="001A4127">
              <w:rPr>
                <w:noProof/>
                <w:webHidden/>
              </w:rPr>
              <w:fldChar w:fldCharType="separate"/>
            </w:r>
            <w:r w:rsidR="001A4127">
              <w:rPr>
                <w:noProof/>
                <w:webHidden/>
              </w:rPr>
              <w:t>2</w:t>
            </w:r>
            <w:r w:rsidR="001A4127">
              <w:rPr>
                <w:noProof/>
                <w:webHidden/>
              </w:rPr>
              <w:fldChar w:fldCharType="end"/>
            </w:r>
          </w:hyperlink>
        </w:p>
        <w:p w:rsidR="001A4127" w:rsidRDefault="00710418">
          <w:pPr>
            <w:pStyle w:val="TOC2"/>
            <w:tabs>
              <w:tab w:val="left" w:pos="880"/>
              <w:tab w:val="right" w:leader="dot" w:pos="9062"/>
            </w:tabs>
            <w:rPr>
              <w:rFonts w:eastAsiaTheme="minorEastAsia"/>
              <w:noProof/>
              <w:lang w:eastAsia="en-GB"/>
            </w:rPr>
          </w:pPr>
          <w:hyperlink w:anchor="_Toc22294586" w:history="1">
            <w:r w:rsidR="001A4127" w:rsidRPr="00E71A45">
              <w:rPr>
                <w:rStyle w:val="Hyperlink"/>
                <w:rFonts w:ascii="Calibri" w:hAnsi="Calibri"/>
                <w:noProof/>
              </w:rPr>
              <w:t>1.1</w:t>
            </w:r>
            <w:r w:rsidR="001A4127">
              <w:rPr>
                <w:rFonts w:eastAsiaTheme="minorEastAsia"/>
                <w:noProof/>
                <w:lang w:eastAsia="en-GB"/>
              </w:rPr>
              <w:tab/>
            </w:r>
            <w:r w:rsidR="001A4127" w:rsidRPr="00E71A45">
              <w:rPr>
                <w:rStyle w:val="Hyperlink"/>
                <w:rFonts w:ascii="Calibri" w:hAnsi="Calibri"/>
                <w:noProof/>
              </w:rPr>
              <w:t>Comparison of estimated and observed pre-intervention EIRs</w:t>
            </w:r>
            <w:r w:rsidR="001A4127">
              <w:rPr>
                <w:noProof/>
                <w:webHidden/>
              </w:rPr>
              <w:tab/>
            </w:r>
            <w:r w:rsidR="001A4127">
              <w:rPr>
                <w:noProof/>
                <w:webHidden/>
              </w:rPr>
              <w:fldChar w:fldCharType="begin"/>
            </w:r>
            <w:r w:rsidR="001A4127">
              <w:rPr>
                <w:noProof/>
                <w:webHidden/>
              </w:rPr>
              <w:instrText xml:space="preserve"> PAGEREF _Toc22294586 \h </w:instrText>
            </w:r>
            <w:r w:rsidR="001A4127">
              <w:rPr>
                <w:noProof/>
                <w:webHidden/>
              </w:rPr>
            </w:r>
            <w:r w:rsidR="001A4127">
              <w:rPr>
                <w:noProof/>
                <w:webHidden/>
              </w:rPr>
              <w:fldChar w:fldCharType="separate"/>
            </w:r>
            <w:r w:rsidR="001A4127">
              <w:rPr>
                <w:noProof/>
                <w:webHidden/>
              </w:rPr>
              <w:t>2</w:t>
            </w:r>
            <w:r w:rsidR="001A4127">
              <w:rPr>
                <w:noProof/>
                <w:webHidden/>
              </w:rPr>
              <w:fldChar w:fldCharType="end"/>
            </w:r>
          </w:hyperlink>
        </w:p>
        <w:p w:rsidR="001A4127" w:rsidRDefault="00710418">
          <w:pPr>
            <w:pStyle w:val="TOC1"/>
            <w:tabs>
              <w:tab w:val="left" w:pos="440"/>
              <w:tab w:val="right" w:leader="dot" w:pos="9062"/>
            </w:tabs>
            <w:rPr>
              <w:rFonts w:eastAsiaTheme="minorEastAsia"/>
              <w:noProof/>
              <w:lang w:eastAsia="en-GB"/>
            </w:rPr>
          </w:pPr>
          <w:hyperlink w:anchor="_Toc22294587" w:history="1">
            <w:r w:rsidR="001A4127" w:rsidRPr="00E71A45">
              <w:rPr>
                <w:rStyle w:val="Hyperlink"/>
                <w:rFonts w:ascii="Calibri" w:hAnsi="Calibri"/>
                <w:noProof/>
              </w:rPr>
              <w:t>2</w:t>
            </w:r>
            <w:r w:rsidR="001A4127">
              <w:rPr>
                <w:rFonts w:eastAsiaTheme="minorEastAsia"/>
                <w:noProof/>
                <w:lang w:eastAsia="en-GB"/>
              </w:rPr>
              <w:tab/>
            </w:r>
            <w:r w:rsidR="001A4127" w:rsidRPr="00E71A45">
              <w:rPr>
                <w:rStyle w:val="Hyperlink"/>
                <w:rFonts w:ascii="Calibri" w:hAnsi="Calibri"/>
                <w:noProof/>
              </w:rPr>
              <w:t>Fitting performance at sub-national level</w:t>
            </w:r>
            <w:r w:rsidR="001A4127">
              <w:rPr>
                <w:noProof/>
                <w:webHidden/>
              </w:rPr>
              <w:tab/>
            </w:r>
            <w:r w:rsidR="001A4127">
              <w:rPr>
                <w:noProof/>
                <w:webHidden/>
              </w:rPr>
              <w:fldChar w:fldCharType="begin"/>
            </w:r>
            <w:r w:rsidR="001A4127">
              <w:rPr>
                <w:noProof/>
                <w:webHidden/>
              </w:rPr>
              <w:instrText xml:space="preserve"> PAGEREF _Toc22294587 \h </w:instrText>
            </w:r>
            <w:r w:rsidR="001A4127">
              <w:rPr>
                <w:noProof/>
                <w:webHidden/>
              </w:rPr>
            </w:r>
            <w:r w:rsidR="001A4127">
              <w:rPr>
                <w:noProof/>
                <w:webHidden/>
              </w:rPr>
              <w:fldChar w:fldCharType="separate"/>
            </w:r>
            <w:r w:rsidR="001A4127">
              <w:rPr>
                <w:noProof/>
                <w:webHidden/>
              </w:rPr>
              <w:t>5</w:t>
            </w:r>
            <w:r w:rsidR="001A4127">
              <w:rPr>
                <w:noProof/>
                <w:webHidden/>
              </w:rPr>
              <w:fldChar w:fldCharType="end"/>
            </w:r>
          </w:hyperlink>
        </w:p>
        <w:p w:rsidR="001A4127" w:rsidRDefault="00710418">
          <w:pPr>
            <w:pStyle w:val="TOC2"/>
            <w:tabs>
              <w:tab w:val="left" w:pos="880"/>
              <w:tab w:val="right" w:leader="dot" w:pos="9062"/>
            </w:tabs>
            <w:rPr>
              <w:rFonts w:eastAsiaTheme="minorEastAsia"/>
              <w:noProof/>
              <w:lang w:eastAsia="en-GB"/>
            </w:rPr>
          </w:pPr>
          <w:hyperlink w:anchor="_Toc22294588" w:history="1">
            <w:r w:rsidR="001A4127" w:rsidRPr="00E71A45">
              <w:rPr>
                <w:rStyle w:val="Hyperlink"/>
                <w:noProof/>
              </w:rPr>
              <w:t>2.1</w:t>
            </w:r>
            <w:r w:rsidR="001A4127">
              <w:rPr>
                <w:rFonts w:eastAsiaTheme="minorEastAsia"/>
                <w:noProof/>
                <w:lang w:eastAsia="en-GB"/>
              </w:rPr>
              <w:tab/>
            </w:r>
            <w:r w:rsidR="001A4127" w:rsidRPr="00E71A45">
              <w:rPr>
                <w:rStyle w:val="Hyperlink"/>
                <w:noProof/>
              </w:rPr>
              <w:t>Pre-intervention prevalence 2003</w:t>
            </w:r>
            <w:r w:rsidR="001A4127">
              <w:rPr>
                <w:noProof/>
                <w:webHidden/>
              </w:rPr>
              <w:tab/>
            </w:r>
            <w:r w:rsidR="001A4127">
              <w:rPr>
                <w:noProof/>
                <w:webHidden/>
              </w:rPr>
              <w:fldChar w:fldCharType="begin"/>
            </w:r>
            <w:r w:rsidR="001A4127">
              <w:rPr>
                <w:noProof/>
                <w:webHidden/>
              </w:rPr>
              <w:instrText xml:space="preserve"> PAGEREF _Toc22294588 \h </w:instrText>
            </w:r>
            <w:r w:rsidR="001A4127">
              <w:rPr>
                <w:noProof/>
                <w:webHidden/>
              </w:rPr>
            </w:r>
            <w:r w:rsidR="001A4127">
              <w:rPr>
                <w:noProof/>
                <w:webHidden/>
              </w:rPr>
              <w:fldChar w:fldCharType="separate"/>
            </w:r>
            <w:r w:rsidR="001A4127">
              <w:rPr>
                <w:noProof/>
                <w:webHidden/>
              </w:rPr>
              <w:t>6</w:t>
            </w:r>
            <w:r w:rsidR="001A4127">
              <w:rPr>
                <w:noProof/>
                <w:webHidden/>
              </w:rPr>
              <w:fldChar w:fldCharType="end"/>
            </w:r>
          </w:hyperlink>
        </w:p>
        <w:p w:rsidR="001A4127" w:rsidRDefault="00710418">
          <w:pPr>
            <w:pStyle w:val="TOC2"/>
            <w:tabs>
              <w:tab w:val="left" w:pos="880"/>
              <w:tab w:val="right" w:leader="dot" w:pos="9062"/>
            </w:tabs>
            <w:rPr>
              <w:rFonts w:eastAsiaTheme="minorEastAsia"/>
              <w:noProof/>
              <w:lang w:eastAsia="en-GB"/>
            </w:rPr>
          </w:pPr>
          <w:hyperlink w:anchor="_Toc22294589" w:history="1">
            <w:r w:rsidR="001A4127" w:rsidRPr="00E71A45">
              <w:rPr>
                <w:rStyle w:val="Hyperlink"/>
                <w:noProof/>
              </w:rPr>
              <w:t>2.2</w:t>
            </w:r>
            <w:r w:rsidR="001A4127">
              <w:rPr>
                <w:rFonts w:eastAsiaTheme="minorEastAsia"/>
                <w:noProof/>
                <w:lang w:eastAsia="en-GB"/>
              </w:rPr>
              <w:tab/>
            </w:r>
            <w:r w:rsidR="001A4127" w:rsidRPr="00E71A45">
              <w:rPr>
                <w:rStyle w:val="Hyperlink"/>
                <w:noProof/>
              </w:rPr>
              <w:t>Baseline prevalence in 2016</w:t>
            </w:r>
            <w:r w:rsidR="001A4127">
              <w:rPr>
                <w:noProof/>
                <w:webHidden/>
              </w:rPr>
              <w:tab/>
            </w:r>
            <w:r w:rsidR="001A4127">
              <w:rPr>
                <w:noProof/>
                <w:webHidden/>
              </w:rPr>
              <w:fldChar w:fldCharType="begin"/>
            </w:r>
            <w:r w:rsidR="001A4127">
              <w:rPr>
                <w:noProof/>
                <w:webHidden/>
              </w:rPr>
              <w:instrText xml:space="preserve"> PAGEREF _Toc22294589 \h </w:instrText>
            </w:r>
            <w:r w:rsidR="001A4127">
              <w:rPr>
                <w:noProof/>
                <w:webHidden/>
              </w:rPr>
            </w:r>
            <w:r w:rsidR="001A4127">
              <w:rPr>
                <w:noProof/>
                <w:webHidden/>
              </w:rPr>
              <w:fldChar w:fldCharType="separate"/>
            </w:r>
            <w:r w:rsidR="001A4127">
              <w:rPr>
                <w:noProof/>
                <w:webHidden/>
              </w:rPr>
              <w:t>7</w:t>
            </w:r>
            <w:r w:rsidR="001A4127">
              <w:rPr>
                <w:noProof/>
                <w:webHidden/>
              </w:rPr>
              <w:fldChar w:fldCharType="end"/>
            </w:r>
          </w:hyperlink>
        </w:p>
        <w:p w:rsidR="001A4127" w:rsidRDefault="00710418">
          <w:pPr>
            <w:pStyle w:val="TOC2"/>
            <w:tabs>
              <w:tab w:val="left" w:pos="880"/>
              <w:tab w:val="right" w:leader="dot" w:pos="9062"/>
            </w:tabs>
            <w:rPr>
              <w:rFonts w:eastAsiaTheme="minorEastAsia"/>
              <w:noProof/>
              <w:lang w:eastAsia="en-GB"/>
            </w:rPr>
          </w:pPr>
          <w:hyperlink w:anchor="_Toc22294590" w:history="1">
            <w:r w:rsidR="001A4127" w:rsidRPr="00E71A45">
              <w:rPr>
                <w:rStyle w:val="Hyperlink"/>
                <w:noProof/>
                <w:lang w:eastAsia="de-DE"/>
              </w:rPr>
              <w:t>2.3</w:t>
            </w:r>
            <w:r w:rsidR="001A4127">
              <w:rPr>
                <w:rFonts w:eastAsiaTheme="minorEastAsia"/>
                <w:noProof/>
                <w:lang w:eastAsia="en-GB"/>
              </w:rPr>
              <w:tab/>
            </w:r>
            <w:r w:rsidR="001A4127" w:rsidRPr="00E71A45">
              <w:rPr>
                <w:rStyle w:val="Hyperlink"/>
                <w:noProof/>
                <w:lang w:eastAsia="de-DE"/>
              </w:rPr>
              <w:t>Historical trend</w:t>
            </w:r>
            <w:r w:rsidR="001A4127">
              <w:rPr>
                <w:noProof/>
                <w:webHidden/>
              </w:rPr>
              <w:tab/>
            </w:r>
            <w:r w:rsidR="001A4127">
              <w:rPr>
                <w:noProof/>
                <w:webHidden/>
              </w:rPr>
              <w:fldChar w:fldCharType="begin"/>
            </w:r>
            <w:r w:rsidR="001A4127">
              <w:rPr>
                <w:noProof/>
                <w:webHidden/>
              </w:rPr>
              <w:instrText xml:space="preserve"> PAGEREF _Toc22294590 \h </w:instrText>
            </w:r>
            <w:r w:rsidR="001A4127">
              <w:rPr>
                <w:noProof/>
                <w:webHidden/>
              </w:rPr>
            </w:r>
            <w:r w:rsidR="001A4127">
              <w:rPr>
                <w:noProof/>
                <w:webHidden/>
              </w:rPr>
              <w:fldChar w:fldCharType="separate"/>
            </w:r>
            <w:r w:rsidR="001A4127">
              <w:rPr>
                <w:noProof/>
                <w:webHidden/>
              </w:rPr>
              <w:t>7</w:t>
            </w:r>
            <w:r w:rsidR="001A4127">
              <w:rPr>
                <w:noProof/>
                <w:webHidden/>
              </w:rPr>
              <w:fldChar w:fldCharType="end"/>
            </w:r>
          </w:hyperlink>
        </w:p>
        <w:p w:rsidR="001A4127" w:rsidRDefault="00710418">
          <w:pPr>
            <w:pStyle w:val="TOC1"/>
            <w:tabs>
              <w:tab w:val="left" w:pos="440"/>
              <w:tab w:val="right" w:leader="dot" w:pos="9062"/>
            </w:tabs>
            <w:rPr>
              <w:rFonts w:eastAsiaTheme="minorEastAsia"/>
              <w:noProof/>
              <w:lang w:eastAsia="en-GB"/>
            </w:rPr>
          </w:pPr>
          <w:hyperlink w:anchor="_Toc22294591" w:history="1">
            <w:r w:rsidR="001A4127" w:rsidRPr="00E71A45">
              <w:rPr>
                <w:rStyle w:val="Hyperlink"/>
                <w:rFonts w:ascii="Calibri" w:hAnsi="Calibri"/>
                <w:noProof/>
              </w:rPr>
              <w:t>3</w:t>
            </w:r>
            <w:r w:rsidR="001A4127">
              <w:rPr>
                <w:rFonts w:eastAsiaTheme="minorEastAsia"/>
                <w:noProof/>
                <w:lang w:eastAsia="en-GB"/>
              </w:rPr>
              <w:tab/>
            </w:r>
            <w:r w:rsidR="001A4127" w:rsidRPr="00E71A45">
              <w:rPr>
                <w:rStyle w:val="Hyperlink"/>
                <w:rFonts w:ascii="Calibri" w:hAnsi="Calibri"/>
                <w:noProof/>
              </w:rPr>
              <w:t>Comparison of impact per intervention strategies per region</w:t>
            </w:r>
            <w:r w:rsidR="001A4127">
              <w:rPr>
                <w:noProof/>
                <w:webHidden/>
              </w:rPr>
              <w:tab/>
            </w:r>
            <w:r w:rsidR="001A4127">
              <w:rPr>
                <w:noProof/>
                <w:webHidden/>
              </w:rPr>
              <w:fldChar w:fldCharType="begin"/>
            </w:r>
            <w:r w:rsidR="001A4127">
              <w:rPr>
                <w:noProof/>
                <w:webHidden/>
              </w:rPr>
              <w:instrText xml:space="preserve"> PAGEREF _Toc22294591 \h </w:instrText>
            </w:r>
            <w:r w:rsidR="001A4127">
              <w:rPr>
                <w:noProof/>
                <w:webHidden/>
              </w:rPr>
            </w:r>
            <w:r w:rsidR="001A4127">
              <w:rPr>
                <w:noProof/>
                <w:webHidden/>
              </w:rPr>
              <w:fldChar w:fldCharType="separate"/>
            </w:r>
            <w:r w:rsidR="001A4127">
              <w:rPr>
                <w:noProof/>
                <w:webHidden/>
              </w:rPr>
              <w:t>8</w:t>
            </w:r>
            <w:r w:rsidR="001A4127">
              <w:rPr>
                <w:noProof/>
                <w:webHidden/>
              </w:rPr>
              <w:fldChar w:fldCharType="end"/>
            </w:r>
          </w:hyperlink>
        </w:p>
        <w:p w:rsidR="001A4127" w:rsidRDefault="00710418">
          <w:pPr>
            <w:pStyle w:val="TOC1"/>
            <w:tabs>
              <w:tab w:val="left" w:pos="440"/>
              <w:tab w:val="right" w:leader="dot" w:pos="9062"/>
            </w:tabs>
            <w:rPr>
              <w:rFonts w:eastAsiaTheme="minorEastAsia"/>
              <w:noProof/>
              <w:lang w:eastAsia="en-GB"/>
            </w:rPr>
          </w:pPr>
          <w:hyperlink w:anchor="_Toc22294592" w:history="1">
            <w:r w:rsidR="001A4127" w:rsidRPr="00E71A45">
              <w:rPr>
                <w:rStyle w:val="Hyperlink"/>
                <w:rFonts w:ascii="Calibri" w:hAnsi="Calibri"/>
                <w:noProof/>
              </w:rPr>
              <w:t>4</w:t>
            </w:r>
            <w:r w:rsidR="001A4127">
              <w:rPr>
                <w:rFonts w:eastAsiaTheme="minorEastAsia"/>
                <w:noProof/>
                <w:lang w:eastAsia="en-GB"/>
              </w:rPr>
              <w:tab/>
            </w:r>
            <w:r w:rsidR="001A4127" w:rsidRPr="00E71A45">
              <w:rPr>
                <w:rStyle w:val="Hyperlink"/>
                <w:rFonts w:ascii="Calibri" w:hAnsi="Calibri"/>
                <w:noProof/>
              </w:rPr>
              <w:t>Population weighed and unweighted mean prevalence</w:t>
            </w:r>
            <w:r w:rsidR="001A4127">
              <w:rPr>
                <w:noProof/>
                <w:webHidden/>
              </w:rPr>
              <w:tab/>
            </w:r>
            <w:r w:rsidR="001A4127">
              <w:rPr>
                <w:noProof/>
                <w:webHidden/>
              </w:rPr>
              <w:fldChar w:fldCharType="begin"/>
            </w:r>
            <w:r w:rsidR="001A4127">
              <w:rPr>
                <w:noProof/>
                <w:webHidden/>
              </w:rPr>
              <w:instrText xml:space="preserve"> PAGEREF _Toc22294592 \h </w:instrText>
            </w:r>
            <w:r w:rsidR="001A4127">
              <w:rPr>
                <w:noProof/>
                <w:webHidden/>
              </w:rPr>
            </w:r>
            <w:r w:rsidR="001A4127">
              <w:rPr>
                <w:noProof/>
                <w:webHidden/>
              </w:rPr>
              <w:fldChar w:fldCharType="separate"/>
            </w:r>
            <w:r w:rsidR="001A4127">
              <w:rPr>
                <w:noProof/>
                <w:webHidden/>
              </w:rPr>
              <w:t>12</w:t>
            </w:r>
            <w:r w:rsidR="001A4127">
              <w:rPr>
                <w:noProof/>
                <w:webHidden/>
              </w:rPr>
              <w:fldChar w:fldCharType="end"/>
            </w:r>
          </w:hyperlink>
        </w:p>
        <w:p w:rsidR="001A4127" w:rsidRDefault="00710418">
          <w:pPr>
            <w:pStyle w:val="TOC1"/>
            <w:tabs>
              <w:tab w:val="right" w:leader="dot" w:pos="9062"/>
            </w:tabs>
            <w:rPr>
              <w:rFonts w:eastAsiaTheme="minorEastAsia"/>
              <w:noProof/>
              <w:lang w:eastAsia="en-GB"/>
            </w:rPr>
          </w:pPr>
          <w:hyperlink w:anchor="_Toc22294593" w:history="1">
            <w:r w:rsidR="001A4127" w:rsidRPr="00E71A45">
              <w:rPr>
                <w:rStyle w:val="Hyperlink"/>
                <w:rFonts w:ascii="Calibri" w:hAnsi="Calibri"/>
                <w:noProof/>
                <w:lang w:eastAsia="de-DE"/>
              </w:rPr>
              <w:t>References</w:t>
            </w:r>
            <w:r w:rsidR="001A4127">
              <w:rPr>
                <w:noProof/>
                <w:webHidden/>
              </w:rPr>
              <w:tab/>
            </w:r>
            <w:r w:rsidR="001A4127">
              <w:rPr>
                <w:noProof/>
                <w:webHidden/>
              </w:rPr>
              <w:fldChar w:fldCharType="begin"/>
            </w:r>
            <w:r w:rsidR="001A4127">
              <w:rPr>
                <w:noProof/>
                <w:webHidden/>
              </w:rPr>
              <w:instrText xml:space="preserve"> PAGEREF _Toc22294593 \h </w:instrText>
            </w:r>
            <w:r w:rsidR="001A4127">
              <w:rPr>
                <w:noProof/>
                <w:webHidden/>
              </w:rPr>
            </w:r>
            <w:r w:rsidR="001A4127">
              <w:rPr>
                <w:noProof/>
                <w:webHidden/>
              </w:rPr>
              <w:fldChar w:fldCharType="separate"/>
            </w:r>
            <w:r w:rsidR="001A4127">
              <w:rPr>
                <w:noProof/>
                <w:webHidden/>
              </w:rPr>
              <w:t>13</w:t>
            </w:r>
            <w:r w:rsidR="001A4127">
              <w:rPr>
                <w:noProof/>
                <w:webHidden/>
              </w:rPr>
              <w:fldChar w:fldCharType="end"/>
            </w:r>
          </w:hyperlink>
        </w:p>
        <w:p w:rsidR="00484937" w:rsidRPr="00D31B80" w:rsidRDefault="00484937" w:rsidP="002A5AC2">
          <w:pPr>
            <w:spacing w:after="0" w:line="360" w:lineRule="auto"/>
            <w:rPr>
              <w:rFonts w:ascii="Calibri" w:hAnsi="Calibri"/>
            </w:rPr>
          </w:pPr>
          <w:r w:rsidRPr="00D31B80">
            <w:rPr>
              <w:rFonts w:ascii="Calibri" w:hAnsi="Calibri"/>
              <w:b/>
              <w:bCs/>
              <w:noProof/>
            </w:rPr>
            <w:fldChar w:fldCharType="end"/>
          </w:r>
        </w:p>
      </w:sdtContent>
    </w:sdt>
    <w:p w:rsidR="00484937" w:rsidRPr="00D31B80" w:rsidRDefault="00484937" w:rsidP="002A5AC2">
      <w:pPr>
        <w:spacing w:after="0" w:line="360" w:lineRule="auto"/>
        <w:rPr>
          <w:rFonts w:ascii="Calibri" w:eastAsiaTheme="majorEastAsia" w:hAnsi="Calibri" w:cstheme="majorBidi"/>
          <w:b/>
          <w:bCs/>
          <w:sz w:val="28"/>
          <w:szCs w:val="28"/>
        </w:rPr>
      </w:pPr>
      <w:r w:rsidRPr="00D31B80">
        <w:rPr>
          <w:rFonts w:ascii="Calibri" w:hAnsi="Calibri"/>
        </w:rPr>
        <w:br w:type="page"/>
      </w:r>
    </w:p>
    <w:p w:rsidR="00091319" w:rsidRPr="00D31B80" w:rsidRDefault="00091319" w:rsidP="00764FF6">
      <w:pPr>
        <w:pStyle w:val="Heading1"/>
        <w:spacing w:line="360" w:lineRule="auto"/>
      </w:pPr>
      <w:bookmarkStart w:id="1" w:name="_Toc22294585"/>
      <w:r w:rsidRPr="00D31B80">
        <w:lastRenderedPageBreak/>
        <w:t>Estimated pre-intervention EIR</w:t>
      </w:r>
      <w:bookmarkEnd w:id="1"/>
    </w:p>
    <w:p w:rsidR="00901594" w:rsidRPr="00D31B80" w:rsidRDefault="0053654C" w:rsidP="002A5AC2">
      <w:pPr>
        <w:spacing w:after="0" w:line="360" w:lineRule="auto"/>
        <w:jc w:val="both"/>
        <w:rPr>
          <w:rFonts w:ascii="Calibri" w:hAnsi="Calibri"/>
          <w:lang w:eastAsia="de-DE"/>
        </w:rPr>
      </w:pPr>
      <w:r w:rsidRPr="00D31B80">
        <w:rPr>
          <w:rFonts w:ascii="Calibri" w:hAnsi="Calibri"/>
          <w:lang w:eastAsia="de-DE"/>
        </w:rPr>
        <w:t xml:space="preserve">The estimated </w:t>
      </w:r>
      <w:r w:rsidR="009F6533" w:rsidRPr="00D31B80">
        <w:rPr>
          <w:rFonts w:ascii="Calibri" w:hAnsi="Calibri"/>
          <w:lang w:eastAsia="de-DE"/>
        </w:rPr>
        <w:t>council</w:t>
      </w:r>
      <w:r w:rsidR="00EE70ED" w:rsidRPr="00D31B80">
        <w:rPr>
          <w:rFonts w:ascii="Calibri" w:hAnsi="Calibri"/>
          <w:lang w:eastAsia="de-DE"/>
        </w:rPr>
        <w:t xml:space="preserve">-specific </w:t>
      </w:r>
      <w:r w:rsidRPr="00D31B80">
        <w:rPr>
          <w:rFonts w:ascii="Calibri" w:hAnsi="Calibri"/>
          <w:lang w:eastAsia="de-DE"/>
        </w:rPr>
        <w:t>pre-</w:t>
      </w:r>
      <w:r w:rsidR="00FC2CA0" w:rsidRPr="00D31B80">
        <w:rPr>
          <w:rFonts w:ascii="Calibri" w:hAnsi="Calibri"/>
          <w:lang w:eastAsia="de-DE"/>
        </w:rPr>
        <w:t>intervention</w:t>
      </w:r>
      <w:r w:rsidRPr="00D31B80">
        <w:rPr>
          <w:rFonts w:ascii="Calibri" w:hAnsi="Calibri"/>
          <w:lang w:eastAsia="de-DE"/>
        </w:rPr>
        <w:t xml:space="preserve"> EIR </w:t>
      </w:r>
      <w:r w:rsidR="007B63DF">
        <w:rPr>
          <w:rFonts w:ascii="Calibri" w:hAnsi="Calibri"/>
          <w:lang w:eastAsia="de-DE"/>
        </w:rPr>
        <w:t>reflects the trend in geospatial predicted prevalence used for fitting, shown</w:t>
      </w:r>
      <w:r w:rsidR="001133C7" w:rsidRPr="00D31B80">
        <w:rPr>
          <w:rFonts w:ascii="Calibri" w:hAnsi="Calibri"/>
          <w:lang w:eastAsia="de-DE"/>
        </w:rPr>
        <w:t xml:space="preserve"> in the </w:t>
      </w:r>
      <w:r w:rsidR="00D954B4" w:rsidRPr="00D31B80">
        <w:rPr>
          <w:rFonts w:ascii="Calibri" w:hAnsi="Calibri"/>
          <w:lang w:eastAsia="de-DE"/>
        </w:rPr>
        <w:t>main manuscript Fig</w:t>
      </w:r>
      <w:r w:rsidR="001133C7" w:rsidRPr="00D31B80">
        <w:rPr>
          <w:rFonts w:ascii="Calibri" w:hAnsi="Calibri"/>
          <w:lang w:eastAsia="de-DE"/>
        </w:rPr>
        <w:t xml:space="preserve"> 2</w:t>
      </w:r>
      <w:r w:rsidR="007B63DF">
        <w:rPr>
          <w:rFonts w:ascii="Calibri" w:hAnsi="Calibri"/>
          <w:lang w:eastAsia="de-DE"/>
        </w:rPr>
        <w:t xml:space="preserve"> and in Fig S</w:t>
      </w:r>
      <w:r w:rsidR="00764FF6">
        <w:rPr>
          <w:rFonts w:ascii="Calibri" w:hAnsi="Calibri"/>
          <w:lang w:eastAsia="de-DE"/>
        </w:rPr>
        <w:t>1.</w:t>
      </w:r>
      <w:r w:rsidR="007B63DF">
        <w:rPr>
          <w:rFonts w:ascii="Calibri" w:hAnsi="Calibri"/>
          <w:lang w:eastAsia="de-DE"/>
        </w:rPr>
        <w:t>2</w:t>
      </w:r>
      <w:r w:rsidR="00764FF6">
        <w:rPr>
          <w:rFonts w:ascii="Calibri" w:hAnsi="Calibri"/>
          <w:lang w:eastAsia="de-DE"/>
        </w:rPr>
        <w:t>. T</w:t>
      </w:r>
      <w:r w:rsidR="007B63DF">
        <w:rPr>
          <w:rFonts w:ascii="Calibri" w:hAnsi="Calibri"/>
          <w:lang w:eastAsia="de-DE"/>
        </w:rPr>
        <w:t>he geographical pattern is similar to previously published</w:t>
      </w:r>
      <w:r w:rsidR="007B63DF" w:rsidRPr="00D31B80">
        <w:rPr>
          <w:rFonts w:ascii="Calibri" w:hAnsi="Calibri"/>
          <w:lang w:eastAsia="de-DE"/>
        </w:rPr>
        <w:t xml:space="preserve"> prevalence risk maps </w:t>
      </w:r>
      <w:r w:rsidR="007B63DF" w:rsidRPr="00D31B80">
        <w:rPr>
          <w:rFonts w:ascii="Calibri" w:hAnsi="Calibri"/>
          <w:lang w:eastAsia="de-DE"/>
        </w:rPr>
        <w:fldChar w:fldCharType="begin"/>
      </w:r>
      <w:r w:rsidR="00764FF6">
        <w:rPr>
          <w:rFonts w:ascii="Calibri" w:hAnsi="Calibri"/>
          <w:lang w:eastAsia="de-DE"/>
        </w:rPr>
        <w:instrText xml:space="preserve"> ADDIN ZOTERO_ITEM CSL_CITATION {"citationID":"a13p6m3sa2g","properties":{"formattedCitation":"[1\\uc0\\u8211{}3]","plainCitation":"[1–3]","noteIndex":0},"citationItems":[{"id":17175,"uris":["http://zotero.org/users/3516901/items/HVRT9XQ5"],"uri":["http://zotero.org/users/3516901/items/HVRT9XQ5"],"itemData":{"id":17175,"type":"article-journal","title":"Spatially Explicit Burden Estimates of Malaria in Tanzania: Bayesian Geostatistical Modeling of the Malaria Indicator Survey Data","container-title":"PLoS ONE","page":"e23966","volume":"7","issue":"5","source":"PLoS Journals","abstract":"A national HIV/AIDS and malaria parasitological survey was carried out in Tanzania in 2007–2008. In this study the parasitological data were analyzed: i) to identify climatic/environmental, socio-economic and interventions factors associated with child malaria risk and ii) to produce a contemporary, high spatial resolution parasitaemia risk map of the country. Bayesian geostatistical models were fitted to assess the association between parasitaemia risk and its determinants. Bayesian kriging was employed to predict malaria risk at unsampled locations across Tanzania and to obtain the uncertainty associated with the predictions. Markov chain Monte Carlo (MCMC) simulation methods were employed for model fit and prediction. Parasitaemia risk estimates were linked to population data and the number of infected children at province level was calculated. Model validation indicated a high predictive ability of the geostatistical model, with 60.00% of the test locations within the 95% credible interval. The results indicate that older children are significantly more likely to test positive for malaria compared with younger children and living in urban areas and better-off households reduces the risk of infection. However, none of the environmental and climatic proxies or the intervention measures were significantly associated with the risk of parasitaemia. Low levels of malaria prevalence were estimated for Zanzibar island. The population-adjusted prevalence ranges from in Kaskazini province (Zanzibar island) to in Mtwara region. The pattern of predicted malaria risk is similar with the previous maps based on historical data, although the estimates are lower. The predicted maps could be used by decision-makers to allocate resources and target interventions in the regions with highest burden of malaria in order to reduce the disease transmission in the country.","DOI":"10.1371/journal.pone.0023966","title-short":"Spatially Explicit Burden Estimates of Malaria in Tanzania","journalAbbreviation":"PLoS ONE","author":[{"family":"Gosoniu","given":"Laura"},{"family":"Msengwa","given":"Amina"},{"family":"Lengeler","given":"Christian"},{"family":"Vounatsou","given":"Penelope"}],"issued":{"date-parts":[["2012"]]}},"label":"page"},{"id":28933,"uris":["http://zotero.org/users/3516901/items/9EC3QG8C"],"uri":["http://zotero.org/users/3516901/items/9EC3QG8C"],"itemData":{"id":28933,"type":"article-journal","title":"Nationwide school malaria parasitaemia survey in public primary schools, the United Republic of Tanzania","container-title":"Malaria Journal","page":"452","volume":"17","issue":"1","source":"BioMed Central","abstract":"A nationwide, school, malaria survey was implemented to assess the risk factors of malaria prevalence and bed net use among primary school children in mainland Tanzania. This allowed the mapping of malaria prevalence at council level and assessment of malaria risk factors among school children.","DOI":"10.1186/s12936-018-2601-1","ISSN":"1475-2875","journalAbbreviation":"Malaria Journal","author":[{"family":"Chacky","given":"Frank"},{"family":"Runge","given":"Manuela"},{"family":"Rumisha","given":"Susan F."},{"family":"Machafuko","given":"Pendael"},{"family":"Chaki","given":"Prosper"},{"family":"Massaga","given":"Julius J."},{"family":"Mohamed","given":"Ally"},{"family":"Pothin","given":"Emilie"},{"family":"Molteni","given":"Fabrizio"},{"family":"Snow","given":"Robert W."},{"family":"Lengeler","given":"Christian"},{"family":"Mandike","given":"Renata"}],"issued":{"date-parts":[["2018",12,5]]}},"label":"page"},{"id":17255,"uris":["http://zotero.org/users/3516901/items/BKDV67HP"],"uri":["http://zotero.org/users/3516901/items/BKDV67HP"],"itemData":{"id":17255,"type":"article-journal","title":"Mapping malaria risk and vulnerability in the United Republic of Tanzania: a spatial explicit model","container-title":"Population Health Metrics","page":"2","volume":"13","source":"BioMed Central","abstract":"Outbreaks of vector-borne diseases (VBDs) impose a heavy burden on vulnerable populations. Despite recent progress in eradication and control, malaria remains the most prevalent VBD. Integrative approaches that take into account environmental, socioeconomic, demographic, biological, cultural, and political factors contributing to malaria risk and vulnerability are needed to effectively reduce malaria burden. Although the focus on malaria risk has increasingly gained ground, little emphasis has been given to develop quantitative methods for assessing malaria risk including malaria vulnerability in a spatial explicit manner.","DOI":"10.1186/s12963-015-0036-2","ISSN":"1478-7954","title-short":"Mapping malaria risk and vulnerability in the United Republic of Tanzania","journalAbbreviation":"Population Health Metrics","author":[{"family":"Hagenlocher","given":"Michael"},{"family":"Castro","given":"Marcia C."}],"issued":{"date-parts":[["2015"]]}},"label":"page"}],"schema":"https://github.com/citation-style-language/schema/raw/master/csl-citation.json"} </w:instrText>
      </w:r>
      <w:r w:rsidR="007B63DF" w:rsidRPr="00D31B80">
        <w:rPr>
          <w:rFonts w:ascii="Calibri" w:hAnsi="Calibri"/>
          <w:lang w:eastAsia="de-DE"/>
        </w:rPr>
        <w:fldChar w:fldCharType="separate"/>
      </w:r>
      <w:r w:rsidR="006F40AC" w:rsidRPr="006F40AC">
        <w:rPr>
          <w:rFonts w:ascii="Calibri" w:hAnsi="Calibri" w:cs="Times New Roman"/>
          <w:szCs w:val="24"/>
        </w:rPr>
        <w:t>[1–3]</w:t>
      </w:r>
      <w:r w:rsidR="007B63DF" w:rsidRPr="00D31B80">
        <w:rPr>
          <w:rFonts w:ascii="Calibri" w:hAnsi="Calibri"/>
          <w:lang w:eastAsia="de-DE"/>
        </w:rPr>
        <w:fldChar w:fldCharType="end"/>
      </w:r>
      <w:r w:rsidR="001133C7" w:rsidRPr="00D31B80">
        <w:rPr>
          <w:rFonts w:ascii="Calibri" w:hAnsi="Calibri"/>
          <w:lang w:eastAsia="de-DE"/>
        </w:rPr>
        <w:t>,</w:t>
      </w:r>
      <w:r w:rsidR="00447397">
        <w:rPr>
          <w:rFonts w:ascii="Calibri" w:hAnsi="Calibri"/>
          <w:lang w:eastAsia="de-DE"/>
        </w:rPr>
        <w:t xml:space="preserve"> </w:t>
      </w:r>
      <w:r w:rsidR="009A11EA" w:rsidRPr="00D31B80">
        <w:rPr>
          <w:rFonts w:ascii="Calibri" w:hAnsi="Calibri"/>
          <w:lang w:eastAsia="de-DE"/>
        </w:rPr>
        <w:t xml:space="preserve">and climate factors </w:t>
      </w:r>
      <w:r w:rsidR="005146D2" w:rsidRPr="00D31B80">
        <w:rPr>
          <w:rFonts w:ascii="Calibri" w:hAnsi="Calibri"/>
          <w:lang w:eastAsia="de-DE"/>
        </w:rPr>
        <w:fldChar w:fldCharType="begin"/>
      </w:r>
      <w:r w:rsidR="00764FF6">
        <w:rPr>
          <w:rFonts w:ascii="Calibri" w:hAnsi="Calibri"/>
          <w:lang w:eastAsia="de-DE"/>
        </w:rPr>
        <w:instrText xml:space="preserve"> ADDIN ZOTERO_ITEM CSL_CITATION {"citationID":"W08gS1lF","properties":{"formattedCitation":"[4]","plainCitation":"[4]","noteIndex":0},"citationItems":[{"id":16033,"uris":["http://zotero.org/users/3516901/items/J7HRHD47"],"uri":["http://zotero.org/users/3516901/items/J7HRHD47"],"itemData":{"id":16033,"type":"report","title":"An epidemiological profile of malaria and its control in mainland Tanzania","publisher":"Report funded by Roll Back Malaria and Department for International Development-UK","page":"152","author":[{"family":"National Malaria Control Programme (Tanzania)","given":""},{"literal":"WHO"},{"family":"Ifakara Health Institute","given":""},{"literal":"KEMRI-Wellcome Trust (Kenya)"}],"issued":{"date-parts":[["2013"]]}}}],"schema":"https://github.com/citation-style-language/schema/raw/master/csl-citation.json"} </w:instrText>
      </w:r>
      <w:r w:rsidR="005146D2" w:rsidRPr="00D31B80">
        <w:rPr>
          <w:rFonts w:ascii="Calibri" w:hAnsi="Calibri"/>
          <w:lang w:eastAsia="de-DE"/>
        </w:rPr>
        <w:fldChar w:fldCharType="separate"/>
      </w:r>
      <w:r w:rsidR="006F40AC" w:rsidRPr="006F40AC">
        <w:rPr>
          <w:rFonts w:ascii="Calibri" w:hAnsi="Calibri"/>
        </w:rPr>
        <w:t>[4]</w:t>
      </w:r>
      <w:r w:rsidR="005146D2" w:rsidRPr="00D31B80">
        <w:rPr>
          <w:rFonts w:ascii="Calibri" w:hAnsi="Calibri"/>
          <w:lang w:eastAsia="de-DE"/>
        </w:rPr>
        <w:fldChar w:fldCharType="end"/>
      </w:r>
      <w:r w:rsidR="00A37CE2" w:rsidRPr="00D31B80">
        <w:rPr>
          <w:rFonts w:ascii="Calibri" w:hAnsi="Calibri"/>
          <w:lang w:eastAsia="de-DE"/>
        </w:rPr>
        <w:t xml:space="preserve"> (</w:t>
      </w:r>
      <w:r w:rsidR="00764FF6" w:rsidRPr="00764FF6">
        <w:rPr>
          <w:rFonts w:ascii="Calibri" w:hAnsi="Calibri"/>
          <w:lang w:eastAsia="de-DE"/>
        </w:rPr>
        <w:t>Fig S</w:t>
      </w:r>
      <w:r w:rsidR="00417C3E">
        <w:rPr>
          <w:rFonts w:ascii="Calibri" w:hAnsi="Calibri"/>
          <w:lang w:eastAsia="de-DE"/>
        </w:rPr>
        <w:t>4</w:t>
      </w:r>
      <w:r w:rsidR="00764FF6" w:rsidRPr="00764FF6">
        <w:rPr>
          <w:rFonts w:ascii="Calibri" w:hAnsi="Calibri"/>
          <w:lang w:eastAsia="de-DE"/>
        </w:rPr>
        <w:t>.1</w:t>
      </w:r>
      <w:r w:rsidR="00A37CE2" w:rsidRPr="00D31B80">
        <w:rPr>
          <w:rFonts w:ascii="Calibri" w:hAnsi="Calibri"/>
          <w:lang w:eastAsia="de-DE"/>
        </w:rPr>
        <w:t>)</w:t>
      </w:r>
      <w:r w:rsidRPr="00D31B80">
        <w:rPr>
          <w:rFonts w:ascii="Calibri" w:hAnsi="Calibri"/>
          <w:lang w:eastAsia="de-DE"/>
        </w:rPr>
        <w:t xml:space="preserve">. </w:t>
      </w:r>
    </w:p>
    <w:p w:rsidR="001133C7" w:rsidRPr="00D31B80" w:rsidRDefault="007B63DF" w:rsidP="007B63DF">
      <w:pPr>
        <w:tabs>
          <w:tab w:val="left" w:pos="1853"/>
        </w:tabs>
        <w:spacing w:after="0" w:line="360" w:lineRule="auto"/>
        <w:rPr>
          <w:rFonts w:ascii="Calibri" w:hAnsi="Calibri"/>
          <w:lang w:eastAsia="de-DE"/>
        </w:rPr>
      </w:pPr>
      <w:r>
        <w:rPr>
          <w:rFonts w:ascii="Calibri" w:hAnsi="Calibri"/>
          <w:lang w:eastAsia="de-DE"/>
        </w:rPr>
        <w:tab/>
      </w:r>
    </w:p>
    <w:p w:rsidR="00484937" w:rsidRPr="00D31B80" w:rsidRDefault="0053654C" w:rsidP="002A5AC2">
      <w:pPr>
        <w:keepNext/>
        <w:spacing w:after="0" w:line="360" w:lineRule="auto"/>
        <w:rPr>
          <w:rFonts w:ascii="Calibri" w:hAnsi="Calibri"/>
        </w:rPr>
      </w:pPr>
      <w:r w:rsidRPr="00D31B80">
        <w:rPr>
          <w:rFonts w:ascii="Calibri" w:hAnsi="Calibri"/>
          <w:noProof/>
          <w:lang w:eastAsia="en-GB"/>
        </w:rPr>
        <w:drawing>
          <wp:inline distT="0" distB="0" distL="0" distR="0" wp14:anchorId="504487F2" wp14:editId="7020211C">
            <wp:extent cx="5730731" cy="4605866"/>
            <wp:effectExtent l="19050" t="19050" r="2286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ngma\Projects\OM_TZA\OM_Iterations\Experiments\Hist_and_Fut\TZA_MappingWS_Nov2018_Jan2019\SensitivityAnalysis\20180209_OMTZARegions_corCM_combined_corCMMDAcost\Figures\Map_EIR_v3.pn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t="5607" r="15178"/>
                    <a:stretch/>
                  </pic:blipFill>
                  <pic:spPr bwMode="auto">
                    <a:xfrm>
                      <a:off x="0" y="0"/>
                      <a:ext cx="5734343" cy="46087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84937" w:rsidRPr="00764FF6" w:rsidRDefault="00484937" w:rsidP="002A5AC2">
      <w:pPr>
        <w:pStyle w:val="Caption"/>
        <w:spacing w:before="0" w:after="0" w:line="360" w:lineRule="auto"/>
        <w:jc w:val="left"/>
        <w:rPr>
          <w:rFonts w:ascii="Calibri" w:eastAsiaTheme="minorHAnsi" w:hAnsi="Calibri" w:cstheme="minorBidi"/>
          <w:b/>
          <w:sz w:val="22"/>
          <w:szCs w:val="22"/>
          <w:lang w:eastAsia="en-US"/>
        </w:rPr>
      </w:pPr>
      <w:bookmarkStart w:id="2" w:name="_Ref536604948"/>
      <w:r w:rsidRPr="00764FF6">
        <w:rPr>
          <w:rFonts w:ascii="Calibri" w:eastAsiaTheme="minorHAnsi" w:hAnsi="Calibri" w:cstheme="minorBidi"/>
          <w:b/>
          <w:sz w:val="22"/>
          <w:szCs w:val="22"/>
          <w:lang w:eastAsia="en-US"/>
        </w:rPr>
        <w:t xml:space="preserve">Fig </w:t>
      </w:r>
      <w:r w:rsidR="00764FF6" w:rsidRPr="00764FF6">
        <w:rPr>
          <w:rFonts w:ascii="Calibri" w:eastAsiaTheme="minorHAnsi" w:hAnsi="Calibri" w:cstheme="minorBidi"/>
          <w:b/>
          <w:sz w:val="22"/>
          <w:szCs w:val="22"/>
          <w:lang w:eastAsia="en-US"/>
        </w:rPr>
        <w:t>S</w:t>
      </w:r>
      <w:r w:rsidR="00417C3E">
        <w:rPr>
          <w:rFonts w:ascii="Calibri" w:eastAsiaTheme="minorHAnsi" w:hAnsi="Calibri" w:cstheme="minorBidi"/>
          <w:b/>
          <w:sz w:val="22"/>
          <w:szCs w:val="22"/>
          <w:lang w:eastAsia="en-US"/>
        </w:rPr>
        <w:t>4</w:t>
      </w:r>
      <w:r w:rsidR="00764FF6" w:rsidRPr="00764FF6">
        <w:rPr>
          <w:rFonts w:ascii="Calibri" w:eastAsiaTheme="minorHAnsi" w:hAnsi="Calibri" w:cstheme="minorBidi"/>
          <w:b/>
          <w:sz w:val="22"/>
          <w:szCs w:val="22"/>
          <w:lang w:eastAsia="en-US"/>
        </w:rPr>
        <w:t>.</w:t>
      </w:r>
      <w:r w:rsidRPr="00764FF6">
        <w:rPr>
          <w:rFonts w:ascii="Calibri" w:eastAsiaTheme="minorHAnsi" w:hAnsi="Calibri" w:cstheme="minorBidi"/>
          <w:b/>
          <w:sz w:val="22"/>
          <w:szCs w:val="22"/>
          <w:lang w:eastAsia="en-US"/>
        </w:rPr>
        <w:fldChar w:fldCharType="begin"/>
      </w:r>
      <w:r w:rsidRPr="00764FF6">
        <w:rPr>
          <w:rFonts w:ascii="Calibri" w:eastAsiaTheme="minorHAnsi" w:hAnsi="Calibri" w:cstheme="minorBidi"/>
          <w:b/>
          <w:sz w:val="22"/>
          <w:szCs w:val="22"/>
          <w:lang w:eastAsia="en-US"/>
        </w:rPr>
        <w:instrText xml:space="preserve"> SEQ Figure \* ARABIC </w:instrText>
      </w:r>
      <w:r w:rsidRPr="00764FF6">
        <w:rPr>
          <w:rFonts w:ascii="Calibri" w:eastAsiaTheme="minorHAnsi" w:hAnsi="Calibri" w:cstheme="minorBidi"/>
          <w:b/>
          <w:sz w:val="22"/>
          <w:szCs w:val="22"/>
          <w:lang w:eastAsia="en-US"/>
        </w:rPr>
        <w:fldChar w:fldCharType="separate"/>
      </w:r>
      <w:r w:rsidR="00685368" w:rsidRPr="00764FF6">
        <w:rPr>
          <w:rFonts w:ascii="Calibri" w:eastAsiaTheme="minorHAnsi" w:hAnsi="Calibri" w:cstheme="minorBidi"/>
          <w:b/>
          <w:noProof/>
          <w:sz w:val="22"/>
          <w:szCs w:val="22"/>
          <w:lang w:eastAsia="en-US"/>
        </w:rPr>
        <w:t>1</w:t>
      </w:r>
      <w:r w:rsidRPr="00764FF6">
        <w:rPr>
          <w:rFonts w:ascii="Calibri" w:eastAsiaTheme="minorHAnsi" w:hAnsi="Calibri" w:cstheme="minorBidi"/>
          <w:b/>
          <w:sz w:val="22"/>
          <w:szCs w:val="22"/>
          <w:lang w:eastAsia="en-US"/>
        </w:rPr>
        <w:fldChar w:fldCharType="end"/>
      </w:r>
      <w:bookmarkEnd w:id="2"/>
      <w:r w:rsidR="00153B3D" w:rsidRPr="00764FF6">
        <w:rPr>
          <w:rFonts w:ascii="Calibri" w:eastAsiaTheme="minorHAnsi" w:hAnsi="Calibri" w:cstheme="minorBidi"/>
          <w:b/>
          <w:sz w:val="22"/>
          <w:szCs w:val="22"/>
          <w:lang w:eastAsia="en-US"/>
        </w:rPr>
        <w:t>.</w:t>
      </w:r>
      <w:r w:rsidRPr="00764FF6">
        <w:rPr>
          <w:rFonts w:ascii="Calibri" w:eastAsiaTheme="minorHAnsi" w:hAnsi="Calibri" w:cstheme="minorBidi"/>
          <w:b/>
          <w:sz w:val="22"/>
          <w:szCs w:val="22"/>
          <w:lang w:eastAsia="en-US"/>
        </w:rPr>
        <w:t xml:space="preserve"> Map of the estimated pre-intervention EIR per </w:t>
      </w:r>
      <w:r w:rsidR="00FD605E" w:rsidRPr="00764FF6">
        <w:rPr>
          <w:rFonts w:ascii="Calibri" w:eastAsiaTheme="minorHAnsi" w:hAnsi="Calibri" w:cstheme="minorBidi"/>
          <w:b/>
          <w:sz w:val="22"/>
          <w:szCs w:val="22"/>
          <w:lang w:eastAsia="en-US"/>
        </w:rPr>
        <w:t>council</w:t>
      </w:r>
      <w:r w:rsidRPr="00764FF6">
        <w:rPr>
          <w:rFonts w:ascii="Calibri" w:eastAsiaTheme="minorHAnsi" w:hAnsi="Calibri" w:cstheme="minorBidi"/>
          <w:b/>
          <w:sz w:val="22"/>
          <w:szCs w:val="22"/>
          <w:lang w:eastAsia="en-US"/>
        </w:rPr>
        <w:t>.</w:t>
      </w:r>
    </w:p>
    <w:p w:rsidR="00EF73A4" w:rsidRPr="00D31B80" w:rsidRDefault="00EF73A4" w:rsidP="002A5AC2">
      <w:pPr>
        <w:spacing w:after="0" w:line="360" w:lineRule="auto"/>
        <w:rPr>
          <w:rFonts w:ascii="Calibri" w:hAnsi="Calibri"/>
        </w:rPr>
      </w:pPr>
    </w:p>
    <w:p w:rsidR="005317C2" w:rsidRPr="00D31B80" w:rsidRDefault="005317C2" w:rsidP="002A5AC2">
      <w:pPr>
        <w:pStyle w:val="Heading2"/>
        <w:spacing w:before="0" w:line="360" w:lineRule="auto"/>
        <w:jc w:val="both"/>
        <w:rPr>
          <w:rFonts w:ascii="Calibri" w:hAnsi="Calibri"/>
        </w:rPr>
      </w:pPr>
      <w:bookmarkStart w:id="3" w:name="_Toc22294586"/>
      <w:r w:rsidRPr="00D31B80">
        <w:rPr>
          <w:rFonts w:ascii="Calibri" w:hAnsi="Calibri"/>
        </w:rPr>
        <w:t>Comparison of estimated and observed pre-intervention EIRs</w:t>
      </w:r>
      <w:bookmarkEnd w:id="3"/>
    </w:p>
    <w:p w:rsidR="00314C86" w:rsidRPr="00D31B80" w:rsidRDefault="005317C2" w:rsidP="002A5AC2">
      <w:pPr>
        <w:spacing w:after="0" w:line="360" w:lineRule="auto"/>
        <w:jc w:val="both"/>
        <w:rPr>
          <w:rFonts w:ascii="Calibri" w:hAnsi="Calibri"/>
        </w:rPr>
      </w:pPr>
      <w:r w:rsidRPr="00D31B80">
        <w:rPr>
          <w:rFonts w:ascii="Calibri" w:hAnsi="Calibri"/>
        </w:rPr>
        <w:t>The validation of estimates</w:t>
      </w:r>
      <w:r w:rsidR="00EE70ED" w:rsidRPr="00D31B80">
        <w:rPr>
          <w:rFonts w:ascii="Calibri" w:hAnsi="Calibri"/>
        </w:rPr>
        <w:t xml:space="preserve"> of</w:t>
      </w:r>
      <w:r w:rsidRPr="00D31B80">
        <w:rPr>
          <w:rFonts w:ascii="Calibri" w:hAnsi="Calibri"/>
        </w:rPr>
        <w:t xml:space="preserve"> EIR is challenging due to high variations in </w:t>
      </w:r>
      <w:r w:rsidR="00EE70ED" w:rsidRPr="00D31B80">
        <w:rPr>
          <w:rFonts w:ascii="Calibri" w:hAnsi="Calibri"/>
        </w:rPr>
        <w:t>entomological outcomes</w:t>
      </w:r>
      <w:r w:rsidR="00E04B7E" w:rsidRPr="00D31B80">
        <w:rPr>
          <w:rFonts w:ascii="Calibri" w:hAnsi="Calibri"/>
        </w:rPr>
        <w:t>,</w:t>
      </w:r>
      <w:r w:rsidR="00EE70ED" w:rsidRPr="00D31B80">
        <w:rPr>
          <w:rFonts w:ascii="Calibri" w:hAnsi="Calibri"/>
        </w:rPr>
        <w:t xml:space="preserve"> which highly</w:t>
      </w:r>
      <w:r w:rsidRPr="00D31B80">
        <w:rPr>
          <w:rFonts w:ascii="Calibri" w:hAnsi="Calibri"/>
        </w:rPr>
        <w:t xml:space="preserve"> depend on </w:t>
      </w:r>
      <w:r w:rsidR="00E04B7E" w:rsidRPr="00D31B80">
        <w:rPr>
          <w:rFonts w:ascii="Calibri" w:hAnsi="Calibri"/>
        </w:rPr>
        <w:t xml:space="preserve">the </w:t>
      </w:r>
      <w:r w:rsidRPr="00D31B80">
        <w:rPr>
          <w:rFonts w:ascii="Calibri" w:hAnsi="Calibri"/>
        </w:rPr>
        <w:t>local environment</w:t>
      </w:r>
      <w:r w:rsidR="00976B0C" w:rsidRPr="00D31B80">
        <w:rPr>
          <w:rFonts w:ascii="Calibri" w:hAnsi="Calibri"/>
        </w:rPr>
        <w:t>, often seasonality</w:t>
      </w:r>
      <w:r w:rsidRPr="00D31B80">
        <w:rPr>
          <w:rFonts w:ascii="Calibri" w:hAnsi="Calibri"/>
        </w:rPr>
        <w:t xml:space="preserve"> and vector species. </w:t>
      </w:r>
      <w:r w:rsidR="00BB30A7" w:rsidRPr="00D31B80">
        <w:rPr>
          <w:rFonts w:ascii="Calibri" w:hAnsi="Calibri"/>
        </w:rPr>
        <w:t xml:space="preserve">A previously literature review on entomological studies in Tanzania was used to extract annual </w:t>
      </w:r>
      <w:r w:rsidR="00D954B4" w:rsidRPr="00D31B80">
        <w:rPr>
          <w:rFonts w:ascii="Calibri" w:hAnsi="Calibri"/>
        </w:rPr>
        <w:t>EIR</w:t>
      </w:r>
      <w:r w:rsidR="00BB30A7" w:rsidRPr="00D31B80">
        <w:rPr>
          <w:rFonts w:ascii="Calibri" w:hAnsi="Calibri"/>
        </w:rPr>
        <w:t xml:space="preserve"> values</w:t>
      </w:r>
      <w:r w:rsidR="00D954B4" w:rsidRPr="00D31B80">
        <w:rPr>
          <w:rFonts w:ascii="Calibri" w:hAnsi="Calibri"/>
        </w:rPr>
        <w:t xml:space="preserve"> </w:t>
      </w:r>
      <w:r w:rsidR="00BB30A7" w:rsidRPr="00D31B80">
        <w:rPr>
          <w:rFonts w:ascii="Calibri" w:hAnsi="Calibri"/>
        </w:rPr>
        <w:t>between 1990 and 2005</w:t>
      </w:r>
      <w:r w:rsidR="00836F12" w:rsidRPr="00D31B80">
        <w:rPr>
          <w:rFonts w:ascii="Calibri" w:hAnsi="Calibri"/>
        </w:rPr>
        <w:t xml:space="preserve"> (Dr </w:t>
      </w:r>
      <w:proofErr w:type="spellStart"/>
      <w:r w:rsidR="00836F12" w:rsidRPr="00D31B80">
        <w:rPr>
          <w:rFonts w:ascii="Calibri" w:hAnsi="Calibri"/>
        </w:rPr>
        <w:t>Fredros</w:t>
      </w:r>
      <w:proofErr w:type="spellEnd"/>
      <w:r w:rsidR="00836F12" w:rsidRPr="00D31B80">
        <w:rPr>
          <w:rFonts w:ascii="Calibri" w:hAnsi="Calibri"/>
        </w:rPr>
        <w:t xml:space="preserve"> </w:t>
      </w:r>
      <w:proofErr w:type="spellStart"/>
      <w:r w:rsidR="00836F12" w:rsidRPr="00D31B80">
        <w:rPr>
          <w:rFonts w:ascii="Calibri" w:hAnsi="Calibri"/>
        </w:rPr>
        <w:t>Okomu</w:t>
      </w:r>
      <w:proofErr w:type="spellEnd"/>
      <w:r w:rsidR="00836F12" w:rsidRPr="00D31B80">
        <w:rPr>
          <w:rFonts w:ascii="Calibri" w:hAnsi="Calibri"/>
        </w:rPr>
        <w:t xml:space="preserve"> personal communication)</w:t>
      </w:r>
      <w:r w:rsidR="00BB30A7" w:rsidRPr="00D31B80">
        <w:rPr>
          <w:rFonts w:ascii="Calibri" w:hAnsi="Calibri"/>
        </w:rPr>
        <w:t>. The identified studies were compared with the database from Massey et al</w:t>
      </w:r>
      <w:r w:rsidR="00E04B7E" w:rsidRPr="00D31B80">
        <w:rPr>
          <w:rFonts w:ascii="Calibri" w:hAnsi="Calibri"/>
        </w:rPr>
        <w:t>.</w:t>
      </w:r>
      <w:r w:rsidR="00BB30A7" w:rsidRPr="00D31B80">
        <w:rPr>
          <w:rFonts w:ascii="Calibri" w:hAnsi="Calibri"/>
        </w:rPr>
        <w:t xml:space="preserve"> </w:t>
      </w:r>
      <w:r w:rsidR="00BB30A7" w:rsidRPr="00D31B80">
        <w:rPr>
          <w:rFonts w:ascii="Calibri" w:hAnsi="Calibri"/>
        </w:rPr>
        <w:fldChar w:fldCharType="begin"/>
      </w:r>
      <w:r w:rsidR="00764FF6">
        <w:rPr>
          <w:rFonts w:ascii="Calibri" w:hAnsi="Calibri"/>
        </w:rPr>
        <w:instrText xml:space="preserve"> ADDIN ZOTERO_ITEM CSL_CITATION {"citationID":"a2llvk0uqvb","properties":{"formattedCitation":"[5]","plainCitation":"[5]","noteIndex":0},"citationItems":[{"id":20850,"uris":["http://zotero.org/users/3516901/items/GB7M85IV"],"uri":["http://zotero.org/users/3516901/items/GB7M85IV"],"itemData":{"id":20850,"type":"article-journal","title":"A global bionomic database for the dominant vectors of human malaria","container-title":"Scientific Data","page":"160014","volume":"3","source":"www.nature.com","abstract":"Anopheles mosquitoes were first recognised as the transmitters of human malaria in the late 19th Century and have been subject to a huge amount of research ever since.","DOI":"10.1038/sdata.2016.14","ISSN":"2052-4463","language":"en","author":[{"family":"Massey","given":"N. Claire"},{"family":"Garrod","given":"Gala"},{"family":"Wiebe","given":"Antoinette"},{"family":"Henry","given":"Andrew J."},{"family":"Huang","given":"Zhi"},{"family":"Moyes","given":"Catherine L."},{"family":"Sinka","given":"Marianne E."}],"issued":{"date-parts":[["2016",3,1]]}},"label":"page"}],"schema":"https://github.com/citation-style-language/schema/raw/master/csl-citation.json"} </w:instrText>
      </w:r>
      <w:r w:rsidR="00BB30A7" w:rsidRPr="00D31B80">
        <w:rPr>
          <w:rFonts w:ascii="Calibri" w:hAnsi="Calibri"/>
        </w:rPr>
        <w:fldChar w:fldCharType="separate"/>
      </w:r>
      <w:r w:rsidR="006F40AC" w:rsidRPr="006F40AC">
        <w:rPr>
          <w:rFonts w:ascii="Calibri" w:hAnsi="Calibri"/>
        </w:rPr>
        <w:t>[5]</w:t>
      </w:r>
      <w:r w:rsidR="00BB30A7" w:rsidRPr="00D31B80">
        <w:rPr>
          <w:rFonts w:ascii="Calibri" w:hAnsi="Calibri"/>
        </w:rPr>
        <w:fldChar w:fldCharType="end"/>
      </w:r>
      <w:r w:rsidR="00BB30A7" w:rsidRPr="00D31B80">
        <w:rPr>
          <w:rFonts w:ascii="Calibri" w:hAnsi="Calibri"/>
        </w:rPr>
        <w:fldChar w:fldCharType="begin"/>
      </w:r>
      <w:r w:rsidR="00BB30A7" w:rsidRPr="00D31B80">
        <w:rPr>
          <w:rFonts w:ascii="Calibri" w:hAnsi="Calibri"/>
        </w:rPr>
        <w:instrText xml:space="preserve"> ADDIN ZOTERO_TEMP </w:instrText>
      </w:r>
      <w:r w:rsidR="00BB30A7" w:rsidRPr="00D31B80">
        <w:rPr>
          <w:rFonts w:ascii="Calibri" w:hAnsi="Calibri"/>
        </w:rPr>
        <w:fldChar w:fldCharType="end"/>
      </w:r>
      <w:r w:rsidR="00BB30A7" w:rsidRPr="00D31B80">
        <w:rPr>
          <w:rFonts w:ascii="Calibri" w:hAnsi="Calibri"/>
        </w:rPr>
        <w:t>, to ensure most relevant studies were captured</w:t>
      </w:r>
      <w:r w:rsidR="00D954B4" w:rsidRPr="00D31B80">
        <w:rPr>
          <w:rFonts w:ascii="Calibri" w:hAnsi="Calibri"/>
        </w:rPr>
        <w:t>, and 15 unique studies were identified</w:t>
      </w:r>
      <w:r w:rsidR="00E5373B" w:rsidRPr="00D31B80">
        <w:rPr>
          <w:rFonts w:ascii="Calibri" w:hAnsi="Calibri"/>
        </w:rPr>
        <w:t>, reporting EIR estimates for</w:t>
      </w:r>
      <w:r w:rsidR="006A6092" w:rsidRPr="00D31B80">
        <w:rPr>
          <w:rFonts w:ascii="Calibri" w:hAnsi="Calibri"/>
        </w:rPr>
        <w:t xml:space="preserve"> 53 study sites in</w:t>
      </w:r>
      <w:r w:rsidR="00E5373B" w:rsidRPr="00D31B80">
        <w:rPr>
          <w:rFonts w:ascii="Calibri" w:hAnsi="Calibri"/>
        </w:rPr>
        <w:t xml:space="preserve"> 14 councils </w:t>
      </w:r>
      <w:r w:rsidR="006A6092" w:rsidRPr="00D31B80">
        <w:rPr>
          <w:rFonts w:ascii="Calibri" w:hAnsi="Calibri"/>
        </w:rPr>
        <w:t>from</w:t>
      </w:r>
      <w:r w:rsidR="00E5373B" w:rsidRPr="00D31B80">
        <w:rPr>
          <w:rFonts w:ascii="Calibri" w:hAnsi="Calibri"/>
        </w:rPr>
        <w:t xml:space="preserve"> four regions</w:t>
      </w:r>
      <w:r w:rsidR="00D954B4" w:rsidRPr="00D31B80">
        <w:rPr>
          <w:rFonts w:ascii="Calibri" w:hAnsi="Calibri"/>
        </w:rPr>
        <w:t xml:space="preserve"> (</w:t>
      </w:r>
      <w:r w:rsidR="00764FF6">
        <w:rPr>
          <w:rFonts w:ascii="Calibri" w:hAnsi="Calibri"/>
        </w:rPr>
        <w:t>Table S3.1</w:t>
      </w:r>
      <w:r w:rsidR="00D954B4" w:rsidRPr="00D31B80">
        <w:rPr>
          <w:rFonts w:ascii="Calibri" w:hAnsi="Calibri"/>
        </w:rPr>
        <w:t>)</w:t>
      </w:r>
      <w:r w:rsidR="00EE1687" w:rsidRPr="00D31B80">
        <w:rPr>
          <w:rFonts w:ascii="Calibri" w:hAnsi="Calibri"/>
        </w:rPr>
        <w:t xml:space="preserve">. </w:t>
      </w:r>
      <w:r w:rsidR="00E6690B" w:rsidRPr="00D31B80">
        <w:rPr>
          <w:rFonts w:ascii="Calibri" w:hAnsi="Calibri"/>
        </w:rPr>
        <w:t xml:space="preserve">Most of the study sites </w:t>
      </w:r>
      <w:proofErr w:type="gramStart"/>
      <w:r w:rsidR="00E6690B" w:rsidRPr="00D31B80">
        <w:rPr>
          <w:rFonts w:ascii="Calibri" w:hAnsi="Calibri"/>
        </w:rPr>
        <w:t>were located in</w:t>
      </w:r>
      <w:proofErr w:type="gramEnd"/>
      <w:r w:rsidR="00E6690B" w:rsidRPr="00D31B80">
        <w:rPr>
          <w:rFonts w:ascii="Calibri" w:hAnsi="Calibri"/>
        </w:rPr>
        <w:t xml:space="preserve"> </w:t>
      </w:r>
      <w:proofErr w:type="spellStart"/>
      <w:r w:rsidR="00E6690B" w:rsidRPr="00D31B80">
        <w:rPr>
          <w:rFonts w:ascii="Calibri" w:hAnsi="Calibri"/>
        </w:rPr>
        <w:t>Kilombero</w:t>
      </w:r>
      <w:proofErr w:type="spellEnd"/>
      <w:r w:rsidR="00E6690B" w:rsidRPr="00D31B80">
        <w:rPr>
          <w:rFonts w:ascii="Calibri" w:hAnsi="Calibri"/>
        </w:rPr>
        <w:t xml:space="preserve"> and </w:t>
      </w:r>
      <w:proofErr w:type="spellStart"/>
      <w:r w:rsidR="00E6690B" w:rsidRPr="00D31B80">
        <w:rPr>
          <w:rFonts w:ascii="Calibri" w:hAnsi="Calibri"/>
        </w:rPr>
        <w:t>Ulanga</w:t>
      </w:r>
      <w:proofErr w:type="spellEnd"/>
      <w:r w:rsidR="00E6690B" w:rsidRPr="00D31B80">
        <w:rPr>
          <w:rFonts w:ascii="Calibri" w:hAnsi="Calibri"/>
        </w:rPr>
        <w:t xml:space="preserve"> (17 and 12 study sites respectively), while in 6 </w:t>
      </w:r>
      <w:r w:rsidR="00FD605E" w:rsidRPr="00D31B80">
        <w:rPr>
          <w:rFonts w:ascii="Calibri" w:hAnsi="Calibri"/>
        </w:rPr>
        <w:t>councils</w:t>
      </w:r>
      <w:r w:rsidR="00E6690B" w:rsidRPr="00D31B80">
        <w:rPr>
          <w:rFonts w:ascii="Calibri" w:hAnsi="Calibri"/>
        </w:rPr>
        <w:t xml:space="preserve"> only one study site was included. </w:t>
      </w:r>
      <w:r w:rsidR="002F0FF5" w:rsidRPr="00D31B80">
        <w:rPr>
          <w:rFonts w:ascii="Calibri" w:hAnsi="Calibri"/>
        </w:rPr>
        <w:t xml:space="preserve">Some studies reported the EIR </w:t>
      </w:r>
      <w:r w:rsidR="002F0FF5" w:rsidRPr="00D31B80">
        <w:rPr>
          <w:rFonts w:ascii="Calibri" w:hAnsi="Calibri"/>
        </w:rPr>
        <w:lastRenderedPageBreak/>
        <w:t>per vector species</w:t>
      </w:r>
      <w:r w:rsidR="003E38D2" w:rsidRPr="00D31B80">
        <w:rPr>
          <w:rFonts w:ascii="Calibri" w:hAnsi="Calibri"/>
        </w:rPr>
        <w:t xml:space="preserve"> </w:t>
      </w:r>
      <w:r w:rsidR="003E38D2" w:rsidRPr="00D31B80">
        <w:rPr>
          <w:rFonts w:ascii="Calibri" w:hAnsi="Calibri"/>
        </w:rPr>
        <w:fldChar w:fldCharType="begin"/>
      </w:r>
      <w:r w:rsidR="00764FF6">
        <w:rPr>
          <w:rFonts w:ascii="Calibri" w:hAnsi="Calibri"/>
        </w:rPr>
        <w:instrText xml:space="preserve"> ADDIN ZOTERO_ITEM CSL_CITATION {"citationID":"YIVlvbMG","properties":{"formattedCitation":"[6]","plainCitation":"[6]","noteIndex":0},"citationItems":[{"id":20283,"uris":["http://zotero.org/users/3516901/items/MK8JJ2XI"],"uri":["http://zotero.org/users/3516901/items/MK8JJ2XI"],"itemData":{"id":20283,"type":"article-journal","title":"Artemisinin-based combination therapy does not measurably reduce human infectiousness to vectors in a setting of intense malaria transmission","container-title":"Malaria Journal","page":"118","volume":"11","source":"PubMed Central","abstract":"Background\nArtemisinin-based combination therapy (ACT) for treating malaria has activity against immature gametocytes. In theory, this property may complement the effect of terminating otherwise lengthy malaria infections and reducing the parasite reservoir in the human population that can infect vector mosquitoes. However, this has never been verified at a population level in a setting with intense transmission, where chronically infectious asymptomatic carriers are common and cured patients are rapidly and repeatedly re-infected.\n\nMethods\nFrom 2001 to 2004, malaria vector densities were monitored using light traps in three Tanzanian districts. Mosquitoes were dissected to determine parous and oocyst rates. Plasmodium falciparum sporozoite rates were determined by ELISA. Sulphadoxine-pyrimethamine (SP) monotherapy was used for treatment of uncomplicated malaria in the contiguous districts of Kilombero and Ulanga throughout this period. In Rufiji district, the standard drug was changed to artesunate co-administered with SP (AS + SP) in March 2003. The effects of this change in case management on malaria parasite infection in the vectors were analysed.\n\nResults\nPlasmodium falciparum entomological inoculation rates exceeded 300 infective bites per person per year at both sites over the whole period. The introduction of AS + SP in Rufiji was associated with increased oocyst prevalence (OR [95%CI] = 3.9 [2.9-5.3], p &lt; 0.001), but had no consistent effect on sporozoite prevalence (OR [95%CI] = 0.9 [0.7-1.2], p = 0.5). The estimated infectiousness of the human population in Rufiji was very low prior to the change in drug policy. Emergence rates and parous rates of the vectors varied substantially throughout the study period, which affected estimates of infectiousness. The latter consequently cannot be explained by the change in drug policy.\n\nConclusions\nIn high perennial transmission settings, only a small proportion of infections in humans are symptomatic or treated, so case management with ACT may have little impact on overall infectiousness of the human population. Variations in infection levels in vectors largely depend on the age distribution of the mosquito population. Benefits of ACT in suppressing transmission are more likely to be evident where transmission is already low or effective vector control is widely implemented.","DOI":"10.1186/1475-2875-11-118","ISSN":"1475-2875","journalAbbreviation":"Malar J","author":[{"family":"Huho","given":"Bernadette J"},{"family":"Killeen","given":"Gerard F"},{"family":"Ferguson","given":"Heather M"},{"family":"Tami","given":"Adriana"},{"family":"Lengeler","given":"Christian"},{"family":"Charlwood","given":"J Derek"},{"family":"Kihonda","given":"Aniset"},{"family":"Kihonda","given":"Japhet"},{"family":"Kachur","given":"S Patrick"},{"family":"Smith","given":"Thomas A"},{"family":"Abdulla","given":"Salim MK"}],"issued":{"date-parts":[["2012",4,18]]}}}],"schema":"https://github.com/citation-style-language/schema/raw/master/csl-citation.json"} </w:instrText>
      </w:r>
      <w:r w:rsidR="003E38D2" w:rsidRPr="00D31B80">
        <w:rPr>
          <w:rFonts w:ascii="Calibri" w:hAnsi="Calibri"/>
        </w:rPr>
        <w:fldChar w:fldCharType="separate"/>
      </w:r>
      <w:r w:rsidR="006F40AC" w:rsidRPr="006F40AC">
        <w:rPr>
          <w:rFonts w:ascii="Calibri" w:hAnsi="Calibri"/>
        </w:rPr>
        <w:t>[6]</w:t>
      </w:r>
      <w:r w:rsidR="003E38D2" w:rsidRPr="00D31B80">
        <w:rPr>
          <w:rFonts w:ascii="Calibri" w:hAnsi="Calibri"/>
        </w:rPr>
        <w:fldChar w:fldCharType="end"/>
      </w:r>
      <w:r w:rsidR="002F0FF5" w:rsidRPr="00D31B80">
        <w:rPr>
          <w:rFonts w:ascii="Calibri" w:hAnsi="Calibri"/>
        </w:rPr>
        <w:t>; in that case</w:t>
      </w:r>
      <w:r w:rsidR="00E04B7E" w:rsidRPr="00D31B80">
        <w:rPr>
          <w:rFonts w:ascii="Calibri" w:hAnsi="Calibri"/>
        </w:rPr>
        <w:t>,</w:t>
      </w:r>
      <w:r w:rsidR="002F0FF5" w:rsidRPr="00D31B80">
        <w:rPr>
          <w:rFonts w:ascii="Calibri" w:hAnsi="Calibri"/>
        </w:rPr>
        <w:t xml:space="preserve"> the total annual EIR was calculated by summing the annual EIR per species</w:t>
      </w:r>
      <w:r w:rsidR="006D151C" w:rsidRPr="00D31B80">
        <w:rPr>
          <w:rFonts w:ascii="Calibri" w:hAnsi="Calibri"/>
        </w:rPr>
        <w:t xml:space="preserve">, and some studies sites </w:t>
      </w:r>
      <w:r w:rsidR="00EA5E3D" w:rsidRPr="00D31B80">
        <w:rPr>
          <w:rFonts w:ascii="Calibri" w:hAnsi="Calibri"/>
        </w:rPr>
        <w:t>reported</w:t>
      </w:r>
      <w:r w:rsidR="006D151C" w:rsidRPr="00D31B80">
        <w:rPr>
          <w:rFonts w:ascii="Calibri" w:hAnsi="Calibri"/>
        </w:rPr>
        <w:t xml:space="preserve"> daily EIR, in which case annual EIRs were projected, as </w:t>
      </w:r>
      <w:r w:rsidR="00253901" w:rsidRPr="00D31B80">
        <w:rPr>
          <w:rFonts w:ascii="Calibri" w:hAnsi="Calibri"/>
        </w:rPr>
        <w:t xml:space="preserve">in </w:t>
      </w:r>
      <w:r w:rsidR="00223E70" w:rsidRPr="00D31B80">
        <w:rPr>
          <w:rFonts w:ascii="Calibri" w:hAnsi="Calibri"/>
        </w:rPr>
        <w:fldChar w:fldCharType="begin"/>
      </w:r>
      <w:r w:rsidR="00764FF6">
        <w:rPr>
          <w:rFonts w:ascii="Calibri" w:hAnsi="Calibri"/>
        </w:rPr>
        <w:instrText xml:space="preserve"> ADDIN ZOTERO_ITEM CSL_CITATION {"citationID":"93iXvZLt","properties":{"formattedCitation":"[7]","plainCitation":"[7]","noteIndex":0},"citationItems":[{"id":34012,"uris":["http://zotero.org/users/3516901/items/AD64URD3"],"uri":["http://zotero.org/users/3516901/items/AD64URD3"],"itemData":{"id":34012,"type":"article-journal","title":"A comparison of use of a pyrethroid either for house spraying or for bednet treatment against malaria vectors","container-title":"Tropical Medicine &amp; International Health","page":"619-631","volume":"3","issue":"8","source":"Wiley Online Library","abstract":"In an intensely malarious area in north-east Tanzania, microencapsulated lambdacyhalothrin was used in four villages for treatment of bednets (provided free of charge) and in another four villages the same insecticide was used for house spraying. Another four villages received neither intervention until the end of the trial but were monitored as controls. Bioassays showed prolonged persistence of the insecticidal residues. Light traps and ELISA testing showed reduction of the malaria vector populations and the sporozoite rates, leading to a reduction of about 90% in the entomological inoculation rate as a result of each treatment. Collections of blood fed mosquitoes showed no diversion from biting humans to biting animals. Incidence of re-infection was measured by weekly monitoring of cohorts of 60 children per village, after clearing pre-existing infection with chlorproguanil-dapsone. The vector control was associated with a reduction in probability of re-infection per child per week by 54–62%, with no significant difference between the two vector control methods. Cross-sectional surveys for fever, parasitaemia, haemoglobin and weight showed association of high parasitaemia with fever and anaemia and beneficial effects of each intervention in reducing anaemia. However, passive surveillance by resident health assistants showed no evidence for reduced prevalence of fever or parasitaemia. Net treatment consumed only about one sixth as much insecticide as house spraying and it was concluded that the former intervention would work out cheaper and nets were actively demanded by the villagers, whereas spraying was only passively assented to.","DOI":"10.1046/j.1365-3156.1998.00281.x","ISSN":"1365-3156","language":"en","author":[{"family":"Curtis","given":"C. F."},{"family":"Maxwell","given":"C. A."},{"family":"Maxwell","given":"C. A."},{"family":"Finch","given":"R. J."},{"family":"Finch","given":"R. J."},{"family":"Njunwa","given":"K. J."}],"issued":{"date-parts":[["1998"]]}}}],"schema":"https://github.com/citation-style-language/schema/raw/master/csl-citation.json"} </w:instrText>
      </w:r>
      <w:r w:rsidR="00223E70" w:rsidRPr="00D31B80">
        <w:rPr>
          <w:rFonts w:ascii="Calibri" w:hAnsi="Calibri"/>
        </w:rPr>
        <w:fldChar w:fldCharType="separate"/>
      </w:r>
      <w:r w:rsidR="006F40AC" w:rsidRPr="006F40AC">
        <w:rPr>
          <w:rFonts w:ascii="Calibri" w:hAnsi="Calibri"/>
        </w:rPr>
        <w:t>[7]</w:t>
      </w:r>
      <w:r w:rsidR="00223E70" w:rsidRPr="00D31B80">
        <w:rPr>
          <w:rFonts w:ascii="Calibri" w:hAnsi="Calibri"/>
        </w:rPr>
        <w:fldChar w:fldCharType="end"/>
      </w:r>
      <w:r w:rsidR="002F0FF5" w:rsidRPr="00D31B80">
        <w:rPr>
          <w:rFonts w:ascii="Calibri" w:hAnsi="Calibri"/>
        </w:rPr>
        <w:t>.</w:t>
      </w:r>
      <w:r w:rsidR="003E38D2" w:rsidRPr="00D31B80">
        <w:rPr>
          <w:rFonts w:ascii="Calibri" w:hAnsi="Calibri"/>
        </w:rPr>
        <w:t xml:space="preserve"> </w:t>
      </w:r>
      <w:r w:rsidR="00314C86" w:rsidRPr="00D31B80">
        <w:rPr>
          <w:rFonts w:ascii="Calibri" w:hAnsi="Calibri"/>
        </w:rPr>
        <w:t xml:space="preserve">The limited available data did not permit a proper validation, and a simple comparison of the reported EIR with the </w:t>
      </w:r>
      <w:proofErr w:type="gramStart"/>
      <w:r w:rsidR="00314C86" w:rsidRPr="00D31B80">
        <w:rPr>
          <w:rFonts w:ascii="Calibri" w:hAnsi="Calibri"/>
        </w:rPr>
        <w:t>model-estimated</w:t>
      </w:r>
      <w:proofErr w:type="gramEnd"/>
      <w:r w:rsidR="00314C86" w:rsidRPr="00D31B80">
        <w:rPr>
          <w:rFonts w:ascii="Calibri" w:hAnsi="Calibri"/>
        </w:rPr>
        <w:t xml:space="preserve"> EIR was done. </w:t>
      </w:r>
      <w:r w:rsidR="002F0FF5" w:rsidRPr="00D31B80">
        <w:rPr>
          <w:rFonts w:ascii="Calibri" w:hAnsi="Calibri"/>
        </w:rPr>
        <w:t>The single annual EIR estimates for all species were compared with t</w:t>
      </w:r>
      <w:r w:rsidR="000C3961" w:rsidRPr="00D31B80">
        <w:rPr>
          <w:rFonts w:ascii="Calibri" w:hAnsi="Calibri"/>
        </w:rPr>
        <w:t xml:space="preserve">he mean, median and credible intervals of the estimated EIR. </w:t>
      </w:r>
      <w:r w:rsidR="00BF014B" w:rsidRPr="00D31B80">
        <w:rPr>
          <w:rFonts w:ascii="Calibri" w:hAnsi="Calibri"/>
        </w:rPr>
        <w:t xml:space="preserve">Overall, </w:t>
      </w:r>
      <w:r w:rsidR="006167CA" w:rsidRPr="00D31B80">
        <w:rPr>
          <w:rFonts w:ascii="Calibri" w:hAnsi="Calibri"/>
        </w:rPr>
        <w:t>t</w:t>
      </w:r>
      <w:r w:rsidR="00BF014B" w:rsidRPr="00D31B80">
        <w:rPr>
          <w:rFonts w:ascii="Calibri" w:hAnsi="Calibri"/>
        </w:rPr>
        <w:t>he comparison showed high variability in both estimated and reported values (</w:t>
      </w:r>
      <w:r w:rsidR="00573BA7">
        <w:rPr>
          <w:rFonts w:ascii="Calibri" w:hAnsi="Calibri"/>
        </w:rPr>
        <w:t xml:space="preserve">Fig </w:t>
      </w:r>
      <w:r w:rsidR="00764FF6">
        <w:rPr>
          <w:rFonts w:ascii="Calibri" w:hAnsi="Calibri"/>
        </w:rPr>
        <w:t>S3.</w:t>
      </w:r>
      <w:r w:rsidR="00573BA7">
        <w:rPr>
          <w:rFonts w:ascii="Calibri" w:hAnsi="Calibri"/>
        </w:rPr>
        <w:t>2</w:t>
      </w:r>
      <w:r w:rsidR="00BF014B" w:rsidRPr="00D31B80">
        <w:rPr>
          <w:rFonts w:ascii="Calibri" w:hAnsi="Calibri"/>
        </w:rPr>
        <w:t xml:space="preserve">). </w:t>
      </w:r>
      <w:r w:rsidR="00314C86" w:rsidRPr="00D31B80">
        <w:rPr>
          <w:rFonts w:ascii="Calibri" w:hAnsi="Calibri"/>
        </w:rPr>
        <w:t xml:space="preserve">Possible reasons for large discrepancies could be ecological factors of the study sites since heterogeneity within </w:t>
      </w:r>
      <w:r w:rsidR="00FD605E" w:rsidRPr="00D31B80">
        <w:rPr>
          <w:rFonts w:ascii="Calibri" w:hAnsi="Calibri"/>
        </w:rPr>
        <w:t>councils</w:t>
      </w:r>
      <w:r w:rsidR="00314C86" w:rsidRPr="00D31B80">
        <w:rPr>
          <w:rFonts w:ascii="Calibri" w:hAnsi="Calibri"/>
        </w:rPr>
        <w:t xml:space="preserve"> was not accounted for in the model</w:t>
      </w:r>
      <w:r w:rsidR="006167CA" w:rsidRPr="00D31B80">
        <w:rPr>
          <w:rFonts w:ascii="Calibri" w:hAnsi="Calibri"/>
        </w:rPr>
        <w:t>ling. For example, in Bagamoyo,</w:t>
      </w:r>
      <w:r w:rsidR="00314C86" w:rsidRPr="00D31B80">
        <w:rPr>
          <w:rFonts w:ascii="Calibri" w:hAnsi="Calibri"/>
        </w:rPr>
        <w:t xml:space="preserve"> </w:t>
      </w:r>
      <w:proofErr w:type="spellStart"/>
      <w:r w:rsidR="00314C86" w:rsidRPr="00D31B80">
        <w:rPr>
          <w:rFonts w:ascii="Calibri" w:hAnsi="Calibri"/>
        </w:rPr>
        <w:t>Shiff</w:t>
      </w:r>
      <w:proofErr w:type="spellEnd"/>
      <w:r w:rsidR="00314C86" w:rsidRPr="00D31B80">
        <w:rPr>
          <w:rFonts w:ascii="Calibri" w:hAnsi="Calibri"/>
        </w:rPr>
        <w:t xml:space="preserve"> et al. conducted a study to assess the relationship between transmission and altitude</w:t>
      </w:r>
      <w:r w:rsidR="00E95CD2" w:rsidRPr="00D31B80">
        <w:rPr>
          <w:rFonts w:ascii="Calibri" w:hAnsi="Calibri"/>
        </w:rPr>
        <w:t xml:space="preserve"> </w:t>
      </w:r>
      <w:r w:rsidR="00E95CD2" w:rsidRPr="00D31B80">
        <w:rPr>
          <w:rFonts w:ascii="Calibri" w:hAnsi="Calibri"/>
        </w:rPr>
        <w:fldChar w:fldCharType="begin"/>
      </w:r>
      <w:r w:rsidR="00764FF6">
        <w:rPr>
          <w:rFonts w:ascii="Calibri" w:hAnsi="Calibri"/>
        </w:rPr>
        <w:instrText xml:space="preserve"> ADDIN ZOTERO_ITEM CSL_CITATION {"citationID":"8V6zdSvy","properties":{"formattedCitation":"[8]","plainCitation":"[8]","noteIndex":0},"citationItems":[{"id":33999,"uris":["http://zotero.org/users/3516901/items/XX6IFB5W"],"uri":["http://zotero.org/users/3516901/items/XX6IFB5W"],"itemData":{"id":33999,"type":"article-journal","title":"Malaria infection potential of anopheline mosquitoes sampled by light trapping indoors in coastal Tanzanian villages","container-title":"Medical and Veterinary Entomology","page":"256-262","volume":"9","issue":"3","source":"Wiley Online Library","abstract":"Abstract. Anopheline mosquito populations were studied during 1992 in seven villages south of Bagamoyo, coastal Tanzania, prior to malaria control intervention using insecticide treated bednets. To collect mosquitoes, CDC light traps were used in ten houses per village fortnightly for 12 months. Anopheles females were identified and checked by ELISA for the presence of malaria sporozoite antigen and source of bloodmeal. An. funestus peaked in June-July after the long rains. Three members of the An. gambiae complex had different seasonality: An. arabiensis, An. gambiae and small numbers of An. merus were collected. In most villages transmission was extremely high and perennial with the entomological inoculation rate reaching three to eleven infective bites per person per night in July and persisting at around 0.1 and 1 for most of the remainder of the year. Sporozoite infection rates within the An. gambiae complex ranged from 2% to 25%, with the peaks in January and July following the two rainy periods. An. funestus showed a similar pattern. The light traps were reliable, simple to operate, and proved to be satisfactory to study the mosquito vector population.","DOI":"10.1111/j.1365-2915.1995.tb00131.x","ISSN":"1365-2915","language":"en","author":[{"family":"Shiff","given":"C. J."},{"family":"Minjas","given":"J. N."},{"family":"Hall","given":"T."},{"family":"Hunt","given":"R. H."},{"family":"Lyimo","given":"S."},{"family":"Davis","given":"J. R."}],"issued":{"date-parts":[["1995"]]}}}],"schema":"https://github.com/citation-style-language/schema/raw/master/csl-citation.json"} </w:instrText>
      </w:r>
      <w:r w:rsidR="00E95CD2" w:rsidRPr="00D31B80">
        <w:rPr>
          <w:rFonts w:ascii="Calibri" w:hAnsi="Calibri"/>
        </w:rPr>
        <w:fldChar w:fldCharType="separate"/>
      </w:r>
      <w:r w:rsidR="006F40AC" w:rsidRPr="006F40AC">
        <w:rPr>
          <w:rFonts w:ascii="Calibri" w:hAnsi="Calibri"/>
        </w:rPr>
        <w:t>[8]</w:t>
      </w:r>
      <w:r w:rsidR="00E95CD2" w:rsidRPr="00D31B80">
        <w:rPr>
          <w:rFonts w:ascii="Calibri" w:hAnsi="Calibri"/>
        </w:rPr>
        <w:fldChar w:fldCharType="end"/>
      </w:r>
      <w:r w:rsidR="00314C86" w:rsidRPr="00D31B80">
        <w:rPr>
          <w:rFonts w:ascii="Calibri" w:hAnsi="Calibri"/>
        </w:rPr>
        <w:t xml:space="preserve">; hence the EIR values show high variation due to different elevation of the study sites included. </w:t>
      </w:r>
      <w:r w:rsidR="000C3961" w:rsidRPr="00D31B80">
        <w:rPr>
          <w:rFonts w:ascii="Calibri" w:hAnsi="Calibri"/>
        </w:rPr>
        <w:t xml:space="preserve">The </w:t>
      </w:r>
      <w:r w:rsidR="00BF014B" w:rsidRPr="00D31B80">
        <w:rPr>
          <w:rFonts w:ascii="Calibri" w:hAnsi="Calibri"/>
        </w:rPr>
        <w:t>EIR estimation</w:t>
      </w:r>
      <w:r w:rsidR="000C3961" w:rsidRPr="00D31B80">
        <w:rPr>
          <w:rFonts w:ascii="Calibri" w:hAnsi="Calibri"/>
        </w:rPr>
        <w:t xml:space="preserve"> for </w:t>
      </w:r>
      <w:r w:rsidR="000462A9" w:rsidRPr="00D31B80">
        <w:rPr>
          <w:rFonts w:ascii="Calibri" w:hAnsi="Calibri"/>
        </w:rPr>
        <w:t xml:space="preserve">rural </w:t>
      </w:r>
      <w:r w:rsidR="000C3961" w:rsidRPr="00D31B80">
        <w:rPr>
          <w:rFonts w:ascii="Calibri" w:hAnsi="Calibri"/>
        </w:rPr>
        <w:t xml:space="preserve">Moshi </w:t>
      </w:r>
      <w:r w:rsidR="00BF014B" w:rsidRPr="00D31B80">
        <w:rPr>
          <w:rFonts w:ascii="Calibri" w:hAnsi="Calibri"/>
        </w:rPr>
        <w:t>was</w:t>
      </w:r>
      <w:r w:rsidR="000C3961" w:rsidRPr="00D31B80">
        <w:rPr>
          <w:rFonts w:ascii="Calibri" w:hAnsi="Calibri"/>
        </w:rPr>
        <w:t xml:space="preserve"> </w:t>
      </w:r>
      <w:r w:rsidR="00BF014B" w:rsidRPr="00D31B80">
        <w:rPr>
          <w:rFonts w:ascii="Calibri" w:hAnsi="Calibri"/>
        </w:rPr>
        <w:t>extremely</w:t>
      </w:r>
      <w:r w:rsidR="000C3961" w:rsidRPr="00D31B80">
        <w:rPr>
          <w:rFonts w:ascii="Calibri" w:hAnsi="Calibri"/>
        </w:rPr>
        <w:t xml:space="preserve"> far from the observed values</w:t>
      </w:r>
      <w:r w:rsidR="00CC17FB" w:rsidRPr="00D31B80">
        <w:rPr>
          <w:rFonts w:ascii="Calibri" w:hAnsi="Calibri"/>
        </w:rPr>
        <w:t>, which could be due to differences in study sites of the prevalence studies used for the geospatial model used to estimate the EIR, and the</w:t>
      </w:r>
      <w:r w:rsidR="000462A9" w:rsidRPr="00D31B80">
        <w:rPr>
          <w:rFonts w:ascii="Calibri" w:hAnsi="Calibri"/>
        </w:rPr>
        <w:t xml:space="preserve"> sites</w:t>
      </w:r>
      <w:r w:rsidR="00CC17FB" w:rsidRPr="00D31B80">
        <w:rPr>
          <w:rFonts w:ascii="Calibri" w:hAnsi="Calibri"/>
        </w:rPr>
        <w:t xml:space="preserve"> included in the study from </w:t>
      </w:r>
      <w:proofErr w:type="spellStart"/>
      <w:r w:rsidR="00CC17FB" w:rsidRPr="00D31B80">
        <w:rPr>
          <w:rFonts w:ascii="Calibri" w:hAnsi="Calibri"/>
        </w:rPr>
        <w:t>Ijumba</w:t>
      </w:r>
      <w:proofErr w:type="spellEnd"/>
      <w:r w:rsidR="00CC17FB" w:rsidRPr="00D31B80">
        <w:rPr>
          <w:rFonts w:ascii="Calibri" w:hAnsi="Calibri"/>
        </w:rPr>
        <w:t xml:space="preserve"> et al</w:t>
      </w:r>
      <w:r w:rsidR="00E04B7E" w:rsidRPr="00D31B80">
        <w:rPr>
          <w:rFonts w:ascii="Calibri" w:hAnsi="Calibri"/>
        </w:rPr>
        <w:t>.</w:t>
      </w:r>
      <w:r w:rsidR="00CC17FB" w:rsidRPr="00D31B80">
        <w:rPr>
          <w:rFonts w:ascii="Calibri" w:hAnsi="Calibri"/>
        </w:rPr>
        <w:t xml:space="preserve">, which </w:t>
      </w:r>
      <w:r w:rsidR="000462A9" w:rsidRPr="00D31B80">
        <w:rPr>
          <w:rFonts w:ascii="Calibri" w:hAnsi="Calibri"/>
        </w:rPr>
        <w:t>w</w:t>
      </w:r>
      <w:r w:rsidR="00E04B7E" w:rsidRPr="00D31B80">
        <w:rPr>
          <w:rFonts w:ascii="Calibri" w:hAnsi="Calibri"/>
        </w:rPr>
        <w:t>as</w:t>
      </w:r>
      <w:r w:rsidR="000462A9" w:rsidRPr="00D31B80">
        <w:rPr>
          <w:rFonts w:ascii="Calibri" w:hAnsi="Calibri"/>
        </w:rPr>
        <w:t xml:space="preserve"> all located in different </w:t>
      </w:r>
      <w:proofErr w:type="spellStart"/>
      <w:r w:rsidR="000462A9" w:rsidRPr="00D31B80">
        <w:rPr>
          <w:rFonts w:ascii="Calibri" w:hAnsi="Calibri"/>
        </w:rPr>
        <w:t>agro</w:t>
      </w:r>
      <w:proofErr w:type="spellEnd"/>
      <w:r w:rsidR="000462A9" w:rsidRPr="00D31B80">
        <w:rPr>
          <w:rFonts w:ascii="Calibri" w:hAnsi="Calibri"/>
        </w:rPr>
        <w:t>-ecosystems</w:t>
      </w:r>
      <w:r w:rsidR="007F5C58" w:rsidRPr="00D31B80">
        <w:rPr>
          <w:rFonts w:ascii="Calibri" w:hAnsi="Calibri"/>
        </w:rPr>
        <w:t xml:space="preserve"> </w:t>
      </w:r>
      <w:r w:rsidR="007F5C58" w:rsidRPr="00D31B80">
        <w:rPr>
          <w:rFonts w:ascii="Calibri" w:hAnsi="Calibri"/>
        </w:rPr>
        <w:fldChar w:fldCharType="begin"/>
      </w:r>
      <w:r w:rsidR="00764FF6">
        <w:rPr>
          <w:rFonts w:ascii="Calibri" w:hAnsi="Calibri"/>
        </w:rPr>
        <w:instrText xml:space="preserve"> ADDIN ZOTERO_ITEM CSL_CITATION {"citationID":"gK7M3kpM","properties":{"formattedCitation":"[9]","plainCitation":"[9]","noteIndex":0},"citationItems":[{"id":34010,"uris":["http://zotero.org/users/3516901/items/XWUB5HER"],"uri":["http://zotero.org/users/3516901/items/XWUB5HER"],"itemData":{"id":34010,"type":"article-journal","title":"Malaria transmission risk variations derived from different agricultural practices in an irrigated area of northern Tanzania","container-title":"Medical and Veterinary Entomology","page":"28-38","volume":"16","issue":"1","source":"PubMed","abstract":"Malaria vector Anopheles and other mosquitoes (Diptera: Culicidae) were monitored for 12 months during 1994-95 in villages of Lower Moshi irrigation area (37 degrees 20' E, 3 degrees 21' S; approximately 700 m a.s.l.) south of Mount Kilimanjaro in northern Tanzania. Adult mosquito populations were sampled fortnightly by five methods: human bait collection indoors (18.00-06.00 hours) and outdoors (18.00-24.00 hours); from daytime resting-sites indoors and outdoors; by CDC light-traps over sleepers. Anopheles densities and rates of survival, anthropophily and malaria infection were compared between three villages representing different agro-ecosystems: irrigated sugarcane plantation; smallholder rice irrigation scheme, and savannah with subsistence crops. Respective study villages were Mvuleni (population 2200), Chekereni (population 3200) and Kisangasangeni (population approximately/= 1000), at least 7 km apart. Anopheles arabiensis Patton was found to be the principal malaria vector throughout the study area, with An. funestus Giles sensu lato of secondary importance in the sugarcane and savannah villages. Irrigated sugarcane cultivation resulted in water pooling, but this did not produce more vectors. Anopheles arabiensis densities averaged four-fold higher in the ricefield village, although their human blood-index was significantly less (48%) than in the sugarcane (68%) or savannah (66%) villages, despite similar proportions of humans and cows (ratio 1:1.1-1.4) as the main hosts at all sites. Parous rates, duration of the gonotrophic cycle and survival rates of An. arabiensis were similar in villages of all three agro-ecosystems. The potential risk of malaria, based on measurements of vectorial capacity of An. arabiensis and An.funestus combined, was four-fold higher in the ricefield village than in the sugarcane or savannah villages nearby. However, the more realistic estimate of malaria risk, based on entomological inoculation rates, indicated that exposure to infective vectors was 61-68% less for people in the ricefield village, due to the much lower sporozoite rate in An. arabiensis (ricefield 0.01%, sugarcane 0.1%, savannah 0.12%). This contrast was attributed to better socio-economic conditions of rice farmers, facilitating relatively more use of antimalarials and bednets for their families. Our findings show that, for a combination of reasons, the malaria challenge is lower for villagers associated with an irrigated rice-growing scheme (despite greater malaria vector potential), than for adjacent communities with other agro-ecosystems bringing less socio-economic benefits to health. This encourages the development of agro-irrigation schemes in African savannahs, provided that residents have ready access to antimalaria materials (i.e. effective antimalaria drugs and insecticidal bednets) that they may better afford for protection against the greater vectorial capacity of An. arabiensis from the ricefield agro-ecosystem.","ISSN":"0269-283X","note":"PMID: 11963979","journalAbbreviation":"Med. Vet. Entomol.","language":"eng","author":[{"family":"Ijumba","given":"J. N."},{"family":"Mosha","given":"F. W."},{"family":"Lindsay","given":"S. W."}],"issued":{"date-parts":[["2002",3]]}}}],"schema":"https://github.com/citation-style-language/schema/raw/master/csl-citation.json"} </w:instrText>
      </w:r>
      <w:r w:rsidR="007F5C58" w:rsidRPr="00D31B80">
        <w:rPr>
          <w:rFonts w:ascii="Calibri" w:hAnsi="Calibri"/>
        </w:rPr>
        <w:fldChar w:fldCharType="separate"/>
      </w:r>
      <w:r w:rsidR="006F40AC" w:rsidRPr="006F40AC">
        <w:rPr>
          <w:rFonts w:ascii="Calibri" w:hAnsi="Calibri"/>
        </w:rPr>
        <w:t>[9]</w:t>
      </w:r>
      <w:r w:rsidR="007F5C58" w:rsidRPr="00D31B80">
        <w:rPr>
          <w:rFonts w:ascii="Calibri" w:hAnsi="Calibri"/>
        </w:rPr>
        <w:fldChar w:fldCharType="end"/>
      </w:r>
      <w:r w:rsidR="000462A9" w:rsidRPr="00D31B80">
        <w:rPr>
          <w:rFonts w:ascii="Calibri" w:hAnsi="Calibri"/>
        </w:rPr>
        <w:t>.</w:t>
      </w:r>
      <w:r w:rsidR="000C3961" w:rsidRPr="00D31B80">
        <w:rPr>
          <w:rFonts w:ascii="Calibri" w:hAnsi="Calibri"/>
        </w:rPr>
        <w:t xml:space="preserve"> </w:t>
      </w:r>
      <w:r w:rsidR="003E38D2" w:rsidRPr="00D31B80">
        <w:rPr>
          <w:rFonts w:ascii="Calibri" w:hAnsi="Calibri"/>
        </w:rPr>
        <w:t>T</w:t>
      </w:r>
      <w:r w:rsidR="00314C86" w:rsidRPr="00D31B80">
        <w:rPr>
          <w:rFonts w:ascii="Calibri" w:hAnsi="Calibri"/>
        </w:rPr>
        <w:t>he comparison between reported annual EIR and</w:t>
      </w:r>
      <w:r w:rsidR="002D4F90" w:rsidRPr="00D31B80">
        <w:rPr>
          <w:rFonts w:ascii="Calibri" w:hAnsi="Calibri"/>
        </w:rPr>
        <w:t xml:space="preserve"> the estimated EIR, based on the geo-spatial prevalence predictions (</w:t>
      </w:r>
      <w:r w:rsidR="00764FF6">
        <w:rPr>
          <w:rFonts w:ascii="Calibri" w:hAnsi="Calibri"/>
        </w:rPr>
        <w:t>S1</w:t>
      </w:r>
      <w:r w:rsidR="002D4F90" w:rsidRPr="00D31B80">
        <w:rPr>
          <w:rFonts w:ascii="Calibri" w:hAnsi="Calibri"/>
        </w:rPr>
        <w:t xml:space="preserve"> file), </w:t>
      </w:r>
      <w:r w:rsidR="00BF014B" w:rsidRPr="00D31B80">
        <w:rPr>
          <w:rFonts w:ascii="Calibri" w:hAnsi="Calibri"/>
        </w:rPr>
        <w:t>is</w:t>
      </w:r>
      <w:r w:rsidR="003E38D2" w:rsidRPr="00D31B80">
        <w:rPr>
          <w:rFonts w:ascii="Calibri" w:hAnsi="Calibri"/>
        </w:rPr>
        <w:t xml:space="preserve"> also</w:t>
      </w:r>
      <w:r w:rsidR="00BF014B" w:rsidRPr="00D31B80">
        <w:rPr>
          <w:rFonts w:ascii="Calibri" w:hAnsi="Calibri"/>
        </w:rPr>
        <w:t xml:space="preserve"> </w:t>
      </w:r>
      <w:r w:rsidR="00314C86" w:rsidRPr="00D31B80">
        <w:rPr>
          <w:rFonts w:ascii="Calibri" w:hAnsi="Calibri"/>
        </w:rPr>
        <w:t xml:space="preserve">limited, </w:t>
      </w:r>
      <w:r w:rsidR="003E38D2" w:rsidRPr="00D31B80">
        <w:rPr>
          <w:rFonts w:ascii="Calibri" w:hAnsi="Calibri"/>
        </w:rPr>
        <w:t>as</w:t>
      </w:r>
      <w:r w:rsidR="00314C86" w:rsidRPr="00D31B80">
        <w:rPr>
          <w:rFonts w:ascii="Calibri" w:hAnsi="Calibri"/>
        </w:rPr>
        <w:t xml:space="preserve"> the relationship between prevalence and EIR is not linear </w:t>
      </w:r>
      <w:r w:rsidR="00314C86" w:rsidRPr="00D31B80">
        <w:rPr>
          <w:rFonts w:ascii="Calibri" w:hAnsi="Calibri"/>
        </w:rPr>
        <w:fldChar w:fldCharType="begin"/>
      </w:r>
      <w:r w:rsidR="00764FF6">
        <w:rPr>
          <w:rFonts w:ascii="Calibri" w:hAnsi="Calibri"/>
        </w:rPr>
        <w:instrText xml:space="preserve"> ADDIN ZOTERO_ITEM CSL_CITATION {"citationID":"a1f7ssh8nnc","properties":{"formattedCitation":"[10]","plainCitation":"[10]","noteIndex":0},"citationItems":[{"id":28021,"uris":["http://zotero.org/users/3516901/items/2EUV68DE"],"uri":["http://zotero.org/users/3516901/items/2EUV68DE"],"itemData":{"id":28021,"type":"article-journal","title":"Short report: entomologic inoculation rates and Plasmodium falciparum malaria prevalence in Africa","container-title":"The American Journal of Tropical Medicine and Hygiene","page":"109-113","volume":"61","issue":"1","source":"PubMed","abstract":"Epidemiologic patterns of malaria infection are governed by environmental parameters that regulate vector populations of Anopheles mosquitoes. The intensity of malaria parasite transmission is normally expressed as the entomologic inoculation rate (EIR), the product of the vector biting rate times the proportion of mosquitoes infected with sporozoite-stage malaria parasites. Malaria transmission intensity in Africa is highly variable with annual EIRs ranging from &lt; 1 to &gt; 1,000 infective bites per person per year. Malaria control programs often seek to reduce morbidity and mortality due to malaria by reducing or eliminating malaria parasite transmission by mosquitoes. This report evaluates data from 31 sites throughout Africa to establish fundamental relationships between annual EIRs and the prevalence of Plasmodium falciparum malaria infection. The majority of sites fitted a linear relationship (r2 = 0.71) between malaria prevalence and the logarithm of the annual EIR. Some sites with EIRs &lt; 5 infective bites per year had levels of P. falciparum prevalence exceeding 40%. When transmission exceeded 15 infective bites per year, there were no sites with prevalence rates &lt; 50%. Annual EIRs of 200 or greater were consistently associated with prevalence rates &gt; 80%. The basic relationship between EIR and P. falciparum prevalence, which likely holds in east and west Africa, and across different ecologic zones, shows convincingly that substantial reductions in malaria prevalence are likely to be achieved only when EIRs are reduced to levels less than 1 infective bite per person per year. The analysis also highlights that the EIR is a more direct measure of transmission intensity than traditional measures of malaria prevalence or hospital-based measures of infection or disease incidence. As such, malaria field programs need to consider both entomologic and clinical assessments of the efficacy of transmission control measures.","ISSN":"0002-9637","note":"PMID: 10432066","title-short":"Short report","journalAbbreviation":"Am. J. Trop. Med. Hyg.","language":"eng","author":[{"family":"Beier","given":"J. C."},{"family":"Killeen","given":"G. F."},{"family":"Githure","given":"J. I."}],"issued":{"date-parts":[["1999",7]]}},"label":"page"}],"schema":"https://github.com/citation-style-language/schema/raw/master/csl-citation.json"} </w:instrText>
      </w:r>
      <w:r w:rsidR="00314C86" w:rsidRPr="00D31B80">
        <w:rPr>
          <w:rFonts w:ascii="Calibri" w:hAnsi="Calibri"/>
        </w:rPr>
        <w:fldChar w:fldCharType="separate"/>
      </w:r>
      <w:r w:rsidR="006F40AC" w:rsidRPr="006F40AC">
        <w:rPr>
          <w:rFonts w:ascii="Calibri" w:hAnsi="Calibri"/>
        </w:rPr>
        <w:t>[10]</w:t>
      </w:r>
      <w:r w:rsidR="00314C86" w:rsidRPr="00D31B80">
        <w:rPr>
          <w:rFonts w:ascii="Calibri" w:hAnsi="Calibri"/>
        </w:rPr>
        <w:fldChar w:fldCharType="end"/>
      </w:r>
      <w:r w:rsidR="00CC17FB" w:rsidRPr="00D31B80">
        <w:rPr>
          <w:rFonts w:ascii="Calibri" w:hAnsi="Calibri"/>
        </w:rPr>
        <w:t xml:space="preserve">. </w:t>
      </w:r>
      <w:r w:rsidR="00314C86" w:rsidRPr="00D31B80">
        <w:rPr>
          <w:rFonts w:ascii="Calibri" w:hAnsi="Calibri"/>
        </w:rPr>
        <w:t xml:space="preserve">For high levels of EIR, prevalence is expected to have little variations. In </w:t>
      </w:r>
      <w:proofErr w:type="spellStart"/>
      <w:r w:rsidR="00314C86" w:rsidRPr="00D31B80">
        <w:rPr>
          <w:rFonts w:ascii="Calibri" w:hAnsi="Calibri"/>
        </w:rPr>
        <w:t>OpenMalaria</w:t>
      </w:r>
      <w:proofErr w:type="spellEnd"/>
      <w:r w:rsidR="00314C86" w:rsidRPr="00D31B80">
        <w:rPr>
          <w:rFonts w:ascii="Calibri" w:hAnsi="Calibri"/>
        </w:rPr>
        <w:t xml:space="preserve"> the simulations are plateauing around </w:t>
      </w:r>
      <w:r w:rsidR="003E38D2" w:rsidRPr="00D31B80">
        <w:rPr>
          <w:rFonts w:ascii="Calibri" w:hAnsi="Calibri"/>
        </w:rPr>
        <w:t xml:space="preserve">a prevalence of </w:t>
      </w:r>
      <w:r w:rsidR="00314C86" w:rsidRPr="00D31B80">
        <w:rPr>
          <w:rFonts w:ascii="Calibri" w:hAnsi="Calibri"/>
        </w:rPr>
        <w:t xml:space="preserve">80% prevalence and </w:t>
      </w:r>
      <w:r w:rsidR="003E38D2" w:rsidRPr="00D31B80">
        <w:rPr>
          <w:rFonts w:ascii="Calibri" w:hAnsi="Calibri"/>
        </w:rPr>
        <w:t xml:space="preserve">an EIR of 100 </w:t>
      </w:r>
      <w:proofErr w:type="spellStart"/>
      <w:r w:rsidR="00314C86" w:rsidRPr="00D31B80">
        <w:rPr>
          <w:rFonts w:ascii="Calibri" w:hAnsi="Calibri"/>
        </w:rPr>
        <w:t>ibpa</w:t>
      </w:r>
      <w:proofErr w:type="spellEnd"/>
      <w:r w:rsidR="00314C86" w:rsidRPr="00D31B80">
        <w:rPr>
          <w:rFonts w:ascii="Calibri" w:hAnsi="Calibri"/>
        </w:rPr>
        <w:t xml:space="preserve"> </w:t>
      </w:r>
      <w:r w:rsidR="00314C86" w:rsidRPr="00D31B80">
        <w:rPr>
          <w:rFonts w:ascii="Calibri" w:hAnsi="Calibri"/>
        </w:rPr>
        <w:fldChar w:fldCharType="begin"/>
      </w:r>
      <w:r w:rsidR="00764FF6">
        <w:rPr>
          <w:rFonts w:ascii="Calibri" w:hAnsi="Calibri"/>
        </w:rPr>
        <w:instrText xml:space="preserve"> ADDIN ZOTERO_ITEM CSL_CITATION {"citationID":"7HMdh5fx","properties":{"formattedCitation":"[11]","plainCitation":"[11]","noteIndex":0},"citationItems":[{"id":24419,"uris":["http://zotero.org/users/3516901/items/6NTCUSIW"],"uri":["http://zotero.org/users/3516901/items/6NTCUSIW"],"itemData":{"id":24419,"type":"article-journal","title":"Distribution of malaria exposure in endemic countries in Africa considering country levels of effective treatment","container-title":"Malaria Journal","page":"384","volume":"14","source":"BioMed Central","abstract":"Malaria prevalence, clinical incidence, treatment, and transmission rates are dynamically interrelated. Prevalence is often considered a measure of malaria transmission, but treatment of clinical malaria reduces prevalence, and consequently also infectiousness to the mosquito vector and onward transmission. The impact of the frequency of treatment on prevalence in a population is generally not considered. This can lead to potential underestimation of malaria exposure in settings with good health systems. Furthermore, these dynamical relationships between prevalence, treatment, and transmission have not generally been taken into account in estimates of burden.","DOI":"10.1186/s12936-015-0864-3","ISSN":"1475-2875","journalAbbreviation":"Malaria Journal","author":[{"family":"Penny","given":"Melissa A."},{"family":"Maire","given":"Nicolas"},{"family":"Bever","given":"Caitlin A."},{"family":"Pemberton-Ross","given":"Peter"},{"family":"Briët","given":"Olivier J. T."},{"family":"Smith","given":"David L."},{"family":"Gething","given":"Peter W."},{"family":"Smith","given":"Thomas A."}],"issued":{"date-parts":[["2015",10,5]]}}}],"schema":"https://github.com/citation-style-language/schema/raw/master/csl-citation.json"} </w:instrText>
      </w:r>
      <w:r w:rsidR="00314C86" w:rsidRPr="00D31B80">
        <w:rPr>
          <w:rFonts w:ascii="Calibri" w:hAnsi="Calibri"/>
        </w:rPr>
        <w:fldChar w:fldCharType="separate"/>
      </w:r>
      <w:r w:rsidR="006F40AC" w:rsidRPr="006F40AC">
        <w:rPr>
          <w:rFonts w:ascii="Calibri" w:hAnsi="Calibri"/>
        </w:rPr>
        <w:t>[11]</w:t>
      </w:r>
      <w:r w:rsidR="00314C86" w:rsidRPr="00D31B80">
        <w:rPr>
          <w:rFonts w:ascii="Calibri" w:hAnsi="Calibri"/>
        </w:rPr>
        <w:fldChar w:fldCharType="end"/>
      </w:r>
      <w:r w:rsidR="00314C86" w:rsidRPr="00D31B80">
        <w:rPr>
          <w:rFonts w:ascii="Calibri" w:hAnsi="Calibri"/>
        </w:rPr>
        <w:t xml:space="preserve">, </w:t>
      </w:r>
      <w:r w:rsidR="003E38D2" w:rsidRPr="00D31B80">
        <w:rPr>
          <w:rFonts w:ascii="Calibri" w:hAnsi="Calibri"/>
        </w:rPr>
        <w:t xml:space="preserve">and for high transmission the trends rather than the actual EIR need to correspond to each other, as in Tanga, estimated EIRs of &gt;80 correspond to reported EIRs of &gt; 200 </w:t>
      </w:r>
      <w:proofErr w:type="spellStart"/>
      <w:r w:rsidR="00314C86" w:rsidRPr="00D31B80">
        <w:rPr>
          <w:rFonts w:ascii="Calibri" w:hAnsi="Calibri"/>
        </w:rPr>
        <w:t>ibpa</w:t>
      </w:r>
      <w:proofErr w:type="spellEnd"/>
      <w:r w:rsidR="00314C86" w:rsidRPr="00D31B80">
        <w:rPr>
          <w:rFonts w:ascii="Calibri" w:hAnsi="Calibri"/>
        </w:rPr>
        <w:t xml:space="preserve"> and above</w:t>
      </w:r>
      <w:bookmarkStart w:id="4" w:name="_Ref10622468"/>
      <w:r w:rsidR="00BF014B" w:rsidRPr="00D31B80">
        <w:rPr>
          <w:rFonts w:ascii="Calibri" w:hAnsi="Calibri"/>
        </w:rPr>
        <w:t xml:space="preserve">. </w:t>
      </w:r>
    </w:p>
    <w:p w:rsidR="00E04B7E" w:rsidRPr="00D31B80" w:rsidRDefault="00D954B4" w:rsidP="00E04B7E">
      <w:pPr>
        <w:spacing w:after="0"/>
        <w:rPr>
          <w:rFonts w:ascii="Calibri" w:hAnsi="Calibri"/>
        </w:rPr>
      </w:pPr>
      <w:r w:rsidRPr="00D31B80">
        <w:rPr>
          <w:rFonts w:ascii="Calibri" w:hAnsi="Calibri"/>
          <w:noProof/>
          <w:lang w:eastAsia="en-GB"/>
        </w:rPr>
        <w:lastRenderedPageBreak/>
        <w:drawing>
          <wp:inline distT="0" distB="0" distL="0" distR="0" wp14:anchorId="1BA312FB" wp14:editId="5A1BD88F">
            <wp:extent cx="5760719" cy="4114800"/>
            <wp:effectExtent l="19050" t="19050" r="120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ngma\Projects\OM_TZA\Analysis\comparingEIR\pall_EIR.v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19" cy="4114800"/>
                    </a:xfrm>
                    <a:prstGeom prst="rect">
                      <a:avLst/>
                    </a:prstGeom>
                    <a:noFill/>
                    <a:ln>
                      <a:solidFill>
                        <a:schemeClr val="tx1"/>
                      </a:solidFill>
                    </a:ln>
                  </pic:spPr>
                </pic:pic>
              </a:graphicData>
            </a:graphic>
          </wp:inline>
        </w:drawing>
      </w:r>
    </w:p>
    <w:p w:rsidR="00D954B4" w:rsidRPr="00D31B80" w:rsidRDefault="00D954B4" w:rsidP="00764FF6">
      <w:pPr>
        <w:spacing w:after="0"/>
        <w:jc w:val="both"/>
        <w:rPr>
          <w:rFonts w:ascii="Calibri" w:hAnsi="Calibri"/>
        </w:rPr>
      </w:pPr>
      <w:r w:rsidRPr="00D31B80">
        <w:rPr>
          <w:rFonts w:ascii="Calibri" w:hAnsi="Calibri"/>
          <w:b/>
        </w:rPr>
        <w:t xml:space="preserve">Fig </w:t>
      </w:r>
      <w:r w:rsidR="00764FF6">
        <w:rPr>
          <w:rFonts w:ascii="Calibri" w:hAnsi="Calibri"/>
          <w:b/>
        </w:rPr>
        <w:t>S</w:t>
      </w:r>
      <w:r w:rsidR="00417C3E">
        <w:rPr>
          <w:rFonts w:ascii="Calibri" w:hAnsi="Calibri"/>
          <w:b/>
        </w:rPr>
        <w:t>4</w:t>
      </w:r>
      <w:r w:rsidR="00764FF6">
        <w:rPr>
          <w:rFonts w:ascii="Calibri" w:hAnsi="Calibri"/>
          <w:b/>
        </w:rPr>
        <w:t>.</w:t>
      </w:r>
      <w:r w:rsidRPr="00D31B80">
        <w:rPr>
          <w:rFonts w:ascii="Calibri" w:hAnsi="Calibri"/>
          <w:b/>
        </w:rPr>
        <w:fldChar w:fldCharType="begin"/>
      </w:r>
      <w:r w:rsidRPr="00D31B80">
        <w:rPr>
          <w:rFonts w:ascii="Calibri" w:hAnsi="Calibri"/>
          <w:b/>
        </w:rPr>
        <w:instrText xml:space="preserve"> SEQ Figure \* ARABIC </w:instrText>
      </w:r>
      <w:r w:rsidRPr="00D31B80">
        <w:rPr>
          <w:rFonts w:ascii="Calibri" w:hAnsi="Calibri"/>
          <w:b/>
        </w:rPr>
        <w:fldChar w:fldCharType="separate"/>
      </w:r>
      <w:r w:rsidR="00685368">
        <w:rPr>
          <w:rFonts w:ascii="Calibri" w:hAnsi="Calibri"/>
          <w:b/>
          <w:noProof/>
        </w:rPr>
        <w:t>2</w:t>
      </w:r>
      <w:r w:rsidRPr="00D31B80">
        <w:rPr>
          <w:rFonts w:ascii="Calibri" w:hAnsi="Calibri"/>
          <w:b/>
        </w:rPr>
        <w:fldChar w:fldCharType="end"/>
      </w:r>
      <w:bookmarkEnd w:id="4"/>
      <w:r w:rsidR="000F4A25">
        <w:rPr>
          <w:rFonts w:ascii="Calibri" w:hAnsi="Calibri"/>
          <w:b/>
        </w:rPr>
        <w:t>.</w:t>
      </w:r>
      <w:r w:rsidRPr="00D31B80">
        <w:rPr>
          <w:rFonts w:ascii="Calibri" w:hAnsi="Calibri"/>
          <w:b/>
        </w:rPr>
        <w:t xml:space="preserve"> Comparison of estimated and observed pre-intervention EIR around the year 2000 (1990-2005).</w:t>
      </w:r>
      <w:r w:rsidRPr="00D31B80">
        <w:rPr>
          <w:rFonts w:ascii="Calibri" w:hAnsi="Calibri"/>
        </w:rPr>
        <w:t xml:space="preserve"> N=11 </w:t>
      </w:r>
      <w:r w:rsidR="00FD605E" w:rsidRPr="00D31B80">
        <w:rPr>
          <w:rFonts w:ascii="Calibri" w:hAnsi="Calibri"/>
        </w:rPr>
        <w:t>councils</w:t>
      </w:r>
      <w:r w:rsidRPr="00D31B80">
        <w:rPr>
          <w:rFonts w:ascii="Calibri" w:hAnsi="Calibri"/>
        </w:rPr>
        <w:t xml:space="preserve">. Points show EIR values reported per study site per </w:t>
      </w:r>
      <w:r w:rsidR="00E04B7E" w:rsidRPr="00D31B80">
        <w:rPr>
          <w:rFonts w:ascii="Calibri" w:hAnsi="Calibri"/>
        </w:rPr>
        <w:t>council</w:t>
      </w:r>
      <w:r w:rsidRPr="00D31B80">
        <w:rPr>
          <w:rFonts w:ascii="Calibri" w:hAnsi="Calibri"/>
        </w:rPr>
        <w:t xml:space="preserve"> and source</w:t>
      </w:r>
      <w:r w:rsidRPr="00706F66">
        <w:rPr>
          <w:rStyle w:val="FootnoteReference"/>
        </w:rPr>
        <w:footnoteReference w:id="1"/>
      </w:r>
      <w:r w:rsidRPr="00D31B80">
        <w:rPr>
          <w:rFonts w:ascii="Calibri" w:hAnsi="Calibri"/>
        </w:rPr>
        <w:t xml:space="preserve">. Vertical error bars credible intervals, and horizontal error bars represent minimum and maximum values aggregated per </w:t>
      </w:r>
      <w:r w:rsidR="00FD605E" w:rsidRPr="00D31B80">
        <w:rPr>
          <w:rFonts w:ascii="Calibri" w:hAnsi="Calibri"/>
        </w:rPr>
        <w:t>council</w:t>
      </w:r>
      <w:r w:rsidRPr="00D31B80">
        <w:rPr>
          <w:rFonts w:ascii="Calibri" w:hAnsi="Calibri"/>
        </w:rPr>
        <w:t xml:space="preserve"> (no horizontal error bars if there was only one study site per </w:t>
      </w:r>
      <w:r w:rsidR="00FD605E" w:rsidRPr="00D31B80">
        <w:rPr>
          <w:rFonts w:ascii="Calibri" w:hAnsi="Calibri"/>
        </w:rPr>
        <w:t>council</w:t>
      </w:r>
      <w:r w:rsidRPr="00D31B80">
        <w:rPr>
          <w:rFonts w:ascii="Calibri" w:hAnsi="Calibri"/>
        </w:rPr>
        <w:t xml:space="preserve">). </w:t>
      </w:r>
      <w:r w:rsidR="003D6172" w:rsidRPr="00D31B80">
        <w:rPr>
          <w:rFonts w:ascii="Calibri" w:hAnsi="Calibri"/>
        </w:rPr>
        <w:t>The b</w:t>
      </w:r>
      <w:r w:rsidRPr="00D31B80">
        <w:rPr>
          <w:rFonts w:ascii="Calibri" w:hAnsi="Calibri"/>
        </w:rPr>
        <w:t>lack line shows perfect correspondence.</w:t>
      </w:r>
      <w:r w:rsidR="005B7750">
        <w:rPr>
          <w:rFonts w:ascii="Calibri" w:hAnsi="Calibri"/>
        </w:rPr>
        <w:t xml:space="preserve"> </w:t>
      </w:r>
    </w:p>
    <w:p w:rsidR="00BF014B" w:rsidRPr="00D31B80" w:rsidRDefault="00BF014B" w:rsidP="002A5AC2">
      <w:pPr>
        <w:spacing w:after="0" w:line="360" w:lineRule="auto"/>
        <w:rPr>
          <w:rFonts w:ascii="Calibri" w:hAnsi="Calibri"/>
        </w:rPr>
      </w:pPr>
    </w:p>
    <w:p w:rsidR="00BF014B" w:rsidRPr="00764FF6" w:rsidRDefault="00BF014B" w:rsidP="00D31B80">
      <w:pPr>
        <w:pStyle w:val="Caption"/>
        <w:keepNext/>
        <w:spacing w:before="0" w:after="0" w:line="360" w:lineRule="auto"/>
        <w:rPr>
          <w:rFonts w:ascii="Calibri" w:eastAsiaTheme="minorHAnsi" w:hAnsi="Calibri" w:cstheme="minorBidi"/>
          <w:b/>
          <w:sz w:val="22"/>
          <w:szCs w:val="22"/>
          <w:lang w:eastAsia="en-US"/>
        </w:rPr>
      </w:pPr>
      <w:bookmarkStart w:id="5" w:name="_Ref11778297"/>
      <w:r w:rsidRPr="00764FF6">
        <w:rPr>
          <w:rFonts w:ascii="Calibri" w:eastAsiaTheme="minorHAnsi" w:hAnsi="Calibri" w:cstheme="minorBidi"/>
          <w:b/>
          <w:sz w:val="22"/>
          <w:szCs w:val="22"/>
          <w:lang w:eastAsia="en-US"/>
        </w:rPr>
        <w:t xml:space="preserve">Table </w:t>
      </w:r>
      <w:r w:rsidR="00764FF6">
        <w:rPr>
          <w:rFonts w:ascii="Calibri" w:eastAsiaTheme="minorHAnsi" w:hAnsi="Calibri" w:cstheme="minorBidi"/>
          <w:b/>
          <w:sz w:val="22"/>
          <w:szCs w:val="22"/>
          <w:lang w:eastAsia="en-US"/>
        </w:rPr>
        <w:t>S</w:t>
      </w:r>
      <w:r w:rsidR="00417C3E">
        <w:rPr>
          <w:rFonts w:ascii="Calibri" w:eastAsiaTheme="minorHAnsi" w:hAnsi="Calibri" w:cstheme="minorBidi"/>
          <w:b/>
          <w:sz w:val="22"/>
          <w:szCs w:val="22"/>
          <w:lang w:eastAsia="en-US"/>
        </w:rPr>
        <w:t>4</w:t>
      </w:r>
      <w:r w:rsidR="00764FF6">
        <w:rPr>
          <w:rFonts w:ascii="Calibri" w:eastAsiaTheme="minorHAnsi" w:hAnsi="Calibri" w:cstheme="minorBidi"/>
          <w:b/>
          <w:sz w:val="22"/>
          <w:szCs w:val="22"/>
          <w:lang w:eastAsia="en-US"/>
        </w:rPr>
        <w:t>.</w:t>
      </w:r>
      <w:r w:rsidRPr="00764FF6">
        <w:rPr>
          <w:rFonts w:ascii="Calibri" w:eastAsiaTheme="minorHAnsi" w:hAnsi="Calibri" w:cstheme="minorBidi"/>
          <w:b/>
          <w:sz w:val="22"/>
          <w:szCs w:val="22"/>
          <w:lang w:eastAsia="en-US"/>
        </w:rPr>
        <w:fldChar w:fldCharType="begin"/>
      </w:r>
      <w:r w:rsidRPr="00764FF6">
        <w:rPr>
          <w:rFonts w:ascii="Calibri" w:eastAsiaTheme="minorHAnsi" w:hAnsi="Calibri" w:cstheme="minorBidi"/>
          <w:b/>
          <w:sz w:val="22"/>
          <w:szCs w:val="22"/>
          <w:lang w:eastAsia="en-US"/>
        </w:rPr>
        <w:instrText xml:space="preserve"> SEQ Table \* ARABIC </w:instrText>
      </w:r>
      <w:r w:rsidRPr="00764FF6">
        <w:rPr>
          <w:rFonts w:ascii="Calibri" w:eastAsiaTheme="minorHAnsi" w:hAnsi="Calibri" w:cstheme="minorBidi"/>
          <w:b/>
          <w:sz w:val="22"/>
          <w:szCs w:val="22"/>
          <w:lang w:eastAsia="en-US"/>
        </w:rPr>
        <w:fldChar w:fldCharType="separate"/>
      </w:r>
      <w:r w:rsidR="00685368" w:rsidRPr="00764FF6">
        <w:rPr>
          <w:rFonts w:ascii="Calibri" w:eastAsiaTheme="minorHAnsi" w:hAnsi="Calibri" w:cstheme="minorBidi"/>
          <w:b/>
          <w:noProof/>
          <w:sz w:val="22"/>
          <w:szCs w:val="22"/>
          <w:lang w:eastAsia="en-US"/>
        </w:rPr>
        <w:t>1</w:t>
      </w:r>
      <w:r w:rsidRPr="00764FF6">
        <w:rPr>
          <w:rFonts w:ascii="Calibri" w:eastAsiaTheme="minorHAnsi" w:hAnsi="Calibri" w:cstheme="minorBidi"/>
          <w:b/>
          <w:sz w:val="22"/>
          <w:szCs w:val="22"/>
          <w:lang w:eastAsia="en-US"/>
        </w:rPr>
        <w:fldChar w:fldCharType="end"/>
      </w:r>
      <w:bookmarkEnd w:id="5"/>
      <w:r w:rsidRPr="00764FF6">
        <w:rPr>
          <w:rFonts w:ascii="Calibri" w:eastAsiaTheme="minorHAnsi" w:hAnsi="Calibri" w:cstheme="minorBidi"/>
          <w:b/>
          <w:sz w:val="22"/>
          <w:szCs w:val="22"/>
          <w:lang w:eastAsia="en-US"/>
        </w:rPr>
        <w:t>: Comparison of estimated and observed pre-intervention EIR around the year 2000 (1990-2005)</w:t>
      </w:r>
    </w:p>
    <w:tbl>
      <w:tblPr>
        <w:tblW w:w="5000" w:type="pct"/>
        <w:tblLook w:val="04A0" w:firstRow="1" w:lastRow="0" w:firstColumn="1" w:lastColumn="0" w:noHBand="0" w:noVBand="1"/>
      </w:tblPr>
      <w:tblGrid>
        <w:gridCol w:w="1045"/>
        <w:gridCol w:w="1090"/>
        <w:gridCol w:w="639"/>
        <w:gridCol w:w="780"/>
        <w:gridCol w:w="627"/>
        <w:gridCol w:w="718"/>
        <w:gridCol w:w="1265"/>
        <w:gridCol w:w="1778"/>
        <w:gridCol w:w="1130"/>
      </w:tblGrid>
      <w:tr w:rsidR="00BF014B" w:rsidRPr="00D31B80" w:rsidTr="00B8655E">
        <w:trPr>
          <w:trHeight w:val="276"/>
        </w:trPr>
        <w:tc>
          <w:tcPr>
            <w:tcW w:w="546" w:type="pct"/>
            <w:vMerge w:val="restar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20"/>
                <w:lang w:eastAsia="en-GB"/>
              </w:rPr>
            </w:pPr>
            <w:r w:rsidRPr="00764FF6">
              <w:rPr>
                <w:rFonts w:ascii="Calibri" w:eastAsia="Times New Roman" w:hAnsi="Calibri" w:cs="Arial"/>
                <w:b/>
                <w:bCs/>
                <w:color w:val="000000"/>
                <w:sz w:val="20"/>
                <w:lang w:eastAsia="en-GB"/>
              </w:rPr>
              <w:t>Region</w:t>
            </w:r>
          </w:p>
        </w:tc>
        <w:tc>
          <w:tcPr>
            <w:tcW w:w="60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FD605E" w:rsidP="002A5AC2">
            <w:pPr>
              <w:spacing w:after="0" w:line="360" w:lineRule="auto"/>
              <w:jc w:val="center"/>
              <w:rPr>
                <w:rFonts w:ascii="Calibri" w:eastAsia="Times New Roman" w:hAnsi="Calibri" w:cs="Arial"/>
                <w:b/>
                <w:bCs/>
                <w:color w:val="000000"/>
                <w:sz w:val="20"/>
                <w:lang w:eastAsia="en-GB"/>
              </w:rPr>
            </w:pPr>
            <w:r w:rsidRPr="00764FF6">
              <w:rPr>
                <w:rFonts w:ascii="Calibri" w:eastAsia="Times New Roman" w:hAnsi="Calibri" w:cs="Arial"/>
                <w:b/>
                <w:bCs/>
                <w:color w:val="000000"/>
                <w:sz w:val="20"/>
                <w:lang w:eastAsia="en-GB"/>
              </w:rPr>
              <w:t>Council</w:t>
            </w: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F014B" w:rsidRPr="00764FF6" w:rsidRDefault="00BF014B" w:rsidP="002A5AC2">
            <w:pPr>
              <w:spacing w:after="0" w:line="360" w:lineRule="auto"/>
              <w:jc w:val="center"/>
              <w:rPr>
                <w:rFonts w:ascii="Calibri" w:eastAsia="Times New Roman" w:hAnsi="Calibri" w:cs="Arial"/>
                <w:b/>
                <w:bCs/>
                <w:color w:val="000000"/>
                <w:sz w:val="20"/>
                <w:lang w:eastAsia="en-GB"/>
              </w:rPr>
            </w:pPr>
            <w:r w:rsidRPr="00764FF6">
              <w:rPr>
                <w:rFonts w:ascii="Calibri" w:eastAsia="Times New Roman" w:hAnsi="Calibri" w:cs="Arial"/>
                <w:b/>
                <w:bCs/>
                <w:color w:val="000000"/>
                <w:sz w:val="20"/>
                <w:lang w:eastAsia="en-GB"/>
              </w:rPr>
              <w:t xml:space="preserve">Estimated annual EIR </w:t>
            </w:r>
            <w:r w:rsidRPr="00764FF6">
              <w:rPr>
                <w:rFonts w:ascii="Calibri" w:eastAsia="Times New Roman" w:hAnsi="Calibri" w:cs="Arial"/>
                <w:b/>
                <w:bCs/>
                <w:color w:val="000000"/>
                <w:sz w:val="20"/>
                <w:lang w:eastAsia="en-GB"/>
              </w:rPr>
              <w:br/>
              <w:t>based on model predictions*</w:t>
            </w:r>
          </w:p>
        </w:tc>
        <w:tc>
          <w:tcPr>
            <w:tcW w:w="668" w:type="pct"/>
            <w:vMerge w:val="restart"/>
            <w:tcBorders>
              <w:top w:val="single" w:sz="4" w:space="0" w:color="auto"/>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20"/>
                <w:lang w:eastAsia="en-GB"/>
              </w:rPr>
            </w:pPr>
            <w:r w:rsidRPr="00764FF6">
              <w:rPr>
                <w:rFonts w:ascii="Calibri" w:eastAsia="Times New Roman" w:hAnsi="Calibri" w:cs="Arial"/>
                <w:b/>
                <w:bCs/>
                <w:color w:val="000000"/>
                <w:sz w:val="20"/>
                <w:lang w:eastAsia="en-GB"/>
              </w:rPr>
              <w:t xml:space="preserve">Reported </w:t>
            </w:r>
          </w:p>
          <w:p w:rsidR="00BF014B" w:rsidRPr="00764FF6" w:rsidRDefault="00BF014B" w:rsidP="002A5AC2">
            <w:pPr>
              <w:spacing w:after="0" w:line="360" w:lineRule="auto"/>
              <w:jc w:val="center"/>
              <w:rPr>
                <w:rFonts w:ascii="Calibri" w:eastAsia="Times New Roman" w:hAnsi="Calibri" w:cs="Arial"/>
                <w:b/>
                <w:bCs/>
                <w:color w:val="000000"/>
                <w:sz w:val="20"/>
                <w:lang w:eastAsia="en-GB"/>
              </w:rPr>
            </w:pPr>
            <w:r w:rsidRPr="00764FF6">
              <w:rPr>
                <w:rFonts w:ascii="Calibri" w:eastAsia="Times New Roman" w:hAnsi="Calibri" w:cs="Arial"/>
                <w:b/>
                <w:bCs/>
                <w:color w:val="000000"/>
                <w:sz w:val="20"/>
                <w:lang w:eastAsia="en-GB"/>
              </w:rPr>
              <w:t>annual EIR</w:t>
            </w:r>
          </w:p>
        </w:tc>
        <w:tc>
          <w:tcPr>
            <w:tcW w:w="929" w:type="pct"/>
            <w:vMerge w:val="restar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20"/>
                <w:lang w:eastAsia="en-GB"/>
              </w:rPr>
            </w:pPr>
            <w:r w:rsidRPr="00764FF6">
              <w:rPr>
                <w:rFonts w:ascii="Calibri" w:eastAsia="Times New Roman" w:hAnsi="Calibri" w:cs="Arial"/>
                <w:b/>
                <w:bCs/>
                <w:color w:val="000000"/>
                <w:sz w:val="20"/>
                <w:lang w:eastAsia="en-GB"/>
              </w:rPr>
              <w:t>Study site</w:t>
            </w:r>
          </w:p>
        </w:tc>
        <w:tc>
          <w:tcPr>
            <w:tcW w:w="774" w:type="pct"/>
            <w:vMerge w:val="restar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20"/>
                <w:lang w:eastAsia="en-GB"/>
              </w:rPr>
            </w:pPr>
            <w:r w:rsidRPr="00764FF6">
              <w:rPr>
                <w:rFonts w:ascii="Calibri" w:eastAsia="Times New Roman" w:hAnsi="Calibri" w:cs="Arial"/>
                <w:b/>
                <w:bCs/>
                <w:color w:val="000000"/>
                <w:sz w:val="20"/>
                <w:lang w:eastAsia="en-GB"/>
              </w:rPr>
              <w:t>Source</w:t>
            </w:r>
          </w:p>
        </w:tc>
      </w:tr>
      <w:tr w:rsidR="00BF014B" w:rsidRPr="00D31B80" w:rsidTr="00B8655E">
        <w:trPr>
          <w:trHeight w:val="276"/>
        </w:trPr>
        <w:tc>
          <w:tcPr>
            <w:tcW w:w="546" w:type="pct"/>
            <w:vMerge/>
            <w:tcBorders>
              <w:top w:val="single" w:sz="4" w:space="0" w:color="auto"/>
              <w:left w:val="nil"/>
              <w:bottom w:val="single" w:sz="4" w:space="0" w:color="000000"/>
              <w:right w:val="nil"/>
            </w:tcBorders>
            <w:vAlign w:val="center"/>
            <w:hideMark/>
          </w:tcPr>
          <w:p w:rsidR="00BF014B" w:rsidRPr="00D31B80" w:rsidRDefault="00BF014B" w:rsidP="002A5AC2">
            <w:pPr>
              <w:spacing w:after="0" w:line="360" w:lineRule="auto"/>
              <w:jc w:val="center"/>
              <w:rPr>
                <w:rFonts w:ascii="Calibri" w:eastAsia="Times New Roman" w:hAnsi="Calibri" w:cs="Arial"/>
                <w:b/>
                <w:bCs/>
                <w:color w:val="000000"/>
                <w:sz w:val="16"/>
                <w:lang w:eastAsia="en-GB"/>
              </w:rPr>
            </w:pPr>
          </w:p>
        </w:tc>
        <w:tc>
          <w:tcPr>
            <w:tcW w:w="600" w:type="pct"/>
            <w:vMerge/>
            <w:tcBorders>
              <w:top w:val="single" w:sz="4" w:space="0" w:color="auto"/>
              <w:left w:val="nil"/>
              <w:bottom w:val="single" w:sz="4" w:space="0" w:color="000000"/>
              <w:right w:val="single" w:sz="4" w:space="0" w:color="auto"/>
            </w:tcBorders>
            <w:vAlign w:val="center"/>
            <w:hideMark/>
          </w:tcPr>
          <w:p w:rsidR="00BF014B" w:rsidRPr="00D31B80" w:rsidRDefault="00BF014B" w:rsidP="002A5AC2">
            <w:pPr>
              <w:spacing w:after="0" w:line="360" w:lineRule="auto"/>
              <w:jc w:val="center"/>
              <w:rPr>
                <w:rFonts w:ascii="Calibri" w:eastAsia="Times New Roman" w:hAnsi="Calibri" w:cs="Arial"/>
                <w:b/>
                <w:bCs/>
                <w:color w:val="000000"/>
                <w:sz w:val="16"/>
                <w:lang w:eastAsia="en-GB"/>
              </w:rPr>
            </w:pPr>
          </w:p>
        </w:tc>
        <w:tc>
          <w:tcPr>
            <w:tcW w:w="344"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18"/>
                <w:lang w:eastAsia="en-GB"/>
              </w:rPr>
            </w:pPr>
            <w:r w:rsidRPr="00764FF6">
              <w:rPr>
                <w:rFonts w:ascii="Calibri" w:eastAsia="Times New Roman" w:hAnsi="Calibri" w:cs="Arial"/>
                <w:b/>
                <w:bCs/>
                <w:color w:val="000000"/>
                <w:sz w:val="18"/>
                <w:lang w:eastAsia="en-GB"/>
              </w:rPr>
              <w:t>mean</w:t>
            </w:r>
          </w:p>
        </w:tc>
        <w:tc>
          <w:tcPr>
            <w:tcW w:w="422"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18"/>
                <w:lang w:eastAsia="en-GB"/>
              </w:rPr>
            </w:pPr>
            <w:r w:rsidRPr="00764FF6">
              <w:rPr>
                <w:rFonts w:ascii="Calibri" w:eastAsia="Times New Roman" w:hAnsi="Calibri" w:cs="Arial"/>
                <w:b/>
                <w:bCs/>
                <w:color w:val="000000"/>
                <w:sz w:val="18"/>
                <w:lang w:eastAsia="en-GB"/>
              </w:rPr>
              <w:t>median</w:t>
            </w:r>
          </w:p>
        </w:tc>
        <w:tc>
          <w:tcPr>
            <w:tcW w:w="33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18"/>
                <w:lang w:eastAsia="en-GB"/>
              </w:rPr>
            </w:pPr>
            <w:r w:rsidRPr="00764FF6">
              <w:rPr>
                <w:rFonts w:ascii="Calibri" w:eastAsia="Times New Roman" w:hAnsi="Calibri" w:cs="Arial"/>
                <w:b/>
                <w:bCs/>
                <w:color w:val="000000"/>
                <w:sz w:val="18"/>
                <w:lang w:eastAsia="en-GB"/>
              </w:rPr>
              <w:t>q2.5</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b/>
                <w:bCs/>
                <w:color w:val="000000"/>
                <w:sz w:val="18"/>
                <w:lang w:eastAsia="en-GB"/>
              </w:rPr>
            </w:pPr>
            <w:r w:rsidRPr="00764FF6">
              <w:rPr>
                <w:rFonts w:ascii="Calibri" w:eastAsia="Times New Roman" w:hAnsi="Calibri" w:cs="Arial"/>
                <w:b/>
                <w:bCs/>
                <w:color w:val="000000"/>
                <w:sz w:val="18"/>
                <w:lang w:eastAsia="en-GB"/>
              </w:rPr>
              <w:t>q97.5</w:t>
            </w:r>
          </w:p>
        </w:tc>
        <w:tc>
          <w:tcPr>
            <w:tcW w:w="668" w:type="pct"/>
            <w:vMerge/>
            <w:tcBorders>
              <w:left w:val="single" w:sz="4" w:space="0" w:color="auto"/>
              <w:bottom w:val="single" w:sz="4" w:space="0" w:color="auto"/>
              <w:right w:val="nil"/>
            </w:tcBorders>
            <w:shd w:val="clear" w:color="auto" w:fill="auto"/>
            <w:noWrap/>
            <w:vAlign w:val="center"/>
            <w:hideMark/>
          </w:tcPr>
          <w:p w:rsidR="00BF014B" w:rsidRPr="00D31B80" w:rsidRDefault="00BF014B" w:rsidP="002A5AC2">
            <w:pPr>
              <w:spacing w:after="0" w:line="360" w:lineRule="auto"/>
              <w:jc w:val="center"/>
              <w:rPr>
                <w:rFonts w:ascii="Calibri" w:eastAsia="Times New Roman" w:hAnsi="Calibri" w:cs="Arial"/>
                <w:b/>
                <w:bCs/>
                <w:color w:val="000000"/>
                <w:sz w:val="16"/>
                <w:lang w:eastAsia="en-GB"/>
              </w:rPr>
            </w:pPr>
          </w:p>
        </w:tc>
        <w:tc>
          <w:tcPr>
            <w:tcW w:w="929" w:type="pct"/>
            <w:vMerge/>
            <w:tcBorders>
              <w:top w:val="single" w:sz="4" w:space="0" w:color="auto"/>
              <w:left w:val="nil"/>
              <w:bottom w:val="single" w:sz="4" w:space="0" w:color="000000"/>
              <w:right w:val="nil"/>
            </w:tcBorders>
            <w:vAlign w:val="center"/>
            <w:hideMark/>
          </w:tcPr>
          <w:p w:rsidR="00BF014B" w:rsidRPr="00D31B80" w:rsidRDefault="00BF014B" w:rsidP="002A5AC2">
            <w:pPr>
              <w:spacing w:after="0" w:line="360" w:lineRule="auto"/>
              <w:jc w:val="center"/>
              <w:rPr>
                <w:rFonts w:ascii="Calibri" w:eastAsia="Times New Roman" w:hAnsi="Calibri" w:cs="Arial"/>
                <w:b/>
                <w:bCs/>
                <w:color w:val="000000"/>
                <w:sz w:val="16"/>
                <w:lang w:eastAsia="en-GB"/>
              </w:rPr>
            </w:pPr>
          </w:p>
        </w:tc>
        <w:tc>
          <w:tcPr>
            <w:tcW w:w="774" w:type="pct"/>
            <w:vMerge/>
            <w:tcBorders>
              <w:top w:val="single" w:sz="4" w:space="0" w:color="auto"/>
              <w:left w:val="nil"/>
              <w:bottom w:val="single" w:sz="4" w:space="0" w:color="000000"/>
              <w:right w:val="nil"/>
            </w:tcBorders>
            <w:vAlign w:val="center"/>
            <w:hideMark/>
          </w:tcPr>
          <w:p w:rsidR="00BF014B" w:rsidRPr="00D31B80" w:rsidRDefault="00BF014B" w:rsidP="002A5AC2">
            <w:pPr>
              <w:spacing w:after="0" w:line="360" w:lineRule="auto"/>
              <w:jc w:val="center"/>
              <w:rPr>
                <w:rFonts w:ascii="Calibri" w:eastAsia="Times New Roman" w:hAnsi="Calibri" w:cs="Arial"/>
                <w:b/>
                <w:bCs/>
                <w:color w:val="000000"/>
                <w:sz w:val="16"/>
                <w:lang w:eastAsia="en-GB"/>
              </w:rPr>
            </w:pP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Kilimanjaro</w:t>
            </w:r>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Moshi</w:t>
            </w:r>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1.83</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1.84</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1.33</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2.27</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122</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Chekereni</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jt2Mq1Cu","properties":{"formattedCitation":"[9]","plainCitation":"[9]","noteIndex":0},"citationItems":[{"id":34010,"uris":["http://zotero.org/users/3516901/items/XWUB5HER"],"uri":["http://zotero.org/users/3516901/items/XWUB5HER"],"itemData":{"id":34010,"type":"article-journal","title":"Malaria transmission risk variations derived from different agricultural practices in an irrigated area of northern Tanzania","container-title":"Medical and Veterinary Entomology","page":"28-38","volume":"16","issue":"1","source":"PubMed","abstract":"Malaria vector Anopheles and other mosquitoes (Diptera: Culicidae) were monitored for 12 months during 1994-95 in villages of Lower Moshi irrigation area (37 degrees 20' E, 3 degrees 21' S; approximately 700 m a.s.l.) south of Mount Kilimanjaro in northern Tanzania. Adult mosquito populations were sampled fortnightly by five methods: human bait collection indoors (18.00-06.00 hours) and outdoors (18.00-24.00 hours); from daytime resting-sites indoors and outdoors; by CDC light-traps over sleepers. Anopheles densities and rates of survival, anthropophily and malaria infection were compared between three villages representing different agro-ecosystems: irrigated sugarcane plantation; smallholder rice irrigation scheme, and savannah with subsistence crops. Respective study villages were Mvuleni (population 2200), Chekereni (population 3200) and Kisangasangeni (population approximately/= 1000), at least 7 km apart. Anopheles arabiensis Patton was found to be the principal malaria vector throughout the study area, with An. funestus Giles sensu lato of secondary importance in the sugarcane and savannah villages. Irrigated sugarcane cultivation resulted in water pooling, but this did not produce more vectors. Anopheles arabiensis densities averaged four-fold higher in the ricefield village, although their human blood-index was significantly less (48%) than in the sugarcane (68%) or savannah (66%) villages, despite similar proportions of humans and cows (ratio 1:1.1-1.4) as the main hosts at all sites. Parous rates, duration of the gonotrophic cycle and survival rates of An. arabiensis were similar in villages of all three agro-ecosystems. The potential risk of malaria, based on measurements of vectorial capacity of An. arabiensis and An.funestus combined, was four-fold higher in the ricefield village than in the sugarcane or savannah villages nearby. However, the more realistic estimate of malaria risk, based on entomological inoculation rates, indicated that exposure to infective vectors was 61-68% less for people in the ricefield village, due to the much lower sporozoite rate in An. arabiensis (ricefield 0.01%, sugarcane 0.1%, savannah 0.12%). This contrast was attributed to better socio-economic conditions of rice farmers, facilitating relatively more use of antimalarials and bednets for their families. Our findings show that, for a combination of reasons, the malaria challenge is lower for villagers associated with an irrigated rice-growing scheme (despite greater malaria vector potential), than for adjacent communities with other agro-ecosystems bringing less socio-economic benefits to health. This encourages the development of agro-irrigation schemes in African savannahs, provided that residents have ready access to antimalaria materials (i.e. effective antimalaria drugs and insecticidal bednets) that they may better afford for protection against the greater vectorial capacity of An. arabiensis from the ricefield agro-ecosystem.","ISSN":"0269-283X","note":"PMID: 11963979","journalAbbreviation":"Med. Vet. Entomol.","language":"eng","author":[{"family":"Ijumba","given":"J. N."},{"family":"Mosha","given":"F. W."},{"family":"Lindsay","given":"S. W."}],"issued":{"date-parts":[["2002",3]]}}}],"schema":"https://github.com/citation-style-language/schema/raw/master/csl-citation.json"}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Kilimanjaro</w:t>
            </w:r>
          </w:p>
        </w:tc>
        <w:tc>
          <w:tcPr>
            <w:tcW w:w="600"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Moshi</w:t>
            </w:r>
          </w:p>
        </w:tc>
        <w:tc>
          <w:tcPr>
            <w:tcW w:w="344"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1.83</w:t>
            </w:r>
          </w:p>
        </w:tc>
        <w:tc>
          <w:tcPr>
            <w:tcW w:w="422"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1.84</w:t>
            </w:r>
          </w:p>
        </w:tc>
        <w:tc>
          <w:tcPr>
            <w:tcW w:w="33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1.33</w:t>
            </w:r>
          </w:p>
        </w:tc>
        <w:tc>
          <w:tcPr>
            <w:tcW w:w="383"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2.27</w:t>
            </w:r>
          </w:p>
        </w:tc>
        <w:tc>
          <w:tcPr>
            <w:tcW w:w="668"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350</w:t>
            </w:r>
          </w:p>
        </w:tc>
        <w:tc>
          <w:tcPr>
            <w:tcW w:w="929"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Kisangasangeni</w:t>
            </w:r>
            <w:proofErr w:type="spellEnd"/>
          </w:p>
        </w:tc>
        <w:tc>
          <w:tcPr>
            <w:tcW w:w="77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qkGHTBmu","properties":{"formattedCitation":"[9]","plainCitation":"[9]","noteIndex":0},"citationItems":[{"id":34010,"uris":["http://zotero.org/users/3516901/items/XWUB5HER"],"uri":["http://zotero.org/users/3516901/items/XWUB5HER"],"itemData":{"id":34010,"type":"article-journal","title":"Malaria transmission risk variations derived from different agricultural practices in an irrigated area of northern Tanzania","container-title":"Medical and Veterinary Entomology","page":"28-38","volume":"16","issue":"1","source":"PubMed","abstract":"Malaria vector Anopheles and other mosquitoes (Diptera: Culicidae) were monitored for 12 months during 1994-95 in villages of Lower Moshi irrigation area (37 degrees 20' E, 3 degrees 21' S; approximately 700 m a.s.l.) south of Mount Kilimanjaro in northern Tanzania. Adult mosquito populations were sampled fortnightly by five methods: human bait collection indoors (18.00-06.00 hours) and outdoors (18.00-24.00 hours); from daytime resting-sites indoors and outdoors; by CDC light-traps over sleepers. Anopheles densities and rates of survival, anthropophily and malaria infection were compared between three villages representing different agro-ecosystems: irrigated sugarcane plantation; smallholder rice irrigation scheme, and savannah with subsistence crops. Respective study villages were Mvuleni (population 2200), Chekereni (population 3200) and Kisangasangeni (population approximately/= 1000), at least 7 km apart. Anopheles arabiensis Patton was found to be the principal malaria vector throughout the study area, with An. funestus Giles sensu lato of secondary importance in the sugarcane and savannah villages. Irrigated sugarcane cultivation resulted in water pooling, but this did not produce more vectors. Anopheles arabiensis densities averaged four-fold higher in the ricefield village, although their human blood-index was significantly less (48%) than in the sugarcane (68%) or savannah (66%) villages, despite similar proportions of humans and cows (ratio 1:1.1-1.4) as the main hosts at all sites. Parous rates, duration of the gonotrophic cycle and survival rates of An. arabiensis were similar in villages of all three agro-ecosystems. The potential risk of malaria, based on measurements of vectorial capacity of An. arabiensis and An.funestus combined, was four-fold higher in the ricefield village than in the sugarcane or savannah villages nearby. However, the more realistic estimate of malaria risk, based on entomological inoculation rates, indicated that exposure to infective vectors was 61-68% less for people in the ricefield village, due to the much lower sporozoite rate in An. arabiensis (ricefield 0.01%, sugarcane 0.1%, savannah 0.12%). This contrast was attributed to better socio-economic conditions of rice farmers, facilitating relatively more use of antimalarials and bednets for their families. Our findings show that, for a combination of reasons, the malaria challenge is lower for villagers associated with an irrigated rice-growing scheme (despite greater malaria vector potential), than for adjacent communities with other agro-ecosystems bringing less socio-economic benefits to health. This encourages the development of agro-irrigation schemes in African savannahs, provided that residents have ready access to antimalaria materials (i.e. effective antimalaria drugs and insecticidal bednets) that they may better afford for protection against the greater vectorial capacity of An. arabiensis from the ricefield agro-ecosystem.","ISSN":"0269-283X","note":"PMID: 11963979","journalAbbreviation":"Med. Vet. Entomol.","language":"eng","author":[{"family":"Ijumba","given":"J. N."},{"family":"Mosha","given":"F. W."},{"family":"Lindsay","given":"S. W."}],"issued":{"date-parts":[["2002",3]]}}}],"schema":"https://github.com/citation-style-language/schema/raw/master/csl-citation.json"}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Kilimanjaro</w:t>
            </w:r>
          </w:p>
        </w:tc>
        <w:tc>
          <w:tcPr>
            <w:tcW w:w="600"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Moshi</w:t>
            </w:r>
          </w:p>
        </w:tc>
        <w:tc>
          <w:tcPr>
            <w:tcW w:w="344"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1.83</w:t>
            </w:r>
          </w:p>
        </w:tc>
        <w:tc>
          <w:tcPr>
            <w:tcW w:w="422"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1.84</w:t>
            </w:r>
          </w:p>
        </w:tc>
        <w:tc>
          <w:tcPr>
            <w:tcW w:w="33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1.33</w:t>
            </w:r>
          </w:p>
        </w:tc>
        <w:tc>
          <w:tcPr>
            <w:tcW w:w="383"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2.27</w:t>
            </w:r>
          </w:p>
        </w:tc>
        <w:tc>
          <w:tcPr>
            <w:tcW w:w="668"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402</w:t>
            </w:r>
          </w:p>
        </w:tc>
        <w:tc>
          <w:tcPr>
            <w:tcW w:w="929"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Mvuleni</w:t>
            </w:r>
            <w:proofErr w:type="spellEnd"/>
          </w:p>
        </w:tc>
        <w:tc>
          <w:tcPr>
            <w:tcW w:w="77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9fAo3fOo","properties":{"formattedCitation":"[9]","plainCitation":"[9]","noteIndex":0},"citationItems":[{"id":34010,"uris":["http://zotero.org/users/3516901/items/XWUB5HER"],"uri":["http://zotero.org/users/3516901/items/XWUB5HER"],"itemData":{"id":34010,"type":"article-journal","title":"Malaria transmission risk variations derived from different agricultural practices in an irrigated area of northern Tanzania","container-title":"Medical and Veterinary Entomology","page":"28-38","volume":"16","issue":"1","source":"PubMed","abstract":"Malaria vector Anopheles and other mosquitoes (Diptera: Culicidae) were monitored for 12 months during 1994-95 in villages of Lower Moshi irrigation area (37 degrees 20' E, 3 degrees 21' S; approximately 700 m a.s.l.) south of Mount Kilimanjaro in northern Tanzania. Adult mosquito populations were sampled fortnightly by five methods: human bait collection indoors (18.00-06.00 hours) and outdoors (18.00-24.00 hours); from daytime resting-sites indoors and outdoors; by CDC light-traps over sleepers. Anopheles densities and rates of survival, anthropophily and malaria infection were compared between three villages representing different agro-ecosystems: irrigated sugarcane plantation; smallholder rice irrigation scheme, and savannah with subsistence crops. Respective study villages were Mvuleni (population 2200), Chekereni (population 3200) and Kisangasangeni (population approximately/= 1000), at least 7 km apart. Anopheles arabiensis Patton was found to be the principal malaria vector throughout the study area, with An. funestus Giles sensu lato of secondary importance in the sugarcane and savannah villages. Irrigated sugarcane cultivation resulted in water pooling, but this did not produce more vectors. Anopheles arabiensis densities averaged four-fold higher in the ricefield village, although their human blood-index was significantly less (48%) than in the sugarcane (68%) or savannah (66%) villages, despite similar proportions of humans and cows (ratio 1:1.1-1.4) as the main hosts at all sites. Parous rates, duration of the gonotrophic cycle and survival rates of An. arabiensis were similar in villages of all three agro-ecosystems. The potential risk of malaria, based on measurements of vectorial capacity of An. arabiensis and An.funestus combined, was four-fold higher in the ricefield village than in the sugarcane or savannah villages nearby. However, the more realistic estimate of malaria risk, based on entomological inoculation rates, indicated that exposure to infective vectors was 61-68% less for people in the ricefield village, due to the much lower sporozoite rate in An. arabiensis (ricefield 0.01%, sugarcane 0.1%, savannah 0.12%). This contrast was attributed to better socio-economic conditions of rice farmers, facilitating relatively more use of antimalarials and bednets for their families. Our findings show that, for a combination of reasons, the malaria challenge is lower for villagers associated with an irrigated rice-growing scheme (despite greater malaria vector potential), than for adjacent communities with other agro-ecosystems bringing less socio-economic benefits to health. This encourages the development of agro-irrigation schemes in African savannahs, provided that residents have ready access to antimalaria materials (i.e. effective antimalaria drugs and insecticidal bednets) that they may better afford for protection against the greater vectorial capacity of An. arabiensis from the ricefield agro-ecosystem.","ISSN":"0269-283X","note":"PMID: 11963979","journalAbbreviation":"Med. Vet. Entomol.","language":"eng","author":[{"family":"Ijumba","given":"J. N."},{"family":"Mosha","given":"F. W."},{"family":"Lindsay","given":"S. W."}],"issued":{"date-parts":[["2002",3]]}}}],"schema":"https://github.com/citation-style-language/schema/raw/master/csl-citation.json"}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40.2</w:t>
            </w:r>
          </w:p>
        </w:tc>
        <w:tc>
          <w:tcPr>
            <w:tcW w:w="929"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Idete</w:t>
            </w:r>
            <w:proofErr w:type="spellEnd"/>
          </w:p>
        </w:tc>
        <w:tc>
          <w:tcPr>
            <w:tcW w:w="77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2j3YOjXY","properties":{"formattedCitation":"[12]","plainCitation":"[12]","noteIndex":0},"citationItems":[{"id":28843,"uris":["http://zotero.org/users/3516901/items/8V3FJKAT"],"uri":["http://zotero.org/users/3516901/items/8V3FJKAT"],"itemData":{"id":28843,"type":"article-journal","title":"Incidence of Plasmodium falciparum infection in infants in relation to exposure to sporozoite-infected anophelines","container-title":"The American Journal of Tropical Medicine and Hygiene","page":"243-251","volume":"59","issue":"2","source":"PubMed","abstract":"The relationship of the incidence of Plasmodium falciparum infection to entomologic inoculation rates (EIRs) was studied in 163 children less than one year of age in a Tanzanian village to determine likely effects of transmission-reducing interventions on infection incidence. A total of 66,727 Anopheles gambiae s.l. and 17,620 An. funestus mosquitoes were caught in 1,056 light trap collections from 139 houses over a period of more than two years. Time period-specific human biting rates were estimated for 11 village neighborhoods. Sporozoites were detected by ELISA in 4.4% of the An. funestus and 2.5% of the An. gambiae s.l. Eight hundred seventeen pairs of blood slides with approximately two-week intervals between slides were used to estimate incidence of parasitemia by fitting reversible catalytic models to parasite positivity data. Estimated EIRs during the four weeks preceding each intersurvey interval averaged 1.6 (SD = 2.1) per adult per night. Parasites were present at the end of 31% of the 443 intervals that commenced with a parasite-negative slide. Attack rates were comparable with those in western Kenya, and the proportion of bites resulting in human infections was strongly dependent on mosquito density. Incidence of infection increased with the EIR up to approximately one bite from a sporozoite-carrying mosquito per adult per night. However, higher levels of transmission observed locally in the wet season did not result in a correspondingly higher incidence. These data suggest that transmission-reducing measures cannot be expected to reduce incidence of infection at the highest levels of EIR.","ISSN":"0002-9637","note":"PMID: 9715940","journalAbbreviation":"Am. J. Trop. Med. Hyg.","language":"eng","author":[{"family":"Charlwood","given":"J. D."},{"family":"Smith","given":"T."},{"family":"Lyimo","given":"E."},{"family":"Kitua","given":"A. Y."},{"family":"Masanja","given":"H."},{"family":"Booth","given":"M."},{"family":"Alonso","given":"P. L."},{"family":"Tanner","given":"M."}],"issued":{"date-parts":[["1998",8]]}}}],"schema":"https://github.com/citation-style-language/schema/raw/master/csl-citation.json"}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[12]</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4.4</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Ifakara</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luGY6qY4","properties":{"formattedCitation":"[13]","plainCitation":"[13]","noteIndex":0},"citationItems":[{"id":18874,"uris":["http://zotero.org/users/3516901/items/77PTIIE4"],"uri":["http://zotero.org/users/3516901/items/77PTIIE4"],"itemData":{"id":18874,"type":"article-journal","title":"An estimation of the entomological inoculation rate for Ifakara: a semi-urban area in a region of intense malaria transmission in Tanzania","container-title":"Tropical Medicine &amp; International Health","page":"767-774","volume":"8","issue":"9","source":"Wiley Online Library","abstract":"Summary An entomological study on vectors of malaria and their relative contribution to Plasmodium falciparum transmission in the semi-urban area of Ifakara, south-eastern Tanzania, was conducted. A total of 32 houses were randomly sampled from the area and light trap catches (LTC) performed in one room in each house every 2 weeks for 1 year. A total of 147 448 mosquitoes were caught from 789 LTC; 26 134 Anopheles gambiae s.l., 615 A. funestus, 718 other anophelines and 119 981 culicines. More than 60% of the total A. gambiae s.l. were found in five (0.6%) LTCs, with a maximum of 5889 caught in a single trap. Of 505 A. gambiae s.l. speciated by polymerase chain reaction, 91.5% were found to be A. arabiensis. Plasmodium falciparum sporozoite enzyme-linked immunosorbent assay tests were performed on 10 108 anopheles mosquitoes and 39 (0.38%) were positive. Entomological inoculation rate (EIR) estimates were generated using a standard method and an alternative method that allows the calculation of confidence intervals based on a negative binomial distribution of sporozoite positive mosquitoes. Overall EIR estimates were similar; 31 vs. 29 [95% confidence interval (CI): 19, 44] infectious bites per annum, respectively. The EIR ranged from 4 (95% CI: 1, 17) in the cool season to 108 (95% CI: 69, 170) in the wet season and from 54 (95% CI: 30, 97) in the east of the town to 15 (95% CI: 8, 30) in the town centre. These estimates show large variations over short distances in time and space. They are all markedly lower than those reported from nearby rural areas and for other parts of Tanzania.","DOI":"10.1046/j.1365-3156.2003.01100.x","ISSN":"1365-3156","title-short":"An estimation of the entomological inoculation rate for Ifakara","language":"en","author":[{"family":"Drakeley","given":"C."},{"family":"Schellenberg","given":"D."},{"family":"Kihonda","given":"J."},{"family":"Sousa","given":"C. A."},{"family":"Arez","given":"A. P."},{"family":"Lopes","given":"D."},{"family":"Lines","given":"J."},{"family":"Mshinda","given":"H."},{"family":"Lengeler","given":"C."},{"family":"Schellenberg","given":"J. Armstrong"},{"family":"Tanner","given":"M."},{"family":"Alonso","given":"P."}],"issued":{"date-parts":[["2003"]]}}}],"schema":"https://github.com/citation-style-language/schema/raw/master/csl-citation.json"}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[13]</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114.4</w:t>
            </w:r>
          </w:p>
        </w:tc>
        <w:tc>
          <w:tcPr>
            <w:tcW w:w="929"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Ifakara</w:t>
            </w:r>
            <w:proofErr w:type="spellEnd"/>
          </w:p>
        </w:tc>
        <w:tc>
          <w:tcPr>
            <w:tcW w:w="77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PF7us2AH","properties":{"formattedCitation":"[13]","plainCitation":"[13]","noteIndex":0},"citationItems":[{"id":18874,"uris":["http://zotero.org/users/3516901/items/77PTIIE4"],"uri":["http://zotero.org/users/3516901/items/77PTIIE4"],"itemData":{"id":18874,"type":"article-journal","title":"An estimation of the entomological inoculation rate for Ifakara: a semi-urban area in a region of intense malaria transmission in Tanzania","container-title":"Tropical Medicine &amp; International Health","page":"767-774","volume":"8","issue":"9","source":"Wiley Online Library","abstract":"Summary An entomological study on vectors of malaria and their relative contribution to Plasmodium falciparum transmission in the semi-urban area of Ifakara, south-eastern Tanzania, was conducted. A total of 32 houses were randomly sampled from the area and light trap catches (LTC) performed in one room in each house every 2 weeks for 1 year. A total of 147 448 mosquitoes were caught from 789 LTC; 26 134 Anopheles gambiae s.l., 615 A. funestus, 718 other anophelines and 119 981 culicines. More than 60% of the total A. gambiae s.l. were found in five (0.6%) LTCs, with a maximum of 5889 caught in a single trap. Of 505 A. gambiae s.l. speciated by polymerase chain reaction, 91.5% were found to be A. arabiensis. Plasmodium falciparum sporozoite enzyme-linked immunosorbent assay tests were performed on 10 108 anopheles mosquitoes and 39 (0.38%) were positive. Entomological inoculation rate (EIR) estimates were generated using a standard method and an alternative method that allows the calculation of confidence intervals based on a negative binomial distribution of sporozoite positive mosquitoes. Overall EIR estimates were similar; 31 vs. 29 [95% confidence interval (CI): 19, 44] infectious bites per annum, respectively. The EIR ranged from 4 (95% CI: 1, 17) in the cool season to 108 (95% CI: 69, 170) in the wet season and from 54 (95% CI: 30, 97) in the east of the town to 15 (95% CI: 8, 30) in the town centre. These estimates show large variations over short distances in time and space. They are all markedly lower than those reported from nearby rural areas and for other parts of Tanzania.","DOI":"10.1046/j.1365-3156.2003.01100.x","ISSN":"1365-3156","title-short":"An estimation of the entomological inoculation rate for Ifakara","language":"en","author":[{"family":"Drakeley","given":"C."},{"family":"Schellenberg","given":"D."},{"family":"Kihonda","given":"J."},{"family":"Sousa","given":"C. A."},{"family":"Arez","given":"A. P."},{"family":"Lopes","given":"D."},{"family":"Lines","given":"J."},{"family":"Mshinda","given":"H."},{"family":"Lengeler","given":"C."},{"family":"Schellenberg","given":"J. Armstrong"},{"family":"Tanner","given":"M."},{"family":"Alonso","given":"P."}],"issued":{"date-parts":[["2003"]]}}}],"schema":"https://github.com/citation-style-language/schema/raw/master/csl-citation.json"}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[13]</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7.6</w:t>
            </w:r>
          </w:p>
        </w:tc>
        <w:tc>
          <w:tcPr>
            <w:tcW w:w="929"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Ifakara</w:t>
            </w:r>
            <w:proofErr w:type="spellEnd"/>
          </w:p>
        </w:tc>
        <w:tc>
          <w:tcPr>
            <w:tcW w:w="77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BopvGC60","properties":{"formattedCitation":"[13]","plainCitation":"[13]","noteIndex":0},"citationItems":[{"id":18874,"uris":["http://zotero.org/users/3516901/items/77PTIIE4"],"uri":["http://zotero.org/users/3516901/items/77PTIIE4"],"itemData":{"id":18874,"type":"article-journal","title":"An estimation of the entomological inoculation rate for Ifakara: a semi-urban area in a region of intense malaria transmission in Tanzania","container-title":"Tropical Medicine &amp; International Health","page":"767-774","volume":"8","issue":"9","source":"Wiley Online Library","abstract":"Summary An entomological study on vectors of malaria and their relative contribution to Plasmodium falciparum transmission in the semi-urban area of Ifakara, south-eastern Tanzania, was conducted. A total of 32 houses were randomly sampled from the area and light trap catches (LTC) performed in one room in each house every 2 weeks for 1 year. A total of 147 448 mosquitoes were caught from 789 LTC; 26 134 Anopheles gambiae s.l., 615 A. funestus, 718 other anophelines and 119 981 culicines. More than 60% of the total A. gambiae s.l. were found in five (0.6%) LTCs, with a maximum of 5889 caught in a single trap. Of 505 A. gambiae s.l. speciated by polymerase chain reaction, 91.5% were found to be A. arabiensis. Plasmodium falciparum sporozoite enzyme-linked immunosorbent assay tests were performed on 10 108 anopheles mosquitoes and 39 (0.38%) were positive. Entomological inoculation rate (EIR) estimates were generated using a standard method and an alternative method that allows the calculation of confidence intervals based on a negative binomial distribution of sporozoite positive mosquitoes. Overall EIR estimates were similar; 31 vs. 29 [95% confidence interval (CI): 19, 44] infectious bites per annum, respectively. The EIR ranged from 4 (95% CI: 1, 17) in the cool season to 108 (95% CI: 69, 170) in the wet season and from 54 (95% CI: 30, 97) in the east of the town to 15 (95% CI: 8, 30) in the town centre. These estimates show large variations over short distances in time and space. They are all markedly lower than those reported from nearby rural areas and for other parts of Tanzania.","DOI":"10.1046/j.1365-3156.2003.01100.x","ISSN":"1365-3156","title-short":"An estimation of the entomological inoculation rate for Ifakara","language":"en","author":[{"family":"Drakeley","given":"C."},{"family":"Schellenberg","given":"D."},{"family":"Kihonda","given":"J."},{"family":"Sousa","given":"C. A."},{"family":"Arez","given":"A. P."},{"family":"Lopes","given":"D."},{"family":"Lines","given":"J."},{"family":"Mshinda","given":"H."},{"family":"Lengeler","given":"C."},{"family":"Schellenberg","given":"J. Armstrong"},{"family":"Tanner","given":"M."},{"family":"Alonso","given":"P."}],"issued":{"date-parts":[["2003"]]}}}],"schema":"https://github.com/citation-style-language/schema/raw/master/csl-citation.json"}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[13]</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312</w:t>
            </w:r>
          </w:p>
        </w:tc>
        <w:tc>
          <w:tcPr>
            <w:tcW w:w="929" w:type="pct"/>
            <w:tcBorders>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Ulanga</w:t>
            </w:r>
            <w:proofErr w:type="spellEnd"/>
            <w:r w:rsidRPr="00764FF6">
              <w:rPr>
                <w:rFonts w:ascii="Calibri" w:eastAsia="Times New Roman" w:hAnsi="Calibri" w:cs="Arial"/>
                <w:color w:val="000000"/>
                <w:sz w:val="18"/>
                <w:lang w:eastAsia="en-GB"/>
              </w:rPr>
              <w:t>/</w:t>
            </w:r>
            <w:proofErr w:type="spellStart"/>
            <w:r w:rsidRPr="00764FF6">
              <w:rPr>
                <w:rFonts w:ascii="Calibri" w:eastAsia="Times New Roman" w:hAnsi="Calibri" w:cs="Arial"/>
                <w:color w:val="000000"/>
                <w:sz w:val="18"/>
                <w:lang w:eastAsia="en-GB"/>
              </w:rPr>
              <w:t>Kilombero</w:t>
            </w:r>
            <w:proofErr w:type="spellEnd"/>
          </w:p>
        </w:tc>
        <w:tc>
          <w:tcPr>
            <w:tcW w:w="774" w:type="pct"/>
            <w:tcBorders>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1YFH39jC","properties":{"formattedCitation":"[6]","plainCitation":"[6]","noteIndex":0},"citationItems":[{"id":20283,"uris":["http://zotero.org/users/3516901/items/MK8JJ2XI"],"uri":["http://zotero.org/users/3516901/items/MK8JJ2XI"],"itemData":{"id":20283,"type":"article-journal","title":"Artemisinin-based combination therapy does not measurably reduce human infectiousness to vectors in a setting of intense malaria transmission","container-title":"Malaria Journal","page":"118","volume":"11","source":"PubMed Central","abstract":"Background\nArtemisinin-based combination therapy (ACT) for treating malaria has activity against immature gametocytes. In theory, this property may complement the effect of terminating otherwise lengthy malaria infections and reducing the parasite reservoir in the human population that can infect vector mosquitoes. However, this has never been verified at a population level in a setting with intense transmission, where chronically infectious asymptomatic carriers are common and cured patients are rapidly and repeatedly re-infected.\n\nMethods\nFrom 2001 to 2004, malaria vector densities were monitored using light traps in three Tanzanian districts. Mosquitoes were dissected to determine parous and oocyst rates. Plasmodium falciparum sporozoite rates were determined by ELISA. Sulphadoxine-pyrimethamine (SP) monotherapy was used for treatment of uncomplicated malaria in the contiguous districts of Kilombero and Ulanga throughout this period. In Rufiji district, the standard drug was changed to artesunate co-administered with SP (AS + SP) in March 2003. The effects of this change in case management on malaria parasite infection in the vectors were analysed.\n\nResults\nPlasmodium falciparum entomological inoculation rates exceeded 300 infective bites per person per year at both sites over the whole period. The introduction of AS + SP in Rufiji was associated with increased oocyst prevalence (OR [95%CI] = 3.9 [2.9-5.3], p &lt; 0.001), but had no consistent effect on sporozoite prevalence (OR [95%CI] = 0.9 [0.7-1.2], p = 0.5). The estimated infectiousness of the human population in Rufiji was very low prior to the change in drug policy. Emergence rates and parous rates of the vectors varied substantially throughout the study period, which affected estimates of infectiousness. The latter consequently cannot be explained by the change in drug policy.\n\nConclusions\nIn high perennial transmission settings, only a small proportion of infections in humans are symptomatic or treated, so case management with ACT may have little impact on overall infectiousness of the human population. Variations in infection levels in vectors largely depend on the age distribution of the mosquito population. Benefits of ACT in suppressing transmission are more likely to be evident where transmission is already low or effective vector control is widely implemented.","DOI":"10.1186/1475-2875-11-118","ISSN":"1475-2875","journalAbbreviation":"Malar J","author":[{"family":"Huho","given":"Bernadette J"},{"family":"Killeen","given":"Gerard F"},{"family":"Ferguson","given":"Heather M"},{"family":"Tami","given":"Adriana"},{"family":"Lengeler","given":"Christian"},{"family":"Charlwood","given":"J Derek"},{"family":"Kihonda","given":"Aniset"},{"family":"Kihonda","given":"Japhet"},{"family":"Kachur","given":"S Patrick"},{"family":"Smith","given":"Thomas A"},{"family":"Abdulla","given":"Salim MK"}],"issued":{"date-parts":[["2012",4,18]]}}}],"schema":"https://github.com/citation-style-language/schema/raw/master/csl-citation.json"}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[6]</w:t>
            </w:r>
            <w:r w:rsidRPr="00764FF6">
              <w:rPr>
                <w:rFonts w:ascii="Calibri" w:eastAsia="Times New Roman" w:hAnsi="Calibri" w:cs="Arial"/>
                <w:color w:val="000000"/>
                <w:sz w:val="18"/>
                <w:lang w:eastAsia="en-GB"/>
              </w:rPr>
              <w:fldChar w:fldCharType="end"/>
            </w:r>
          </w:p>
        </w:tc>
      </w:tr>
      <w:tr w:rsidR="00CF7862" w:rsidRPr="00D31B80" w:rsidTr="00CF7862">
        <w:trPr>
          <w:trHeight w:val="316"/>
        </w:trPr>
        <w:tc>
          <w:tcPr>
            <w:tcW w:w="546" w:type="pct"/>
            <w:tcBorders>
              <w:top w:val="nil"/>
              <w:left w:val="nil"/>
              <w:right w:val="nil"/>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val="es-ES" w:eastAsia="en-GB"/>
              </w:rPr>
            </w:pPr>
            <w:r w:rsidRPr="00764FF6">
              <w:rPr>
                <w:rFonts w:ascii="Calibri" w:eastAsia="Times New Roman" w:hAnsi="Calibri" w:cs="Arial"/>
                <w:color w:val="000000"/>
                <w:sz w:val="18"/>
                <w:lang w:val="es-ES" w:eastAsia="en-GB"/>
              </w:rPr>
              <w:t>Morogoro</w:t>
            </w:r>
          </w:p>
        </w:tc>
        <w:tc>
          <w:tcPr>
            <w:tcW w:w="600" w:type="pct"/>
            <w:tcBorders>
              <w:top w:val="nil"/>
              <w:left w:val="nil"/>
              <w:right w:val="single" w:sz="4" w:space="0" w:color="auto"/>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top w:val="nil"/>
              <w:left w:val="single" w:sz="4" w:space="0" w:color="auto"/>
              <w:right w:val="nil"/>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top w:val="nil"/>
              <w:left w:val="nil"/>
              <w:right w:val="nil"/>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top w:val="nil"/>
              <w:left w:val="nil"/>
              <w:right w:val="nil"/>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top w:val="nil"/>
              <w:left w:val="nil"/>
              <w:right w:val="single" w:sz="4" w:space="0" w:color="auto"/>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top w:val="nil"/>
              <w:left w:val="single" w:sz="4" w:space="0" w:color="auto"/>
              <w:right w:val="nil"/>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54.65-463.74</w:t>
            </w:r>
          </w:p>
        </w:tc>
        <w:tc>
          <w:tcPr>
            <w:tcW w:w="929" w:type="pct"/>
            <w:tcBorders>
              <w:top w:val="nil"/>
              <w:left w:val="nil"/>
              <w:right w:val="nil"/>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11 villages</w:t>
            </w:r>
          </w:p>
        </w:tc>
        <w:tc>
          <w:tcPr>
            <w:tcW w:w="774" w:type="pct"/>
            <w:tcBorders>
              <w:top w:val="nil"/>
              <w:left w:val="nil"/>
              <w:right w:val="nil"/>
            </w:tcBorders>
            <w:shd w:val="clear" w:color="auto" w:fill="auto"/>
            <w:noWrap/>
            <w:vAlign w:val="center"/>
            <w:hideMark/>
          </w:tcPr>
          <w:p w:rsidR="00CF7862"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aEECToI8","properties":{"formattedCitation":"[14]","plainCitation":"[14]","noteIndex":0},"citationItems":[{"id":17394,"uris":["http://zotero.org/users/3516901/items/WSEXUF2I"],"uri":["http://zotero.org/users/3516901/items/WSEXUF2I"],"itemData":{"id":17394,"type":"article-journal","title":"Preventing Childhood Malaria in Africa by Protecting Adults from Mosquitoes with Insecticide-Treated Nets","container-title":"PLoS Medicine","volume":"4","issue":"7","source":"PubMed Central","abstract":"Based on malaria transmission models, Gerry Killeen and colleagues suggest that, while coverage of pregnant women and children should still be prioritized, wide-scale communal use of insecticide-treated bed nets would provide considerable benefit to vulnerable groups and should be promoted and evaluated in the field.","URL":"http://www.ncbi.nlm.nih.gov/pmc/articles/PMC1904465/","DOI":"10.1371/journal.pmed.0040229","ISSN":"1549-1277","journalAbbreviation":"PLoS Med","author":[{"family":"Killeen","given":"Gerry F"},{"family":"Smith","given":"Tom A"},{"family":"Ferguson","given":"Heather M"},{"family":"Mshinda","given":"Hassan"},{"family":"Abdulla","given":"Salim"},{"family":"Lengeler","given":"Christian"},{"family":"Kachur","given":"Steven P"}],"issued":{"date-parts":[["2007",7]]},"accessed":{"date-parts":[["2016",6,27]]}}}],"schema":"https://github.com/citation-style-language/schema/raw/master/csl-citation.json"}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[14]</w:t>
            </w:r>
            <w:r w:rsidRPr="00764FF6">
              <w:rPr>
                <w:rFonts w:ascii="Calibri" w:eastAsia="Times New Roman" w:hAnsi="Calibri" w:cs="Arial"/>
                <w:color w:val="000000"/>
                <w:sz w:val="18"/>
                <w:lang w:eastAsia="en-GB"/>
              </w:rPr>
              <w:fldChar w:fldCharType="end"/>
            </w:r>
            <w:r w:rsidRPr="00764FF6">
              <w:rPr>
                <w:rFonts w:ascii="Calibri" w:eastAsia="Times New Roman" w:hAnsi="Calibri" w:cs="Arial"/>
                <w:color w:val="000000"/>
                <w:sz w:val="18"/>
                <w:lang w:eastAsia="en-GB"/>
              </w:rPr>
              <w:t>*</w:t>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lastRenderedPageBreak/>
              <w:t>Morogoro</w:t>
            </w:r>
          </w:p>
        </w:tc>
        <w:tc>
          <w:tcPr>
            <w:tcW w:w="600"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126.85</w:t>
            </w:r>
          </w:p>
        </w:tc>
        <w:tc>
          <w:tcPr>
            <w:tcW w:w="929"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Itongoa</w:t>
            </w:r>
            <w:proofErr w:type="spellEnd"/>
            <w:r w:rsidRPr="00764FF6">
              <w:rPr>
                <w:rFonts w:ascii="Calibri" w:eastAsia="Times New Roman" w:hAnsi="Calibri" w:cs="Arial"/>
                <w:color w:val="000000"/>
                <w:sz w:val="18"/>
                <w:lang w:eastAsia="en-GB"/>
              </w:rPr>
              <w:t xml:space="preserve"> A</w:t>
            </w:r>
          </w:p>
        </w:tc>
        <w:tc>
          <w:tcPr>
            <w:tcW w:w="77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JdrxftCm","properties":{"formattedCitation":"[14]","plainCitation":"[14]","noteIndex":0},"citationItems":[{"id":17394,"uris":["http://zotero.org/users/3516901/items/WSEXUF2I"],"uri":["http://zotero.org/users/3516901/items/WSEXUF2I"],"itemData":{"id":17394,"type":"article-journal","title":"Preventing Childhood Malaria in Africa by Protecting Adults from Mosquitoes with Insecticide-Treated Nets","container-title":"PLoS Medicine","volume":"4","issue":"7","source":"PubMed Central","abstract":"Based on malaria transmission models, Gerry Killeen and colleagues suggest that, while coverage of pregnant women and children should still be prioritized, wide-scale communal use of insecticide-treated bed nets would provide considerable benefit to vulnerable groups and should be promoted and evaluated in the field.","URL":"http://www.ncbi.nlm.nih.gov/pmc/articles/PMC1904465/","DOI":"10.1371/journal.pmed.0040229","ISSN":"1549-1277","journalAbbreviation":"PLoS Med","author":[{"family":"Killeen","given":"Gerry F"},{"family":"Smith","given":"Tom A"},{"family":"Ferguson","given":"Heather M"},{"family":"Mshinda","given":"Hassan"},{"family":"Abdulla","given":"Salim"},{"family":"Lengeler","given":"Christian"},{"family":"Kachur","given":"Steven P"}],"issued":{"date-parts":[["2007",7]]},"accessed":{"date-parts":[["2016",6,27]]}}}],"schema":"https://github.com/citation-style-language/schema/raw/master/csl-citation.json"}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[14]</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left w:val="nil"/>
              <w:right w:val="single" w:sz="4" w:space="0" w:color="auto"/>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left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left w:val="nil"/>
              <w:right w:val="single" w:sz="4" w:space="0" w:color="auto"/>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left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428.8</w:t>
            </w:r>
          </w:p>
        </w:tc>
        <w:tc>
          <w:tcPr>
            <w:tcW w:w="929" w:type="pct"/>
            <w:tcBorders>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Michenga</w:t>
            </w:r>
            <w:proofErr w:type="spellEnd"/>
          </w:p>
        </w:tc>
        <w:tc>
          <w:tcPr>
            <w:tcW w:w="774" w:type="pct"/>
            <w:tcBorders>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xixK1pAN","properties":{"formattedCitation":"[15]","plainCitation":"[15]","noteIndex":0},"citationItems":[{"id":20273,"uris":["http://zotero.org/users/3516901/items/W8V3U9M3"],"uri":["http://zotero.org/users/3516901/items/W8V3U9M3"],"itemData":{"id":20273,"type":"article-journal","title":"Absence of seasonal variation in malaria parasitaemia in an area of intense seasonal transmission","container-title":"Acta Tropica","page":"55-72","volume":"54","issue":"1","source":"ScienceDirect","abstract":"Parasitological surveys carried out in two villages of the Kilombero district of Tanzania indicated a very high prevalence of Plasmodium falciparum parasitaemia throughout the year (all ages mean prevalence = 69.2%) and a low, unstable prevalence of P. malariae (all ages mean prevalence = 4.5%). Fevers (temperature ≥ 37.5°C) in both children and adults showed irregular changes in prevalence over time, but there was no seasonal pattern. Neither was there seasonal variation in either P. falciparum parasite prevalence or parasite densities. This was despite marked seasonality in vectors caught in CDC light-traps and in estimated sporozoite inoculations determined by ELISA. The estimated mean annual inoculation rate was extremely high, over 300 infectious bites per person per year, the main vectors being members of the A. gambiae complex and Anopheles funestus. There was considerable variation between houses but even in houses with relatively low mosquito numbers the inoculation rate was sufficient to maintain a maximal P. falciparum prevalence. Heterogeneities in exposure cannot explain why the parasite prevalence is not always 100%. In areas of such high transmission, parasitaemias are likely to be determined mainly by the interaction of schizogony and anti-blood stage immunity, since parasites arising from new inoculations generally comprise only a small proportion of the total in the circulation. In any one individual, this will lead to periodic fluctuations in levels of parasitaemia. These are unlikely to show a close relationship to either seasonal variation in inoculations or to differences between households in the local inoculation rate.","DOI":"10.1016/0001-706X(93)90068-M","ISSN":"0001-706X","journalAbbreviation":"Acta Tropica","author":[{"family":"Smith","given":"T."},{"family":"Charlwood","given":"J. D."},{"family":"Kihonda","given":"J."},{"family":"Mwankusye","given":"S."},{"family":"Billingsley","given":"P."},{"family":"Meuwissen","given":"J."},{"family":"Lyimo","given":"E."},{"family":"Takken","given":"W."},{"family":"Teuscher","given":"T."},{"family":"Tanner","given":"M."}],"issued":{"date-parts":[["1993",6,1]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[15]</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left w:val="nil"/>
              <w:bottom w:val="single" w:sz="4" w:space="0" w:color="auto"/>
              <w:right w:val="single" w:sz="4" w:space="0" w:color="auto"/>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Kilombero</w:t>
            </w:r>
            <w:proofErr w:type="spellEnd"/>
          </w:p>
        </w:tc>
        <w:tc>
          <w:tcPr>
            <w:tcW w:w="344" w:type="pct"/>
            <w:tcBorders>
              <w:left w:val="single" w:sz="4" w:space="0" w:color="auto"/>
              <w:bottom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73.53</w:t>
            </w:r>
          </w:p>
        </w:tc>
        <w:tc>
          <w:tcPr>
            <w:tcW w:w="422" w:type="pct"/>
            <w:tcBorders>
              <w:left w:val="nil"/>
              <w:bottom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73.68</w:t>
            </w:r>
          </w:p>
        </w:tc>
        <w:tc>
          <w:tcPr>
            <w:tcW w:w="334" w:type="pct"/>
            <w:tcBorders>
              <w:left w:val="nil"/>
              <w:bottom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60.83</w:t>
            </w:r>
          </w:p>
        </w:tc>
        <w:tc>
          <w:tcPr>
            <w:tcW w:w="383" w:type="pct"/>
            <w:tcBorders>
              <w:left w:val="nil"/>
              <w:bottom w:val="single" w:sz="4" w:space="0" w:color="auto"/>
              <w:right w:val="single" w:sz="4" w:space="0" w:color="auto"/>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84.88</w:t>
            </w:r>
          </w:p>
        </w:tc>
        <w:tc>
          <w:tcPr>
            <w:tcW w:w="668" w:type="pct"/>
            <w:tcBorders>
              <w:left w:val="single" w:sz="4" w:space="0" w:color="auto"/>
              <w:bottom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420</w:t>
            </w:r>
          </w:p>
        </w:tc>
        <w:tc>
          <w:tcPr>
            <w:tcW w:w="929" w:type="pct"/>
            <w:tcBorders>
              <w:left w:val="nil"/>
              <w:bottom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Namawala</w:t>
            </w:r>
            <w:proofErr w:type="spellEnd"/>
          </w:p>
        </w:tc>
        <w:tc>
          <w:tcPr>
            <w:tcW w:w="774" w:type="pct"/>
            <w:tcBorders>
              <w:left w:val="nil"/>
              <w:bottom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7GAC7Vjj","properties":{"formattedCitation":"[15]","plainCitation":"[15]","noteIndex":0},"citationItems":[{"id":20273,"uris":["http://zotero.org/users/3516901/items/W8V3U9M3"],"uri":["http://zotero.org/users/3516901/items/W8V3U9M3"],"itemData":{"id":20273,"type":"article-journal","title":"Absence of seasonal variation in malaria parasitaemia in an area of intense seasonal transmission","container-title":"Acta Tropica","page":"55-72","volume":"54","issue":"1","source":"ScienceDirect","abstract":"Parasitological surveys carried out in two villages of the Kilombero district of Tanzania indicated a very high prevalence of Plasmodium falciparum parasitaemia throughout the year (all ages mean prevalence = 69.2%) and a low, unstable prevalence of P. malariae (all ages mean prevalence = 4.5%). Fevers (temperature ≥ 37.5°C) in both children and adults showed irregular changes in prevalence over time, but there was no seasonal pattern. Neither was there seasonal variation in either P. falciparum parasite prevalence or parasite densities. This was despite marked seasonality in vectors caught in CDC light-traps and in estimated sporozoite inoculations determined by ELISA. The estimated mean annual inoculation rate was extremely high, over 300 infectious bites per person per year, the main vectors being members of the A. gambiae complex and Anopheles funestus. There was considerable variation between houses but even in houses with relatively low mosquito numbers the inoculation rate was sufficient to maintain a maximal P. falciparum prevalence. Heterogeneities in exposure cannot explain why the parasite prevalence is not always 100%. In areas of such high transmission, parasitaemias are likely to be determined mainly by the interaction of schizogony and anti-blood stage immunity, since parasites arising from new inoculations generally comprise only a small proportion of the total in the circulation. In any one individual, this will lead to periodic fluctuations in levels of parasitaemia. These are unlikely to show a close relationship to either seasonal variation in inoculations or to differences between households in the local inoculation rate.","DOI":"10.1016/0001-706X(93)90068-M","ISSN":"0001-706X","journalAbbreviation":"Acta Tropica","author":[{"family":"Smith","given":"T."},{"family":"Charlwood","given":"J. D."},{"family":"Kihonda","given":"J."},{"family":"Mwankusye","given":"S."},{"family":"Billingsley","given":"P."},{"family":"Meuwissen","given":"J."},{"family":"Lyimo","given":"E."},{"family":"Takken","given":"W."},{"family":"Teuscher","given":"T."},{"family":"Tanner","given":"M."}],"issued":{"date-parts":[["1993",6,1]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[15]</w:t>
            </w:r>
            <w:r w:rsidRPr="00764FF6">
              <w:rPr>
                <w:rFonts w:ascii="Calibri" w:eastAsia="Times New Roman" w:hAnsi="Calibri" w:cs="Arial"/>
                <w:color w:val="000000"/>
                <w:sz w:val="18"/>
                <w:lang w:eastAsia="en-GB"/>
              </w:rPr>
              <w:fldChar w:fldCharType="end"/>
            </w:r>
          </w:p>
        </w:tc>
      </w:tr>
      <w:tr w:rsidR="00BF014B" w:rsidRPr="00D31B80" w:rsidTr="00CF7862">
        <w:trPr>
          <w:trHeight w:val="276"/>
        </w:trPr>
        <w:tc>
          <w:tcPr>
            <w:tcW w:w="546" w:type="pct"/>
            <w:tcBorders>
              <w:top w:val="nil"/>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single" w:sz="4" w:space="0" w:color="auto"/>
              <w:left w:val="nil"/>
              <w:right w:val="single" w:sz="4" w:space="0" w:color="auto"/>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Ulanga</w:t>
            </w:r>
            <w:proofErr w:type="spellEnd"/>
          </w:p>
        </w:tc>
        <w:tc>
          <w:tcPr>
            <w:tcW w:w="344" w:type="pct"/>
            <w:tcBorders>
              <w:top w:val="single" w:sz="4" w:space="0" w:color="auto"/>
              <w:left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100.1</w:t>
            </w:r>
          </w:p>
        </w:tc>
        <w:tc>
          <w:tcPr>
            <w:tcW w:w="422" w:type="pct"/>
            <w:tcBorders>
              <w:top w:val="single" w:sz="4" w:space="0" w:color="auto"/>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107.3</w:t>
            </w:r>
          </w:p>
        </w:tc>
        <w:tc>
          <w:tcPr>
            <w:tcW w:w="334" w:type="pct"/>
            <w:tcBorders>
              <w:top w:val="single" w:sz="4" w:space="0" w:color="auto"/>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42.48</w:t>
            </w:r>
          </w:p>
        </w:tc>
        <w:tc>
          <w:tcPr>
            <w:tcW w:w="383" w:type="pct"/>
            <w:tcBorders>
              <w:top w:val="single" w:sz="4" w:space="0" w:color="auto"/>
              <w:left w:val="nil"/>
              <w:right w:val="single" w:sz="4" w:space="0" w:color="auto"/>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118.12</w:t>
            </w:r>
          </w:p>
        </w:tc>
        <w:tc>
          <w:tcPr>
            <w:tcW w:w="668" w:type="pct"/>
            <w:tcBorders>
              <w:top w:val="single" w:sz="4" w:space="0" w:color="auto"/>
              <w:left w:val="single" w:sz="4" w:space="0" w:color="auto"/>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1.51</w:t>
            </w:r>
          </w:p>
        </w:tc>
        <w:tc>
          <w:tcPr>
            <w:tcW w:w="929" w:type="pct"/>
            <w:tcBorders>
              <w:top w:val="single" w:sz="4" w:space="0" w:color="auto"/>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Matanila-Chindwangi</w:t>
            </w:r>
            <w:proofErr w:type="spellEnd"/>
          </w:p>
        </w:tc>
        <w:tc>
          <w:tcPr>
            <w:tcW w:w="774" w:type="pct"/>
            <w:tcBorders>
              <w:top w:val="single" w:sz="4" w:space="0" w:color="auto"/>
              <w:left w:val="nil"/>
              <w:right w:val="nil"/>
            </w:tcBorders>
            <w:shd w:val="clear" w:color="auto" w:fill="auto"/>
            <w:noWrap/>
            <w:vAlign w:val="center"/>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zaYs9u4s","properties":{"formattedCitation":"[16]","plainCitation":"[16]","noteIndex":0},"citationItems":[{"id":34035,"uris":["http://zotero.org/users/3516901/items/MIY8EDKB"],"uri":["http://zotero.org/users/3516901/items/MIY8EDKB"],"itemData":{"id":34035,"type":"article-journal","title":"Report on a limited anopheline survey at Ifakara, South-Eastern Tanzania","container-title":"Acta Tropica","page":"17-28","volume":"25","issue":"1","source":"PubMed","ISSN":"0001-706X","note":"PMID: 4385521","journalAbbreviation":"Acta Trop.","language":"eng","author":[{"family":"Freyvogel","given":"T. A."},{"family":"Kihaule","given":"P. M."}],"issued":{"date-parts":[["1968"]]}}}],"schema":"https://github.com/citation-style-language/schema/raw/master/csl-citation.json"}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[16]</w:t>
            </w:r>
            <w:r w:rsidRPr="00764FF6">
              <w:rPr>
                <w:rFonts w:ascii="Calibri" w:eastAsia="Times New Roman" w:hAnsi="Calibri" w:cs="Arial"/>
                <w:color w:val="000000"/>
                <w:sz w:val="18"/>
                <w:lang w:eastAsia="en-GB"/>
              </w:rPr>
              <w:fldChar w:fldCharType="end"/>
            </w:r>
          </w:p>
        </w:tc>
      </w:tr>
      <w:tr w:rsidR="005B7750" w:rsidRPr="00D31B80" w:rsidTr="00CF7862">
        <w:trPr>
          <w:trHeight w:val="308"/>
        </w:trPr>
        <w:tc>
          <w:tcPr>
            <w:tcW w:w="546" w:type="pct"/>
            <w:tcBorders>
              <w:left w:val="nil"/>
              <w:right w:val="nil"/>
            </w:tcBorders>
            <w:shd w:val="clear" w:color="auto" w:fill="auto"/>
            <w:noWrap/>
            <w:vAlign w:val="center"/>
            <w:hideMark/>
          </w:tcPr>
          <w:p w:rsidR="005B7750" w:rsidRPr="00764FF6" w:rsidRDefault="005B7750"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left w:val="nil"/>
              <w:bottom w:val="single" w:sz="4" w:space="0" w:color="auto"/>
              <w:right w:val="single" w:sz="4" w:space="0" w:color="auto"/>
            </w:tcBorders>
            <w:shd w:val="clear" w:color="auto" w:fill="auto"/>
            <w:noWrap/>
            <w:vAlign w:val="center"/>
            <w:hideMark/>
          </w:tcPr>
          <w:p w:rsidR="005B7750" w:rsidRPr="00764FF6" w:rsidRDefault="00CF7862" w:rsidP="00CF786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Ulanga</w:t>
            </w:r>
            <w:proofErr w:type="spellEnd"/>
          </w:p>
        </w:tc>
        <w:tc>
          <w:tcPr>
            <w:tcW w:w="344" w:type="pct"/>
            <w:tcBorders>
              <w:left w:val="single" w:sz="4" w:space="0" w:color="auto"/>
              <w:bottom w:val="single" w:sz="4" w:space="0" w:color="auto"/>
              <w:right w:val="nil"/>
            </w:tcBorders>
            <w:shd w:val="clear" w:color="auto" w:fill="auto"/>
            <w:noWrap/>
            <w:vAlign w:val="center"/>
            <w:hideMark/>
          </w:tcPr>
          <w:p w:rsidR="005B7750"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100.1</w:t>
            </w:r>
          </w:p>
        </w:tc>
        <w:tc>
          <w:tcPr>
            <w:tcW w:w="422" w:type="pct"/>
            <w:tcBorders>
              <w:left w:val="nil"/>
              <w:bottom w:val="single" w:sz="4" w:space="0" w:color="auto"/>
              <w:right w:val="nil"/>
            </w:tcBorders>
            <w:shd w:val="clear" w:color="auto" w:fill="auto"/>
            <w:noWrap/>
            <w:vAlign w:val="center"/>
            <w:hideMark/>
          </w:tcPr>
          <w:p w:rsidR="005B7750"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107.3</w:t>
            </w:r>
          </w:p>
        </w:tc>
        <w:tc>
          <w:tcPr>
            <w:tcW w:w="334" w:type="pct"/>
            <w:tcBorders>
              <w:left w:val="nil"/>
              <w:bottom w:val="single" w:sz="4" w:space="0" w:color="auto"/>
              <w:right w:val="nil"/>
            </w:tcBorders>
            <w:shd w:val="clear" w:color="auto" w:fill="auto"/>
            <w:noWrap/>
            <w:vAlign w:val="center"/>
            <w:hideMark/>
          </w:tcPr>
          <w:p w:rsidR="005B7750"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42.48</w:t>
            </w:r>
          </w:p>
        </w:tc>
        <w:tc>
          <w:tcPr>
            <w:tcW w:w="383" w:type="pct"/>
            <w:tcBorders>
              <w:left w:val="nil"/>
              <w:bottom w:val="single" w:sz="4" w:space="0" w:color="auto"/>
              <w:right w:val="single" w:sz="4" w:space="0" w:color="auto"/>
            </w:tcBorders>
            <w:shd w:val="clear" w:color="auto" w:fill="auto"/>
            <w:noWrap/>
            <w:vAlign w:val="center"/>
            <w:hideMark/>
          </w:tcPr>
          <w:p w:rsidR="005B7750"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118.12</w:t>
            </w:r>
          </w:p>
        </w:tc>
        <w:tc>
          <w:tcPr>
            <w:tcW w:w="668" w:type="pct"/>
            <w:tcBorders>
              <w:left w:val="single" w:sz="4" w:space="0" w:color="auto"/>
              <w:bottom w:val="single" w:sz="4" w:space="0" w:color="auto"/>
              <w:right w:val="nil"/>
            </w:tcBorders>
            <w:shd w:val="clear" w:color="auto" w:fill="auto"/>
            <w:noWrap/>
            <w:vAlign w:val="center"/>
            <w:hideMark/>
          </w:tcPr>
          <w:p w:rsidR="005B7750" w:rsidRPr="00764FF6" w:rsidRDefault="00CF7862" w:rsidP="00CF786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 xml:space="preserve">61.68 </w:t>
            </w:r>
            <w:r w:rsidR="005B7750" w:rsidRPr="00764FF6">
              <w:rPr>
                <w:rFonts w:ascii="Calibri" w:eastAsia="Times New Roman" w:hAnsi="Calibri" w:cs="Arial"/>
                <w:color w:val="000000"/>
                <w:sz w:val="18"/>
                <w:lang w:eastAsia="en-GB"/>
              </w:rPr>
              <w:t>-</w:t>
            </w:r>
            <w:r w:rsidRPr="00764FF6">
              <w:rPr>
                <w:rFonts w:ascii="Calibri" w:eastAsia="Times New Roman" w:hAnsi="Calibri" w:cs="Arial"/>
                <w:color w:val="000000"/>
                <w:sz w:val="18"/>
                <w:lang w:eastAsia="en-GB"/>
              </w:rPr>
              <w:t xml:space="preserve"> </w:t>
            </w:r>
            <w:r w:rsidR="005B7750" w:rsidRPr="00764FF6">
              <w:rPr>
                <w:rFonts w:ascii="Calibri" w:eastAsia="Times New Roman" w:hAnsi="Calibri" w:cs="Arial"/>
                <w:color w:val="000000"/>
                <w:sz w:val="18"/>
                <w:lang w:eastAsia="en-GB"/>
              </w:rPr>
              <w:t>620.02</w:t>
            </w:r>
          </w:p>
        </w:tc>
        <w:tc>
          <w:tcPr>
            <w:tcW w:w="929" w:type="pct"/>
            <w:tcBorders>
              <w:left w:val="nil"/>
              <w:bottom w:val="single" w:sz="4" w:space="0" w:color="auto"/>
              <w:right w:val="nil"/>
            </w:tcBorders>
            <w:shd w:val="clear" w:color="auto" w:fill="auto"/>
            <w:noWrap/>
            <w:vAlign w:val="center"/>
            <w:hideMark/>
          </w:tcPr>
          <w:p w:rsidR="005B7750" w:rsidRPr="00764FF6" w:rsidRDefault="00CF7862" w:rsidP="00CF7862">
            <w:pPr>
              <w:spacing w:after="0" w:line="360" w:lineRule="auto"/>
              <w:jc w:val="center"/>
              <w:rPr>
                <w:rFonts w:ascii="Calibri" w:eastAsia="Times New Roman" w:hAnsi="Calibri" w:cs="Arial"/>
                <w:color w:val="000000"/>
                <w:sz w:val="18"/>
                <w:lang w:val="es-ES" w:eastAsia="en-GB"/>
              </w:rPr>
            </w:pPr>
            <w:r w:rsidRPr="00764FF6">
              <w:rPr>
                <w:rFonts w:ascii="Calibri" w:eastAsia="Times New Roman" w:hAnsi="Calibri" w:cs="Arial"/>
                <w:color w:val="000000"/>
                <w:sz w:val="18"/>
                <w:lang w:val="es-ES" w:eastAsia="en-GB"/>
              </w:rPr>
              <w:t>11 villages</w:t>
            </w:r>
          </w:p>
        </w:tc>
        <w:tc>
          <w:tcPr>
            <w:tcW w:w="774" w:type="pct"/>
            <w:tcBorders>
              <w:left w:val="nil"/>
              <w:bottom w:val="single" w:sz="4" w:space="0" w:color="auto"/>
              <w:right w:val="nil"/>
            </w:tcBorders>
            <w:shd w:val="clear" w:color="auto" w:fill="auto"/>
            <w:noWrap/>
            <w:vAlign w:val="center"/>
            <w:hideMark/>
          </w:tcPr>
          <w:p w:rsidR="005B7750" w:rsidRPr="00764FF6" w:rsidRDefault="005B7750" w:rsidP="00CF786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u3xUqQLV","properties":{"formattedCitation":"[14]","plainCitation":"[14]","noteIndex":0},"citationItems":[{"id":17394,"uris":["http://zotero.org/users/3516901/items/WSEXUF2I"],"uri":["http://zotero.org/users/3516901/items/WSEXUF2I"],"itemData":{"id":17394,"type":"article-journal","title":"Preventing Childhood Malaria in Africa by Protecting Adults from Mosquitoes with Insecticide-Treated Nets","container-title":"PLoS Medicine","volume":"4","issue":"7","source":"PubMed Central","abstract":"Based on malaria transmission models, Gerry Killeen and colleagues suggest that, while coverage of pregnant women and children should still be prioritized, wide-scale communal use of insecticide-treated bed nets would provide considerable benefit to vulnerable groups and should be promoted and evaluated in the field.","URL":"http://www.ncbi.nlm.nih.gov/pmc/articles/PMC1904465/","DOI":"10.1371/journal.pmed.0040229","ISSN":"1549-1277","journalAbbreviation":"PLoS Med","author":[{"family":"Killeen","given":"Gerry F"},{"family":"Smith","given":"Tom A"},{"family":"Ferguson","given":"Heather M"},{"family":"Mshinda","given":"Hassan"},{"family":"Abdulla","given":"Salim"},{"family":"Lengeler","given":"Christian"},{"family":"Kachur","given":"Steven P"}],"issued":{"date-parts":[["2007",7]]},"accessed":{"date-parts":[["2016",6,27]]}}}],"schema":"https://github.com/citation-style-language/schema/raw/master/csl-citation.json"}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[14]</w:t>
            </w:r>
            <w:r w:rsidRPr="00764FF6">
              <w:rPr>
                <w:rFonts w:ascii="Calibri" w:eastAsia="Times New Roman" w:hAnsi="Calibri" w:cs="Arial"/>
                <w:color w:val="000000"/>
                <w:sz w:val="18"/>
                <w:lang w:eastAsia="en-GB"/>
              </w:rPr>
              <w:fldChar w:fldCharType="end"/>
            </w:r>
            <w:r w:rsidRPr="00764FF6">
              <w:rPr>
                <w:rFonts w:ascii="Calibri" w:eastAsia="Times New Roman" w:hAnsi="Calibri" w:cs="Arial"/>
                <w:color w:val="000000"/>
                <w:sz w:val="18"/>
                <w:lang w:eastAsia="en-GB"/>
              </w:rPr>
              <w:t>*</w:t>
            </w:r>
          </w:p>
        </w:tc>
      </w:tr>
      <w:tr w:rsidR="00BF014B" w:rsidRPr="00D31B80" w:rsidTr="00CF7862">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Mvomero</w:t>
            </w:r>
            <w:proofErr w:type="spellEnd"/>
          </w:p>
        </w:tc>
        <w:tc>
          <w:tcPr>
            <w:tcW w:w="344"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62.16</w:t>
            </w:r>
          </w:p>
        </w:tc>
        <w:tc>
          <w:tcPr>
            <w:tcW w:w="422"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62.77</w:t>
            </w:r>
          </w:p>
        </w:tc>
        <w:tc>
          <w:tcPr>
            <w:tcW w:w="33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41.03</w:t>
            </w:r>
          </w:p>
        </w:tc>
        <w:tc>
          <w:tcPr>
            <w:tcW w:w="383"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79.86</w:t>
            </w:r>
          </w:p>
        </w:tc>
        <w:tc>
          <w:tcPr>
            <w:tcW w:w="668"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58.4</w:t>
            </w:r>
          </w:p>
        </w:tc>
        <w:tc>
          <w:tcPr>
            <w:tcW w:w="929"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Mkindo</w:t>
            </w:r>
            <w:proofErr w:type="spellEnd"/>
          </w:p>
        </w:tc>
        <w:tc>
          <w:tcPr>
            <w:tcW w:w="77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yWJXXaHB","properties":{"formattedCitation":"[17]","plainCitation":"[17]","noteIndex":0},"citationItems":[{"id":19812,"uris":["http://zotero.org/users/3516901/items/G2E7GD8D"],"uri":["http://zotero.org/users/3516901/items/G2E7GD8D"],"itemData":{"id":19812,"type":"article-journal","title":"Spatio-temporal variation in malaria transmission intensity in five agro-ecosystems in Mvomero district, Tanzania","container-title":"Geospatial Health","page":"167-178","volume":"4","issue":"2","source":"geospatialhealth.net","abstract":"In Africa, malaria is predominantly a rural disease where agriculture forms the backbone of the economy. Various agro-ecosystems and crop production systems have an impact on mosquito productivity, and hence malaria transmission intensity. This study was carried out to determine spatial and temporal variations in anopheline mosquito population and malaria transmission intensity in five villages, representing different agro-ecosystems in Mvomero district, Tanzania, so as to provide baseline information for malaria interventions. The agro-ecosystems consisted of irrigated sugarcane, flooding rice irrigation, non-flooding rice irrigation, wet savannah and dry savannah. In each setting, adult mosquitoes were sampled monthly using Centers for Disease Control and Prevention (CDC) light traps from August 2004 to July 2005. A total of 35,702 female mosquitoes were collected. Anopheles gambiae sensu lato was the most abundant (58.9%) mosquito species. An. funestus accounted for 12.0% of the mosquitoes collected. There was a substantial village to village variation and seasonality in the density of Anopheles mosquito population, with peaks in May towards the end of the warm and rainy season. Significantly larger numbers of anophelines were collected from traditional flooding rice irrigation ecosystem (70.7%) than in non-flooding rice irrigation (8.6%), sugarcane (7.0%), wet savannah (7.3%) and dry savannah (6.4%). The overall sporozoite rates for An. gambiae and An. funestus were 3.4% and 2.3%, respectively. The combined overall sporozoite rate (An. gambiae+An. funestus) was 3.2%. The mean annual entomological inoculation rate (EIR) for An. gambiae s.l. was 728 infective bites per person per year and this was significantly higher in traditional flooding rice irrigation (1351) than in other agro-ecosystems. The highest EIRs for An. gambiae s.l. and An. funestus were observed during May 2005 (long rainy season) and December 2004 (short rainy season), respectively. The findings support the evidence that malaria transmission risk varies even between neighbouring villages and is influenced by agro-ecosystems. This study therefore, demonstrates the need to generate spatial and temporal data on transmission intensity on smaller scales taking into consideration","DOI":"10.4081/gh.2010.198","ISSN":"1970-7096","author":[{"family":"Mboera","given":"Leonard E. G."},{"family":"Senkoro","given":"Kesheni P."},{"family":"Mayala","given":"Benjamin K."},{"family":"Rumisha","given":"Susan F."},{"family":"Rwegoshora","given":"Rwehumbiza T."},{"family":"Mlozi","given":"Malongo R. S."},{"family":"Shayo","given":"Elizabeth H."}],"issued":{"date-parts":[["2010",5,1]]}}}],"schema":"https://github.com/citation-style-language/schema/raw/master/csl-citation.json"}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[17]</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Mvomero</w:t>
            </w:r>
            <w:proofErr w:type="spellEnd"/>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62.16</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62.77</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41.03</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79.86</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182.5</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Mkindo</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4WJDtZRQ","properties":{"formattedCitation":"[17]","plainCitation":"[17]","noteIndex":0},"citationItems":[{"id":19812,"uris":["http://zotero.org/users/3516901/items/G2E7GD8D"],"uri":["http://zotero.org/users/3516901/items/G2E7GD8D"],"itemData":{"id":19812,"type":"article-journal","title":"Spatio-temporal variation in malaria transmission intensity in five agro-ecosystems in Mvomero district, Tanzania","container-title":"Geospatial Health","page":"167-178","volume":"4","issue":"2","source":"geospatialhealth.net","abstract":"In Africa, malaria is predominantly a rural disease where agriculture forms the backbone of the economy. Various agro-ecosystems and crop production systems have an impact on mosquito productivity, and hence malaria transmission intensity. This study was carried out to determine spatial and temporal variations in anopheline mosquito population and malaria transmission intensity in five villages, representing different agro-ecosystems in Mvomero district, Tanzania, so as to provide baseline information for malaria interventions. The agro-ecosystems consisted of irrigated sugarcane, flooding rice irrigation, non-flooding rice irrigation, wet savannah and dry savannah. In each setting, adult mosquitoes were sampled monthly using Centers for Disease Control and Prevention (CDC) light traps from August 2004 to July 2005. A total of 35,702 female mosquitoes were collected. Anopheles gambiae sensu lato was the most abundant (58.9%) mosquito species. An. funestus accounted for 12.0% of the mosquitoes collected. There was a substantial village to village variation and seasonality in the density of Anopheles mosquito population, with peaks in May towards the end of the warm and rainy season. Significantly larger numbers of anophelines were collected from traditional flooding rice irrigation ecosystem (70.7%) than in non-flooding rice irrigation (8.6%), sugarcane (7.0%), wet savannah (7.3%) and dry savannah (6.4%). The overall sporozoite rates for An. gambiae and An. funestus were 3.4% and 2.3%, respectively. The combined overall sporozoite rate (An. gambiae+An. funestus) was 3.2%. The mean annual entomological inoculation rate (EIR) for An. gambiae s.l. was 728 infective bites per person per year and this was significantly higher in traditional flooding rice irrigation (1351) than in other agro-ecosystems. The highest EIRs for An. gambiae s.l. and An. funestus were observed during May 2005 (long rainy season) and December 2004 (short rainy season), respectively. The findings support the evidence that malaria transmission risk varies even between neighbouring villages and is influenced by agro-ecosystems. This study therefore, demonstrates the need to generate spatial and temporal data on transmission intensity on smaller scales taking into consideration","DOI":"10.4081/gh.2010.198","ISSN":"1970-7096","author":[{"family":"Mboera","given":"Leonard E. G."},{"family":"Senkoro","given":"Kesheni P."},{"family":"Mayala","given":"Benjamin K."},{"family":"Rumisha","given":"Susan F."},{"family":"Rwegoshora","given":"Rwehumbiza T."},{"family":"Mlozi","given":"Malongo R. S."},{"family":"Shayo","given":"Elizabeth H."}],"issued":{"date-parts":[["2010",5,1]]}}}],"schema":"https://github.com/citation-style-language/schema/raw/master/csl-citation.json"}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[17]</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Mvomero</w:t>
            </w:r>
            <w:proofErr w:type="spellEnd"/>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62.16</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62.77</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41.03</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79.86</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37.5</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Luhindo</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NdzPgZSq","properties":{"formattedCitation":"[17]","plainCitation":"[17]","noteIndex":0},"citationItems":[{"id":19812,"uris":["http://zotero.org/users/3516901/items/G2E7GD8D"],"uri":["http://zotero.org/users/3516901/items/G2E7GD8D"],"itemData":{"id":19812,"type":"article-journal","title":"Spatio-temporal variation in malaria transmission intensity in five agro-ecosystems in Mvomero district, Tanzania","container-title":"Geospatial Health","page":"167-178","volume":"4","issue":"2","source":"geospatialhealth.net","abstract":"In Africa, malaria is predominantly a rural disease where agriculture forms the backbone of the economy. Various agro-ecosystems and crop production systems have an impact on mosquito productivity, and hence malaria transmission intensity. This study was carried out to determine spatial and temporal variations in anopheline mosquito population and malaria transmission intensity in five villages, representing different agro-ecosystems in Mvomero district, Tanzania, so as to provide baseline information for malaria interventions. The agro-ecosystems consisted of irrigated sugarcane, flooding rice irrigation, non-flooding rice irrigation, wet savannah and dry savannah. In each setting, adult mosquitoes were sampled monthly using Centers for Disease Control and Prevention (CDC) light traps from August 2004 to July 2005. A total of 35,702 female mosquitoes were collected. Anopheles gambiae sensu lato was the most abundant (58.9%) mosquito species. An. funestus accounted for 12.0% of the mosquitoes collected. There was a substantial village to village variation and seasonality in the density of Anopheles mosquito population, with peaks in May towards the end of the warm and rainy season. Significantly larger numbers of anophelines were collected from traditional flooding rice irrigation ecosystem (70.7%) than in non-flooding rice irrigation (8.6%), sugarcane (7.0%), wet savannah (7.3%) and dry savannah (6.4%). The overall sporozoite rates for An. gambiae and An. funestus were 3.4% and 2.3%, respectively. The combined overall sporozoite rate (An. gambiae+An. funestus) was 3.2%. The mean annual entomological inoculation rate (EIR) for An. gambiae s.l. was 728 infective bites per person per year and this was significantly higher in traditional flooding rice irrigation (1351) than in other agro-ecosystems. The highest EIRs for An. gambiae s.l. and An. funestus were observed during May 2005 (long rainy season) and December 2004 (short rainy season), respectively. The findings support the evidence that malaria transmission risk varies even between neighbouring villages and is influenced by agro-ecosystems. This study therefore, demonstrates the need to generate spatial and temporal data on transmission intensity on smaller scales taking into consideration","DOI":"10.4081/gh.2010.198","ISSN":"1970-7096","author":[{"family":"Mboera","given":"Leonard E. G."},{"family":"Senkoro","given":"Kesheni P."},{"family":"Mayala","given":"Benjamin K."},{"family":"Rumisha","given":"Susan F."},{"family":"Rwegoshora","given":"Rwehumbiza T."},{"family":"Mlozi","given":"Malongo R. S."},{"family":"Shayo","given":"Elizabeth H."}],"issued":{"date-parts":[["2010",5,1]]}}}],"schema":"https://github.com/citation-style-language/schema/raw/master/csl-citation.json"}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[17]</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Mvomero</w:t>
            </w:r>
            <w:proofErr w:type="spellEnd"/>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62.16</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62.77</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41.03</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79.86</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0</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Dakawa</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Ccg5rxB8","properties":{"formattedCitation":"[17]","plainCitation":"[17]","noteIndex":0},"citationItems":[{"id":19812,"uris":["http://zotero.org/users/3516901/items/G2E7GD8D"],"uri":["http://zotero.org/users/3516901/items/G2E7GD8D"],"itemData":{"id":19812,"type":"article-journal","title":"Spatio-temporal variation in malaria transmission intensity in five agro-ecosystems in Mvomero district, Tanzania","container-title":"Geospatial Health","page":"167-178","volume":"4","issue":"2","source":"geospatialhealth.net","abstract":"In Africa, malaria is predominantly a rural disease where agriculture forms the backbone of the economy. Various agro-ecosystems and crop production systems have an impact on mosquito productivity, and hence malaria transmission intensity. This study was carried out to determine spatial and temporal variations in anopheline mosquito population and malaria transmission intensity in five villages, representing different agro-ecosystems in Mvomero district, Tanzania, so as to provide baseline information for malaria interventions. The agro-ecosystems consisted of irrigated sugarcane, flooding rice irrigation, non-flooding rice irrigation, wet savannah and dry savannah. In each setting, adult mosquitoes were sampled monthly using Centers for Disease Control and Prevention (CDC) light traps from August 2004 to July 2005. A total of 35,702 female mosquitoes were collected. Anopheles gambiae sensu lato was the most abundant (58.9%) mosquito species. An. funestus accounted for 12.0% of the mosquitoes collected. There was a substantial village to village variation and seasonality in the density of Anopheles mosquito population, with peaks in May towards the end of the warm and rainy season. Significantly larger numbers of anophelines were collected from traditional flooding rice irrigation ecosystem (70.7%) than in non-flooding rice irrigation (8.6%), sugarcane (7.0%), wet savannah (7.3%) and dry savannah (6.4%). The overall sporozoite rates for An. gambiae and An. funestus were 3.4% and 2.3%, respectively. The combined overall sporozoite rate (An. gambiae+An. funestus) was 3.2%. The mean annual entomological inoculation rate (EIR) for An. gambiae s.l. was 728 infective bites per person per year and this was significantly higher in traditional flooding rice irrigation (1351) than in other agro-ecosystems. The highest EIRs for An. gambiae s.l. and An. funestus were observed during May 2005 (long rainy season) and December 2004 (short rainy season), respectively. The findings support the evidence that malaria transmission risk varies even between neighbouring villages and is influenced by agro-ecosystems. This study therefore, demonstrates the need to generate spatial and temporal data on transmission intensity on smaller scales taking into consideration","DOI":"10.4081/gh.2010.198","ISSN":"1970-7096","author":[{"family":"Mboera","given":"Leonard E. G."},{"family":"Senkoro","given":"Kesheni P."},{"family":"Mayala","given":"Benjamin K."},{"family":"Rumisha","given":"Susan F."},{"family":"Rwegoshora","given":"Rwehumbiza T."},{"family":"Mlozi","given":"Malongo R. S."},{"family":"Shayo","given":"Elizabeth H."}],"issued":{"date-parts":[["2010",5,1]]}}}],"schema":"https://github.com/citation-style-language/schema/raw/master/csl-citation.json"}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[17]</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Morogoro</w:t>
            </w:r>
          </w:p>
        </w:tc>
        <w:tc>
          <w:tcPr>
            <w:tcW w:w="600"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Mvomero</w:t>
            </w:r>
            <w:proofErr w:type="spellEnd"/>
          </w:p>
        </w:tc>
        <w:tc>
          <w:tcPr>
            <w:tcW w:w="344"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62.16</w:t>
            </w:r>
          </w:p>
        </w:tc>
        <w:tc>
          <w:tcPr>
            <w:tcW w:w="422"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62.77</w:t>
            </w:r>
          </w:p>
        </w:tc>
        <w:tc>
          <w:tcPr>
            <w:tcW w:w="33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41.03</w:t>
            </w:r>
          </w:p>
        </w:tc>
        <w:tc>
          <w:tcPr>
            <w:tcW w:w="383"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79.86</w:t>
            </w:r>
          </w:p>
        </w:tc>
        <w:tc>
          <w:tcPr>
            <w:tcW w:w="668"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413.5</w:t>
            </w:r>
          </w:p>
        </w:tc>
        <w:tc>
          <w:tcPr>
            <w:tcW w:w="929"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Mtibwa</w:t>
            </w:r>
            <w:proofErr w:type="spellEnd"/>
          </w:p>
        </w:tc>
        <w:tc>
          <w:tcPr>
            <w:tcW w:w="77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QYkE3XYd","properties":{"formattedCitation":"[17]","plainCitation":"[17]","noteIndex":0},"citationItems":[{"id":19812,"uris":["http://zotero.org/users/3516901/items/G2E7GD8D"],"uri":["http://zotero.org/users/3516901/items/G2E7GD8D"],"itemData":{"id":19812,"type":"article-journal","title":"Spatio-temporal variation in malaria transmission intensity in five agro-ecosystems in Mvomero district, Tanzania","container-title":"Geospatial Health","page":"167-178","volume":"4","issue":"2","source":"geospatialhealth.net","abstract":"In Africa, malaria is predominantly a rural disease where agriculture forms the backbone of the economy. Various agro-ecosystems and crop production systems have an impact on mosquito productivity, and hence malaria transmission intensity. This study was carried out to determine spatial and temporal variations in anopheline mosquito population and malaria transmission intensity in five villages, representing different agro-ecosystems in Mvomero district, Tanzania, so as to provide baseline information for malaria interventions. The agro-ecosystems consisted of irrigated sugarcane, flooding rice irrigation, non-flooding rice irrigation, wet savannah and dry savannah. In each setting, adult mosquitoes were sampled monthly using Centers for Disease Control and Prevention (CDC) light traps from August 2004 to July 2005. A total of 35,702 female mosquitoes were collected. Anopheles gambiae sensu lato was the most abundant (58.9%) mosquito species. An. funestus accounted for 12.0% of the mosquitoes collected. There was a substantial village to village variation and seasonality in the density of Anopheles mosquito population, with peaks in May towards the end of the warm and rainy season. Significantly larger numbers of anophelines were collected from traditional flooding rice irrigation ecosystem (70.7%) than in non-flooding rice irrigation (8.6%), sugarcane (7.0%), wet savannah (7.3%) and dry savannah (6.4%). The overall sporozoite rates for An. gambiae and An. funestus were 3.4% and 2.3%, respectively. The combined overall sporozoite rate (An. gambiae+An. funestus) was 3.2%. The mean annual entomological inoculation rate (EIR) for An. gambiae s.l. was 728 infective bites per person per year and this was significantly higher in traditional flooding rice irrigation (1351) than in other agro-ecosystems. The highest EIRs for An. gambiae s.l. and An. funestus were observed during May 2005 (long rainy season) and December 2004 (short rainy season), respectively. The findings support the evidence that malaria transmission risk varies even between neighbouring villages and is influenced by agro-ecosystems. This study therefore, demonstrates the need to generate spatial and temporal data on transmission intensity on smaller scales taking into consideration","DOI":"10.4081/gh.2010.198","ISSN":"1970-7096","author":[{"family":"Mboera","given":"Leonard E. G."},{"family":"Senkoro","given":"Kesheni P."},{"family":"Mayala","given":"Benjamin K."},{"family":"Rumisha","given":"Susan F."},{"family":"Rwegoshora","given":"Rwehumbiza T."},{"family":"Mlozi","given":"Malongo R. S."},{"family":"Shayo","given":"Elizabeth H."}],"issued":{"date-parts":[["2010",5,1]]}}}],"schema":"https://github.com/citation-style-language/schema/raw/master/csl-citation.json"}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[17]</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Rufiji</w:t>
            </w:r>
          </w:p>
        </w:tc>
        <w:tc>
          <w:tcPr>
            <w:tcW w:w="344"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61.73</w:t>
            </w:r>
          </w:p>
        </w:tc>
        <w:tc>
          <w:tcPr>
            <w:tcW w:w="422"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61.94</w:t>
            </w:r>
          </w:p>
        </w:tc>
        <w:tc>
          <w:tcPr>
            <w:tcW w:w="33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37.15</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90.32</w:t>
            </w:r>
          </w:p>
        </w:tc>
        <w:tc>
          <w:tcPr>
            <w:tcW w:w="668"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370</w:t>
            </w:r>
          </w:p>
        </w:tc>
        <w:tc>
          <w:tcPr>
            <w:tcW w:w="929"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Rufiji</w:t>
            </w:r>
          </w:p>
        </w:tc>
        <w:tc>
          <w:tcPr>
            <w:tcW w:w="77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61Izjv5I","properties":{"formattedCitation":"[6]","plainCitation":"[6]","noteIndex":0},"citationItems":[{"id":20283,"uris":["http://zotero.org/users/3516901/items/MK8JJ2XI"],"uri":["http://zotero.org/users/3516901/items/MK8JJ2XI"],"itemData":{"id":20283,"type":"article-journal","title":"Artemisinin-based combination therapy does not measurably reduce human infectiousness to vectors in a setting of intense malaria transmission","container-title":"Malaria Journal","page":"118","volume":"11","source":"PubMed Central","abstract":"Background\nArtemisinin-based combination therapy (ACT) for treating malaria has activity against immature gametocytes. In theory, this property may complement the effect of terminating otherwise lengthy malaria infections and reducing the parasite reservoir in the human population that can infect vector mosquitoes. However, this has never been verified at a population level in a setting with intense transmission, where chronically infectious asymptomatic carriers are common and cured patients are rapidly and repeatedly re-infected.\n\nMethods\nFrom 2001 to 2004, malaria vector densities were monitored using light traps in three Tanzanian districts. Mosquitoes were dissected to determine parous and oocyst rates. Plasmodium falciparum sporozoite rates were determined by ELISA. Sulphadoxine-pyrimethamine (SP) monotherapy was used for treatment of uncomplicated malaria in the contiguous districts of Kilombero and Ulanga throughout this period. In Rufiji district, the standard drug was changed to artesunate co-administered with SP (AS + SP) in March 2003. The effects of this change in case management on malaria parasite infection in the vectors were analysed.\n\nResults\nPlasmodium falciparum entomological inoculation rates exceeded 300 infective bites per person per year at both sites over the whole period. The introduction of AS + SP in Rufiji was associated with increased oocyst prevalence (OR [95%CI] = 3.9 [2.9-5.3], p &lt; 0.001), but had no consistent effect on sporozoite prevalence (OR [95%CI] = 0.9 [0.7-1.2], p = 0.5). The estimated infectiousness of the human population in Rufiji was very low prior to the change in drug policy. Emergence rates and parous rates of the vectors varied substantially throughout the study period, which affected estimates of infectiousness. The latter consequently cannot be explained by the change in drug policy.\n\nConclusions\nIn high perennial transmission settings, only a small proportion of infections in humans are symptomatic or treated, so case management with ACT may have little impact on overall infectiousness of the human population. Variations in infection levels in vectors largely depend on the age distribution of the mosquito population. Benefits of ACT in suppressing transmission are more likely to be evident where transmission is already low or effective vector control is widely implemented.","DOI":"10.1186/1475-2875-11-118","ISSN":"1475-2875","journalAbbreviation":"Malar J","author":[{"family":"Huho","given":"Bernadette J"},{"family":"Killeen","given":"Gerard F"},{"family":"Ferguson","given":"Heather M"},{"family":"Tami","given":"Adriana"},{"family":"Lengeler","given":"Christian"},{"family":"Charlwood","given":"J Derek"},{"family":"Kihonda","given":"Aniset"},{"family":"Kihonda","given":"Japhet"},{"family":"Kachur","given":"S Patrick"},{"family":"Smith","given":"Thomas A"},{"family":"Abdulla","given":"Salim MK"}],"issued":{"date-parts":[["2012",4,18]]}}}],"schema":"https://github.com/citation-style-language/schema/raw/master/csl-citation.json"}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[6]</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284</w:t>
            </w:r>
          </w:p>
        </w:tc>
        <w:tc>
          <w:tcPr>
            <w:tcW w:w="929"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Matimbwa</w:t>
            </w:r>
            <w:proofErr w:type="spellEnd"/>
          </w:p>
        </w:tc>
        <w:tc>
          <w:tcPr>
            <w:tcW w:w="77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5zpV4287","properties":{"formattedCitation":"[8]","plainCitation":"[8]","noteIndex":0},"citationItems":[{"id":33999,"uris":["http://zotero.org/users/3516901/items/XX6IFB5W"],"uri":["http://zotero.org/users/3516901/items/XX6IFB5W"],"itemData":{"id":33999,"type":"article-journal","title":"Malaria infection potential of anopheline mosquitoes sampled by light trapping indoors in coastal Tanzanian villages","container-title":"Medical and Veterinary Entomology","page":"256-262","volume":"9","issue":"3","source":"Wiley Online Library","abstract":"Abstract. Anopheline mosquito populations were studied during 1992 in seven villages south of Bagamoyo, coastal Tanzania, prior to malaria control intervention using insecticide treated bednets. To collect mosquitoes, CDC light traps were used in ten houses per village fortnightly for 12 months. Anopheles females were identified and checked by ELISA for the presence of malaria sporozoite antigen and source of bloodmeal. An. funestus peaked in June-July after the long rains. Three members of the An. gambiae complex had different seasonality: An. arabiensis, An. gambiae and small numbers of An. merus were collected. In most villages transmission was extremely high and perennial with the entomological inoculation rate reaching three to eleven infective bites per person per night in July and persisting at around 0.1 and 1 for most of the remainder of the year. Sporozoite infection rates within the An. gambiae complex ranged from 2% to 25%, with the peaks in January and July following the two rainy periods. An. funestus showed a similar pattern. The light traps were reliable, simple to operate, and proved to be satisfactory to study the mosquito vector population.","DOI":"10.1111/j.1365-2915.1995.tb00131.x","ISSN":"1365-2915","language":"en","author":[{"family":"Shiff","given":"C. J."},{"family":"Minjas","given":"J. N."},{"family":"Hall","given":"T."},{"family":"Hunt","given":"R. H."},{"family":"Lyimo","given":"S."},{"family":"Davis","given":"J. R."}],"issued":{"date-parts":[["1995"]]}}}],"schema":"https://github.com/citation-style-language/schema/raw/master/csl-citation.json"}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26.7</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Chasimba</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hjEl8zNM","properties":{"formattedCitation":"[8]","plainCitation":"[8]","noteIndex":0},"citationItems":[{"id":33999,"uris":["http://zotero.org/users/3516901/items/XX6IFB5W"],"uri":["http://zotero.org/users/3516901/items/XX6IFB5W"],"itemData":{"id":33999,"type":"article-journal","title":"Malaria infection potential of anopheline mosquitoes sampled by light trapping indoors in coastal Tanzanian villages","container-title":"Medical and Veterinary Entomology","page":"256-262","volume":"9","issue":"3","source":"Wiley Online Library","abstract":"Abstract. Anopheline mosquito populations were studied during 1992 in seven villages south of Bagamoyo, coastal Tanzania, prior to malaria control intervention using insecticide treated bednets. To collect mosquitoes, CDC light traps were used in ten houses per village fortnightly for 12 months. Anopheles females were identified and checked by ELISA for the presence of malaria sporozoite antigen and source of bloodmeal. An. funestus peaked in June-July after the long rains. Three members of the An. gambiae complex had different seasonality: An. arabiensis, An. gambiae and small numbers of An. merus were collected. In most villages transmission was extremely high and perennial with the entomological inoculation rate reaching three to eleven infective bites per person per night in July and persisting at around 0.1 and 1 for most of the remainder of the year. Sporozoite infection rates within the An. gambiae complex ranged from 2% to 25%, with the peaks in January and July following the two rainy periods. An. funestus showed a similar pattern. The light traps were reliable, simple to operate, and proved to be satisfactory to study the mosquito vector population.","DOI":"10.1111/j.1365-2915.1995.tb00131.x","ISSN":"1365-2915","language":"en","author":[{"family":"Shiff","given":"C. J."},{"family":"Minjas","given":"J. N."},{"family":"Hall","given":"T."},{"family":"Hunt","given":"R. H."},{"family":"Lyimo","given":"S."},{"family":"Davis","given":"J. R."}],"issued":{"date-parts":[["1995"]]}}}],"schema":"https://github.com/citation-style-language/schema/raw/master/csl-citation.json"}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547.5</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Zinga</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iyTvR3Vr","properties":{"formattedCitation":"[8]","plainCitation":"[8]","noteIndex":0},"citationItems":[{"id":33999,"uris":["http://zotero.org/users/3516901/items/XX6IFB5W"],"uri":["http://zotero.org/users/3516901/items/XX6IFB5W"],"itemData":{"id":33999,"type":"article-journal","title":"Malaria infection potential of anopheline mosquitoes sampled by light trapping indoors in coastal Tanzanian villages","container-title":"Medical and Veterinary Entomology","page":"256-262","volume":"9","issue":"3","source":"Wiley Online Library","abstract":"Abstract. Anopheline mosquito populations were studied during 1992 in seven villages south of Bagamoyo, coastal Tanzania, prior to malaria control intervention using insecticide treated bednets. To collect mosquitoes, CDC light traps were used in ten houses per village fortnightly for 12 months. Anopheles females were identified and checked by ELISA for the presence of malaria sporozoite antigen and source of bloodmeal. An. funestus peaked in June-July after the long rains. Three members of the An. gambiae complex had different seasonality: An. arabiensis, An. gambiae and small numbers of An. merus were collected. In most villages transmission was extremely high and perennial with the entomological inoculation rate reaching three to eleven infective bites per person per night in July and persisting at around 0.1 and 1 for most of the remainder of the year. Sporozoite infection rates within the An. gambiae complex ranged from 2% to 25%, with the peaks in January and July following the two rainy periods. An. funestus showed a similar pattern. The light traps were reliable, simple to operate, and proved to be satisfactory to study the mosquito vector population.","DOI":"10.1111/j.1365-2915.1995.tb00131.x","ISSN":"1365-2915","language":"en","author":[{"family":"Shiff","given":"C. J."},{"family":"Minjas","given":"J. N."},{"family":"Hall","given":"T."},{"family":"Hunt","given":"R. H."},{"family":"Lyimo","given":"S."},{"family":"Davis","given":"J. R."}],"issued":{"date-parts":[["1995"]]}}}],"schema":"https://github.com/citation-style-language/schema/raw/master/csl-citation.json"}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271.6</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Mapinga</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DvqyxQhl","properties":{"formattedCitation":"[8]","plainCitation":"[8]","noteIndex":0},"citationItems":[{"id":33999,"uris":["http://zotero.org/users/3516901/items/XX6IFB5W"],"uri":["http://zotero.org/users/3516901/items/XX6IFB5W"],"itemData":{"id":33999,"type":"article-journal","title":"Malaria infection potential of anopheline mosquitoes sampled by light trapping indoors in coastal Tanzanian villages","container-title":"Medical and Veterinary Entomology","page":"256-262","volume":"9","issue":"3","source":"Wiley Online Library","abstract":"Abstract. Anopheline mosquito populations were studied during 1992 in seven villages south of Bagamoyo, coastal Tanzania, prior to malaria control intervention using insecticide treated bednets. To collect mosquitoes, CDC light traps were used in ten houses per village fortnightly for 12 months. Anopheles females were identified and checked by ELISA for the presence of malaria sporozoite antigen and source of bloodmeal. An. funestus peaked in June-July after the long rains. Three members of the An. gambiae complex had different seasonality: An. arabiensis, An. gambiae and small numbers of An. merus were collected. In most villages transmission was extremely high and perennial with the entomological inoculation rate reaching three to eleven infective bites per person per night in July and persisting at around 0.1 and 1 for most of the remainder of the year. Sporozoite infection rates within the An. gambiae complex ranged from 2% to 25%, with the peaks in January and July following the two rainy periods. An. funestus showed a similar pattern. The light traps were reliable, simple to operate, and proved to be satisfactory to study the mosquito vector population.","DOI":"10.1111/j.1365-2915.1995.tb00131.x","ISSN":"1365-2915","language":"en","author":[{"family":"Shiff","given":"C. J."},{"family":"Minjas","given":"J. N."},{"family":"Hall","given":"T."},{"family":"Hunt","given":"R. H."},{"family":"Lyimo","given":"S."},{"family":"Davis","given":"J. R."}],"issued":{"date-parts":[["1995"]]}}}],"schema":"https://github.com/citation-style-language/schema/raw/master/csl-citation.json"}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122.1</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Yombo</w:t>
            </w:r>
            <w:proofErr w:type="spellEnd"/>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Vtcr5G1c","properties":{"formattedCitation":"[8]","plainCitation":"[8]","noteIndex":0},"citationItems":[{"id":33999,"uris":["http://zotero.org/users/3516901/items/XX6IFB5W"],"uri":["http://zotero.org/users/3516901/items/XX6IFB5W"],"itemData":{"id":33999,"type":"article-journal","title":"Malaria infection potential of anopheline mosquitoes sampled by light trapping indoors in coastal Tanzanian villages","container-title":"Medical and Veterinary Entomology","page":"256-262","volume":"9","issue":"3","source":"Wiley Online Library","abstract":"Abstract. Anopheline mosquito populations were studied during 1992 in seven villages south of Bagamoyo, coastal Tanzania, prior to malaria control intervention using insecticide treated bednets. To collect mosquitoes, CDC light traps were used in ten houses per village fortnightly for 12 months. Anopheles females were identified and checked by ELISA for the presence of malaria sporozoite antigen and source of bloodmeal. An. funestus peaked in June-July after the long rains. Three members of the An. gambiae complex had different seasonality: An. arabiensis, An. gambiae and small numbers of An. merus were collected. In most villages transmission was extremely high and perennial with the entomological inoculation rate reaching three to eleven infective bites per person per night in July and persisting at around 0.1 and 1 for most of the remainder of the year. Sporozoite infection rates within the An. gambiae complex ranged from 2% to 25%, with the peaks in January and July following the two rainy periods. An. funestus showed a similar pattern. The light traps were reliable, simple to operate, and proved to be satisfactory to study the mosquito vector population.","DOI":"10.1111/j.1365-2915.1995.tb00131.x","ISSN":"1365-2915","language":"en","author":[{"family":"Shiff","given":"C. J."},{"family":"Minjas","given":"J. N."},{"family":"Hall","given":"T."},{"family":"Hunt","given":"R. H."},{"family":"Lyimo","given":"S."},{"family":"Davis","given":"J. R."}],"issued":{"date-parts":[["1995"]]}}}],"schema":"https://github.com/citation-style-language/schema/raw/master/csl-citation.json"}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nil"/>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nil"/>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35.5</w:t>
            </w:r>
          </w:p>
        </w:tc>
        <w:tc>
          <w:tcPr>
            <w:tcW w:w="929"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Kongo</w:t>
            </w:r>
          </w:p>
        </w:tc>
        <w:tc>
          <w:tcPr>
            <w:tcW w:w="774"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OeuMlNDH","properties":{"formattedCitation":"[8]","plainCitation":"[8]","noteIndex":0},"citationItems":[{"id":33999,"uris":["http://zotero.org/users/3516901/items/XX6IFB5W"],"uri":["http://zotero.org/users/3516901/items/XX6IFB5W"],"itemData":{"id":33999,"type":"article-journal","title":"Malaria infection potential of anopheline mosquitoes sampled by light trapping indoors in coastal Tanzanian villages","container-title":"Medical and Veterinary Entomology","page":"256-262","volume":"9","issue":"3","source":"Wiley Online Library","abstract":"Abstract. Anopheline mosquito populations were studied during 1992 in seven villages south of Bagamoyo, coastal Tanzania, prior to malaria control intervention using insecticide treated bednets. To collect mosquitoes, CDC light traps were used in ten houses per village fortnightly for 12 months. Anopheles females were identified and checked by ELISA for the presence of malaria sporozoite antigen and source of bloodmeal. An. funestus peaked in June-July after the long rains. Three members of the An. gambiae complex had different seasonality: An. arabiensis, An. gambiae and small numbers of An. merus were collected. In most villages transmission was extremely high and perennial with the entomological inoculation rate reaching three to eleven infective bites per person per night in July and persisting at around 0.1 and 1 for most of the remainder of the year. Sporozoite infection rates within the An. gambiae complex ranged from 2% to 25%, with the peaks in January and July following the two rainy periods. An. funestus showed a similar pattern. The light traps were reliable, simple to operate, and proved to be satisfactory to study the mosquito vector population.","DOI":"10.1111/j.1365-2915.1995.tb00131.x","ISSN":"1365-2915","language":"en","author":[{"family":"Shiff","given":"C. J."},{"family":"Minjas","given":"J. N."},{"family":"Hall","given":"T."},{"family":"Hunt","given":"R. H."},{"family":"Lyimo","given":"S."},{"family":"Davis","given":"J. R."}],"issued":{"date-parts":[["1995"]]}}}],"schema":"https://github.com/citation-style-language/schema/raw/master/csl-citation.json"}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584</w:t>
            </w:r>
          </w:p>
        </w:tc>
        <w:tc>
          <w:tcPr>
            <w:tcW w:w="929"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Kongo</w:t>
            </w:r>
          </w:p>
        </w:tc>
        <w:tc>
          <w:tcPr>
            <w:tcW w:w="77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boOSO7a5","properties":{"formattedCitation":"[18]","plainCitation":"[18]","noteIndex":0},"citationItems":[{"id":28852,"uris":["http://zotero.org/users/3516901/items/GMVGP63J"],"uri":["http://zotero.org/users/3516901/items/GMVGP63J"],"itemData":{"id":28852,"type":"article-journal","title":"The role of four anopheline species (Diptera: Culicidae) in malaria transmission in coastal Tanzania","container-title":"Transactions of the Royal Society of Tropical Medicine and Hygiene","page":"152-158","volume":"92","issue":"2","source":"PubMed","abstract":"Malaria is holoendemic in coastal Tanzania with Anopheles funestus and members of the A. gambiae complex being mainly responsible for transmission. Over a 4 months' sampling period 2222 anopheline mosquitoes were collected using light-traps and indoor resting catches, of which 58.6% were A. gambiae, 7.6% A. arabiensis, 6.9% A. merus and 26.9% A. funestus. Plasmodium falciparum circumsporozoite antigen (CSA) rates were: A. funestus 6.05% (n = 479), A. gambiae 8.4% (n = 1042), A. arabiensis 7.3% (n = 136) and A. merus 9.8% (n = 122). The P. malariae CSA rate for all anophelines was 0.07% (n = 1862). Estimated sporozoite densities were less than 2000 for at least 50% of all the positive mosquitoes. Along the coast the abundance of A. merus (41.3%) and A. gambiae (46.1%) was similar, and their CSA rates were comparable (11.6% and 12.5%, respectively) and higher than those for A. arabiensis (7.7%) and A. funestus (4.6%). These results indicate that A. merus plays an unexpectedly important role in malaria transmission in coastal Tanzania.","ISSN":"0035-9203","note":"PMID: 9764318","title-short":"The role of four anopheline species (Diptera","journalAbbreviation":"Trans. R. Soc. Trop. Med. Hyg.","language":"eng","author":[{"family":"Temu","given":"E. A."},{"family":"Minjas","given":"J. N."},{"family":"Coetzee","given":"M."},{"family":"Hunt","given":"R. H."},{"family":"Shift","given":"C. J."}],"issued":{"date-parts":[["1998",4]]}}}],"schema":"https://github.com/citation-style-language/schema/raw/master/csl-citation.json"}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Pwani</w:t>
            </w:r>
            <w:proofErr w:type="spellEnd"/>
          </w:p>
        </w:tc>
        <w:tc>
          <w:tcPr>
            <w:tcW w:w="600"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344"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45.34</w:t>
            </w:r>
          </w:p>
        </w:tc>
        <w:tc>
          <w:tcPr>
            <w:tcW w:w="422"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41.56</w:t>
            </w:r>
          </w:p>
        </w:tc>
        <w:tc>
          <w:tcPr>
            <w:tcW w:w="33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27.15</w:t>
            </w:r>
          </w:p>
        </w:tc>
        <w:tc>
          <w:tcPr>
            <w:tcW w:w="383"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79.59</w:t>
            </w:r>
          </w:p>
        </w:tc>
        <w:tc>
          <w:tcPr>
            <w:tcW w:w="668"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667</w:t>
            </w:r>
          </w:p>
        </w:tc>
        <w:tc>
          <w:tcPr>
            <w:tcW w:w="929"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Matimbwa</w:t>
            </w:r>
            <w:proofErr w:type="spellEnd"/>
          </w:p>
        </w:tc>
        <w:tc>
          <w:tcPr>
            <w:tcW w:w="77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ne3M7WD0","properties":{"formattedCitation":"[18]","plainCitation":"[18]","noteIndex":0},"citationItems":[{"id":28852,"uris":["http://zotero.org/users/3516901/items/GMVGP63J"],"uri":["http://zotero.org/users/3516901/items/GMVGP63J"],"itemData":{"id":28852,"type":"article-journal","title":"The role of four anopheline species (Diptera: Culicidae) in malaria transmission in coastal Tanzania","container-title":"Transactions of the Royal Society of Tropical Medicine and Hygiene","page":"152-158","volume":"92","issue":"2","source":"PubMed","abstract":"Malaria is holoendemic in coastal Tanzania with Anopheles funestus and members of the A. gambiae complex being mainly responsible for transmission. Over a 4 months' sampling period 2222 anopheline mosquitoes were collected using light-traps and indoor resting catches, of which 58.6% were A. gambiae, 7.6% A. arabiensis, 6.9% A. merus and 26.9% A. funestus. Plasmodium falciparum circumsporozoite antigen (CSA) rates were: A. funestus 6.05% (n = 479), A. gambiae 8.4% (n = 1042), A. arabiensis 7.3% (n = 136) and A. merus 9.8% (n = 122). The P. malariae CSA rate for all anophelines was 0.07% (n = 1862). Estimated sporozoite densities were less than 2000 for at least 50% of all the positive mosquitoes. Along the coast the abundance of A. merus (41.3%) and A. gambiae (46.1%) was similar, and their CSA rates were comparable (11.6% and 12.5%, respectively) and higher than those for A. arabiensis (7.7%) and A. funestus (4.6%). These results indicate that A. merus plays an unexpectedly important role in malaria transmission in coastal Tanzania.","ISSN":"0035-9203","note":"PMID: 9764318","title-short":"The role of four anopheline species (Diptera","journalAbbreviation":"Trans. R. Soc. Trop. Med. Hyg.","language":"eng","author":[{"family":"Temu","given":"E. A."},{"family":"Minjas","given":"J. N."},{"family":"Coetzee","given":"M."},{"family":"Hunt","given":"R. H."},{"family":"Shift","given":"C. J."}],"issued":{"date-parts":[["1998",4]]}}}],"schema":"https://github.com/citation-style-language/schema/raw/master/csl-citation.json"}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[18]</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Bumbuli</w:t>
            </w:r>
            <w:proofErr w:type="spellEnd"/>
          </w:p>
        </w:tc>
        <w:tc>
          <w:tcPr>
            <w:tcW w:w="344"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16.31</w:t>
            </w:r>
          </w:p>
        </w:tc>
        <w:tc>
          <w:tcPr>
            <w:tcW w:w="422"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16.24</w:t>
            </w:r>
          </w:p>
        </w:tc>
        <w:tc>
          <w:tcPr>
            <w:tcW w:w="33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13.93</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19</w:t>
            </w:r>
          </w:p>
        </w:tc>
        <w:tc>
          <w:tcPr>
            <w:tcW w:w="668"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0.08</w:t>
            </w:r>
          </w:p>
        </w:tc>
        <w:tc>
          <w:tcPr>
            <w:tcW w:w="929"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Balangai</w:t>
            </w:r>
            <w:proofErr w:type="spellEnd"/>
          </w:p>
        </w:tc>
        <w:tc>
          <w:tcPr>
            <w:tcW w:w="77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NZPrggJM","properties":{"formattedCitation":"[19]","plainCitation":"[19]","noteIndex":0},"citationItems":[{"id":18223,"uris":["http://zotero.org/users/3516901/items/DQH64637"],"uri":["http://zotero.org/users/3516901/items/DQH64637"],"itemData":{"id":18223,"type":"article-journal","title":"Relationship Between Altitude and Intensity of Malaria Transmission in the Usambara Mountains, Tanzania","container-title":"Journal of Medical Entomology","page":"706-717","volume":"40","issue":"5","source":"jme.oxfordjournals.org","abstract":"There is a consensus that malaria is a growing problem in African highlands. This is surprising because many parts of the highlands were considered too cold to support transmission. In this report, we examined how transmission of Plasmodium falciparum in six villages changed along an altitude transect in the Usambara Mountains, Tanzania, from 300 m to 1700 m. Routine entomological collections were made using spray catches and light traps for 15 mo. Direct estimates of entomological inoculation rates and indirect estimates of vectorial capacity suggested a &gt;1000-fold reduction in transmission intensity between the holoendemic lowland and the hypoendemic highland plateau. Lowland transmission was perennial with a significant peak in the cool season after the long rains in May, when vectors densities were high. In the highlands, low temperatures prevented parasite development in mosquitoes during the cool season rains, and highland transmission was therefore limited to the warm dry season when vector densities were low. The primary effect of increasing altitude was a log-linear reduction in vector abundance and, to a lesser extent, a reduction in the proportion of infective mosquitoes. Highland malaria transmission was maintained at extraordinarily low vector densities. We discuss herein the implications of these findings for modeling malaria and suggest that process-based models of malaria transmission risk should be improved by considering the direct effect of temperature on vector densities. Our findings suggest that variation in the short rains in November and changes in agricultural practices are likely to be important generators of epidemics in the Usambaras.","DOI":"10.1603/0022-2585-40.5.706","ISSN":"0022-2585, 1938-2928","language":"en","author":[{"family":"Bødker","given":"R."},{"family":"Akida","given":"J."},{"family":"Shayo","given":"D."},{"family":"Kisinza","given":"W."},{"family":"Msangeni","given":"H. A."},{"family":"Pedersen","given":"E. M."},{"family":"Lindsay","given":"S. W."}],"issued":{"date-parts":[["2003"]]}}}],"schema":"https://github.com/citation-style-language/schema/raw/master/csl-citation.json"}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Korogwe</w:t>
            </w:r>
            <w:proofErr w:type="spellEnd"/>
          </w:p>
        </w:tc>
        <w:tc>
          <w:tcPr>
            <w:tcW w:w="344"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34.33</w:t>
            </w:r>
          </w:p>
        </w:tc>
        <w:tc>
          <w:tcPr>
            <w:tcW w:w="422"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34.25</w:t>
            </w:r>
          </w:p>
        </w:tc>
        <w:tc>
          <w:tcPr>
            <w:tcW w:w="33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27.68</w:t>
            </w:r>
          </w:p>
        </w:tc>
        <w:tc>
          <w:tcPr>
            <w:tcW w:w="383"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w:t>
            </w:r>
          </w:p>
        </w:tc>
        <w:tc>
          <w:tcPr>
            <w:tcW w:w="668"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9.7</w:t>
            </w:r>
          </w:p>
        </w:tc>
        <w:tc>
          <w:tcPr>
            <w:tcW w:w="929"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Magundi</w:t>
            </w:r>
            <w:proofErr w:type="spellEnd"/>
          </w:p>
        </w:tc>
        <w:tc>
          <w:tcPr>
            <w:tcW w:w="77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IcnlXZkU","properties":{"formattedCitation":"[19]","plainCitation":"[19]","noteIndex":0},"citationItems":[{"id":18223,"uris":["http://zotero.org/users/3516901/items/DQH64637"],"uri":["http://zotero.org/users/3516901/items/DQH64637"],"itemData":{"id":18223,"type":"article-journal","title":"Relationship Between Altitude and Intensity of Malaria Transmission in the Usambara Mountains, Tanzania","container-title":"Journal of Medical Entomology","page":"706-717","volume":"40","issue":"5","source":"jme.oxfordjournals.org","abstract":"There is a consensus that malaria is a growing problem in African highlands. This is surprising because many parts of the highlands were considered too cold to support transmission. In this report, we examined how transmission of Plasmodium falciparum in six villages changed along an altitude transect in the Usambara Mountains, Tanzania, from 300 m to 1700 m. Routine entomological collections were made using spray catches and light traps for 15 mo. Direct estimates of entomological inoculation rates and indirect estimates of vectorial capacity suggested a &gt;1000-fold reduction in transmission intensity between the holoendemic lowland and the hypoendemic highland plateau. Lowland transmission was perennial with a significant peak in the cool season after the long rains in May, when vectors densities were high. In the highlands, low temperatures prevented parasite development in mosquitoes during the cool season rains, and highland transmission was therefore limited to the warm dry season when vector densities were low. The primary effect of increasing altitude was a log-linear reduction in vector abundance and, to a lesser extent, a reduction in the proportion of infective mosquitoes. Highland malaria transmission was maintained at extraordinarily low vector densities. We discuss herein the implications of these findings for modeling malaria and suggest that process-based models of malaria transmission risk should be improved by considering the direct effect of temperature on vector densities. Our findings suggest that variation in the short rains in November and changes in agricultural practices are likely to be important generators of epidemics in the Usambaras.","DOI":"10.1603/0022-2585-40.5.706","ISSN":"0022-2585, 1938-2928","language":"en","author":[{"family":"Bødker","given":"R."},{"family":"Akida","given":"J."},{"family":"Shayo","given":"D."},{"family":"Kisinza","given":"W."},{"family":"Msangeni","given":"H. A."},{"family":"Pedersen","given":"E. M."},{"family":"Lindsay","given":"S. W."}],"issued":{"date-parts":[["2003"]]}}}],"schema":"https://github.com/citation-style-language/schema/raw/master/csl-citation.json"}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Korogwe</w:t>
            </w:r>
            <w:proofErr w:type="spellEnd"/>
          </w:p>
        </w:tc>
        <w:tc>
          <w:tcPr>
            <w:tcW w:w="344"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34.33</w:t>
            </w:r>
          </w:p>
        </w:tc>
        <w:tc>
          <w:tcPr>
            <w:tcW w:w="422"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34.25</w:t>
            </w:r>
          </w:p>
        </w:tc>
        <w:tc>
          <w:tcPr>
            <w:tcW w:w="33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27.68</w:t>
            </w:r>
          </w:p>
        </w:tc>
        <w:tc>
          <w:tcPr>
            <w:tcW w:w="383" w:type="pct"/>
            <w:tcBorders>
              <w:top w:val="nil"/>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w:t>
            </w:r>
          </w:p>
        </w:tc>
        <w:tc>
          <w:tcPr>
            <w:tcW w:w="668" w:type="pct"/>
            <w:tcBorders>
              <w:top w:val="nil"/>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1.7</w:t>
            </w:r>
          </w:p>
        </w:tc>
        <w:tc>
          <w:tcPr>
            <w:tcW w:w="929"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Kwamhanya</w:t>
            </w:r>
            <w:proofErr w:type="spellEnd"/>
          </w:p>
        </w:tc>
        <w:tc>
          <w:tcPr>
            <w:tcW w:w="774"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4V4gA5cI","properties":{"formattedCitation":"[19]","plainCitation":"[19]","noteIndex":0},"citationItems":[{"id":18223,"uris":["http://zotero.org/users/3516901/items/DQH64637"],"uri":["http://zotero.org/users/3516901/items/DQH64637"],"itemData":{"id":18223,"type":"article-journal","title":"Relationship Between Altitude and Intensity of Malaria Transmission in the Usambara Mountains, Tanzania","container-title":"Journal of Medical Entomology","page":"706-717","volume":"40","issue":"5","source":"jme.oxfordjournals.org","abstract":"There is a consensus that malaria is a growing problem in African highlands. This is surprising because many parts of the highlands were considered too cold to support transmission. In this report, we examined how transmission of Plasmodium falciparum in six villages changed along an altitude transect in the Usambara Mountains, Tanzania, from 300 m to 1700 m. Routine entomological collections were made using spray catches and light traps for 15 mo. Direct estimates of entomological inoculation rates and indirect estimates of vectorial capacity suggested a &gt;1000-fold reduction in transmission intensity between the holoendemic lowland and the hypoendemic highland plateau. Lowland transmission was perennial with a significant peak in the cool season after the long rains in May, when vectors densities were high. In the highlands, low temperatures prevented parasite development in mosquitoes during the cool season rains, and highland transmission was therefore limited to the warm dry season when vector densities were low. The primary effect of increasing altitude was a log-linear reduction in vector abundance and, to a lesser extent, a reduction in the proportion of infective mosquitoes. Highland malaria transmission was maintained at extraordinarily low vector densities. We discuss herein the implications of these findings for modeling malaria and suggest that process-based models of malaria transmission risk should be improved by considering the direct effect of temperature on vector densities. Our findings suggest that variation in the short rains in November and changes in agricultural practices are likely to be important generators of epidemics in the Usambaras.","DOI":"10.1603/0022-2585-40.5.706","ISSN":"0022-2585, 1938-2928","language":"en","author":[{"family":"Bødker","given":"R."},{"family":"Akida","given":"J."},{"family":"Shayo","given":"D."},{"family":"Kisinza","given":"W."},{"family":"Msangeni","given":"H. A."},{"family":"Pedersen","given":"E. M."},{"family":"Lindsay","given":"S. W."}],"issued":{"date-parts":[["2003"]]}}}],"schema":"https://github.com/citation-style-language/schema/raw/master/csl-citation.json"}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Korogwe</w:t>
            </w:r>
            <w:proofErr w:type="spellEnd"/>
          </w:p>
        </w:tc>
        <w:tc>
          <w:tcPr>
            <w:tcW w:w="344"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34.33</w:t>
            </w:r>
          </w:p>
        </w:tc>
        <w:tc>
          <w:tcPr>
            <w:tcW w:w="422"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34.25</w:t>
            </w:r>
          </w:p>
        </w:tc>
        <w:tc>
          <w:tcPr>
            <w:tcW w:w="33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27.68</w:t>
            </w:r>
          </w:p>
        </w:tc>
        <w:tc>
          <w:tcPr>
            <w:tcW w:w="383"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41</w:t>
            </w:r>
          </w:p>
        </w:tc>
        <w:tc>
          <w:tcPr>
            <w:tcW w:w="668"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1.8</w:t>
            </w:r>
          </w:p>
        </w:tc>
        <w:tc>
          <w:tcPr>
            <w:tcW w:w="929"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Bagamoyo</w:t>
            </w:r>
          </w:p>
        </w:tc>
        <w:tc>
          <w:tcPr>
            <w:tcW w:w="77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q4ZZPfdj","properties":{"formattedCitation":"[19]","plainCitation":"[19]","noteIndex":0},"citationItems":[{"id":18223,"uris":["http://zotero.org/users/3516901/items/DQH64637"],"uri":["http://zotero.org/users/3516901/items/DQH64637"],"itemData":{"id":18223,"type":"article-journal","title":"Relationship Between Altitude and Intensity of Malaria Transmission in the Usambara Mountains, Tanzania","container-title":"Journal of Medical Entomology","page":"706-717","volume":"40","issue":"5","source":"jme.oxfordjournals.org","abstract":"There is a consensus that malaria is a growing problem in African highlands. This is surprising because many parts of the highlands were considered too cold to support transmission. In this report, we examined how transmission of Plasmodium falciparum in six villages changed along an altitude transect in the Usambara Mountains, Tanzania, from 300 m to 1700 m. Routine entomological collections were made using spray catches and light traps for 15 mo. Direct estimates of entomological inoculation rates and indirect estimates of vectorial capacity suggested a &gt;1000-fold reduction in transmission intensity between the holoendemic lowland and the hypoendemic highland plateau. Lowland transmission was perennial with a significant peak in the cool season after the long rains in May, when vectors densities were high. In the highlands, low temperatures prevented parasite development in mosquitoes during the cool season rains, and highland transmission was therefore limited to the warm dry season when vector densities were low. The primary effect of increasing altitude was a log-linear reduction in vector abundance and, to a lesser extent, a reduction in the proportion of infective mosquitoes. Highland malaria transmission was maintained at extraordinarily low vector densities. We discuss herein the implications of these findings for modeling malaria and suggest that process-based models of malaria transmission risk should be improved by considering the direct effect of temperature on vector densities. Our findings suggest that variation in the short rains in November and changes in agricultural practices are likely to be important generators of epidemics in the Usambaras.","DOI":"10.1603/0022-2585-40.5.706","ISSN":"0022-2585, 1938-2928","language":"en","author":[{"family":"Bødker","given":"R."},{"family":"Akida","given":"J."},{"family":"Shayo","given":"D."},{"family":"Kisinza","given":"W."},{"family":"Msangeni","given":"H. A."},{"family":"Pedersen","given":"E. M."},{"family":"Lindsay","given":"S. W."}],"issued":{"date-parts":[["2003"]]}}}],"schema":"https://github.com/citation-style-language/schema/raw/master/csl-citation.json"}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single" w:sz="4" w:space="0" w:color="auto"/>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Korogwe</w:t>
            </w:r>
            <w:proofErr w:type="spellEnd"/>
            <w:r w:rsidRPr="00764FF6">
              <w:rPr>
                <w:rFonts w:ascii="Calibri" w:eastAsia="Times New Roman" w:hAnsi="Calibri" w:cs="Arial"/>
                <w:color w:val="000000"/>
                <w:sz w:val="18"/>
                <w:lang w:eastAsia="en-GB"/>
              </w:rPr>
              <w:t xml:space="preserve"> TC</w:t>
            </w:r>
          </w:p>
        </w:tc>
        <w:tc>
          <w:tcPr>
            <w:tcW w:w="344" w:type="pct"/>
            <w:tcBorders>
              <w:top w:val="single" w:sz="4" w:space="0" w:color="auto"/>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44.09</w:t>
            </w:r>
          </w:p>
        </w:tc>
        <w:tc>
          <w:tcPr>
            <w:tcW w:w="422" w:type="pct"/>
            <w:tcBorders>
              <w:top w:val="single" w:sz="4" w:space="0" w:color="auto"/>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43.99</w:t>
            </w:r>
          </w:p>
        </w:tc>
        <w:tc>
          <w:tcPr>
            <w:tcW w:w="334" w:type="pct"/>
            <w:tcBorders>
              <w:top w:val="single" w:sz="4" w:space="0" w:color="auto"/>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38.93</w:t>
            </w:r>
          </w:p>
        </w:tc>
        <w:tc>
          <w:tcPr>
            <w:tcW w:w="383" w:type="pct"/>
            <w:tcBorders>
              <w:top w:val="single" w:sz="4" w:space="0" w:color="auto"/>
              <w:left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49.98</w:t>
            </w:r>
          </w:p>
        </w:tc>
        <w:tc>
          <w:tcPr>
            <w:tcW w:w="668" w:type="pct"/>
            <w:tcBorders>
              <w:top w:val="single" w:sz="4" w:space="0" w:color="auto"/>
              <w:left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91</w:t>
            </w:r>
          </w:p>
        </w:tc>
        <w:tc>
          <w:tcPr>
            <w:tcW w:w="929" w:type="pct"/>
            <w:tcBorders>
              <w:top w:val="single" w:sz="4" w:space="0" w:color="auto"/>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Kwameta</w:t>
            </w:r>
            <w:proofErr w:type="spellEnd"/>
          </w:p>
        </w:tc>
        <w:tc>
          <w:tcPr>
            <w:tcW w:w="774" w:type="pct"/>
            <w:tcBorders>
              <w:top w:val="single" w:sz="4" w:space="0" w:color="auto"/>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ERtzZPDJ","properties":{"formattedCitation":"[19]","plainCitation":"[19]","noteIndex":0},"citationItems":[{"id":18223,"uris":["http://zotero.org/users/3516901/items/DQH64637"],"uri":["http://zotero.org/users/3516901/items/DQH64637"],"itemData":{"id":18223,"type":"article-journal","title":"Relationship Between Altitude and Intensity of Malaria Transmission in the Usambara Mountains, Tanzania","container-title":"Journal of Medical Entomology","page":"706-717","volume":"40","issue":"5","source":"jme.oxfordjournals.org","abstract":"There is a consensus that malaria is a growing problem in African highlands. This is surprising because many parts of the highlands were considered too cold to support transmission. In this report, we examined how transmission of Plasmodium falciparum in six villages changed along an altitude transect in the Usambara Mountains, Tanzania, from 300 m to 1700 m. Routine entomological collections were made using spray catches and light traps for 15 mo. Direct estimates of entomological inoculation rates and indirect estimates of vectorial capacity suggested a &gt;1000-fold reduction in transmission intensity between the holoendemic lowland and the hypoendemic highland plateau. Lowland transmission was perennial with a significant peak in the cool season after the long rains in May, when vectors densities were high. In the highlands, low temperatures prevented parasite development in mosquitoes during the cool season rains, and highland transmission was therefore limited to the warm dry season when vector densities were low. The primary effect of increasing altitude was a log-linear reduction in vector abundance and, to a lesser extent, a reduction in the proportion of infective mosquitoes. Highland malaria transmission was maintained at extraordinarily low vector densities. We discuss herein the implications of these findings for modeling malaria and suggest that process-based models of malaria transmission risk should be improved by considering the direct effect of temperature on vector densities. Our findings suggest that variation in the short rains in November and changes in agricultural practices are likely to be important generators of epidemics in the Usambaras.","DOI":"10.1603/0022-2585-40.5.706","ISSN":"0022-2585, 1938-2928","language":"en","author":[{"family":"Bødker","given":"R."},{"family":"Akida","given":"J."},{"family":"Shayo","given":"D."},{"family":"Kisinza","given":"W."},{"family":"Msangeni","given":"H. A."},{"family":"Pedersen","given":"E. M."},{"family":"Lindsay","given":"S. W."}],"issued":{"date-parts":[["2003"]]}}}],"schema":"https://github.com/citation-style-language/schema/raw/master/csl-citation.json"}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Lushoto</w:t>
            </w:r>
            <w:proofErr w:type="spellEnd"/>
          </w:p>
        </w:tc>
        <w:tc>
          <w:tcPr>
            <w:tcW w:w="344"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42.45</w:t>
            </w:r>
          </w:p>
        </w:tc>
        <w:tc>
          <w:tcPr>
            <w:tcW w:w="422"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43.56</w:t>
            </w:r>
          </w:p>
        </w:tc>
        <w:tc>
          <w:tcPr>
            <w:tcW w:w="33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30</w:t>
            </w:r>
          </w:p>
        </w:tc>
        <w:tc>
          <w:tcPr>
            <w:tcW w:w="383"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50.31</w:t>
            </w:r>
          </w:p>
        </w:tc>
        <w:tc>
          <w:tcPr>
            <w:tcW w:w="668"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0.03</w:t>
            </w:r>
          </w:p>
        </w:tc>
        <w:tc>
          <w:tcPr>
            <w:tcW w:w="929"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Milungui</w:t>
            </w:r>
            <w:proofErr w:type="spellEnd"/>
          </w:p>
        </w:tc>
        <w:tc>
          <w:tcPr>
            <w:tcW w:w="77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hAnsi="Calibri"/>
                <w:sz w:val="18"/>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TCCWVCNT","properties":{"formattedCitation":"[19]","plainCitation":"[19]","noteIndex":0},"citationItems":[{"id":18223,"uris":["http://zotero.org/users/3516901/items/DQH64637"],"uri":["http://zotero.org/users/3516901/items/DQH64637"],"itemData":{"id":18223,"type":"article-journal","title":"Relationship Between Altitude and Intensity of Malaria Transmission in the Usambara Mountains, Tanzania","container-title":"Journal of Medical Entomology","page":"706-717","volume":"40","issue":"5","source":"jme.oxfordjournals.org","abstract":"There is a consensus that malaria is a growing problem in African highlands. This is surprising because many parts of the highlands were considered too cold to support transmission. In this report, we examined how transmission of Plasmodium falciparum in six villages changed along an altitude transect in the Usambara Mountains, Tanzania, from 300 m to 1700 m. Routine entomological collections were made using spray catches and light traps for 15 mo. Direct estimates of entomological inoculation rates and indirect estimates of vectorial capacity suggested a &gt;1000-fold reduction in transmission intensity between the holoendemic lowland and the hypoendemic highland plateau. Lowland transmission was perennial with a significant peak in the cool season after the long rains in May, when vectors densities were high. In the highlands, low temperatures prevented parasite development in mosquitoes during the cool season rains, and highland transmission was therefore limited to the warm dry season when vector densities were low. The primary effect of increasing altitude was a log-linear reduction in vector abundance and, to a lesser extent, a reduction in the proportion of infective mosquitoes. Highland malaria transmission was maintained at extraordinarily low vector densities. We discuss herein the implications of these findings for modeling malaria and suggest that process-based models of malaria transmission risk should be improved by considering the direct effect of temperature on vector densities. Our findings suggest that variation in the short rains in November and changes in agricultural practices are likely to be important generators of epidemics in the Usambaras.","DOI":"10.1603/0022-2585-40.5.706","ISSN":"0022-2585, 1938-2928","language":"en","author":[{"family":"Bødker","given":"R."},{"family":"Akida","given":"J."},{"family":"Shayo","given":"D."},{"family":"Kisinza","given":"W."},{"family":"Msangeni","given":"H. A."},{"family":"Pedersen","given":"E. M."},{"family":"Lindsay","given":"S. W."}],"issued":{"date-parts":[["2003"]]}}}],"schema":"https://github.com/citation-style-language/schema/raw/master/csl-citation.json"}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[19]</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Handeni</w:t>
            </w:r>
            <w:proofErr w:type="spellEnd"/>
          </w:p>
        </w:tc>
        <w:tc>
          <w:tcPr>
            <w:tcW w:w="344"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95.29</w:t>
            </w:r>
          </w:p>
        </w:tc>
        <w:tc>
          <w:tcPr>
            <w:tcW w:w="422"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99.25</w:t>
            </w:r>
          </w:p>
        </w:tc>
        <w:tc>
          <w:tcPr>
            <w:tcW w:w="33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56.95</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113.22</w:t>
            </w:r>
          </w:p>
        </w:tc>
        <w:tc>
          <w:tcPr>
            <w:tcW w:w="668"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540.2</w:t>
            </w:r>
          </w:p>
        </w:tc>
        <w:tc>
          <w:tcPr>
            <w:tcW w:w="929" w:type="pct"/>
            <w:tcBorders>
              <w:top w:val="single" w:sz="4" w:space="0" w:color="auto"/>
              <w:left w:val="nil"/>
              <w:bottom w:val="single" w:sz="4" w:space="0" w:color="auto"/>
              <w:right w:val="nil"/>
            </w:tcBorders>
            <w:shd w:val="clear" w:color="auto" w:fill="auto"/>
            <w:noWrap/>
            <w:vAlign w:val="center"/>
            <w:hideMark/>
          </w:tcPr>
          <w:p w:rsidR="00BF014B" w:rsidRPr="00764FF6" w:rsidRDefault="006D151C"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 xml:space="preserve">Hale </w:t>
            </w:r>
          </w:p>
        </w:tc>
        <w:tc>
          <w:tcPr>
            <w:tcW w:w="77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8Y7uuKMG","properties":{"formattedCitation":"[7]","plainCitation":"[7]","noteIndex":0},"citationItems":[{"id":34012,"uris":["http://zotero.org/users/3516901/items/AD64URD3"],"uri":["http://zotero.org/users/3516901/items/AD64URD3"],"itemData":{"id":34012,"type":"article-journal","title":"A comparison of use of a pyrethroid either for house spraying or for bednet treatment against malaria vectors","container-title":"Tropical Medicine &amp; International Health","page":"619-631","volume":"3","issue":"8","source":"Wiley Online Library","abstract":"In an intensely malarious area in north-east Tanzania, microencapsulated lambdacyhalothrin was used in four villages for treatment of bednets (provided free of charge) and in another four villages the same insecticide was used for house spraying. Another four villages received neither intervention until the end of the trial but were monitored as controls. Bioassays showed prolonged persistence of the insecticidal residues. Light traps and ELISA testing showed reduction of the malaria vector populations and the sporozoite rates, leading to a reduction of about 90% in the entomological inoculation rate as a result of each treatment. Collections of blood fed mosquitoes showed no diversion from biting humans to biting animals. Incidence of re-infection was measured by weekly monitoring of cohorts of 60 children per village, after clearing pre-existing infection with chlorproguanil-dapsone. The vector control was associated with a reduction in probability of re-infection per child per week by 54–62%, with no significant difference between the two vector control methods. Cross-sectional surveys for fever, parasitaemia, haemoglobin and weight showed association of high parasitaemia with fever and anaemia and beneficial effects of each intervention in reducing anaemia. However, passive surveillance by resident health assistants showed no evidence for reduced prevalence of fever or parasitaemia. Net treatment consumed only about one sixth as much insecticide as house spraying and it was concluded that the former intervention would work out cheaper and nets were actively demanded by the villagers, whereas spraying was only passively assented to.","DOI":"10.1046/j.1365-3156.1998.00281.x","ISSN":"1365-3156","language":"en","author":[{"family":"Curtis","given":"C. F."},{"family":"Maxwell","given":"C. A."},{"family":"Maxwell","given":"C. A."},{"family":"Finch","given":"R. J."},{"family":"Finch","given":"R. J."},{"family":"Njunwa","given":"K. J."}],"issued":{"date-parts":[["1998"]]}}}],"schema":"https://github.com/citation-style-language/schema/raw/master/csl-citation.json"}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[7]</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Muheza</w:t>
            </w:r>
            <w:proofErr w:type="spellEnd"/>
          </w:p>
        </w:tc>
        <w:tc>
          <w:tcPr>
            <w:tcW w:w="344"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81.24</w:t>
            </w:r>
          </w:p>
        </w:tc>
        <w:tc>
          <w:tcPr>
            <w:tcW w:w="422"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85.02</w:t>
            </w:r>
          </w:p>
        </w:tc>
        <w:tc>
          <w:tcPr>
            <w:tcW w:w="33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42.18</w:t>
            </w:r>
          </w:p>
        </w:tc>
        <w:tc>
          <w:tcPr>
            <w:tcW w:w="383" w:type="pct"/>
            <w:tcBorders>
              <w:top w:val="single" w:sz="4" w:space="0" w:color="auto"/>
              <w:left w:val="nil"/>
              <w:bottom w:val="nil"/>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102.52</w:t>
            </w:r>
          </w:p>
        </w:tc>
        <w:tc>
          <w:tcPr>
            <w:tcW w:w="668" w:type="pct"/>
            <w:tcBorders>
              <w:top w:val="single" w:sz="4" w:space="0" w:color="auto"/>
              <w:left w:val="single" w:sz="4" w:space="0" w:color="auto"/>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235.6</w:t>
            </w:r>
          </w:p>
        </w:tc>
        <w:tc>
          <w:tcPr>
            <w:tcW w:w="929"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Temgini</w:t>
            </w:r>
            <w:proofErr w:type="spellEnd"/>
            <w:r w:rsidRPr="00764FF6">
              <w:rPr>
                <w:rFonts w:ascii="Calibri" w:eastAsia="Times New Roman" w:hAnsi="Calibri" w:cs="Arial"/>
                <w:color w:val="000000"/>
                <w:sz w:val="18"/>
                <w:lang w:eastAsia="en-GB"/>
              </w:rPr>
              <w:t xml:space="preserve"> and Enzi</w:t>
            </w:r>
          </w:p>
        </w:tc>
        <w:tc>
          <w:tcPr>
            <w:tcW w:w="774" w:type="pct"/>
            <w:tcBorders>
              <w:top w:val="single" w:sz="4" w:space="0" w:color="auto"/>
              <w:left w:val="nil"/>
              <w:bottom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PMcraHDG","properties":{"formattedCitation":"[7]","plainCitation":"[7]","noteIndex":0},"citationItems":[{"id":34012,"uris":["http://zotero.org/users/3516901/items/AD64URD3"],"uri":["http://zotero.org/users/3516901/items/AD64URD3"],"itemData":{"id":34012,"type":"article-journal","title":"A comparison of use of a pyrethroid either for house spraying or for bednet treatment against malaria vectors","container-title":"Tropical Medicine &amp; International Health","page":"619-631","volume":"3","issue":"8","source":"Wiley Online Library","abstract":"In an intensely malarious area in north-east Tanzania, microencapsulated lambdacyhalothrin was used in four villages for treatment of bednets (provided free of charge) and in another four villages the same insecticide was used for house spraying. Another four villages received neither intervention until the end of the trial but were monitored as controls. Bioassays showed prolonged persistence of the insecticidal residues. Light traps and ELISA testing showed reduction of the malaria vector populations and the sporozoite rates, leading to a reduction of about 90% in the entomological inoculation rate as a result of each treatment. Collections of blood fed mosquitoes showed no diversion from biting humans to biting animals. Incidence of re-infection was measured by weekly monitoring of cohorts of 60 children per village, after clearing pre-existing infection with chlorproguanil-dapsone. The vector control was associated with a reduction in probability of re-infection per child per week by 54–62%, with no significant difference between the two vector control methods. Cross-sectional surveys for fever, parasitaemia, haemoglobin and weight showed association of high parasitaemia with fever and anaemia and beneficial effects of each intervention in reducing anaemia. However, passive surveillance by resident health assistants showed no evidence for reduced prevalence of fever or parasitaemia. Net treatment consumed only about one sixth as much insecticide as house spraying and it was concluded that the former intervention would work out cheaper and nets were actively demanded by the villagers, whereas spraying was only passively assented to.","DOI":"10.1046/j.1365-3156.1998.00281.x","ISSN":"1365-3156","language":"en","author":[{"family":"Curtis","given":"C. F."},{"family":"Maxwell","given":"C. A."},{"family":"Maxwell","given":"C. A."},{"family":"Finch","given":"R. J."},{"family":"Finch","given":"R. J."},{"family":"Njunwa","given":"K. J."}],"issued":{"date-parts":[["1998"]]}}}],"schema":"https://github.com/citation-style-language/schema/raw/master/csl-citation.json"}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[7]</w:t>
            </w:r>
            <w:r w:rsidRPr="00764FF6">
              <w:rPr>
                <w:rFonts w:ascii="Calibri" w:eastAsia="Times New Roman" w:hAnsi="Calibri" w:cs="Arial"/>
                <w:color w:val="000000"/>
                <w:sz w:val="18"/>
                <w:lang w:eastAsia="en-GB"/>
              </w:rPr>
              <w:fldChar w:fldCharType="end"/>
            </w:r>
          </w:p>
        </w:tc>
      </w:tr>
      <w:tr w:rsidR="00BF014B" w:rsidRPr="00D31B80" w:rsidTr="00B8655E">
        <w:trPr>
          <w:trHeight w:val="276"/>
        </w:trPr>
        <w:tc>
          <w:tcPr>
            <w:tcW w:w="546" w:type="pct"/>
            <w:tcBorders>
              <w:top w:val="nil"/>
              <w:left w:val="nil"/>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Muheza</w:t>
            </w:r>
            <w:proofErr w:type="spellEnd"/>
          </w:p>
        </w:tc>
        <w:tc>
          <w:tcPr>
            <w:tcW w:w="344"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81.24</w:t>
            </w:r>
          </w:p>
        </w:tc>
        <w:tc>
          <w:tcPr>
            <w:tcW w:w="422"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85.02</w:t>
            </w:r>
          </w:p>
        </w:tc>
        <w:tc>
          <w:tcPr>
            <w:tcW w:w="33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42.18</w:t>
            </w:r>
          </w:p>
        </w:tc>
        <w:tc>
          <w:tcPr>
            <w:tcW w:w="383" w:type="pct"/>
            <w:tcBorders>
              <w:top w:val="nil"/>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102.52</w:t>
            </w:r>
          </w:p>
        </w:tc>
        <w:tc>
          <w:tcPr>
            <w:tcW w:w="668" w:type="pct"/>
            <w:tcBorders>
              <w:top w:val="nil"/>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576.7</w:t>
            </w:r>
          </w:p>
        </w:tc>
        <w:tc>
          <w:tcPr>
            <w:tcW w:w="929"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Kumbamtoni</w:t>
            </w:r>
            <w:proofErr w:type="spellEnd"/>
          </w:p>
        </w:tc>
        <w:tc>
          <w:tcPr>
            <w:tcW w:w="774"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mQBgFm5K","properties":{"formattedCitation":"[20]","plainCitation":"[20]","noteIndex":0},"citationItems":[{"id":34043,"uris":["http://zotero.org/users/3516901/items/A6TBHX7T"],"uri":["http://zotero.org/users/3516901/items/A6TBHX7T"],"itemData":{"id":34043,"type":"article-journal","title":"Trial of pyrethroid impregnated bednets in an area of Tanzania holoendemic for malaria Part 2. Effects on the malaria vector population","container-title":"Acta Tropica","page":"97-108","volume":"49","issue":"2","source":"ScienceDirect","abstract":"The malaria vector population consisted mainly of Anopheles gambiae s.s. with a small contribution from An. funestus and An. rivulorum. The mosquitoes coming to bite in bedrooms were monitored with light traps set beside untreated bednets. When impregnated bednets were provided for all the other beds in a village the Anopheles populations declined but the Culex quinquefasciatus populations were unaffected. The survival of An. gambiae (as measured by the mean number of ovarian dilatations) and the sporozoite rate declined following introduction of the nets and the estimated sporozoite inoculation rates into people not under their nets declined by more than 90%. The net introductions caused sharp declines in the number of mosquitoes resting indoors, but the evidence was inconclusive regarding diversion to outdoor resting, animal biting, earlier biting or outdoor biting. DDT spraying greatly reduced the Anopheles populations.","DOI":"10.1016/0001-706X(91)90057-Q","ISSN":"0001-706X","journalAbbreviation":"Acta Tropica","author":[{"family":"Magesa","given":"S. M."},{"family":"Wilkes","given":"T. J."},{"family":"Mnzava","given":"A. E. P."},{"family":"Njunwa","given":"K. J."},{"family":"Myamba","given":"J."},{"family":"Kivuyo","given":"M. D. P."},{"family":"Hill","given":"N."},{"family":"Lines","given":"J. D."},{"family":"Curtis","given":"C. F."}],"issued":{"date-parts":[["1991",6,1]]}}}],"schema":"https://github.com/citation-style-language/schema/raw/master/csl-citation.json"}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[20]</w:t>
            </w:r>
            <w:r w:rsidRPr="00764FF6">
              <w:rPr>
                <w:rFonts w:ascii="Calibri" w:eastAsia="Times New Roman" w:hAnsi="Calibri" w:cs="Arial"/>
                <w:color w:val="000000"/>
                <w:sz w:val="18"/>
                <w:lang w:eastAsia="en-GB"/>
              </w:rPr>
              <w:fldChar w:fldCharType="end"/>
            </w:r>
          </w:p>
        </w:tc>
      </w:tr>
      <w:tr w:rsidR="00BF014B" w:rsidRPr="00D31B80" w:rsidTr="00F47D18">
        <w:trPr>
          <w:trHeight w:val="276"/>
        </w:trPr>
        <w:tc>
          <w:tcPr>
            <w:tcW w:w="546" w:type="pct"/>
            <w:tcBorders>
              <w:top w:val="nil"/>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Tanga</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Pangani</w:t>
            </w:r>
            <w:proofErr w:type="spellEnd"/>
          </w:p>
        </w:tc>
        <w:tc>
          <w:tcPr>
            <w:tcW w:w="344"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82.7</w:t>
            </w:r>
          </w:p>
        </w:tc>
        <w:tc>
          <w:tcPr>
            <w:tcW w:w="422"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85.03</w:t>
            </w:r>
          </w:p>
        </w:tc>
        <w:tc>
          <w:tcPr>
            <w:tcW w:w="33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40.76</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112.45</w:t>
            </w:r>
          </w:p>
        </w:tc>
        <w:tc>
          <w:tcPr>
            <w:tcW w:w="668" w:type="pct"/>
            <w:tcBorders>
              <w:top w:val="single" w:sz="4" w:space="0" w:color="auto"/>
              <w:left w:val="single" w:sz="4" w:space="0" w:color="auto"/>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t>217.7</w:t>
            </w:r>
          </w:p>
        </w:tc>
        <w:tc>
          <w:tcPr>
            <w:tcW w:w="929"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proofErr w:type="spellStart"/>
            <w:r w:rsidRPr="00764FF6">
              <w:rPr>
                <w:rFonts w:ascii="Calibri" w:eastAsia="Times New Roman" w:hAnsi="Calibri" w:cs="Arial"/>
                <w:color w:val="000000"/>
                <w:sz w:val="18"/>
                <w:lang w:eastAsia="en-GB"/>
              </w:rPr>
              <w:t>Kikwazu</w:t>
            </w:r>
            <w:proofErr w:type="spellEnd"/>
          </w:p>
        </w:tc>
        <w:tc>
          <w:tcPr>
            <w:tcW w:w="774" w:type="pct"/>
            <w:tcBorders>
              <w:top w:val="single" w:sz="4" w:space="0" w:color="auto"/>
              <w:left w:val="nil"/>
              <w:bottom w:val="single" w:sz="4" w:space="0" w:color="auto"/>
              <w:right w:val="nil"/>
            </w:tcBorders>
            <w:shd w:val="clear" w:color="auto" w:fill="auto"/>
            <w:noWrap/>
            <w:vAlign w:val="center"/>
            <w:hideMark/>
          </w:tcPr>
          <w:p w:rsidR="00BF014B" w:rsidRPr="00764FF6" w:rsidRDefault="00BF014B" w:rsidP="002A5AC2">
            <w:pPr>
              <w:spacing w:after="0" w:line="360" w:lineRule="auto"/>
              <w:jc w:val="center"/>
              <w:rPr>
                <w:rFonts w:ascii="Calibri" w:eastAsia="Times New Roman" w:hAnsi="Calibri" w:cs="Arial"/>
                <w:color w:val="000000"/>
                <w:sz w:val="18"/>
                <w:lang w:eastAsia="en-GB"/>
              </w:rPr>
            </w:pPr>
            <w:r w:rsidRPr="00764FF6">
              <w:rPr>
                <w:rFonts w:ascii="Calibri" w:eastAsia="Times New Roman" w:hAnsi="Calibri" w:cs="Arial"/>
                <w:color w:val="000000"/>
                <w:sz w:val="18"/>
                <w:lang w:eastAsia="en-GB"/>
              </w:rPr>
              <w:fldChar w:fldCharType="begin"/>
            </w:r>
            <w:r w:rsidR="00764FF6">
              <w:rPr>
                <w:rFonts w:ascii="Calibri" w:eastAsia="Times New Roman" w:hAnsi="Calibri" w:cs="Arial"/>
                <w:color w:val="000000"/>
                <w:sz w:val="18"/>
                <w:lang w:eastAsia="en-GB"/>
              </w:rPr>
              <w:instrText xml:space="preserve"> ADDIN ZOTERO_ITEM CSL_CITATION {"citationID":"wE4PGYah","properties":{"formattedCitation":"[21]","plainCitation":"[21]","noteIndex":0},"citationItems":[{"id":34034,"uris":["http://zotero.org/users/3516901/items/CP8GYC5U"],"uri":["http://zotero.org/users/3516901/items/CP8GYC5U"],"itemData":{"id":34034,"type":"thesis","title":"Epidemiology and control of malaria transmission by residual house spraying with ddt and lambdacyhalothrin in two populations of the Anopheles gambiae complex in Tanga region","publisher":"University of Basel","publisher-place":"Basel","event-place":"Basel","author":[{"literal":"Mnzava AEP"}],"issued":{"date-parts":[["1991"]]}}}],"schema":"https://github.com/citation-style-language/schema/raw/master/csl-citation.json"} </w:instrText>
            </w:r>
            <w:r w:rsidRPr="00764FF6">
              <w:rPr>
                <w:rFonts w:ascii="Calibri" w:eastAsia="Times New Roman" w:hAnsi="Calibri" w:cs="Arial"/>
                <w:color w:val="000000"/>
                <w:sz w:val="18"/>
                <w:lang w:eastAsia="en-GB"/>
              </w:rPr>
              <w:fldChar w:fldCharType="separate"/>
            </w:r>
            <w:r w:rsidR="006F40AC" w:rsidRPr="006F40AC">
              <w:rPr>
                <w:rFonts w:ascii="Calibri" w:hAnsi="Calibri"/>
                <w:sz w:val="18"/>
              </w:rPr>
              <w:t>[21]</w:t>
            </w:r>
            <w:r w:rsidRPr="00764FF6">
              <w:rPr>
                <w:rFonts w:ascii="Calibri" w:eastAsia="Times New Roman" w:hAnsi="Calibri" w:cs="Arial"/>
                <w:color w:val="000000"/>
                <w:sz w:val="18"/>
                <w:lang w:eastAsia="en-GB"/>
              </w:rPr>
              <w:fldChar w:fldCharType="end"/>
            </w:r>
          </w:p>
        </w:tc>
      </w:tr>
      <w:tr w:rsidR="00F47D18" w:rsidRPr="00D31B80" w:rsidTr="00F47D18">
        <w:trPr>
          <w:trHeight w:val="276"/>
        </w:trPr>
        <w:tc>
          <w:tcPr>
            <w:tcW w:w="5000" w:type="pct"/>
            <w:gridSpan w:val="9"/>
            <w:tcBorders>
              <w:top w:val="single" w:sz="4" w:space="0" w:color="auto"/>
              <w:left w:val="nil"/>
              <w:right w:val="nil"/>
            </w:tcBorders>
            <w:shd w:val="clear" w:color="auto" w:fill="auto"/>
            <w:noWrap/>
            <w:vAlign w:val="center"/>
          </w:tcPr>
          <w:p w:rsidR="005B7750" w:rsidRPr="00764FF6" w:rsidRDefault="005B7750" w:rsidP="005B7750">
            <w:pPr>
              <w:spacing w:after="0" w:line="360" w:lineRule="auto"/>
              <w:rPr>
                <w:rFonts w:ascii="Calibri" w:eastAsia="Times New Roman" w:hAnsi="Calibri" w:cs="Arial"/>
                <w:color w:val="000000"/>
                <w:sz w:val="20"/>
                <w:lang w:eastAsia="en-GB"/>
              </w:rPr>
            </w:pPr>
            <w:r w:rsidRPr="00764FF6">
              <w:rPr>
                <w:rFonts w:ascii="Calibri" w:eastAsia="Times New Roman" w:hAnsi="Calibri" w:cs="Arial"/>
                <w:color w:val="000000"/>
                <w:sz w:val="20"/>
                <w:lang w:eastAsia="en-GB"/>
              </w:rPr>
              <w:t xml:space="preserve">*) </w:t>
            </w:r>
            <w:r w:rsidR="00CF7862" w:rsidRPr="00764FF6">
              <w:rPr>
                <w:rFonts w:ascii="Calibri" w:eastAsia="Times New Roman" w:hAnsi="Calibri" w:cs="Arial"/>
                <w:color w:val="000000"/>
                <w:sz w:val="20"/>
                <w:lang w:eastAsia="en-GB"/>
              </w:rPr>
              <w:t>Unpublished data and EIR values per village not shown</w:t>
            </w:r>
            <w:r w:rsidRPr="00764FF6">
              <w:rPr>
                <w:rFonts w:ascii="Calibri" w:eastAsia="Times New Roman" w:hAnsi="Calibri" w:cs="Arial"/>
                <w:color w:val="000000"/>
                <w:sz w:val="20"/>
                <w:lang w:eastAsia="en-GB"/>
              </w:rPr>
              <w:t xml:space="preserve">. </w:t>
            </w:r>
          </w:p>
          <w:p w:rsidR="00D31B80" w:rsidRPr="00D31B80" w:rsidRDefault="00D31B80" w:rsidP="002A5AC2">
            <w:pPr>
              <w:spacing w:after="0" w:line="360" w:lineRule="auto"/>
              <w:rPr>
                <w:rFonts w:ascii="Calibri" w:eastAsia="Times New Roman" w:hAnsi="Calibri" w:cs="Arial"/>
                <w:color w:val="000000"/>
                <w:sz w:val="20"/>
                <w:lang w:eastAsia="en-GB"/>
              </w:rPr>
            </w:pPr>
          </w:p>
        </w:tc>
      </w:tr>
    </w:tbl>
    <w:p w:rsidR="00091319" w:rsidRPr="00D31B80" w:rsidRDefault="00091319" w:rsidP="00D31B80">
      <w:pPr>
        <w:pStyle w:val="Heading1"/>
        <w:spacing w:before="0" w:line="360" w:lineRule="auto"/>
        <w:rPr>
          <w:rFonts w:ascii="Calibri" w:hAnsi="Calibri"/>
        </w:rPr>
      </w:pPr>
      <w:bookmarkStart w:id="6" w:name="_Toc22294587"/>
      <w:r w:rsidRPr="00D31B80">
        <w:rPr>
          <w:rFonts w:ascii="Calibri" w:hAnsi="Calibri"/>
        </w:rPr>
        <w:t xml:space="preserve">Fitting performance at </w:t>
      </w:r>
      <w:r w:rsidRPr="00D31B80">
        <w:rPr>
          <w:rFonts w:ascii="Calibri" w:hAnsi="Calibri"/>
          <w:noProof/>
        </w:rPr>
        <w:t>sub-national</w:t>
      </w:r>
      <w:r w:rsidRPr="00D31B80">
        <w:rPr>
          <w:rFonts w:ascii="Calibri" w:hAnsi="Calibri"/>
        </w:rPr>
        <w:t xml:space="preserve"> level</w:t>
      </w:r>
      <w:bookmarkEnd w:id="6"/>
    </w:p>
    <w:p w:rsidR="00E86E3E" w:rsidRPr="00D31B80" w:rsidRDefault="006E00EE" w:rsidP="002A5AC2">
      <w:pPr>
        <w:spacing w:line="360" w:lineRule="auto"/>
        <w:jc w:val="both"/>
        <w:rPr>
          <w:rFonts w:ascii="Calibri" w:hAnsi="Calibri"/>
        </w:rPr>
      </w:pPr>
      <w:r w:rsidRPr="00D31B80">
        <w:rPr>
          <w:rFonts w:ascii="Calibri" w:hAnsi="Calibri"/>
        </w:rPr>
        <w:t>T</w:t>
      </w:r>
      <w:r w:rsidR="00091319" w:rsidRPr="00D31B80">
        <w:rPr>
          <w:rFonts w:ascii="Calibri" w:hAnsi="Calibri"/>
        </w:rPr>
        <w:t xml:space="preserve">he calibration </w:t>
      </w:r>
      <w:r w:rsidRPr="00D31B80">
        <w:rPr>
          <w:rFonts w:ascii="Calibri" w:hAnsi="Calibri"/>
        </w:rPr>
        <w:t xml:space="preserve">of the model </w:t>
      </w:r>
      <w:r w:rsidR="00091319" w:rsidRPr="00D31B80">
        <w:rPr>
          <w:rFonts w:ascii="Calibri" w:hAnsi="Calibri"/>
        </w:rPr>
        <w:t>at</w:t>
      </w:r>
      <w:r w:rsidR="00FD605E" w:rsidRPr="00D31B80">
        <w:rPr>
          <w:rFonts w:ascii="Calibri" w:hAnsi="Calibri"/>
        </w:rPr>
        <w:t xml:space="preserve"> council</w:t>
      </w:r>
      <w:r w:rsidR="00091319" w:rsidRPr="00D31B80">
        <w:rPr>
          <w:rFonts w:ascii="Calibri" w:hAnsi="Calibri"/>
        </w:rPr>
        <w:t xml:space="preserve"> level us</w:t>
      </w:r>
      <w:r w:rsidRPr="00D31B80">
        <w:rPr>
          <w:rFonts w:ascii="Calibri" w:hAnsi="Calibri"/>
        </w:rPr>
        <w:t>ed as much as possible</w:t>
      </w:r>
      <w:r w:rsidR="00091319" w:rsidRPr="00D31B80">
        <w:rPr>
          <w:rFonts w:ascii="Calibri" w:hAnsi="Calibri"/>
        </w:rPr>
        <w:t xml:space="preserve"> </w:t>
      </w:r>
      <w:r w:rsidR="00906E8F" w:rsidRPr="00D31B80">
        <w:rPr>
          <w:rFonts w:ascii="Calibri" w:hAnsi="Calibri"/>
        </w:rPr>
        <w:t>local</w:t>
      </w:r>
      <w:r w:rsidR="00091319" w:rsidRPr="00D31B80">
        <w:rPr>
          <w:rFonts w:ascii="Calibri" w:hAnsi="Calibri"/>
        </w:rPr>
        <w:t xml:space="preserve"> data</w:t>
      </w:r>
      <w:r w:rsidR="00906E8F" w:rsidRPr="00D31B80">
        <w:rPr>
          <w:rFonts w:ascii="Calibri" w:hAnsi="Calibri"/>
        </w:rPr>
        <w:t xml:space="preserve"> and</w:t>
      </w:r>
      <w:r w:rsidRPr="00D31B80">
        <w:rPr>
          <w:rFonts w:ascii="Calibri" w:hAnsi="Calibri"/>
        </w:rPr>
        <w:t xml:space="preserve"> complementary information at </w:t>
      </w:r>
      <w:r w:rsidR="00E04B7E" w:rsidRPr="00D31B80">
        <w:rPr>
          <w:rFonts w:ascii="Calibri" w:hAnsi="Calibri"/>
        </w:rPr>
        <w:t xml:space="preserve">a </w:t>
      </w:r>
      <w:r w:rsidRPr="00D31B80">
        <w:rPr>
          <w:rFonts w:ascii="Calibri" w:hAnsi="Calibri"/>
        </w:rPr>
        <w:t>lower resolution when needed. O</w:t>
      </w:r>
      <w:r w:rsidR="00906E8F" w:rsidRPr="00D31B80">
        <w:rPr>
          <w:rFonts w:ascii="Calibri" w:hAnsi="Calibri"/>
        </w:rPr>
        <w:t>nly two</w:t>
      </w:r>
      <w:r w:rsidR="00091319" w:rsidRPr="00D31B80">
        <w:rPr>
          <w:rFonts w:ascii="Calibri" w:hAnsi="Calibri"/>
        </w:rPr>
        <w:t xml:space="preserve"> parameters </w:t>
      </w:r>
      <w:r w:rsidRPr="00D31B80">
        <w:rPr>
          <w:rFonts w:ascii="Calibri" w:hAnsi="Calibri"/>
        </w:rPr>
        <w:t xml:space="preserve">were </w:t>
      </w:r>
      <w:r w:rsidR="00906E8F" w:rsidRPr="00D31B80">
        <w:rPr>
          <w:rFonts w:ascii="Calibri" w:hAnsi="Calibri"/>
        </w:rPr>
        <w:t xml:space="preserve">fitted </w:t>
      </w:r>
      <w:r w:rsidRPr="00D31B80">
        <w:rPr>
          <w:rFonts w:ascii="Calibri" w:hAnsi="Calibri"/>
        </w:rPr>
        <w:t xml:space="preserve">to ensure adequation with </w:t>
      </w:r>
      <w:r w:rsidR="00E04B7E" w:rsidRPr="00D31B80">
        <w:rPr>
          <w:rFonts w:ascii="Calibri" w:hAnsi="Calibri"/>
        </w:rPr>
        <w:t>historical malaria</w:t>
      </w:r>
      <w:r w:rsidR="00091319" w:rsidRPr="00D31B80">
        <w:rPr>
          <w:rFonts w:ascii="Calibri" w:hAnsi="Calibri"/>
        </w:rPr>
        <w:t xml:space="preserve"> trend</w:t>
      </w:r>
      <w:r w:rsidR="00E04B7E" w:rsidRPr="00D31B80">
        <w:rPr>
          <w:rFonts w:ascii="Calibri" w:hAnsi="Calibri"/>
        </w:rPr>
        <w:t>s</w:t>
      </w:r>
      <w:r w:rsidR="00091319" w:rsidRPr="00D31B80">
        <w:rPr>
          <w:rFonts w:ascii="Calibri" w:hAnsi="Calibri"/>
        </w:rPr>
        <w:t xml:space="preserve"> between 2003 and 2016. The figures below show the fitting of the baseline prevalence in</w:t>
      </w:r>
      <w:r w:rsidR="007C5E03" w:rsidRPr="00D31B80">
        <w:rPr>
          <w:rFonts w:ascii="Calibri" w:hAnsi="Calibri"/>
        </w:rPr>
        <w:t xml:space="preserve"> 2003 and in</w:t>
      </w:r>
      <w:r w:rsidR="00091319" w:rsidRPr="00D31B80">
        <w:rPr>
          <w:rFonts w:ascii="Calibri" w:hAnsi="Calibri"/>
        </w:rPr>
        <w:t xml:space="preserve"> 2016 per </w:t>
      </w:r>
      <w:r w:rsidR="00FD605E" w:rsidRPr="00D31B80">
        <w:rPr>
          <w:rFonts w:ascii="Calibri" w:hAnsi="Calibri"/>
        </w:rPr>
        <w:t>council</w:t>
      </w:r>
      <w:r w:rsidR="00091319" w:rsidRPr="00D31B80">
        <w:rPr>
          <w:rFonts w:ascii="Calibri" w:hAnsi="Calibri"/>
        </w:rPr>
        <w:t xml:space="preserve"> grouped by region (</w:t>
      </w:r>
      <w:r w:rsidR="00764FF6">
        <w:rPr>
          <w:rFonts w:ascii="Calibri" w:hAnsi="Calibri"/>
        </w:rPr>
        <w:t>Fig S</w:t>
      </w:r>
      <w:r w:rsidR="00417C3E">
        <w:rPr>
          <w:rFonts w:ascii="Calibri" w:hAnsi="Calibri"/>
        </w:rPr>
        <w:t>4</w:t>
      </w:r>
      <w:r w:rsidR="00764FF6">
        <w:rPr>
          <w:rFonts w:ascii="Calibri" w:hAnsi="Calibri"/>
        </w:rPr>
        <w:t>.3 and Fig S</w:t>
      </w:r>
      <w:r w:rsidR="00417C3E">
        <w:rPr>
          <w:rFonts w:ascii="Calibri" w:hAnsi="Calibri"/>
        </w:rPr>
        <w:t>4</w:t>
      </w:r>
      <w:r w:rsidR="00764FF6">
        <w:rPr>
          <w:rFonts w:ascii="Calibri" w:hAnsi="Calibri"/>
        </w:rPr>
        <w:t>.4</w:t>
      </w:r>
      <w:r w:rsidR="00E86E3E" w:rsidRPr="00D31B80">
        <w:rPr>
          <w:rFonts w:ascii="Calibri" w:hAnsi="Calibri"/>
        </w:rPr>
        <w:t>)</w:t>
      </w:r>
      <w:r w:rsidR="007C5E03" w:rsidRPr="00D31B80">
        <w:rPr>
          <w:rFonts w:ascii="Calibri" w:hAnsi="Calibri"/>
        </w:rPr>
        <w:t xml:space="preserve"> and</w:t>
      </w:r>
      <w:r w:rsidR="00091319" w:rsidRPr="00D31B80">
        <w:rPr>
          <w:rFonts w:ascii="Calibri" w:hAnsi="Calibri"/>
        </w:rPr>
        <w:t>, and the historical prevalence over time by region (</w:t>
      </w:r>
      <w:r w:rsidR="00447397">
        <w:rPr>
          <w:rFonts w:ascii="Calibri" w:hAnsi="Calibri"/>
        </w:rPr>
        <w:t xml:space="preserve">Fig </w:t>
      </w:r>
      <w:r w:rsidR="00764FF6">
        <w:rPr>
          <w:rFonts w:ascii="Calibri" w:hAnsi="Calibri"/>
        </w:rPr>
        <w:t>S</w:t>
      </w:r>
      <w:r w:rsidR="00417C3E">
        <w:rPr>
          <w:rFonts w:ascii="Calibri" w:hAnsi="Calibri"/>
        </w:rPr>
        <w:t>4</w:t>
      </w:r>
      <w:r w:rsidR="00764FF6">
        <w:rPr>
          <w:rFonts w:ascii="Calibri" w:hAnsi="Calibri"/>
        </w:rPr>
        <w:t>.5</w:t>
      </w:r>
      <w:r w:rsidR="00091319" w:rsidRPr="00D31B80">
        <w:rPr>
          <w:rFonts w:ascii="Calibri" w:hAnsi="Calibri"/>
        </w:rPr>
        <w:t>).</w:t>
      </w:r>
      <w:r w:rsidR="00447397">
        <w:rPr>
          <w:rFonts w:ascii="Calibri" w:hAnsi="Calibri"/>
        </w:rPr>
        <w:t xml:space="preserve"> </w:t>
      </w:r>
    </w:p>
    <w:p w:rsidR="00A80F93" w:rsidRPr="00D31B80" w:rsidRDefault="00A80F93" w:rsidP="00764FF6">
      <w:pPr>
        <w:pStyle w:val="Heading2"/>
      </w:pPr>
      <w:bookmarkStart w:id="7" w:name="_Toc22294588"/>
      <w:r w:rsidRPr="00D31B80">
        <w:lastRenderedPageBreak/>
        <w:t>Pre-intervention prevalence 2003</w:t>
      </w:r>
      <w:bookmarkEnd w:id="7"/>
    </w:p>
    <w:p w:rsidR="00A80F93" w:rsidRPr="00D31B80" w:rsidRDefault="00227505" w:rsidP="00764FF6">
      <w:pPr>
        <w:spacing w:after="0" w:line="360" w:lineRule="auto"/>
        <w:rPr>
          <w:rFonts w:ascii="Calibri" w:hAnsi="Calibri"/>
        </w:rPr>
      </w:pPr>
      <w:r w:rsidRPr="00D31B80">
        <w:rPr>
          <w:rFonts w:ascii="Calibri" w:hAnsi="Calibri"/>
          <w:noProof/>
          <w:lang w:eastAsia="en-GB"/>
        </w:rPr>
        <w:drawing>
          <wp:inline distT="0" distB="0" distL="0" distR="0" wp14:anchorId="794FDAAF" wp14:editId="07856BA1">
            <wp:extent cx="5760720" cy="5760720"/>
            <wp:effectExtent l="19050" t="19050" r="1143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ngma\Projects\OM_TZA\OM_Iterations\Experiments\Hist_and_Fut\TZA_MappingWS_Nov2018_Jan2019\SensitivityAnalysis\20180209_OMTZARegions_corCM_combined_corCMMDAcost\Figures\fittingPlot_perRegion_2003.v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5760720"/>
                    </a:xfrm>
                    <a:prstGeom prst="rect">
                      <a:avLst/>
                    </a:prstGeom>
                    <a:noFill/>
                    <a:ln>
                      <a:solidFill>
                        <a:schemeClr val="tx1"/>
                      </a:solidFill>
                    </a:ln>
                  </pic:spPr>
                </pic:pic>
              </a:graphicData>
            </a:graphic>
          </wp:inline>
        </w:drawing>
      </w:r>
    </w:p>
    <w:p w:rsidR="000F4A25" w:rsidRDefault="00227505" w:rsidP="00764FF6">
      <w:pPr>
        <w:pStyle w:val="Caption"/>
        <w:spacing w:before="0" w:after="0" w:line="276" w:lineRule="auto"/>
        <w:rPr>
          <w:rFonts w:ascii="Calibri" w:eastAsiaTheme="minorHAnsi" w:hAnsi="Calibri" w:cstheme="minorBidi"/>
          <w:b/>
          <w:bCs w:val="0"/>
          <w:sz w:val="22"/>
          <w:szCs w:val="22"/>
          <w:lang w:eastAsia="en-US"/>
        </w:rPr>
      </w:pPr>
      <w:bookmarkStart w:id="8" w:name="_Ref11859068"/>
      <w:r w:rsidRPr="000F4A25">
        <w:rPr>
          <w:rFonts w:ascii="Calibri" w:eastAsiaTheme="minorHAnsi" w:hAnsi="Calibri" w:cstheme="minorBidi"/>
          <w:b/>
          <w:bCs w:val="0"/>
          <w:sz w:val="22"/>
          <w:szCs w:val="22"/>
          <w:lang w:eastAsia="en-US"/>
        </w:rPr>
        <w:t xml:space="preserve">Fig </w:t>
      </w:r>
      <w:r w:rsidR="00764FF6">
        <w:rPr>
          <w:rFonts w:ascii="Calibri" w:eastAsiaTheme="minorHAnsi" w:hAnsi="Calibri" w:cstheme="minorBidi"/>
          <w:b/>
          <w:bCs w:val="0"/>
          <w:sz w:val="22"/>
          <w:szCs w:val="22"/>
          <w:lang w:eastAsia="en-US"/>
        </w:rPr>
        <w:t>S</w:t>
      </w:r>
      <w:r w:rsidR="00417C3E">
        <w:rPr>
          <w:rFonts w:ascii="Calibri" w:eastAsiaTheme="minorHAnsi" w:hAnsi="Calibri" w:cstheme="minorBidi"/>
          <w:b/>
          <w:bCs w:val="0"/>
          <w:sz w:val="22"/>
          <w:szCs w:val="22"/>
          <w:lang w:eastAsia="en-US"/>
        </w:rPr>
        <w:t>4</w:t>
      </w:r>
      <w:r w:rsidR="00764FF6">
        <w:rPr>
          <w:rFonts w:ascii="Calibri" w:eastAsiaTheme="minorHAnsi" w:hAnsi="Calibri" w:cstheme="minorBidi"/>
          <w:b/>
          <w:bCs w:val="0"/>
          <w:sz w:val="22"/>
          <w:szCs w:val="22"/>
          <w:lang w:eastAsia="en-US"/>
        </w:rPr>
        <w:t>.</w:t>
      </w:r>
      <w:r w:rsidRPr="000F4A25">
        <w:rPr>
          <w:rFonts w:ascii="Calibri" w:eastAsiaTheme="minorHAnsi" w:hAnsi="Calibri" w:cstheme="minorBidi"/>
          <w:b/>
          <w:bCs w:val="0"/>
          <w:sz w:val="22"/>
          <w:szCs w:val="22"/>
          <w:lang w:eastAsia="en-US"/>
        </w:rPr>
        <w:fldChar w:fldCharType="begin"/>
      </w:r>
      <w:r w:rsidRPr="000F4A25">
        <w:rPr>
          <w:rFonts w:ascii="Calibri" w:eastAsiaTheme="minorHAnsi" w:hAnsi="Calibri" w:cstheme="minorBidi"/>
          <w:b/>
          <w:bCs w:val="0"/>
          <w:sz w:val="22"/>
          <w:szCs w:val="22"/>
          <w:lang w:eastAsia="en-US"/>
        </w:rPr>
        <w:instrText xml:space="preserve"> SEQ Figure \* ARABIC </w:instrText>
      </w:r>
      <w:r w:rsidRPr="000F4A25">
        <w:rPr>
          <w:rFonts w:ascii="Calibri" w:eastAsiaTheme="minorHAnsi" w:hAnsi="Calibri" w:cstheme="minorBidi"/>
          <w:b/>
          <w:bCs w:val="0"/>
          <w:sz w:val="22"/>
          <w:szCs w:val="22"/>
          <w:lang w:eastAsia="en-US"/>
        </w:rPr>
        <w:fldChar w:fldCharType="separate"/>
      </w:r>
      <w:r w:rsidR="00685368">
        <w:rPr>
          <w:rFonts w:ascii="Calibri" w:eastAsiaTheme="minorHAnsi" w:hAnsi="Calibri" w:cstheme="minorBidi"/>
          <w:b/>
          <w:bCs w:val="0"/>
          <w:noProof/>
          <w:sz w:val="22"/>
          <w:szCs w:val="22"/>
          <w:lang w:eastAsia="en-US"/>
        </w:rPr>
        <w:t>3</w:t>
      </w:r>
      <w:r w:rsidRPr="000F4A25">
        <w:rPr>
          <w:rFonts w:ascii="Calibri" w:eastAsiaTheme="minorHAnsi" w:hAnsi="Calibri" w:cstheme="minorBidi"/>
          <w:b/>
          <w:bCs w:val="0"/>
          <w:sz w:val="22"/>
          <w:szCs w:val="22"/>
          <w:lang w:eastAsia="en-US"/>
        </w:rPr>
        <w:fldChar w:fldCharType="end"/>
      </w:r>
      <w:bookmarkEnd w:id="8"/>
      <w:r w:rsidR="000F4A25" w:rsidRPr="000F4A25">
        <w:rPr>
          <w:rFonts w:ascii="Calibri" w:eastAsiaTheme="minorHAnsi" w:hAnsi="Calibri" w:cstheme="minorBidi"/>
          <w:b/>
          <w:bCs w:val="0"/>
          <w:sz w:val="22"/>
          <w:szCs w:val="22"/>
          <w:lang w:eastAsia="en-US"/>
        </w:rPr>
        <w:t>.</w:t>
      </w:r>
      <w:r w:rsidRPr="000F4A25">
        <w:rPr>
          <w:rFonts w:ascii="Calibri" w:eastAsiaTheme="minorHAnsi" w:hAnsi="Calibri" w:cstheme="minorBidi"/>
          <w:b/>
          <w:bCs w:val="0"/>
          <w:sz w:val="22"/>
          <w:szCs w:val="22"/>
          <w:lang w:eastAsia="en-US"/>
        </w:rPr>
        <w:t xml:space="preserve"> Fitting per 2003 prevalence per </w:t>
      </w:r>
      <w:r w:rsidR="00FD605E" w:rsidRPr="000F4A25">
        <w:rPr>
          <w:rFonts w:ascii="Calibri" w:eastAsiaTheme="minorHAnsi" w:hAnsi="Calibri" w:cstheme="minorBidi"/>
          <w:b/>
          <w:bCs w:val="0"/>
          <w:sz w:val="22"/>
          <w:szCs w:val="22"/>
          <w:lang w:eastAsia="en-US"/>
        </w:rPr>
        <w:t>council</w:t>
      </w:r>
      <w:r w:rsidRPr="000F4A25">
        <w:rPr>
          <w:rFonts w:ascii="Calibri" w:eastAsiaTheme="minorHAnsi" w:hAnsi="Calibri" w:cstheme="minorBidi"/>
          <w:b/>
          <w:bCs w:val="0"/>
          <w:sz w:val="22"/>
          <w:szCs w:val="22"/>
          <w:lang w:eastAsia="en-US"/>
        </w:rPr>
        <w:t xml:space="preserve">, grouped by region. </w:t>
      </w:r>
    </w:p>
    <w:p w:rsidR="00227505" w:rsidRDefault="00227505" w:rsidP="00764FF6">
      <w:pPr>
        <w:pStyle w:val="Caption"/>
        <w:spacing w:before="0" w:after="0" w:line="276" w:lineRule="auto"/>
        <w:rPr>
          <w:rFonts w:ascii="Calibri" w:hAnsi="Calibri"/>
          <w:sz w:val="22"/>
        </w:rPr>
      </w:pPr>
      <w:r w:rsidRPr="000F4A25">
        <w:rPr>
          <w:rFonts w:ascii="Calibri" w:hAnsi="Calibri"/>
          <w:sz w:val="22"/>
        </w:rPr>
        <w:t>The facets show each region with</w:t>
      </w:r>
      <w:r w:rsidR="00E04B7E" w:rsidRPr="000F4A25">
        <w:rPr>
          <w:rFonts w:ascii="Calibri" w:hAnsi="Calibri"/>
          <w:sz w:val="22"/>
        </w:rPr>
        <w:t xml:space="preserve"> the</w:t>
      </w:r>
      <w:r w:rsidRPr="000F4A25">
        <w:rPr>
          <w:rFonts w:ascii="Calibri" w:hAnsi="Calibri"/>
          <w:sz w:val="22"/>
        </w:rPr>
        <w:t xml:space="preserve"> number of </w:t>
      </w:r>
      <w:r w:rsidR="00FD605E" w:rsidRPr="000F4A25">
        <w:rPr>
          <w:rFonts w:ascii="Calibri" w:hAnsi="Calibri"/>
          <w:sz w:val="22"/>
        </w:rPr>
        <w:t>council</w:t>
      </w:r>
      <w:r w:rsidR="00E04B7E" w:rsidRPr="000F4A25">
        <w:rPr>
          <w:rFonts w:ascii="Calibri" w:hAnsi="Calibri"/>
          <w:sz w:val="22"/>
        </w:rPr>
        <w:t>s</w:t>
      </w:r>
      <w:r w:rsidRPr="000F4A25">
        <w:rPr>
          <w:rFonts w:ascii="Calibri" w:hAnsi="Calibri"/>
          <w:sz w:val="22"/>
        </w:rPr>
        <w:t xml:space="preserve"> in the brackets. Each point represents one</w:t>
      </w:r>
      <w:r w:rsidR="00FD605E" w:rsidRPr="000F4A25">
        <w:rPr>
          <w:rFonts w:ascii="Calibri" w:hAnsi="Calibri"/>
          <w:sz w:val="22"/>
        </w:rPr>
        <w:t xml:space="preserve"> council</w:t>
      </w:r>
      <w:r w:rsidRPr="000F4A25">
        <w:rPr>
          <w:rFonts w:ascii="Calibri" w:hAnsi="Calibri"/>
          <w:sz w:val="22"/>
        </w:rPr>
        <w:t xml:space="preserve"> within the region. The scatter plots (right) shows the respective prevalence estimates (points), with the regression line (blue line), and perfect correspondence line (black line). CCC = Lin’s concordance correlation coefficients </w:t>
      </w:r>
      <w:r w:rsidRPr="000F4A25">
        <w:rPr>
          <w:rFonts w:ascii="Calibri" w:hAnsi="Calibri"/>
          <w:sz w:val="22"/>
        </w:rPr>
        <w:fldChar w:fldCharType="begin"/>
      </w:r>
      <w:r w:rsidR="00764FF6">
        <w:rPr>
          <w:rFonts w:ascii="Calibri" w:hAnsi="Calibri"/>
          <w:sz w:val="22"/>
        </w:rPr>
        <w:instrText xml:space="preserve"> ADDIN ZOTERO_ITEM CSL_CITATION {"citationID":"rnMTbgVG","properties":{"formattedCitation":"[22]","plainCitation":"[22]","noteIndex":0},"citationItems":[{"id":30240,"uris":["http://zotero.org/users/3516901/items/XE5C3AXR"],"uri":["http://zotero.org/users/3516901/items/XE5C3AXR"],"itemData":{"id":30240,"type":"article-journal","title":"A Concordance Correlation Coefficient to Evaluate Reproducibility","container-title":"Biometrics","page":"255-268","volume":"45","issue":"1","source":"JSTOR","archive":"JSTOR","abstract":"[A new reproducibility index is developed and studied. This index is the correlation between the two readings that fall on the 45</w:instrText>
      </w:r>
      <w:r w:rsidR="00764FF6">
        <w:rPr>
          <w:rFonts w:ascii="Calibri" w:hAnsi="Calibri" w:cs="Calibri"/>
          <w:sz w:val="22"/>
        </w:rPr>
        <w:instrText>⚬</w:instrText>
      </w:r>
      <w:r w:rsidR="00764FF6">
        <w:rPr>
          <w:rFonts w:ascii="Calibri" w:hAnsi="Calibri"/>
          <w:sz w:val="22"/>
        </w:rPr>
        <w:instrText xml:space="preserve"> line through the origin. It is simple to use and possesses desirable properties. The statistical properties of this estimate can be satisfactorily evaluated using an inverse hyperbolic tangent transformation. A Monte Carlo experiment with 5,000 runs was performed to confirm the estimate's validity. An application using actual data is given.]","DOI":"10.2307/2532051","ISSN":"0006-341X","author":[{"family":"Lin","given":"Lawrence I-Kuei"}],"issued":{"date-parts":[["1989"]]}}}],"schema":"https://github.com/citation-style-language/schema/raw/master/csl-citation.json"} </w:instrText>
      </w:r>
      <w:r w:rsidRPr="000F4A25">
        <w:rPr>
          <w:rFonts w:ascii="Calibri" w:hAnsi="Calibri"/>
          <w:sz w:val="22"/>
        </w:rPr>
        <w:fldChar w:fldCharType="separate"/>
      </w:r>
      <w:r w:rsidR="006F40AC" w:rsidRPr="006F40AC">
        <w:rPr>
          <w:rFonts w:ascii="Calibri" w:hAnsi="Calibri"/>
          <w:sz w:val="22"/>
        </w:rPr>
        <w:t>[22]</w:t>
      </w:r>
      <w:r w:rsidRPr="000F4A25">
        <w:rPr>
          <w:rFonts w:ascii="Calibri" w:hAnsi="Calibri"/>
          <w:sz w:val="22"/>
        </w:rPr>
        <w:fldChar w:fldCharType="end"/>
      </w:r>
      <w:r w:rsidRPr="000F4A25">
        <w:rPr>
          <w:rFonts w:ascii="Calibri" w:hAnsi="Calibri"/>
          <w:sz w:val="22"/>
        </w:rPr>
        <w:t>.</w:t>
      </w:r>
      <w:r w:rsidR="00447397">
        <w:rPr>
          <w:rFonts w:ascii="Calibri" w:hAnsi="Calibri"/>
          <w:sz w:val="22"/>
        </w:rPr>
        <w:t xml:space="preserve"> </w:t>
      </w:r>
    </w:p>
    <w:p w:rsidR="00112BBE" w:rsidRPr="00112BBE" w:rsidRDefault="00112BBE" w:rsidP="00764FF6">
      <w:pPr>
        <w:spacing w:after="0"/>
        <w:rPr>
          <w:lang w:eastAsia="de-DE"/>
        </w:rPr>
      </w:pPr>
    </w:p>
    <w:p w:rsidR="00091319" w:rsidRPr="00112BBE" w:rsidRDefault="00091319" w:rsidP="00764FF6">
      <w:pPr>
        <w:pStyle w:val="Heading2"/>
      </w:pPr>
      <w:bookmarkStart w:id="9" w:name="_Toc22294589"/>
      <w:r w:rsidRPr="00112BBE">
        <w:lastRenderedPageBreak/>
        <w:t>Baseline</w:t>
      </w:r>
      <w:r w:rsidR="00A80F93" w:rsidRPr="00112BBE">
        <w:t xml:space="preserve"> p</w:t>
      </w:r>
      <w:r w:rsidR="00530D1A" w:rsidRPr="00112BBE">
        <w:t>revalence</w:t>
      </w:r>
      <w:r w:rsidR="006E00EE" w:rsidRPr="00112BBE">
        <w:t xml:space="preserve"> in</w:t>
      </w:r>
      <w:r w:rsidRPr="00112BBE">
        <w:t xml:space="preserve"> 2016</w:t>
      </w:r>
      <w:bookmarkEnd w:id="9"/>
    </w:p>
    <w:p w:rsidR="00091319" w:rsidRPr="00D31B80" w:rsidRDefault="00091319" w:rsidP="00764FF6">
      <w:pPr>
        <w:keepNext/>
        <w:spacing w:after="0" w:line="360" w:lineRule="auto"/>
        <w:rPr>
          <w:rFonts w:ascii="Calibri" w:hAnsi="Calibri"/>
        </w:rPr>
      </w:pPr>
      <w:r w:rsidRPr="00D31B80">
        <w:rPr>
          <w:rFonts w:ascii="Calibri" w:hAnsi="Calibri"/>
          <w:noProof/>
          <w:lang w:eastAsia="en-GB"/>
        </w:rPr>
        <w:drawing>
          <wp:inline distT="0" distB="0" distL="0" distR="0" wp14:anchorId="247EC34D" wp14:editId="2E172336">
            <wp:extent cx="5593080" cy="5593080"/>
            <wp:effectExtent l="19050" t="19050" r="2667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ngma\Projects\OM_TZA\OM_Iterations\Experiments\Hist_and_Fut\TZA_MappingWS_Nov2018_Jan2019\RefittedSimulations\20180216_OMTZARegions_combined\Figures\fittingPlot_perRegi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93080" cy="5593080"/>
                    </a:xfrm>
                    <a:prstGeom prst="rect">
                      <a:avLst/>
                    </a:prstGeom>
                    <a:noFill/>
                    <a:ln>
                      <a:solidFill>
                        <a:schemeClr val="tx1"/>
                      </a:solidFill>
                    </a:ln>
                  </pic:spPr>
                </pic:pic>
              </a:graphicData>
            </a:graphic>
          </wp:inline>
        </w:drawing>
      </w:r>
    </w:p>
    <w:p w:rsidR="000F4A25" w:rsidRDefault="00091319" w:rsidP="00764FF6">
      <w:pPr>
        <w:pStyle w:val="Caption"/>
        <w:spacing w:before="0" w:after="0" w:line="276" w:lineRule="auto"/>
        <w:rPr>
          <w:rFonts w:ascii="Calibri" w:hAnsi="Calibri"/>
          <w:sz w:val="22"/>
        </w:rPr>
      </w:pPr>
      <w:bookmarkStart w:id="10" w:name="_Ref536600680"/>
      <w:r w:rsidRPr="000F4A25">
        <w:rPr>
          <w:rFonts w:ascii="Calibri" w:hAnsi="Calibri"/>
          <w:b/>
          <w:sz w:val="22"/>
        </w:rPr>
        <w:t xml:space="preserve">Fig </w:t>
      </w:r>
      <w:r w:rsidR="00764FF6">
        <w:rPr>
          <w:rFonts w:ascii="Calibri" w:hAnsi="Calibri"/>
          <w:b/>
          <w:sz w:val="22"/>
        </w:rPr>
        <w:t>S</w:t>
      </w:r>
      <w:r w:rsidR="00417C3E">
        <w:rPr>
          <w:rFonts w:ascii="Calibri" w:hAnsi="Calibri"/>
          <w:b/>
          <w:sz w:val="22"/>
        </w:rPr>
        <w:t>4</w:t>
      </w:r>
      <w:r w:rsidR="00764FF6">
        <w:rPr>
          <w:rFonts w:ascii="Calibri" w:hAnsi="Calibri"/>
          <w:b/>
          <w:sz w:val="22"/>
        </w:rPr>
        <w:t>.</w:t>
      </w:r>
      <w:r w:rsidRPr="000F4A25">
        <w:rPr>
          <w:rFonts w:ascii="Calibri" w:hAnsi="Calibri"/>
          <w:b/>
          <w:sz w:val="22"/>
        </w:rPr>
        <w:fldChar w:fldCharType="begin"/>
      </w:r>
      <w:r w:rsidRPr="000F4A25">
        <w:rPr>
          <w:rFonts w:ascii="Calibri" w:hAnsi="Calibri"/>
          <w:b/>
          <w:sz w:val="22"/>
        </w:rPr>
        <w:instrText xml:space="preserve"> SEQ Figure \* ARABIC </w:instrText>
      </w:r>
      <w:r w:rsidRPr="000F4A25">
        <w:rPr>
          <w:rFonts w:ascii="Calibri" w:hAnsi="Calibri"/>
          <w:b/>
          <w:sz w:val="22"/>
        </w:rPr>
        <w:fldChar w:fldCharType="separate"/>
      </w:r>
      <w:r w:rsidR="00685368">
        <w:rPr>
          <w:rFonts w:ascii="Calibri" w:hAnsi="Calibri"/>
          <w:b/>
          <w:noProof/>
          <w:sz w:val="22"/>
        </w:rPr>
        <w:t>4</w:t>
      </w:r>
      <w:r w:rsidRPr="000F4A25">
        <w:rPr>
          <w:rFonts w:ascii="Calibri" w:hAnsi="Calibri"/>
          <w:b/>
          <w:sz w:val="22"/>
        </w:rPr>
        <w:fldChar w:fldCharType="end"/>
      </w:r>
      <w:bookmarkEnd w:id="10"/>
      <w:r w:rsidR="000F4A25" w:rsidRPr="000F4A25">
        <w:rPr>
          <w:rFonts w:ascii="Calibri" w:hAnsi="Calibri"/>
          <w:b/>
          <w:sz w:val="22"/>
        </w:rPr>
        <w:t>.</w:t>
      </w:r>
      <w:r w:rsidRPr="000F4A25">
        <w:rPr>
          <w:rFonts w:ascii="Calibri" w:hAnsi="Calibri"/>
          <w:sz w:val="22"/>
        </w:rPr>
        <w:t xml:space="preserve"> </w:t>
      </w:r>
      <w:r w:rsidRPr="000F4A25">
        <w:rPr>
          <w:rFonts w:ascii="Calibri" w:hAnsi="Calibri"/>
          <w:b/>
          <w:sz w:val="22"/>
        </w:rPr>
        <w:t xml:space="preserve">Fitting per </w:t>
      </w:r>
      <w:r w:rsidR="006E00EE" w:rsidRPr="000F4A25">
        <w:rPr>
          <w:rFonts w:ascii="Calibri" w:hAnsi="Calibri"/>
          <w:b/>
          <w:sz w:val="22"/>
        </w:rPr>
        <w:t>2016</w:t>
      </w:r>
      <w:r w:rsidRPr="000F4A25">
        <w:rPr>
          <w:rFonts w:ascii="Calibri" w:hAnsi="Calibri"/>
          <w:b/>
          <w:sz w:val="22"/>
        </w:rPr>
        <w:t xml:space="preserve"> </w:t>
      </w:r>
      <w:r w:rsidR="00227505" w:rsidRPr="000F4A25">
        <w:rPr>
          <w:rFonts w:ascii="Calibri" w:hAnsi="Calibri"/>
          <w:b/>
          <w:sz w:val="22"/>
        </w:rPr>
        <w:t xml:space="preserve">prevalence per </w:t>
      </w:r>
      <w:r w:rsidR="00FD605E" w:rsidRPr="000F4A25">
        <w:rPr>
          <w:rFonts w:ascii="Calibri" w:hAnsi="Calibri"/>
          <w:b/>
          <w:sz w:val="22"/>
        </w:rPr>
        <w:t>council</w:t>
      </w:r>
      <w:r w:rsidR="00227505" w:rsidRPr="000F4A25">
        <w:rPr>
          <w:rFonts w:ascii="Calibri" w:hAnsi="Calibri"/>
          <w:b/>
          <w:sz w:val="22"/>
        </w:rPr>
        <w:t>, grouped by</w:t>
      </w:r>
      <w:r w:rsidR="00706F66" w:rsidRPr="000F4A25">
        <w:rPr>
          <w:rFonts w:ascii="Calibri" w:hAnsi="Calibri"/>
          <w:b/>
          <w:sz w:val="22"/>
        </w:rPr>
        <w:t xml:space="preserve"> region</w:t>
      </w:r>
      <w:r w:rsidRPr="000F4A25">
        <w:rPr>
          <w:rFonts w:ascii="Calibri" w:hAnsi="Calibri"/>
          <w:sz w:val="22"/>
        </w:rPr>
        <w:t xml:space="preserve">. </w:t>
      </w:r>
    </w:p>
    <w:p w:rsidR="00091319" w:rsidRPr="00112BBE" w:rsidRDefault="00813643" w:rsidP="00764FF6">
      <w:pPr>
        <w:pStyle w:val="Caption"/>
        <w:spacing w:before="0" w:after="0" w:line="276" w:lineRule="auto"/>
        <w:rPr>
          <w:rFonts w:ascii="Calibri" w:hAnsi="Calibri"/>
          <w:sz w:val="22"/>
        </w:rPr>
      </w:pPr>
      <w:r w:rsidRPr="00112BBE">
        <w:rPr>
          <w:rFonts w:ascii="Calibri" w:hAnsi="Calibri"/>
          <w:sz w:val="22"/>
        </w:rPr>
        <w:t xml:space="preserve">The facets show each region with </w:t>
      </w:r>
      <w:r w:rsidR="00E04B7E" w:rsidRPr="00112BBE">
        <w:rPr>
          <w:rFonts w:ascii="Calibri" w:hAnsi="Calibri"/>
          <w:sz w:val="22"/>
        </w:rPr>
        <w:t xml:space="preserve">the </w:t>
      </w:r>
      <w:r w:rsidRPr="00112BBE">
        <w:rPr>
          <w:rFonts w:ascii="Calibri" w:hAnsi="Calibri"/>
          <w:sz w:val="22"/>
        </w:rPr>
        <w:t xml:space="preserve">number of </w:t>
      </w:r>
      <w:r w:rsidR="00FD605E" w:rsidRPr="00112BBE">
        <w:rPr>
          <w:rFonts w:ascii="Calibri" w:hAnsi="Calibri"/>
          <w:sz w:val="22"/>
        </w:rPr>
        <w:t>councils</w:t>
      </w:r>
      <w:r w:rsidRPr="00112BBE">
        <w:rPr>
          <w:rFonts w:ascii="Calibri" w:hAnsi="Calibri"/>
          <w:sz w:val="22"/>
        </w:rPr>
        <w:t xml:space="preserve"> in the brackets. Each point represents one </w:t>
      </w:r>
      <w:r w:rsidR="00FD605E" w:rsidRPr="00112BBE">
        <w:rPr>
          <w:rFonts w:ascii="Calibri" w:hAnsi="Calibri"/>
          <w:sz w:val="22"/>
        </w:rPr>
        <w:t>council</w:t>
      </w:r>
      <w:r w:rsidRPr="00112BBE">
        <w:rPr>
          <w:rFonts w:ascii="Calibri" w:hAnsi="Calibri"/>
          <w:sz w:val="22"/>
        </w:rPr>
        <w:t xml:space="preserve"> within the region.</w:t>
      </w:r>
      <w:r w:rsidR="00091319" w:rsidRPr="00112BBE">
        <w:rPr>
          <w:rFonts w:ascii="Calibri" w:hAnsi="Calibri"/>
          <w:sz w:val="22"/>
        </w:rPr>
        <w:t xml:space="preserve"> </w:t>
      </w:r>
      <w:r w:rsidR="001D3C1E" w:rsidRPr="00112BBE">
        <w:rPr>
          <w:rFonts w:ascii="Calibri" w:hAnsi="Calibri"/>
          <w:sz w:val="22"/>
        </w:rPr>
        <w:t xml:space="preserve">The scatter plots (right) shows the respective prevalence estimates (points), with the regression line (blue line), and perfect correspondence line (black line). CCC = Lin’s concordance correlation coefficients </w:t>
      </w:r>
      <w:r w:rsidR="001D3C1E" w:rsidRPr="00112BBE">
        <w:rPr>
          <w:rFonts w:ascii="Calibri" w:hAnsi="Calibri"/>
          <w:sz w:val="22"/>
        </w:rPr>
        <w:fldChar w:fldCharType="begin"/>
      </w:r>
      <w:r w:rsidR="00764FF6">
        <w:rPr>
          <w:rFonts w:ascii="Calibri" w:hAnsi="Calibri"/>
          <w:sz w:val="22"/>
        </w:rPr>
        <w:instrText xml:space="preserve"> ADDIN ZOTERO_ITEM CSL_CITATION {"citationID":"0qoGXTjB","properties":{"formattedCitation":"[22]","plainCitation":"[22]","noteIndex":0},"citationItems":[{"id":30240,"uris":["http://zotero.org/users/3516901/items/XE5C3AXR"],"uri":["http://zotero.org/users/3516901/items/XE5C3AXR"],"itemData":{"id":30240,"type":"article-journal","title":"A Concordance Correlation Coefficient to Evaluate Reproducibility","container-title":"Biometrics","page":"255-268","volume":"45","issue":"1","source":"JSTOR","archive":"JSTOR","abstract":"[A new reproducibility index is developed and studied. This index is the correlation between the two readings that fall on the 45</w:instrText>
      </w:r>
      <w:r w:rsidR="00764FF6">
        <w:rPr>
          <w:rFonts w:ascii="Calibri" w:hAnsi="Calibri" w:cs="Calibri"/>
          <w:sz w:val="22"/>
        </w:rPr>
        <w:instrText>⚬</w:instrText>
      </w:r>
      <w:r w:rsidR="00764FF6">
        <w:rPr>
          <w:rFonts w:ascii="Calibri" w:hAnsi="Calibri"/>
          <w:sz w:val="22"/>
        </w:rPr>
        <w:instrText xml:space="preserve"> line through the origin. It is simple to use and possesses desirable properties. The statistical properties of this estimate can be satisfactorily evaluated using an inverse hyperbolic tangent transformation. A Monte Carlo experiment with 5,000 runs was performed to confirm the estimate's validity. An application using actual data is given.]","DOI":"10.2307/2532051","ISSN":"0006-341X","author":[{"family":"Lin","given":"Lawrence I-Kuei"}],"issued":{"date-parts":[["1989"]]}}}],"schema":"https://github.com/citation-style-language/schema/raw/master/csl-citation.json"} </w:instrText>
      </w:r>
      <w:r w:rsidR="001D3C1E" w:rsidRPr="00112BBE">
        <w:rPr>
          <w:rFonts w:ascii="Calibri" w:hAnsi="Calibri"/>
          <w:sz w:val="22"/>
        </w:rPr>
        <w:fldChar w:fldCharType="separate"/>
      </w:r>
      <w:r w:rsidR="006F40AC" w:rsidRPr="006F40AC">
        <w:rPr>
          <w:rFonts w:ascii="Calibri" w:hAnsi="Calibri"/>
          <w:sz w:val="22"/>
        </w:rPr>
        <w:t>[22]</w:t>
      </w:r>
      <w:r w:rsidR="001D3C1E" w:rsidRPr="00112BBE">
        <w:rPr>
          <w:rFonts w:ascii="Calibri" w:hAnsi="Calibri"/>
          <w:sz w:val="22"/>
        </w:rPr>
        <w:fldChar w:fldCharType="end"/>
      </w:r>
      <w:r w:rsidR="001D3C1E" w:rsidRPr="00112BBE">
        <w:rPr>
          <w:rFonts w:ascii="Calibri" w:hAnsi="Calibri"/>
          <w:sz w:val="22"/>
        </w:rPr>
        <w:t>.</w:t>
      </w:r>
      <w:r w:rsidR="00447397">
        <w:rPr>
          <w:rFonts w:ascii="Calibri" w:hAnsi="Calibri"/>
          <w:sz w:val="22"/>
        </w:rPr>
        <w:t xml:space="preserve"> </w:t>
      </w:r>
    </w:p>
    <w:p w:rsidR="00091319" w:rsidRPr="00D31B80" w:rsidRDefault="00091319" w:rsidP="00764FF6">
      <w:pPr>
        <w:spacing w:after="0" w:line="360" w:lineRule="auto"/>
        <w:rPr>
          <w:rFonts w:ascii="Calibri" w:hAnsi="Calibri"/>
          <w:lang w:eastAsia="de-DE"/>
        </w:rPr>
      </w:pPr>
    </w:p>
    <w:p w:rsidR="00091319" w:rsidRPr="00D31B80" w:rsidRDefault="00091319" w:rsidP="00764FF6">
      <w:pPr>
        <w:pStyle w:val="Heading2"/>
        <w:spacing w:line="360" w:lineRule="auto"/>
        <w:rPr>
          <w:lang w:eastAsia="de-DE"/>
        </w:rPr>
      </w:pPr>
      <w:bookmarkStart w:id="11" w:name="_Toc22294590"/>
      <w:r w:rsidRPr="00D31B80">
        <w:rPr>
          <w:lang w:eastAsia="de-DE"/>
        </w:rPr>
        <w:t>Historical trend</w:t>
      </w:r>
      <w:bookmarkEnd w:id="11"/>
    </w:p>
    <w:p w:rsidR="00906E8F" w:rsidRPr="00D31B80" w:rsidRDefault="00906E8F" w:rsidP="002A5AC2">
      <w:pPr>
        <w:spacing w:line="360" w:lineRule="auto"/>
        <w:jc w:val="both"/>
        <w:rPr>
          <w:rFonts w:ascii="Calibri" w:hAnsi="Calibri"/>
          <w:lang w:eastAsia="de-DE"/>
        </w:rPr>
      </w:pPr>
      <w:r w:rsidRPr="00D31B80">
        <w:rPr>
          <w:rFonts w:ascii="Calibri" w:hAnsi="Calibri"/>
          <w:lang w:eastAsia="de-DE"/>
        </w:rPr>
        <w:t xml:space="preserve">The ITN coverage was </w:t>
      </w:r>
      <w:r w:rsidR="006E00EE" w:rsidRPr="00D31B80">
        <w:rPr>
          <w:rFonts w:ascii="Calibri" w:hAnsi="Calibri"/>
          <w:lang w:eastAsia="de-DE"/>
        </w:rPr>
        <w:t>assumed to be known and therefore fixed</w:t>
      </w:r>
      <w:r w:rsidR="009F6533" w:rsidRPr="00D31B80">
        <w:rPr>
          <w:rFonts w:ascii="Calibri" w:hAnsi="Calibri"/>
          <w:lang w:eastAsia="de-DE"/>
        </w:rPr>
        <w:t xml:space="preserve"> (see </w:t>
      </w:r>
      <w:r w:rsidR="00417C3E">
        <w:rPr>
          <w:rFonts w:ascii="Calibri" w:hAnsi="Calibri"/>
          <w:lang w:eastAsia="de-DE"/>
        </w:rPr>
        <w:t>S2 File</w:t>
      </w:r>
      <w:r w:rsidR="009F6533" w:rsidRPr="00D31B80">
        <w:rPr>
          <w:rFonts w:ascii="Calibri" w:hAnsi="Calibri"/>
          <w:lang w:eastAsia="de-DE"/>
        </w:rPr>
        <w:t>)</w:t>
      </w:r>
      <w:r w:rsidR="0027281F" w:rsidRPr="00D31B80">
        <w:rPr>
          <w:rFonts w:ascii="Calibri" w:hAnsi="Calibri"/>
          <w:lang w:eastAsia="de-DE"/>
        </w:rPr>
        <w:t>,</w:t>
      </w:r>
      <w:r w:rsidRPr="00D31B80">
        <w:rPr>
          <w:rFonts w:ascii="Calibri" w:hAnsi="Calibri"/>
          <w:lang w:eastAsia="de-DE"/>
        </w:rPr>
        <w:t xml:space="preserve"> and in some regions and </w:t>
      </w:r>
      <w:r w:rsidR="009F6533" w:rsidRPr="00D31B80">
        <w:rPr>
          <w:rFonts w:ascii="Calibri" w:hAnsi="Calibri"/>
          <w:lang w:eastAsia="de-DE"/>
        </w:rPr>
        <w:t>councils</w:t>
      </w:r>
      <w:r w:rsidRPr="00D31B80">
        <w:rPr>
          <w:rFonts w:ascii="Calibri" w:hAnsi="Calibri"/>
          <w:lang w:eastAsia="de-DE"/>
        </w:rPr>
        <w:t xml:space="preserve">, the reduction in prevalence did not correspond to the increase in coverage over time. It was assumed that the pre-intervention EIR and the baseline year before future intervention deployment would be the most </w:t>
      </w:r>
      <w:r w:rsidR="008D047B" w:rsidRPr="00D31B80">
        <w:rPr>
          <w:rFonts w:ascii="Calibri" w:hAnsi="Calibri"/>
          <w:lang w:eastAsia="de-DE"/>
        </w:rPr>
        <w:t>relevant</w:t>
      </w:r>
      <w:r w:rsidR="00B84290" w:rsidRPr="00D31B80">
        <w:rPr>
          <w:rFonts w:ascii="Calibri" w:hAnsi="Calibri"/>
          <w:lang w:eastAsia="de-DE"/>
        </w:rPr>
        <w:t xml:space="preserve"> time points for the model to reproduce</w:t>
      </w:r>
      <w:r w:rsidR="008D047B" w:rsidRPr="00D31B80">
        <w:rPr>
          <w:rFonts w:ascii="Calibri" w:hAnsi="Calibri"/>
          <w:lang w:eastAsia="de-DE"/>
        </w:rPr>
        <w:t>.</w:t>
      </w:r>
      <w:r w:rsidR="00447397">
        <w:rPr>
          <w:rFonts w:ascii="Calibri" w:hAnsi="Calibri"/>
          <w:lang w:eastAsia="de-DE"/>
        </w:rPr>
        <w:t xml:space="preserve"> </w:t>
      </w:r>
    </w:p>
    <w:p w:rsidR="00091319" w:rsidRPr="00D31B80" w:rsidRDefault="00091319" w:rsidP="002A5AC2">
      <w:pPr>
        <w:spacing w:after="0" w:line="360" w:lineRule="auto"/>
        <w:rPr>
          <w:rFonts w:ascii="Calibri" w:hAnsi="Calibri"/>
          <w:lang w:eastAsia="de-DE"/>
        </w:rPr>
      </w:pPr>
      <w:r w:rsidRPr="00D31B80">
        <w:rPr>
          <w:rFonts w:ascii="Calibri" w:hAnsi="Calibri"/>
          <w:noProof/>
          <w:lang w:eastAsia="en-GB"/>
        </w:rPr>
        <w:lastRenderedPageBreak/>
        <w:drawing>
          <wp:inline distT="0" distB="0" distL="0" distR="0" wp14:anchorId="48AE97F9" wp14:editId="6D08FEA0">
            <wp:extent cx="6395376" cy="3488386"/>
            <wp:effectExtent l="19050" t="19050" r="24765"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ngma\Projects\OM_TZA\OM_Iterations\Experiments\Hist_and_Fut\TZA_MappingWS_Nov2018_Jan2019\RefittedSimulations\20180216_OMTZARegions_combined\Figures\fittingPlot_perRegion_historicalTrend.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95376" cy="3488386"/>
                    </a:xfrm>
                    <a:prstGeom prst="rect">
                      <a:avLst/>
                    </a:prstGeom>
                    <a:noFill/>
                    <a:ln>
                      <a:solidFill>
                        <a:schemeClr val="tx1"/>
                      </a:solidFill>
                    </a:ln>
                  </pic:spPr>
                </pic:pic>
              </a:graphicData>
            </a:graphic>
          </wp:inline>
        </w:drawing>
      </w:r>
    </w:p>
    <w:p w:rsidR="00112BBE" w:rsidRDefault="00091319" w:rsidP="002A5AC2">
      <w:pPr>
        <w:pStyle w:val="Caption"/>
        <w:spacing w:before="0" w:after="0" w:line="360" w:lineRule="auto"/>
        <w:rPr>
          <w:rFonts w:ascii="Calibri" w:hAnsi="Calibri"/>
          <w:bCs w:val="0"/>
          <w:sz w:val="22"/>
        </w:rPr>
      </w:pPr>
      <w:bookmarkStart w:id="12" w:name="_Ref536604417"/>
      <w:r w:rsidRPr="00112BBE">
        <w:rPr>
          <w:rFonts w:ascii="Calibri" w:hAnsi="Calibri"/>
          <w:b/>
          <w:bCs w:val="0"/>
          <w:sz w:val="22"/>
        </w:rPr>
        <w:t xml:space="preserve">Fig </w:t>
      </w:r>
      <w:r w:rsidR="00764FF6">
        <w:rPr>
          <w:rFonts w:ascii="Calibri" w:hAnsi="Calibri"/>
          <w:b/>
          <w:bCs w:val="0"/>
          <w:sz w:val="22"/>
        </w:rPr>
        <w:t>S</w:t>
      </w:r>
      <w:r w:rsidR="00417C3E">
        <w:rPr>
          <w:rFonts w:ascii="Calibri" w:hAnsi="Calibri"/>
          <w:b/>
          <w:bCs w:val="0"/>
          <w:sz w:val="22"/>
        </w:rPr>
        <w:t>4</w:t>
      </w:r>
      <w:r w:rsidR="00764FF6">
        <w:rPr>
          <w:rFonts w:ascii="Calibri" w:hAnsi="Calibri"/>
          <w:b/>
          <w:bCs w:val="0"/>
          <w:sz w:val="22"/>
        </w:rPr>
        <w:t>.</w:t>
      </w:r>
      <w:r w:rsidRPr="00112BBE">
        <w:rPr>
          <w:rFonts w:ascii="Calibri" w:hAnsi="Calibri"/>
          <w:b/>
          <w:bCs w:val="0"/>
          <w:sz w:val="22"/>
        </w:rPr>
        <w:fldChar w:fldCharType="begin"/>
      </w:r>
      <w:r w:rsidRPr="00112BBE">
        <w:rPr>
          <w:rFonts w:ascii="Calibri" w:hAnsi="Calibri"/>
          <w:b/>
          <w:bCs w:val="0"/>
          <w:sz w:val="22"/>
        </w:rPr>
        <w:instrText xml:space="preserve"> SEQ Figure \* ARABIC </w:instrText>
      </w:r>
      <w:r w:rsidRPr="00112BBE">
        <w:rPr>
          <w:rFonts w:ascii="Calibri" w:hAnsi="Calibri"/>
          <w:b/>
          <w:bCs w:val="0"/>
          <w:sz w:val="22"/>
        </w:rPr>
        <w:fldChar w:fldCharType="separate"/>
      </w:r>
      <w:r w:rsidR="00685368">
        <w:rPr>
          <w:rFonts w:ascii="Calibri" w:hAnsi="Calibri"/>
          <w:b/>
          <w:bCs w:val="0"/>
          <w:noProof/>
          <w:sz w:val="22"/>
        </w:rPr>
        <w:t>5</w:t>
      </w:r>
      <w:r w:rsidRPr="00112BBE">
        <w:rPr>
          <w:rFonts w:ascii="Calibri" w:hAnsi="Calibri"/>
          <w:b/>
          <w:bCs w:val="0"/>
          <w:sz w:val="22"/>
        </w:rPr>
        <w:fldChar w:fldCharType="end"/>
      </w:r>
      <w:bookmarkEnd w:id="12"/>
      <w:r w:rsidR="00112BBE">
        <w:rPr>
          <w:rFonts w:ascii="Calibri" w:hAnsi="Calibri"/>
          <w:b/>
          <w:bCs w:val="0"/>
          <w:sz w:val="22"/>
        </w:rPr>
        <w:t>.</w:t>
      </w:r>
      <w:r w:rsidRPr="00112BBE">
        <w:rPr>
          <w:rFonts w:ascii="Calibri" w:hAnsi="Calibri"/>
          <w:bCs w:val="0"/>
          <w:sz w:val="22"/>
        </w:rPr>
        <w:t xml:space="preserve"> </w:t>
      </w:r>
      <w:r w:rsidRPr="00112BBE">
        <w:rPr>
          <w:rFonts w:ascii="Calibri" w:hAnsi="Calibri"/>
          <w:b/>
          <w:bCs w:val="0"/>
          <w:sz w:val="22"/>
        </w:rPr>
        <w:t xml:space="preserve">Reproduced historical trend </w:t>
      </w:r>
      <w:r w:rsidR="003D7AB0" w:rsidRPr="00112BBE">
        <w:rPr>
          <w:rFonts w:ascii="Calibri" w:hAnsi="Calibri"/>
          <w:b/>
          <w:bCs w:val="0"/>
          <w:sz w:val="22"/>
        </w:rPr>
        <w:t xml:space="preserve">aggregated </w:t>
      </w:r>
      <w:r w:rsidRPr="00112BBE">
        <w:rPr>
          <w:rFonts w:ascii="Calibri" w:hAnsi="Calibri"/>
          <w:b/>
          <w:bCs w:val="0"/>
          <w:sz w:val="22"/>
        </w:rPr>
        <w:t>per region.</w:t>
      </w:r>
      <w:r w:rsidRPr="00112BBE">
        <w:rPr>
          <w:rFonts w:ascii="Calibri" w:hAnsi="Calibri"/>
          <w:bCs w:val="0"/>
          <w:sz w:val="22"/>
        </w:rPr>
        <w:t xml:space="preserve"> </w:t>
      </w:r>
    </w:p>
    <w:p w:rsidR="00091319" w:rsidRPr="00112BBE" w:rsidRDefault="00091319" w:rsidP="002A5AC2">
      <w:pPr>
        <w:pStyle w:val="Caption"/>
        <w:spacing w:before="0" w:after="0" w:line="360" w:lineRule="auto"/>
        <w:rPr>
          <w:rFonts w:ascii="Calibri" w:hAnsi="Calibri"/>
          <w:bCs w:val="0"/>
          <w:sz w:val="22"/>
        </w:rPr>
      </w:pPr>
      <w:r w:rsidRPr="00112BBE">
        <w:rPr>
          <w:rFonts w:ascii="Calibri" w:hAnsi="Calibri"/>
          <w:bCs w:val="0"/>
          <w:sz w:val="22"/>
        </w:rPr>
        <w:t xml:space="preserve">The prevalence estimates per </w:t>
      </w:r>
      <w:r w:rsidR="003D7AB0" w:rsidRPr="00112BBE">
        <w:rPr>
          <w:rFonts w:ascii="Calibri" w:hAnsi="Calibri"/>
          <w:bCs w:val="0"/>
          <w:sz w:val="22"/>
        </w:rPr>
        <w:t xml:space="preserve">council (n=184) </w:t>
      </w:r>
      <w:r w:rsidRPr="00112BBE">
        <w:rPr>
          <w:rFonts w:ascii="Calibri" w:hAnsi="Calibri"/>
          <w:bCs w:val="0"/>
          <w:sz w:val="22"/>
        </w:rPr>
        <w:t xml:space="preserve">were </w:t>
      </w:r>
      <w:r w:rsidR="00813643" w:rsidRPr="00112BBE">
        <w:rPr>
          <w:rFonts w:ascii="Calibri" w:hAnsi="Calibri"/>
          <w:bCs w:val="0"/>
          <w:sz w:val="22"/>
        </w:rPr>
        <w:t>aggregated</w:t>
      </w:r>
      <w:r w:rsidRPr="00112BBE">
        <w:rPr>
          <w:rFonts w:ascii="Calibri" w:hAnsi="Calibri"/>
          <w:bCs w:val="0"/>
          <w:sz w:val="22"/>
        </w:rPr>
        <w:t xml:space="preserve"> per </w:t>
      </w:r>
      <w:r w:rsidR="00454805" w:rsidRPr="00112BBE">
        <w:rPr>
          <w:rFonts w:ascii="Calibri" w:hAnsi="Calibri"/>
          <w:bCs w:val="0"/>
          <w:sz w:val="22"/>
        </w:rPr>
        <w:t>region</w:t>
      </w:r>
      <w:r w:rsidR="003D7AB0" w:rsidRPr="00112BBE">
        <w:rPr>
          <w:rFonts w:ascii="Calibri" w:hAnsi="Calibri"/>
          <w:bCs w:val="0"/>
          <w:sz w:val="22"/>
        </w:rPr>
        <w:t xml:space="preserve"> (n=26). T</w:t>
      </w:r>
      <w:r w:rsidRPr="00112BBE">
        <w:rPr>
          <w:rFonts w:ascii="Calibri" w:hAnsi="Calibri"/>
          <w:bCs w:val="0"/>
          <w:sz w:val="22"/>
        </w:rPr>
        <w:t xml:space="preserve">he number in brackets shows the number of </w:t>
      </w:r>
      <w:r w:rsidR="003D7AB0" w:rsidRPr="00112BBE">
        <w:rPr>
          <w:rFonts w:ascii="Calibri" w:hAnsi="Calibri"/>
          <w:bCs w:val="0"/>
          <w:sz w:val="22"/>
        </w:rPr>
        <w:t>councils within a region and the</w:t>
      </w:r>
      <w:r w:rsidRPr="00112BBE">
        <w:rPr>
          <w:rFonts w:ascii="Calibri" w:hAnsi="Calibri"/>
          <w:bCs w:val="0"/>
          <w:sz w:val="22"/>
        </w:rPr>
        <w:t xml:space="preserve"> facets w</w:t>
      </w:r>
      <w:r w:rsidR="00E04B7E" w:rsidRPr="00112BBE">
        <w:rPr>
          <w:rFonts w:ascii="Calibri" w:hAnsi="Calibri"/>
          <w:bCs w:val="0"/>
          <w:sz w:val="22"/>
        </w:rPr>
        <w:t>as</w:t>
      </w:r>
      <w:r w:rsidRPr="00112BBE">
        <w:rPr>
          <w:rFonts w:ascii="Calibri" w:hAnsi="Calibri"/>
          <w:bCs w:val="0"/>
          <w:sz w:val="22"/>
        </w:rPr>
        <w:t xml:space="preserve"> sorted by the fitting performance</w:t>
      </w:r>
      <w:r w:rsidR="0027281F" w:rsidRPr="00112BBE">
        <w:rPr>
          <w:rFonts w:ascii="Calibri" w:hAnsi="Calibri"/>
          <w:bCs w:val="0"/>
          <w:sz w:val="22"/>
        </w:rPr>
        <w:t>,</w:t>
      </w:r>
      <w:r w:rsidRPr="00112BBE">
        <w:rPr>
          <w:rFonts w:ascii="Calibri" w:hAnsi="Calibri"/>
          <w:bCs w:val="0"/>
          <w:sz w:val="22"/>
        </w:rPr>
        <w:t xml:space="preserve"> as shown in </w:t>
      </w:r>
      <w:r w:rsidR="00447397">
        <w:rPr>
          <w:rFonts w:ascii="Calibri" w:hAnsi="Calibri"/>
          <w:bCs w:val="0"/>
          <w:sz w:val="22"/>
        </w:rPr>
        <w:t xml:space="preserve">Fig </w:t>
      </w:r>
      <w:r w:rsidR="00417C3E">
        <w:rPr>
          <w:rFonts w:ascii="Calibri" w:hAnsi="Calibri"/>
          <w:bCs w:val="0"/>
          <w:sz w:val="22"/>
        </w:rPr>
        <w:t>4</w:t>
      </w:r>
      <w:r w:rsidR="00764FF6">
        <w:rPr>
          <w:rFonts w:ascii="Calibri" w:hAnsi="Calibri"/>
          <w:bCs w:val="0"/>
          <w:sz w:val="22"/>
        </w:rPr>
        <w:t>.4</w:t>
      </w:r>
      <w:r w:rsidRPr="00112BBE">
        <w:rPr>
          <w:rFonts w:ascii="Calibri" w:hAnsi="Calibri"/>
          <w:bCs w:val="0"/>
          <w:sz w:val="22"/>
        </w:rPr>
        <w:t>.</w:t>
      </w:r>
    </w:p>
    <w:p w:rsidR="007D58C6" w:rsidRPr="00D31B80" w:rsidRDefault="007D58C6" w:rsidP="002A5AC2">
      <w:pPr>
        <w:tabs>
          <w:tab w:val="left" w:pos="8316"/>
        </w:tabs>
        <w:spacing w:after="0" w:line="360" w:lineRule="auto"/>
        <w:rPr>
          <w:rFonts w:ascii="Calibri" w:hAnsi="Calibri"/>
        </w:rPr>
      </w:pPr>
      <w:bookmarkStart w:id="13" w:name="_Toc32601"/>
    </w:p>
    <w:p w:rsidR="00152C96" w:rsidRPr="00D31B80" w:rsidRDefault="00484937" w:rsidP="002A5AC2">
      <w:pPr>
        <w:pStyle w:val="Heading1"/>
        <w:spacing w:before="0" w:line="360" w:lineRule="auto"/>
        <w:rPr>
          <w:rFonts w:ascii="Calibri" w:hAnsi="Calibri"/>
        </w:rPr>
      </w:pPr>
      <w:bookmarkStart w:id="14" w:name="_Toc22294591"/>
      <w:bookmarkEnd w:id="13"/>
      <w:r w:rsidRPr="00D31B80">
        <w:rPr>
          <w:rFonts w:ascii="Calibri" w:hAnsi="Calibri"/>
        </w:rPr>
        <w:t xml:space="preserve">Comparison of </w:t>
      </w:r>
      <w:r w:rsidR="00F74346" w:rsidRPr="00D31B80">
        <w:rPr>
          <w:rFonts w:ascii="Calibri" w:hAnsi="Calibri"/>
        </w:rPr>
        <w:t>impact per intervention strategies per region</w:t>
      </w:r>
      <w:bookmarkEnd w:id="14"/>
      <w:r w:rsidR="00152C96" w:rsidRPr="00D31B80">
        <w:rPr>
          <w:rFonts w:ascii="Calibri" w:hAnsi="Calibri"/>
        </w:rPr>
        <w:t xml:space="preserve"> </w:t>
      </w:r>
    </w:p>
    <w:p w:rsidR="00D9196D" w:rsidRPr="00D31B80" w:rsidRDefault="00C303A4" w:rsidP="002A5AC2">
      <w:pPr>
        <w:spacing w:after="0" w:line="360" w:lineRule="auto"/>
        <w:jc w:val="both"/>
        <w:rPr>
          <w:rFonts w:ascii="Calibri" w:hAnsi="Calibri"/>
        </w:rPr>
      </w:pPr>
      <w:r w:rsidRPr="00D31B80">
        <w:rPr>
          <w:rFonts w:ascii="Calibri" w:hAnsi="Calibri"/>
        </w:rPr>
        <w:t xml:space="preserve">Three strategies </w:t>
      </w:r>
      <w:r w:rsidR="00B84290" w:rsidRPr="00D31B80">
        <w:rPr>
          <w:rFonts w:ascii="Calibri" w:hAnsi="Calibri"/>
        </w:rPr>
        <w:t>were used for stratification</w:t>
      </w:r>
      <w:r w:rsidR="00FC1D33" w:rsidRPr="00D31B80">
        <w:rPr>
          <w:rFonts w:ascii="Calibri" w:hAnsi="Calibri"/>
        </w:rPr>
        <w:t xml:space="preserve"> and the choice of interventions</w:t>
      </w:r>
      <w:r w:rsidR="00B84290" w:rsidRPr="00D31B80">
        <w:rPr>
          <w:rFonts w:ascii="Calibri" w:hAnsi="Calibri"/>
        </w:rPr>
        <w:t xml:space="preserve">. </w:t>
      </w:r>
      <w:r w:rsidR="00D9196D" w:rsidRPr="00D31B80">
        <w:rPr>
          <w:rFonts w:ascii="Calibri" w:hAnsi="Calibri"/>
        </w:rPr>
        <w:t>Fo</w:t>
      </w:r>
      <w:r w:rsidR="00FC1D33" w:rsidRPr="00D31B80">
        <w:rPr>
          <w:rFonts w:ascii="Calibri" w:hAnsi="Calibri"/>
        </w:rPr>
        <w:t xml:space="preserve">r each </w:t>
      </w:r>
      <w:r w:rsidR="00FD605E" w:rsidRPr="00D31B80">
        <w:rPr>
          <w:rFonts w:ascii="Calibri" w:hAnsi="Calibri"/>
        </w:rPr>
        <w:t>council</w:t>
      </w:r>
      <w:r w:rsidR="00FC1D33" w:rsidRPr="00D31B80">
        <w:rPr>
          <w:rFonts w:ascii="Calibri" w:hAnsi="Calibri"/>
        </w:rPr>
        <w:t>, t</w:t>
      </w:r>
      <w:r w:rsidR="00B84290" w:rsidRPr="00D31B80">
        <w:rPr>
          <w:rFonts w:ascii="Calibri" w:hAnsi="Calibri"/>
        </w:rPr>
        <w:t xml:space="preserve">he choice of the interventions was defined as (1) the interventions that </w:t>
      </w:r>
      <w:r w:rsidR="00AA3D7D" w:rsidRPr="00D31B80">
        <w:rPr>
          <w:rFonts w:ascii="Calibri" w:hAnsi="Calibri"/>
        </w:rPr>
        <w:t>comply</w:t>
      </w:r>
      <w:r w:rsidR="00B84290" w:rsidRPr="00D31B80">
        <w:rPr>
          <w:rFonts w:ascii="Calibri" w:hAnsi="Calibri"/>
        </w:rPr>
        <w:t xml:space="preserve"> with the current NMSP </w:t>
      </w:r>
      <w:r w:rsidR="00D9196D" w:rsidRPr="00D31B80">
        <w:rPr>
          <w:rFonts w:ascii="Calibri" w:hAnsi="Calibri"/>
        </w:rPr>
        <w:t xml:space="preserve">a) </w:t>
      </w:r>
      <w:r w:rsidR="00B84290" w:rsidRPr="00D31B80">
        <w:rPr>
          <w:rFonts w:ascii="Calibri" w:hAnsi="Calibri"/>
        </w:rPr>
        <w:t xml:space="preserve">without </w:t>
      </w:r>
      <w:r w:rsidR="002B69CD" w:rsidRPr="00D31B80">
        <w:rPr>
          <w:rFonts w:ascii="Calibri" w:hAnsi="Calibri"/>
        </w:rPr>
        <w:t xml:space="preserve">or </w:t>
      </w:r>
      <w:r w:rsidR="00D9196D" w:rsidRPr="00D31B80">
        <w:rPr>
          <w:rFonts w:ascii="Calibri" w:hAnsi="Calibri"/>
        </w:rPr>
        <w:t xml:space="preserve">b) </w:t>
      </w:r>
      <w:r w:rsidR="002B69CD" w:rsidRPr="00D31B80">
        <w:rPr>
          <w:rFonts w:ascii="Calibri" w:hAnsi="Calibri"/>
        </w:rPr>
        <w:t xml:space="preserve">with </w:t>
      </w:r>
      <w:r w:rsidR="00B84290" w:rsidRPr="00D31B80">
        <w:rPr>
          <w:rFonts w:ascii="Calibri" w:hAnsi="Calibri"/>
        </w:rPr>
        <w:t xml:space="preserve">an improvement of the case </w:t>
      </w:r>
      <w:r w:rsidR="00AA3D7D" w:rsidRPr="00D31B80">
        <w:rPr>
          <w:rFonts w:ascii="Calibri" w:hAnsi="Calibri"/>
        </w:rPr>
        <w:t>management,</w:t>
      </w:r>
      <w:r w:rsidR="002B69CD" w:rsidRPr="00D31B80">
        <w:rPr>
          <w:rFonts w:ascii="Calibri" w:hAnsi="Calibri"/>
        </w:rPr>
        <w:t xml:space="preserve"> </w:t>
      </w:r>
      <w:r w:rsidR="00B84290" w:rsidRPr="00D31B80">
        <w:rPr>
          <w:rFonts w:ascii="Calibri" w:hAnsi="Calibri"/>
        </w:rPr>
        <w:t>(</w:t>
      </w:r>
      <w:r w:rsidR="00D9196D" w:rsidRPr="00D31B80">
        <w:rPr>
          <w:rFonts w:ascii="Calibri" w:hAnsi="Calibri"/>
        </w:rPr>
        <w:t>2</w:t>
      </w:r>
      <w:r w:rsidR="00B84290" w:rsidRPr="00D31B80">
        <w:rPr>
          <w:rFonts w:ascii="Calibri" w:hAnsi="Calibri"/>
        </w:rPr>
        <w:t xml:space="preserve">) the interventions that </w:t>
      </w:r>
      <w:r w:rsidR="002B69CD" w:rsidRPr="00D31B80">
        <w:rPr>
          <w:rFonts w:ascii="Calibri" w:hAnsi="Calibri"/>
        </w:rPr>
        <w:t>form the</w:t>
      </w:r>
      <w:r w:rsidR="00B84290" w:rsidRPr="00D31B80">
        <w:rPr>
          <w:rFonts w:ascii="Calibri" w:hAnsi="Calibri"/>
        </w:rPr>
        <w:t xml:space="preserve"> most cost-effective </w:t>
      </w:r>
      <w:r w:rsidR="00AA3D7D" w:rsidRPr="00D31B80">
        <w:rPr>
          <w:rFonts w:ascii="Calibri" w:hAnsi="Calibri"/>
        </w:rPr>
        <w:t>strategy</w:t>
      </w:r>
      <w:r w:rsidR="002B69CD" w:rsidRPr="00D31B80">
        <w:rPr>
          <w:rFonts w:ascii="Calibri" w:hAnsi="Calibri"/>
        </w:rPr>
        <w:t xml:space="preserve"> or (</w:t>
      </w:r>
      <w:r w:rsidR="00D9196D" w:rsidRPr="00D31B80">
        <w:rPr>
          <w:rFonts w:ascii="Calibri" w:hAnsi="Calibri"/>
        </w:rPr>
        <w:t>3</w:t>
      </w:r>
      <w:r w:rsidR="002B69CD" w:rsidRPr="00D31B80">
        <w:rPr>
          <w:rFonts w:ascii="Calibri" w:hAnsi="Calibri"/>
        </w:rPr>
        <w:t>) the interventions that lead to the national target with the smallest resources</w:t>
      </w:r>
      <w:r w:rsidR="00B84290" w:rsidRPr="00D31B80">
        <w:rPr>
          <w:rFonts w:ascii="Calibri" w:hAnsi="Calibri"/>
        </w:rPr>
        <w:t>.</w:t>
      </w:r>
      <w:r w:rsidR="00D9196D" w:rsidRPr="00D31B80">
        <w:rPr>
          <w:rFonts w:ascii="Calibri" w:hAnsi="Calibri"/>
        </w:rPr>
        <w:t xml:space="preserve"> These strategies were compared to the counterfactual scenario, which was defined as the discontinuation of vector control and with maintained case management at current levels in 2016 (see main manuscript).</w:t>
      </w:r>
      <w:r w:rsidR="00447397">
        <w:rPr>
          <w:rFonts w:ascii="Calibri" w:hAnsi="Calibri"/>
        </w:rPr>
        <w:t xml:space="preserve"> </w:t>
      </w:r>
    </w:p>
    <w:p w:rsidR="00764FF6" w:rsidRPr="00D31B80" w:rsidRDefault="00F52F94" w:rsidP="002A5AC2">
      <w:pPr>
        <w:spacing w:after="0" w:line="360" w:lineRule="auto"/>
        <w:jc w:val="both"/>
        <w:rPr>
          <w:rFonts w:ascii="Calibri" w:hAnsi="Calibri"/>
        </w:rPr>
      </w:pPr>
      <w:r w:rsidRPr="00D31B80">
        <w:rPr>
          <w:rFonts w:ascii="Calibri" w:hAnsi="Calibri"/>
        </w:rPr>
        <w:t xml:space="preserve">The predictions of the 184 councils were aggregated per region for simplicity and visualisation of sub-national heterogeneity. The regional mean predictions for prevalence as well as for cases averted are shown in </w:t>
      </w:r>
      <w:r w:rsidR="00764FF6">
        <w:rPr>
          <w:rFonts w:ascii="Calibri" w:hAnsi="Calibri"/>
        </w:rPr>
        <w:t>Fig S</w:t>
      </w:r>
      <w:r w:rsidR="00417C3E">
        <w:rPr>
          <w:rFonts w:ascii="Calibri" w:hAnsi="Calibri"/>
        </w:rPr>
        <w:t>4</w:t>
      </w:r>
      <w:r w:rsidR="00764FF6">
        <w:rPr>
          <w:rFonts w:ascii="Calibri" w:hAnsi="Calibri"/>
        </w:rPr>
        <w:t>.6</w:t>
      </w:r>
      <w:r w:rsidR="00153B3D">
        <w:rPr>
          <w:rFonts w:ascii="Calibri" w:hAnsi="Calibri"/>
        </w:rPr>
        <w:t>-8</w:t>
      </w:r>
      <w:r w:rsidRPr="00D31B80">
        <w:rPr>
          <w:rFonts w:ascii="Calibri" w:hAnsi="Calibri"/>
        </w:rPr>
        <w:t>. Overall, the counterfactual scenario led to an increase in pre</w:t>
      </w:r>
      <w:r w:rsidR="00E04B7E" w:rsidRPr="00D31B80">
        <w:rPr>
          <w:rFonts w:ascii="Calibri" w:hAnsi="Calibri"/>
        </w:rPr>
        <w:t>v</w:t>
      </w:r>
      <w:r w:rsidRPr="00D31B80">
        <w:rPr>
          <w:rFonts w:ascii="Calibri" w:hAnsi="Calibri"/>
        </w:rPr>
        <w:t xml:space="preserve">alence everywhere, but at different speed and to different levels. The rebound depends on the pre-intervention transmission intensity and effectiveness of historical interventions (not shown). </w:t>
      </w:r>
      <w:r w:rsidR="00E43DE4" w:rsidRPr="00D31B80">
        <w:rPr>
          <w:rFonts w:ascii="Calibri" w:hAnsi="Calibri"/>
        </w:rPr>
        <w:t>The most cost-effective strategy lies between both the current NMSP, wi</w:t>
      </w:r>
      <w:r w:rsidR="00E04B7E" w:rsidRPr="00D31B80">
        <w:rPr>
          <w:rFonts w:ascii="Calibri" w:hAnsi="Calibri"/>
        </w:rPr>
        <w:t>t</w:t>
      </w:r>
      <w:r w:rsidR="00E43DE4" w:rsidRPr="00D31B80">
        <w:rPr>
          <w:rFonts w:ascii="Calibri" w:hAnsi="Calibri"/>
        </w:rPr>
        <w:t xml:space="preserve">h and without improved case management and the strategy leading to the national target was the most impactful strategy in terms of prevalence and cases averted. The order of the strategies varied substantially in </w:t>
      </w:r>
      <w:r w:rsidRPr="00D31B80">
        <w:rPr>
          <w:rFonts w:ascii="Calibri" w:hAnsi="Calibri"/>
        </w:rPr>
        <w:t xml:space="preserve">very low regions, </w:t>
      </w:r>
      <w:r w:rsidR="00E43DE4" w:rsidRPr="00D31B80">
        <w:rPr>
          <w:rFonts w:ascii="Calibri" w:hAnsi="Calibri"/>
        </w:rPr>
        <w:t>namely in</w:t>
      </w:r>
      <w:r w:rsidRPr="00D31B80">
        <w:rPr>
          <w:rFonts w:ascii="Calibri" w:hAnsi="Calibri"/>
        </w:rPr>
        <w:t xml:space="preserve"> </w:t>
      </w:r>
      <w:r w:rsidRPr="00D31B80">
        <w:rPr>
          <w:rFonts w:ascii="Calibri" w:hAnsi="Calibri"/>
        </w:rPr>
        <w:lastRenderedPageBreak/>
        <w:t xml:space="preserve">Arusha, Kilimanjaro, and </w:t>
      </w:r>
      <w:proofErr w:type="spellStart"/>
      <w:r w:rsidRPr="00D31B80">
        <w:rPr>
          <w:rFonts w:ascii="Calibri" w:hAnsi="Calibri"/>
        </w:rPr>
        <w:t>Manyara</w:t>
      </w:r>
      <w:proofErr w:type="spellEnd"/>
      <w:r w:rsidR="00E43DE4" w:rsidRPr="00D31B80">
        <w:rPr>
          <w:rFonts w:ascii="Calibri" w:hAnsi="Calibri"/>
        </w:rPr>
        <w:t>, most likely due to stochastic and model uncertainty at such low transmission levels</w:t>
      </w:r>
      <w:r w:rsidRPr="00D31B80">
        <w:rPr>
          <w:rFonts w:ascii="Calibri" w:hAnsi="Calibri"/>
        </w:rPr>
        <w:t>.</w:t>
      </w:r>
      <w:r w:rsidR="00C45D71" w:rsidRPr="00D31B80">
        <w:rPr>
          <w:rFonts w:ascii="Calibri" w:hAnsi="Calibri"/>
        </w:rPr>
        <w:t xml:space="preserve"> </w:t>
      </w:r>
      <w:r w:rsidR="00D9196D" w:rsidRPr="00D31B80">
        <w:rPr>
          <w:rFonts w:ascii="Calibri" w:hAnsi="Calibri"/>
        </w:rPr>
        <w:t>The most cost-effective strategy was predicted to avert more cases</w:t>
      </w:r>
      <w:r w:rsidR="00E43DE4" w:rsidRPr="00D31B80">
        <w:rPr>
          <w:rFonts w:ascii="Calibri" w:hAnsi="Calibri"/>
        </w:rPr>
        <w:t xml:space="preserve"> and to reach lower </w:t>
      </w:r>
      <w:proofErr w:type="spellStart"/>
      <w:r w:rsidR="00E43DE4" w:rsidRPr="00D31B80">
        <w:rPr>
          <w:rFonts w:ascii="Calibri" w:hAnsi="Calibri"/>
        </w:rPr>
        <w:t>prevalences</w:t>
      </w:r>
      <w:proofErr w:type="spellEnd"/>
      <w:r w:rsidR="00D9196D" w:rsidRPr="00D31B80">
        <w:rPr>
          <w:rFonts w:ascii="Calibri" w:hAnsi="Calibri"/>
        </w:rPr>
        <w:t xml:space="preserve"> than both the NMSP strategies in some regions but not in others</w:t>
      </w:r>
      <w:r w:rsidR="00E43DE4" w:rsidRPr="00D31B80">
        <w:rPr>
          <w:rFonts w:ascii="Calibri" w:hAnsi="Calibri"/>
        </w:rPr>
        <w:t xml:space="preserve"> and the differences </w:t>
      </w:r>
      <w:r w:rsidR="00AA3D7D" w:rsidRPr="00D31B80">
        <w:rPr>
          <w:rFonts w:ascii="Calibri" w:hAnsi="Calibri"/>
        </w:rPr>
        <w:t xml:space="preserve">between the </w:t>
      </w:r>
      <w:r w:rsidR="00E43DE4" w:rsidRPr="00D31B80">
        <w:rPr>
          <w:rFonts w:ascii="Calibri" w:hAnsi="Calibri"/>
        </w:rPr>
        <w:t xml:space="preserve">two </w:t>
      </w:r>
      <w:r w:rsidR="00AA3D7D" w:rsidRPr="00D31B80">
        <w:rPr>
          <w:rFonts w:ascii="Calibri" w:hAnsi="Calibri"/>
        </w:rPr>
        <w:t>current NMSP</w:t>
      </w:r>
      <w:r w:rsidR="00E43DE4" w:rsidRPr="00D31B80">
        <w:rPr>
          <w:rFonts w:ascii="Calibri" w:hAnsi="Calibri"/>
        </w:rPr>
        <w:t>s,</w:t>
      </w:r>
      <w:r w:rsidR="00AA3D7D" w:rsidRPr="00D31B80">
        <w:rPr>
          <w:rFonts w:ascii="Calibri" w:hAnsi="Calibri"/>
        </w:rPr>
        <w:t xml:space="preserve"> with maintained and with improved case management</w:t>
      </w:r>
      <w:r w:rsidR="00E43DE4" w:rsidRPr="00D31B80">
        <w:rPr>
          <w:rFonts w:ascii="Calibri" w:hAnsi="Calibri"/>
        </w:rPr>
        <w:t>,</w:t>
      </w:r>
      <w:r w:rsidR="00AA3D7D" w:rsidRPr="00D31B80">
        <w:rPr>
          <w:rFonts w:ascii="Calibri" w:hAnsi="Calibri"/>
        </w:rPr>
        <w:t xml:space="preserve"> </w:t>
      </w:r>
      <w:r w:rsidR="00E43DE4" w:rsidRPr="00D31B80">
        <w:rPr>
          <w:rFonts w:ascii="Calibri" w:hAnsi="Calibri"/>
        </w:rPr>
        <w:t xml:space="preserve">varied among the regions. </w:t>
      </w:r>
    </w:p>
    <w:p w:rsidR="00B84290" w:rsidRPr="00D31B80" w:rsidRDefault="00E43DE4" w:rsidP="002A5AC2">
      <w:pPr>
        <w:spacing w:after="0" w:line="360" w:lineRule="auto"/>
        <w:jc w:val="both"/>
        <w:rPr>
          <w:rFonts w:ascii="Calibri" w:hAnsi="Calibri"/>
        </w:rPr>
      </w:pPr>
      <w:r w:rsidRPr="00D31B80">
        <w:rPr>
          <w:rFonts w:ascii="Calibri" w:hAnsi="Calibri"/>
        </w:rPr>
        <w:t>Those variations were likely due to</w:t>
      </w:r>
      <w:r w:rsidR="00C45D71" w:rsidRPr="00D31B80">
        <w:rPr>
          <w:rFonts w:ascii="Calibri" w:hAnsi="Calibri"/>
        </w:rPr>
        <w:t xml:space="preserve"> </w:t>
      </w:r>
      <w:r w:rsidRPr="00D31B80">
        <w:rPr>
          <w:rFonts w:ascii="Calibri" w:hAnsi="Calibri"/>
        </w:rPr>
        <w:t xml:space="preserve">differences in setting specific increase in case management levels, varying </w:t>
      </w:r>
      <w:r w:rsidR="00AA3D7D" w:rsidRPr="00D31B80">
        <w:rPr>
          <w:rFonts w:ascii="Calibri" w:hAnsi="Calibri"/>
        </w:rPr>
        <w:t>from 40% to 21% increase</w:t>
      </w:r>
      <w:r w:rsidR="00C45D71" w:rsidRPr="00D31B80">
        <w:rPr>
          <w:rFonts w:ascii="Calibri" w:hAnsi="Calibri"/>
        </w:rPr>
        <w:t xml:space="preserve"> </w:t>
      </w:r>
      <w:r w:rsidRPr="00D31B80">
        <w:rPr>
          <w:rFonts w:ascii="Calibri" w:hAnsi="Calibri"/>
        </w:rPr>
        <w:t>among the regions</w:t>
      </w:r>
      <w:r w:rsidR="00AA3D7D" w:rsidRPr="00D31B80">
        <w:rPr>
          <w:rFonts w:ascii="Calibri" w:hAnsi="Calibri"/>
        </w:rPr>
        <w:t>.</w:t>
      </w:r>
      <w:r w:rsidR="00E04B7E" w:rsidRPr="00D31B80">
        <w:rPr>
          <w:rFonts w:ascii="Calibri" w:hAnsi="Calibri"/>
        </w:rPr>
        <w:t xml:space="preserve"> </w:t>
      </w:r>
      <w:r w:rsidRPr="00D31B80">
        <w:rPr>
          <w:rFonts w:ascii="Calibri" w:hAnsi="Calibri"/>
        </w:rPr>
        <w:t>Further</w:t>
      </w:r>
      <w:r w:rsidR="00E04B7E" w:rsidRPr="00D31B80">
        <w:rPr>
          <w:rFonts w:ascii="Calibri" w:hAnsi="Calibri"/>
        </w:rPr>
        <w:t xml:space="preserve">more, </w:t>
      </w:r>
      <w:r w:rsidR="00AA3D7D" w:rsidRPr="00D31B80">
        <w:rPr>
          <w:rFonts w:ascii="Calibri" w:hAnsi="Calibri"/>
        </w:rPr>
        <w:t>region-specific differences</w:t>
      </w:r>
      <w:r w:rsidRPr="00D31B80">
        <w:rPr>
          <w:rFonts w:ascii="Calibri" w:hAnsi="Calibri"/>
        </w:rPr>
        <w:t xml:space="preserve"> </w:t>
      </w:r>
      <w:r w:rsidR="00E04B7E" w:rsidRPr="00D31B80">
        <w:rPr>
          <w:rFonts w:ascii="Calibri" w:hAnsi="Calibri"/>
        </w:rPr>
        <w:t>may arise</w:t>
      </w:r>
      <w:r w:rsidR="00AA3D7D" w:rsidRPr="00D31B80">
        <w:rPr>
          <w:rFonts w:ascii="Calibri" w:hAnsi="Calibri"/>
        </w:rPr>
        <w:t xml:space="preserve"> when interventions</w:t>
      </w:r>
      <w:r w:rsidR="00E04B7E" w:rsidRPr="00D31B80">
        <w:rPr>
          <w:rFonts w:ascii="Calibri" w:hAnsi="Calibri"/>
        </w:rPr>
        <w:t>,</w:t>
      </w:r>
      <w:r w:rsidR="00AA3D7D" w:rsidRPr="00D31B80">
        <w:rPr>
          <w:rFonts w:ascii="Calibri" w:hAnsi="Calibri"/>
        </w:rPr>
        <w:t xml:space="preserve"> which were part of the </w:t>
      </w:r>
      <w:r w:rsidR="00E04B7E" w:rsidRPr="00D31B80">
        <w:rPr>
          <w:rFonts w:ascii="Calibri" w:hAnsi="Calibri"/>
        </w:rPr>
        <w:t xml:space="preserve">current </w:t>
      </w:r>
      <w:r w:rsidR="00AA3D7D" w:rsidRPr="00D31B80">
        <w:rPr>
          <w:rFonts w:ascii="Calibri" w:hAnsi="Calibri"/>
        </w:rPr>
        <w:t>NMSP</w:t>
      </w:r>
      <w:r w:rsidR="00E04B7E" w:rsidRPr="00D31B80">
        <w:rPr>
          <w:rFonts w:ascii="Calibri" w:hAnsi="Calibri"/>
        </w:rPr>
        <w:t>,</w:t>
      </w:r>
      <w:r w:rsidR="00AA3D7D" w:rsidRPr="00D31B80">
        <w:rPr>
          <w:rFonts w:ascii="Calibri" w:hAnsi="Calibri"/>
        </w:rPr>
        <w:t xml:space="preserve"> were discontinued in </w:t>
      </w:r>
      <w:r w:rsidRPr="00D31B80">
        <w:rPr>
          <w:rFonts w:ascii="Calibri" w:hAnsi="Calibri"/>
        </w:rPr>
        <w:t>the other strategies</w:t>
      </w:r>
      <w:r w:rsidR="00AA3D7D" w:rsidRPr="00D31B80">
        <w:rPr>
          <w:rFonts w:ascii="Calibri" w:hAnsi="Calibri"/>
        </w:rPr>
        <w:t xml:space="preserve">. </w:t>
      </w:r>
      <w:r w:rsidRPr="00D31B80">
        <w:rPr>
          <w:rFonts w:ascii="Calibri" w:hAnsi="Calibri"/>
        </w:rPr>
        <w:t xml:space="preserve">For instance, </w:t>
      </w:r>
      <w:r w:rsidR="00AA3D7D" w:rsidRPr="00D31B80">
        <w:rPr>
          <w:rFonts w:ascii="Calibri" w:hAnsi="Calibri"/>
        </w:rPr>
        <w:t>IRS</w:t>
      </w:r>
      <w:r w:rsidRPr="00D31B80">
        <w:rPr>
          <w:rFonts w:ascii="Calibri" w:hAnsi="Calibri"/>
        </w:rPr>
        <w:t xml:space="preserve"> was part of the current NMSP</w:t>
      </w:r>
      <w:r w:rsidR="00AA3D7D" w:rsidRPr="00D31B80">
        <w:rPr>
          <w:rFonts w:ascii="Calibri" w:hAnsi="Calibri"/>
        </w:rPr>
        <w:t xml:space="preserve"> in the Lake Zone </w:t>
      </w:r>
      <w:r w:rsidRPr="00D31B80">
        <w:rPr>
          <w:rFonts w:ascii="Calibri" w:hAnsi="Calibri"/>
        </w:rPr>
        <w:t xml:space="preserve">but </w:t>
      </w:r>
      <w:r w:rsidR="00AA3D7D" w:rsidRPr="00D31B80">
        <w:rPr>
          <w:rFonts w:ascii="Calibri" w:hAnsi="Calibri"/>
        </w:rPr>
        <w:t>was predicted not to be cost-effective</w:t>
      </w:r>
      <w:r w:rsidRPr="00D31B80">
        <w:rPr>
          <w:rFonts w:ascii="Calibri" w:hAnsi="Calibri"/>
        </w:rPr>
        <w:t xml:space="preserve"> and discontinued. Comparing the current NMSP with the most cost-effective strategy in </w:t>
      </w:r>
      <w:r w:rsidR="00207352" w:rsidRPr="00D31B80">
        <w:rPr>
          <w:rFonts w:ascii="Calibri" w:hAnsi="Calibri"/>
        </w:rPr>
        <w:t>those regions</w:t>
      </w:r>
      <w:r w:rsidRPr="00D31B80">
        <w:rPr>
          <w:rFonts w:ascii="Calibri" w:hAnsi="Calibri"/>
        </w:rPr>
        <w:t xml:space="preserve"> is different from the other regions which did not have IRS in the past.</w:t>
      </w:r>
      <w:r w:rsidR="00AA3D7D" w:rsidRPr="00D31B80">
        <w:rPr>
          <w:rFonts w:ascii="Calibri" w:hAnsi="Calibri"/>
        </w:rPr>
        <w:t xml:space="preserve"> </w:t>
      </w:r>
      <w:r w:rsidRPr="00D31B80">
        <w:rPr>
          <w:rFonts w:ascii="Calibri" w:hAnsi="Calibri"/>
        </w:rPr>
        <w:t>Another example would be the</w:t>
      </w:r>
      <w:r w:rsidR="00AA3D7D" w:rsidRPr="00D31B80">
        <w:rPr>
          <w:rFonts w:ascii="Calibri" w:hAnsi="Calibri"/>
        </w:rPr>
        <w:t xml:space="preserve"> discontinuation of ITNs in low transmission regions</w:t>
      </w:r>
      <w:r w:rsidR="00430566" w:rsidRPr="00D31B80">
        <w:rPr>
          <w:rFonts w:ascii="Calibri" w:hAnsi="Calibri"/>
        </w:rPr>
        <w:t xml:space="preserve">, </w:t>
      </w:r>
      <w:r w:rsidRPr="00D31B80">
        <w:rPr>
          <w:rFonts w:ascii="Calibri" w:hAnsi="Calibri"/>
        </w:rPr>
        <w:t>in Arus</w:t>
      </w:r>
      <w:r w:rsidR="00417C3E">
        <w:rPr>
          <w:rFonts w:ascii="Calibri" w:hAnsi="Calibri"/>
        </w:rPr>
        <w:t xml:space="preserve">ha, Kilimanjaro and </w:t>
      </w:r>
      <w:proofErr w:type="spellStart"/>
      <w:r w:rsidR="00417C3E">
        <w:rPr>
          <w:rFonts w:ascii="Calibri" w:hAnsi="Calibri"/>
        </w:rPr>
        <w:t>Manyara</w:t>
      </w:r>
      <w:proofErr w:type="spellEnd"/>
      <w:r w:rsidR="00417C3E">
        <w:rPr>
          <w:rFonts w:ascii="Calibri" w:hAnsi="Calibri"/>
        </w:rPr>
        <w:t xml:space="preserve"> (</w:t>
      </w:r>
      <w:r w:rsidRPr="00D31B80">
        <w:rPr>
          <w:rFonts w:ascii="Calibri" w:hAnsi="Calibri"/>
        </w:rPr>
        <w:t>main manuscript Fig 6). The sub-national comparison</w:t>
      </w:r>
      <w:r w:rsidR="00AA3D7D" w:rsidRPr="00D31B80">
        <w:rPr>
          <w:rFonts w:ascii="Calibri" w:hAnsi="Calibri"/>
        </w:rPr>
        <w:t xml:space="preserve"> highlights the heterogeneity and the </w:t>
      </w:r>
      <w:r w:rsidRPr="00D31B80">
        <w:rPr>
          <w:rFonts w:ascii="Calibri" w:hAnsi="Calibri"/>
        </w:rPr>
        <w:t>importance to consider</w:t>
      </w:r>
      <w:r w:rsidR="00AA3D7D" w:rsidRPr="00D31B80">
        <w:rPr>
          <w:rFonts w:ascii="Calibri" w:hAnsi="Calibri"/>
        </w:rPr>
        <w:t xml:space="preserve"> </w:t>
      </w:r>
      <w:r w:rsidRPr="00D31B80">
        <w:rPr>
          <w:rFonts w:ascii="Calibri" w:hAnsi="Calibri"/>
        </w:rPr>
        <w:t xml:space="preserve">the </w:t>
      </w:r>
      <w:r w:rsidR="00AA3D7D" w:rsidRPr="00D31B80">
        <w:rPr>
          <w:rFonts w:ascii="Calibri" w:hAnsi="Calibri"/>
        </w:rPr>
        <w:t>historical trends, differences in seasonality and entomology</w:t>
      </w:r>
      <w:r w:rsidR="00C45D71" w:rsidRPr="00D31B80">
        <w:rPr>
          <w:rFonts w:ascii="Calibri" w:hAnsi="Calibri"/>
        </w:rPr>
        <w:t xml:space="preserve"> </w:t>
      </w:r>
      <w:r w:rsidRPr="00D31B80">
        <w:rPr>
          <w:rFonts w:ascii="Calibri" w:hAnsi="Calibri"/>
        </w:rPr>
        <w:t>when predicting likely impact of future intervention scenarios</w:t>
      </w:r>
      <w:r w:rsidR="00430566" w:rsidRPr="00D31B80">
        <w:rPr>
          <w:rFonts w:ascii="Calibri" w:hAnsi="Calibri"/>
        </w:rPr>
        <w:t xml:space="preserve"> </w:t>
      </w:r>
      <w:r w:rsidRPr="00D31B80">
        <w:rPr>
          <w:rFonts w:ascii="Calibri" w:hAnsi="Calibri"/>
        </w:rPr>
        <w:t>at local level</w:t>
      </w:r>
      <w:r w:rsidR="00430566" w:rsidRPr="00D31B80">
        <w:rPr>
          <w:rFonts w:ascii="Calibri" w:hAnsi="Calibri"/>
        </w:rPr>
        <w:t xml:space="preserve"> and the importance to select proper outcome measures depending on transmission intensity</w:t>
      </w:r>
      <w:r w:rsidR="00C45D71" w:rsidRPr="00D31B80">
        <w:rPr>
          <w:rFonts w:ascii="Calibri" w:hAnsi="Calibri"/>
        </w:rPr>
        <w:t>.</w:t>
      </w:r>
      <w:r w:rsidR="00447397">
        <w:rPr>
          <w:rFonts w:ascii="Calibri" w:hAnsi="Calibri"/>
        </w:rPr>
        <w:t xml:space="preserve"> </w:t>
      </w:r>
    </w:p>
    <w:p w:rsidR="00AA3D7D" w:rsidRPr="00D31B80" w:rsidRDefault="00AA3D7D" w:rsidP="002A5AC2">
      <w:pPr>
        <w:spacing w:after="0" w:line="360" w:lineRule="auto"/>
        <w:jc w:val="both"/>
        <w:rPr>
          <w:rFonts w:ascii="Calibri" w:hAnsi="Calibri"/>
        </w:rPr>
      </w:pPr>
    </w:p>
    <w:p w:rsidR="00F74346" w:rsidRPr="00D31B80" w:rsidRDefault="0016660A" w:rsidP="002A5AC2">
      <w:pPr>
        <w:keepNext/>
        <w:spacing w:after="0" w:line="360" w:lineRule="auto"/>
        <w:rPr>
          <w:rFonts w:ascii="Calibri" w:hAnsi="Calibri"/>
        </w:rPr>
      </w:pPr>
      <w:r w:rsidRPr="00D31B80">
        <w:rPr>
          <w:rFonts w:ascii="Calibri" w:hAnsi="Calibri"/>
          <w:noProof/>
          <w:lang w:eastAsia="en-GB"/>
        </w:rPr>
        <w:lastRenderedPageBreak/>
        <w:drawing>
          <wp:inline distT="0" distB="0" distL="0" distR="0" wp14:anchorId="6FDCE703" wp14:editId="089756CE">
            <wp:extent cx="5760719" cy="4800600"/>
            <wp:effectExtent l="19050" t="19050" r="1206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ngma\Projects\OM_TZA\OM_Iterations\Experiments\Hist_and_Fut\TZA_MappingWS_Nov2018_Jan2019\SensitivityAnalysis\20180209_OMTZARegions_corCM_combined_corCMMDAcost\Figures\PfPRtimeline_per_Strategy_perRegion.v3.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19" cy="4800600"/>
                    </a:xfrm>
                    <a:prstGeom prst="rect">
                      <a:avLst/>
                    </a:prstGeom>
                    <a:noFill/>
                    <a:ln>
                      <a:solidFill>
                        <a:schemeClr val="tx1"/>
                      </a:solidFill>
                    </a:ln>
                  </pic:spPr>
                </pic:pic>
              </a:graphicData>
            </a:graphic>
          </wp:inline>
        </w:drawing>
      </w:r>
    </w:p>
    <w:p w:rsidR="00112BBE" w:rsidRDefault="00F74346" w:rsidP="00764FF6">
      <w:pPr>
        <w:pStyle w:val="Caption"/>
        <w:spacing w:before="0" w:after="0" w:line="276" w:lineRule="auto"/>
        <w:rPr>
          <w:rFonts w:ascii="Calibri" w:hAnsi="Calibri"/>
          <w:sz w:val="22"/>
        </w:rPr>
      </w:pPr>
      <w:bookmarkStart w:id="15" w:name="_Ref10625046"/>
      <w:r w:rsidRPr="00112BBE">
        <w:rPr>
          <w:rFonts w:ascii="Calibri" w:hAnsi="Calibri"/>
          <w:b/>
          <w:sz w:val="22"/>
        </w:rPr>
        <w:t xml:space="preserve">Fig </w:t>
      </w:r>
      <w:r w:rsidR="00764FF6">
        <w:rPr>
          <w:rFonts w:ascii="Calibri" w:hAnsi="Calibri"/>
          <w:b/>
          <w:sz w:val="22"/>
        </w:rPr>
        <w:t>S</w:t>
      </w:r>
      <w:r w:rsidR="00417C3E">
        <w:rPr>
          <w:rFonts w:ascii="Calibri" w:hAnsi="Calibri"/>
          <w:b/>
          <w:sz w:val="22"/>
        </w:rPr>
        <w:t>4</w:t>
      </w:r>
      <w:r w:rsidR="00764FF6">
        <w:rPr>
          <w:rFonts w:ascii="Calibri" w:hAnsi="Calibri"/>
          <w:b/>
          <w:sz w:val="22"/>
        </w:rPr>
        <w:t>.</w:t>
      </w:r>
      <w:r w:rsidRPr="00112BBE">
        <w:rPr>
          <w:rFonts w:ascii="Calibri" w:hAnsi="Calibri"/>
          <w:b/>
          <w:sz w:val="22"/>
        </w:rPr>
        <w:fldChar w:fldCharType="begin"/>
      </w:r>
      <w:r w:rsidRPr="00112BBE">
        <w:rPr>
          <w:rFonts w:ascii="Calibri" w:hAnsi="Calibri"/>
          <w:b/>
          <w:sz w:val="22"/>
        </w:rPr>
        <w:instrText xml:space="preserve"> SEQ Figure \* ARABIC </w:instrText>
      </w:r>
      <w:r w:rsidRPr="00112BBE">
        <w:rPr>
          <w:rFonts w:ascii="Calibri" w:hAnsi="Calibri"/>
          <w:b/>
          <w:sz w:val="22"/>
        </w:rPr>
        <w:fldChar w:fldCharType="separate"/>
      </w:r>
      <w:r w:rsidR="00685368">
        <w:rPr>
          <w:rFonts w:ascii="Calibri" w:hAnsi="Calibri"/>
          <w:b/>
          <w:noProof/>
          <w:sz w:val="22"/>
        </w:rPr>
        <w:t>6</w:t>
      </w:r>
      <w:r w:rsidRPr="00112BBE">
        <w:rPr>
          <w:rFonts w:ascii="Calibri" w:hAnsi="Calibri"/>
          <w:b/>
          <w:sz w:val="22"/>
        </w:rPr>
        <w:fldChar w:fldCharType="end"/>
      </w:r>
      <w:bookmarkEnd w:id="15"/>
      <w:r w:rsidR="00112BBE" w:rsidRPr="00112BBE">
        <w:rPr>
          <w:rFonts w:ascii="Calibri" w:hAnsi="Calibri"/>
          <w:b/>
          <w:sz w:val="22"/>
        </w:rPr>
        <w:t>.</w:t>
      </w:r>
      <w:r w:rsidRPr="00112BBE">
        <w:rPr>
          <w:rFonts w:ascii="Calibri" w:hAnsi="Calibri"/>
          <w:b/>
          <w:sz w:val="22"/>
        </w:rPr>
        <w:t xml:space="preserve"> Predicted prevalence over time per strategy and region.</w:t>
      </w:r>
      <w:r w:rsidRPr="00112BBE">
        <w:rPr>
          <w:rFonts w:ascii="Calibri" w:hAnsi="Calibri"/>
          <w:sz w:val="22"/>
        </w:rPr>
        <w:t xml:space="preserve"> </w:t>
      </w:r>
    </w:p>
    <w:p w:rsidR="00F74346" w:rsidRPr="00112BBE" w:rsidRDefault="00F74346" w:rsidP="00764FF6">
      <w:pPr>
        <w:pStyle w:val="Caption"/>
        <w:spacing w:before="0" w:after="0" w:line="276" w:lineRule="auto"/>
        <w:rPr>
          <w:rFonts w:ascii="Calibri" w:hAnsi="Calibri"/>
          <w:sz w:val="22"/>
        </w:rPr>
      </w:pPr>
      <w:r w:rsidRPr="00112BBE">
        <w:rPr>
          <w:rFonts w:ascii="Calibri" w:hAnsi="Calibri"/>
          <w:sz w:val="22"/>
        </w:rPr>
        <w:t>Solid lines show the aggregated mean</w:t>
      </w:r>
      <w:r w:rsidR="00AA5E63" w:rsidRPr="00112BBE">
        <w:rPr>
          <w:rFonts w:ascii="Calibri" w:hAnsi="Calibri"/>
          <w:sz w:val="22"/>
        </w:rPr>
        <w:t xml:space="preserve"> of </w:t>
      </w:r>
      <w:r w:rsidR="00FD605E" w:rsidRPr="00112BBE">
        <w:rPr>
          <w:rFonts w:ascii="Calibri" w:hAnsi="Calibri"/>
          <w:sz w:val="22"/>
        </w:rPr>
        <w:t>council</w:t>
      </w:r>
      <w:r w:rsidR="00AA5E63" w:rsidRPr="00112BBE">
        <w:rPr>
          <w:rFonts w:ascii="Calibri" w:hAnsi="Calibri"/>
          <w:sz w:val="22"/>
        </w:rPr>
        <w:t xml:space="preserve"> predictions</w:t>
      </w:r>
      <w:r w:rsidRPr="00112BBE">
        <w:rPr>
          <w:rFonts w:ascii="Calibri" w:hAnsi="Calibri"/>
          <w:sz w:val="22"/>
        </w:rPr>
        <w:t>.</w:t>
      </w:r>
      <w:r w:rsidR="00CB695D" w:rsidRPr="00112BBE">
        <w:rPr>
          <w:rFonts w:ascii="Calibri" w:hAnsi="Calibri"/>
          <w:sz w:val="22"/>
        </w:rPr>
        <w:t xml:space="preserve"> Confidence intervals showed high overlap and were removed. </w:t>
      </w:r>
    </w:p>
    <w:p w:rsidR="0066230E" w:rsidRPr="00D31B80" w:rsidRDefault="0066230E" w:rsidP="002A5AC2">
      <w:pPr>
        <w:spacing w:after="0" w:line="360" w:lineRule="auto"/>
        <w:rPr>
          <w:rFonts w:ascii="Calibri" w:hAnsi="Calibri"/>
          <w:lang w:eastAsia="de-DE"/>
        </w:rPr>
      </w:pPr>
    </w:p>
    <w:p w:rsidR="00112BBE" w:rsidRDefault="00A921A0" w:rsidP="00764FF6">
      <w:pPr>
        <w:keepNext/>
        <w:spacing w:after="0"/>
        <w:jc w:val="both"/>
        <w:rPr>
          <w:rFonts w:ascii="Calibri" w:hAnsi="Calibri"/>
        </w:rPr>
      </w:pPr>
      <w:r w:rsidRPr="00D31B80">
        <w:rPr>
          <w:rFonts w:ascii="Calibri" w:hAnsi="Calibri"/>
          <w:noProof/>
          <w:lang w:eastAsia="en-GB"/>
        </w:rPr>
        <w:lastRenderedPageBreak/>
        <w:drawing>
          <wp:inline distT="0" distB="0" distL="0" distR="0" wp14:anchorId="30E9C1ED" wp14:editId="12C17791">
            <wp:extent cx="5651504" cy="4709586"/>
            <wp:effectExtent l="19050" t="19050" r="2540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ngma\Projects\OM_TZA\OM_Iterations\Experiments\Hist_and_Fut\TZA_MappingWS_Nov2018_Jan2019\RefittedSimulations\20180216_OMTZARegions_combined\Figures\PfPRtimeline_per_Strategy_perRegion.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51504" cy="4709586"/>
                    </a:xfrm>
                    <a:prstGeom prst="rect">
                      <a:avLst/>
                    </a:prstGeom>
                    <a:noFill/>
                    <a:ln>
                      <a:solidFill>
                        <a:schemeClr val="tx1"/>
                      </a:solidFill>
                    </a:ln>
                  </pic:spPr>
                </pic:pic>
              </a:graphicData>
            </a:graphic>
          </wp:inline>
        </w:drawing>
      </w:r>
      <w:bookmarkStart w:id="16" w:name="_Ref10625119"/>
      <w:r w:rsidRPr="00D31B80">
        <w:rPr>
          <w:rFonts w:ascii="Calibri" w:hAnsi="Calibri"/>
          <w:b/>
        </w:rPr>
        <w:t xml:space="preserve">Fig </w:t>
      </w:r>
      <w:r w:rsidR="00764FF6">
        <w:rPr>
          <w:rFonts w:ascii="Calibri" w:hAnsi="Calibri"/>
          <w:b/>
        </w:rPr>
        <w:t>S</w:t>
      </w:r>
      <w:r w:rsidR="00417C3E">
        <w:rPr>
          <w:rFonts w:ascii="Calibri" w:hAnsi="Calibri"/>
          <w:b/>
        </w:rPr>
        <w:t>4</w:t>
      </w:r>
      <w:r w:rsidR="00764FF6">
        <w:rPr>
          <w:rFonts w:ascii="Calibri" w:hAnsi="Calibri"/>
          <w:b/>
        </w:rPr>
        <w:t>.</w:t>
      </w:r>
      <w:r w:rsidRPr="00D31B80">
        <w:rPr>
          <w:rFonts w:ascii="Calibri" w:hAnsi="Calibri"/>
          <w:b/>
        </w:rPr>
        <w:fldChar w:fldCharType="begin"/>
      </w:r>
      <w:r w:rsidRPr="00D31B80">
        <w:rPr>
          <w:rFonts w:ascii="Calibri" w:hAnsi="Calibri"/>
          <w:b/>
        </w:rPr>
        <w:instrText xml:space="preserve"> SEQ Figure \* ARABIC </w:instrText>
      </w:r>
      <w:r w:rsidRPr="00D31B80">
        <w:rPr>
          <w:rFonts w:ascii="Calibri" w:hAnsi="Calibri"/>
          <w:b/>
        </w:rPr>
        <w:fldChar w:fldCharType="separate"/>
      </w:r>
      <w:r w:rsidR="00685368">
        <w:rPr>
          <w:rFonts w:ascii="Calibri" w:hAnsi="Calibri"/>
          <w:b/>
          <w:noProof/>
        </w:rPr>
        <w:t>7</w:t>
      </w:r>
      <w:r w:rsidRPr="00D31B80">
        <w:rPr>
          <w:rFonts w:ascii="Calibri" w:hAnsi="Calibri"/>
          <w:b/>
        </w:rPr>
        <w:fldChar w:fldCharType="end"/>
      </w:r>
      <w:bookmarkEnd w:id="16"/>
      <w:r w:rsidR="00447397">
        <w:rPr>
          <w:rFonts w:ascii="Calibri" w:hAnsi="Calibri"/>
          <w:b/>
        </w:rPr>
        <w:t>:</w:t>
      </w:r>
      <w:r w:rsidRPr="00D31B80">
        <w:rPr>
          <w:rFonts w:ascii="Calibri" w:hAnsi="Calibri"/>
          <w:b/>
        </w:rPr>
        <w:t xml:space="preserve"> Reduction in cases (%) over time per strategy and region.</w:t>
      </w:r>
      <w:r w:rsidRPr="00D31B80">
        <w:rPr>
          <w:rFonts w:ascii="Calibri" w:hAnsi="Calibri"/>
        </w:rPr>
        <w:t xml:space="preserve"> </w:t>
      </w:r>
    </w:p>
    <w:p w:rsidR="00A921A0" w:rsidRPr="00D31B80" w:rsidRDefault="002A5AC2" w:rsidP="00764FF6">
      <w:pPr>
        <w:keepNext/>
        <w:spacing w:after="0"/>
        <w:jc w:val="both"/>
        <w:rPr>
          <w:rFonts w:ascii="Calibri" w:hAnsi="Calibri"/>
        </w:rPr>
      </w:pPr>
      <w:r w:rsidRPr="00D31B80">
        <w:rPr>
          <w:rFonts w:ascii="Calibri" w:hAnsi="Calibri"/>
        </w:rPr>
        <w:t xml:space="preserve">Solid lines show the aggregated </w:t>
      </w:r>
      <w:r w:rsidR="00A921A0" w:rsidRPr="00D31B80">
        <w:rPr>
          <w:rFonts w:ascii="Calibri" w:hAnsi="Calibri"/>
        </w:rPr>
        <w:t>mean</w:t>
      </w:r>
      <w:r w:rsidR="00907CFA" w:rsidRPr="00D31B80">
        <w:rPr>
          <w:rFonts w:ascii="Calibri" w:hAnsi="Calibri"/>
        </w:rPr>
        <w:t xml:space="preserve"> of </w:t>
      </w:r>
      <w:r w:rsidR="00FD605E" w:rsidRPr="00D31B80">
        <w:rPr>
          <w:rFonts w:ascii="Calibri" w:hAnsi="Calibri"/>
        </w:rPr>
        <w:t>council</w:t>
      </w:r>
      <w:r w:rsidR="00907CFA" w:rsidRPr="00D31B80">
        <w:rPr>
          <w:rFonts w:ascii="Calibri" w:hAnsi="Calibri"/>
        </w:rPr>
        <w:t xml:space="preserve"> predictions</w:t>
      </w:r>
      <w:r w:rsidR="00A921A0" w:rsidRPr="00D31B80">
        <w:rPr>
          <w:rFonts w:ascii="Calibri" w:hAnsi="Calibri"/>
        </w:rPr>
        <w:t>.</w:t>
      </w:r>
      <w:r w:rsidR="00CB695D" w:rsidRPr="00D31B80">
        <w:rPr>
          <w:rFonts w:ascii="Calibri" w:hAnsi="Calibri"/>
        </w:rPr>
        <w:t xml:space="preserve"> </w:t>
      </w:r>
      <w:r w:rsidR="003D1FD6" w:rsidRPr="00D31B80">
        <w:rPr>
          <w:rFonts w:ascii="Calibri" w:hAnsi="Calibri"/>
        </w:rPr>
        <w:t>The c</w:t>
      </w:r>
      <w:r w:rsidR="00CB695D" w:rsidRPr="00D31B80">
        <w:rPr>
          <w:rFonts w:ascii="Calibri" w:hAnsi="Calibri"/>
        </w:rPr>
        <w:t>onfidence intervals showed high overlap and were removed.</w:t>
      </w:r>
    </w:p>
    <w:p w:rsidR="00D9196D" w:rsidRDefault="00D9196D" w:rsidP="002A5AC2">
      <w:pPr>
        <w:keepNext/>
        <w:spacing w:after="0" w:line="360" w:lineRule="auto"/>
        <w:rPr>
          <w:rFonts w:ascii="Calibri" w:hAnsi="Calibri"/>
        </w:rPr>
      </w:pPr>
    </w:p>
    <w:p w:rsidR="00E90AA3" w:rsidRDefault="00E90AA3" w:rsidP="00764FF6">
      <w:pPr>
        <w:spacing w:after="0"/>
        <w:jc w:val="both"/>
        <w:rPr>
          <w:rFonts w:ascii="Calibri" w:hAnsi="Calibri"/>
        </w:rPr>
      </w:pPr>
      <w:r w:rsidRPr="00D31B80">
        <w:rPr>
          <w:rFonts w:ascii="Calibri" w:hAnsi="Calibri"/>
          <w:noProof/>
          <w:lang w:eastAsia="en-GB"/>
        </w:rPr>
        <w:lastRenderedPageBreak/>
        <w:drawing>
          <wp:inline distT="0" distB="0" distL="0" distR="0" wp14:anchorId="2314C0AE" wp14:editId="6E30A63B">
            <wp:extent cx="5651504" cy="3229430"/>
            <wp:effectExtent l="19050" t="19050" r="2540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ngma\Projects\OM_TZA\OM_Iterations\Experiments\Hist_and_Fut\TZA_MappingWS_Nov2018_Jan2019\RefittedSimulations\20180216_OMTZARegions_combined\Figures\PfPRtimeline_per_Strategy_perRegion.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51504" cy="3229430"/>
                    </a:xfrm>
                    <a:prstGeom prst="rect">
                      <a:avLst/>
                    </a:prstGeom>
                    <a:noFill/>
                    <a:ln>
                      <a:solidFill>
                        <a:schemeClr val="tx1"/>
                      </a:solidFill>
                    </a:ln>
                  </pic:spPr>
                </pic:pic>
              </a:graphicData>
            </a:graphic>
          </wp:inline>
        </w:drawing>
      </w:r>
      <w:r w:rsidRPr="00D31B80">
        <w:rPr>
          <w:rFonts w:ascii="Calibri" w:hAnsi="Calibri"/>
          <w:b/>
        </w:rPr>
        <w:t xml:space="preserve">Fig </w:t>
      </w:r>
      <w:r w:rsidR="00764FF6">
        <w:rPr>
          <w:rFonts w:ascii="Calibri" w:hAnsi="Calibri"/>
          <w:b/>
        </w:rPr>
        <w:t>S</w:t>
      </w:r>
      <w:r w:rsidR="00417C3E">
        <w:rPr>
          <w:rFonts w:ascii="Calibri" w:hAnsi="Calibri"/>
          <w:b/>
        </w:rPr>
        <w:t>4</w:t>
      </w:r>
      <w:r w:rsidR="00764FF6">
        <w:rPr>
          <w:rFonts w:ascii="Calibri" w:hAnsi="Calibri"/>
          <w:b/>
        </w:rPr>
        <w:t>.</w:t>
      </w:r>
      <w:r w:rsidRPr="00D31B80">
        <w:rPr>
          <w:rFonts w:ascii="Calibri" w:hAnsi="Calibri"/>
          <w:b/>
        </w:rPr>
        <w:fldChar w:fldCharType="begin"/>
      </w:r>
      <w:r w:rsidRPr="00D31B80">
        <w:rPr>
          <w:rFonts w:ascii="Calibri" w:hAnsi="Calibri"/>
          <w:b/>
        </w:rPr>
        <w:instrText xml:space="preserve"> SEQ Figure \* ARABIC </w:instrText>
      </w:r>
      <w:r w:rsidRPr="00D31B80">
        <w:rPr>
          <w:rFonts w:ascii="Calibri" w:hAnsi="Calibri"/>
          <w:b/>
        </w:rPr>
        <w:fldChar w:fldCharType="separate"/>
      </w:r>
      <w:r w:rsidR="00685368">
        <w:rPr>
          <w:rFonts w:ascii="Calibri" w:hAnsi="Calibri"/>
          <w:b/>
          <w:noProof/>
        </w:rPr>
        <w:t>8</w:t>
      </w:r>
      <w:r w:rsidRPr="00D31B80">
        <w:rPr>
          <w:rFonts w:ascii="Calibri" w:hAnsi="Calibri"/>
          <w:b/>
        </w:rPr>
        <w:fldChar w:fldCharType="end"/>
      </w:r>
      <w:r w:rsidR="00447397">
        <w:rPr>
          <w:rFonts w:ascii="Calibri" w:hAnsi="Calibri"/>
          <w:b/>
        </w:rPr>
        <w:t>:</w:t>
      </w:r>
      <w:r w:rsidRPr="00D31B80">
        <w:rPr>
          <w:rFonts w:ascii="Calibri" w:hAnsi="Calibri"/>
          <w:b/>
        </w:rPr>
        <w:t xml:space="preserve"> Reduction in cases (%) over time per strategy.</w:t>
      </w:r>
      <w:r w:rsidRPr="00D31B80">
        <w:rPr>
          <w:rFonts w:ascii="Calibri" w:hAnsi="Calibri"/>
        </w:rPr>
        <w:t xml:space="preserve"> </w:t>
      </w:r>
    </w:p>
    <w:p w:rsidR="00E90AA3" w:rsidRPr="00F83022" w:rsidRDefault="00E90AA3" w:rsidP="00764FF6">
      <w:pPr>
        <w:spacing w:after="0"/>
        <w:jc w:val="both"/>
      </w:pPr>
      <w:r w:rsidRPr="00F83022">
        <w:t xml:space="preserve">The solid line shows the aggregated mean and the shaded area the 95% confidence interval based on heterogeneity among </w:t>
      </w:r>
      <w:r>
        <w:t>council</w:t>
      </w:r>
      <w:r w:rsidRPr="00F83022">
        <w:t>s. The NMSP with maintained case management as well as the NMSP with improved case management refer</w:t>
      </w:r>
      <w:r>
        <w:t>s</w:t>
      </w:r>
      <w:r w:rsidRPr="00F83022">
        <w:t xml:space="preserve"> to strategy 1, the most cost-effective intervention package to strategy 2, and the intervention package achieving the NMSP target to strategy 3. The counterfactual shows the simulated scenario with maintained case management levels and the discontinuation of vector control interventions.</w:t>
      </w:r>
    </w:p>
    <w:p w:rsidR="00E90AA3" w:rsidRPr="00D31B80" w:rsidRDefault="00E90AA3" w:rsidP="002A5AC2">
      <w:pPr>
        <w:keepNext/>
        <w:spacing w:after="0" w:line="360" w:lineRule="auto"/>
        <w:rPr>
          <w:rFonts w:ascii="Calibri" w:hAnsi="Calibri"/>
        </w:rPr>
      </w:pPr>
    </w:p>
    <w:p w:rsidR="00B973C9" w:rsidRPr="00D31B80" w:rsidRDefault="00B973C9" w:rsidP="002A5AC2">
      <w:pPr>
        <w:pStyle w:val="Heading1"/>
        <w:spacing w:before="0" w:line="360" w:lineRule="auto"/>
        <w:rPr>
          <w:rFonts w:ascii="Calibri" w:hAnsi="Calibri"/>
        </w:rPr>
      </w:pPr>
      <w:bookmarkStart w:id="17" w:name="_Toc22294592"/>
      <w:r w:rsidRPr="00D31B80">
        <w:rPr>
          <w:rFonts w:ascii="Calibri" w:hAnsi="Calibri"/>
        </w:rPr>
        <w:t>Population weighed and unweighted mean prevalence</w:t>
      </w:r>
      <w:bookmarkEnd w:id="17"/>
      <w:r w:rsidRPr="00D31B80">
        <w:rPr>
          <w:rFonts w:ascii="Calibri" w:hAnsi="Calibri"/>
        </w:rPr>
        <w:t xml:space="preserve"> </w:t>
      </w:r>
    </w:p>
    <w:p w:rsidR="00B973C9" w:rsidRPr="00D31B80" w:rsidRDefault="00B973C9" w:rsidP="002A5AC2">
      <w:pPr>
        <w:spacing w:after="0" w:line="360" w:lineRule="auto"/>
        <w:jc w:val="both"/>
        <w:rPr>
          <w:rFonts w:ascii="Calibri" w:hAnsi="Calibri"/>
        </w:rPr>
      </w:pPr>
      <w:r w:rsidRPr="00D31B80">
        <w:rPr>
          <w:rFonts w:ascii="Calibri" w:hAnsi="Calibri"/>
        </w:rPr>
        <w:t xml:space="preserve">The presented predicted </w:t>
      </w:r>
      <w:proofErr w:type="spellStart"/>
      <w:r w:rsidRPr="00D31B80">
        <w:rPr>
          <w:rFonts w:ascii="Calibri" w:hAnsi="Calibri"/>
        </w:rPr>
        <w:t>prevalences</w:t>
      </w:r>
      <w:proofErr w:type="spellEnd"/>
      <w:r w:rsidRPr="00D31B80">
        <w:rPr>
          <w:rFonts w:ascii="Calibri" w:hAnsi="Calibri"/>
        </w:rPr>
        <w:t xml:space="preserve">, aggregated at country level, were unweighted averages of the prevalence among the </w:t>
      </w:r>
      <w:r w:rsidR="00FD605E" w:rsidRPr="00D31B80">
        <w:rPr>
          <w:rFonts w:ascii="Calibri" w:hAnsi="Calibri"/>
        </w:rPr>
        <w:t>council</w:t>
      </w:r>
      <w:r w:rsidRPr="00D31B80">
        <w:rPr>
          <w:rFonts w:ascii="Calibri" w:hAnsi="Calibri"/>
        </w:rPr>
        <w:t>s. The table below (</w:t>
      </w:r>
      <w:r w:rsidRPr="00D31B80">
        <w:rPr>
          <w:rFonts w:ascii="Calibri" w:hAnsi="Calibri"/>
        </w:rPr>
        <w:fldChar w:fldCharType="begin"/>
      </w:r>
      <w:r w:rsidRPr="00D31B80">
        <w:rPr>
          <w:rFonts w:ascii="Calibri" w:hAnsi="Calibri"/>
        </w:rPr>
        <w:instrText xml:space="preserve"> REF _Ref11705433 \h  \* MERGEFORMAT </w:instrText>
      </w:r>
      <w:r w:rsidRPr="00D31B80">
        <w:rPr>
          <w:rFonts w:ascii="Calibri" w:hAnsi="Calibri"/>
        </w:rPr>
      </w:r>
      <w:r w:rsidRPr="00D31B80">
        <w:rPr>
          <w:rFonts w:ascii="Calibri" w:hAnsi="Calibri"/>
        </w:rPr>
        <w:fldChar w:fldCharType="separate"/>
      </w:r>
      <w:r w:rsidR="00685368" w:rsidRPr="00685368">
        <w:rPr>
          <w:rFonts w:ascii="Calibri" w:hAnsi="Calibri"/>
        </w:rPr>
        <w:t>Table 2</w:t>
      </w:r>
      <w:r w:rsidRPr="00D31B80">
        <w:rPr>
          <w:rFonts w:ascii="Calibri" w:hAnsi="Calibri"/>
        </w:rPr>
        <w:fldChar w:fldCharType="end"/>
      </w:r>
      <w:r w:rsidR="00573BA7">
        <w:rPr>
          <w:rFonts w:ascii="Calibri" w:hAnsi="Calibri"/>
        </w:rPr>
        <w:t xml:space="preserve">) shows the averages </w:t>
      </w:r>
      <w:r w:rsidRPr="00D31B80">
        <w:rPr>
          <w:rFonts w:ascii="Calibri" w:hAnsi="Calibri"/>
        </w:rPr>
        <w:t xml:space="preserve">weighted by the </w:t>
      </w:r>
      <w:r w:rsidR="00FD605E" w:rsidRPr="00D31B80">
        <w:rPr>
          <w:rFonts w:ascii="Calibri" w:hAnsi="Calibri"/>
        </w:rPr>
        <w:t>council</w:t>
      </w:r>
      <w:r w:rsidRPr="00D31B80">
        <w:rPr>
          <w:rFonts w:ascii="Calibri" w:hAnsi="Calibri"/>
        </w:rPr>
        <w:t xml:space="preserve"> population to obtain population-weighted mean predictions at national level. The two estimates, unweighted and weighted, were compared per strategy for three prevalence outcomes. The three prevalence outcomes were the predicted prevalence in 2020, the relative prevalence reduction compared to the baseline in 2016 (</w:t>
      </w:r>
      <w:r w:rsidRPr="00D31B80">
        <w:rPr>
          <w:rFonts w:ascii="Calibri" w:hAnsi="Calibri"/>
          <w:i/>
        </w:rPr>
        <w:t>Pf</w:t>
      </w:r>
      <w:r w:rsidRPr="00D31B80">
        <w:rPr>
          <w:rFonts w:ascii="Calibri" w:hAnsi="Calibri"/>
        </w:rPr>
        <w:t>PR</w:t>
      </w:r>
      <w:r w:rsidRPr="00D31B80">
        <w:rPr>
          <w:rFonts w:ascii="Calibri" w:hAnsi="Calibri"/>
          <w:vertAlign w:val="subscript"/>
        </w:rPr>
        <w:t>2020</w:t>
      </w:r>
      <w:r w:rsidRPr="00D31B80">
        <w:rPr>
          <w:rFonts w:ascii="Calibri" w:hAnsi="Calibri"/>
        </w:rPr>
        <w:t xml:space="preserve"> – </w:t>
      </w:r>
      <w:r w:rsidRPr="00D31B80">
        <w:rPr>
          <w:rFonts w:ascii="Calibri" w:hAnsi="Calibri"/>
          <w:i/>
        </w:rPr>
        <w:t>Pf</w:t>
      </w:r>
      <w:r w:rsidRPr="00D31B80">
        <w:rPr>
          <w:rFonts w:ascii="Calibri" w:hAnsi="Calibri"/>
        </w:rPr>
        <w:t>PR</w:t>
      </w:r>
      <w:r w:rsidRPr="00D31B80">
        <w:rPr>
          <w:rFonts w:ascii="Calibri" w:hAnsi="Calibri"/>
          <w:vertAlign w:val="subscript"/>
        </w:rPr>
        <w:t>2016</w:t>
      </w:r>
      <w:r w:rsidRPr="00D31B80">
        <w:rPr>
          <w:rFonts w:ascii="Calibri" w:hAnsi="Calibri"/>
        </w:rPr>
        <w:t>/</w:t>
      </w:r>
      <w:r w:rsidRPr="00D31B80">
        <w:rPr>
          <w:rFonts w:ascii="Calibri" w:hAnsi="Calibri"/>
          <w:i/>
        </w:rPr>
        <w:t>Pf</w:t>
      </w:r>
      <w:r w:rsidRPr="00D31B80">
        <w:rPr>
          <w:rFonts w:ascii="Calibri" w:hAnsi="Calibri"/>
        </w:rPr>
        <w:t>PR</w:t>
      </w:r>
      <w:r w:rsidRPr="00D31B80">
        <w:rPr>
          <w:rFonts w:ascii="Calibri" w:hAnsi="Calibri"/>
          <w:vertAlign w:val="subscript"/>
        </w:rPr>
        <w:t>2016</w:t>
      </w:r>
      <w:r w:rsidRPr="00D31B80">
        <w:rPr>
          <w:rFonts w:ascii="Calibri" w:hAnsi="Calibri"/>
        </w:rPr>
        <w:t>), and the relative reduction in prevalence compared to the counterfactual in 2020 (</w:t>
      </w:r>
      <w:proofErr w:type="spellStart"/>
      <w:r w:rsidRPr="00D31B80">
        <w:rPr>
          <w:rFonts w:ascii="Calibri" w:hAnsi="Calibri"/>
          <w:i/>
        </w:rPr>
        <w:t>Pf</w:t>
      </w:r>
      <w:r w:rsidRPr="00D31B80">
        <w:rPr>
          <w:rFonts w:ascii="Calibri" w:hAnsi="Calibri"/>
        </w:rPr>
        <w:t>PR</w:t>
      </w:r>
      <w:r w:rsidRPr="00D31B80">
        <w:rPr>
          <w:rFonts w:ascii="Calibri" w:hAnsi="Calibri"/>
          <w:vertAlign w:val="subscript"/>
        </w:rPr>
        <w:t>strategy</w:t>
      </w:r>
      <w:proofErr w:type="spellEnd"/>
      <w:r w:rsidRPr="00D31B80">
        <w:rPr>
          <w:rFonts w:ascii="Calibri" w:hAnsi="Calibri"/>
        </w:rPr>
        <w:t xml:space="preserve"> – </w:t>
      </w:r>
      <w:proofErr w:type="spellStart"/>
      <w:r w:rsidRPr="00D31B80">
        <w:rPr>
          <w:rFonts w:ascii="Calibri" w:hAnsi="Calibri"/>
          <w:i/>
        </w:rPr>
        <w:t>Pf</w:t>
      </w:r>
      <w:r w:rsidRPr="00D31B80">
        <w:rPr>
          <w:rFonts w:ascii="Calibri" w:hAnsi="Calibri"/>
        </w:rPr>
        <w:t>PR</w:t>
      </w:r>
      <w:r w:rsidRPr="00D31B80">
        <w:rPr>
          <w:rFonts w:ascii="Calibri" w:hAnsi="Calibri"/>
          <w:vertAlign w:val="subscript"/>
        </w:rPr>
        <w:t>counterfactual</w:t>
      </w:r>
      <w:proofErr w:type="spellEnd"/>
      <w:r w:rsidRPr="00D31B80">
        <w:rPr>
          <w:rFonts w:ascii="Calibri" w:hAnsi="Calibri"/>
        </w:rPr>
        <w:t>/</w:t>
      </w:r>
      <w:proofErr w:type="spellStart"/>
      <w:r w:rsidRPr="00D31B80">
        <w:rPr>
          <w:rFonts w:ascii="Calibri" w:hAnsi="Calibri"/>
          <w:i/>
        </w:rPr>
        <w:t>Pf</w:t>
      </w:r>
      <w:r w:rsidRPr="00D31B80">
        <w:rPr>
          <w:rFonts w:ascii="Calibri" w:hAnsi="Calibri"/>
        </w:rPr>
        <w:t>PR</w:t>
      </w:r>
      <w:r w:rsidRPr="00D31B80">
        <w:rPr>
          <w:rFonts w:ascii="Calibri" w:hAnsi="Calibri"/>
          <w:vertAlign w:val="subscript"/>
        </w:rPr>
        <w:t>counterfactual</w:t>
      </w:r>
      <w:proofErr w:type="spellEnd"/>
      <w:r w:rsidRPr="00D31B80">
        <w:rPr>
          <w:rFonts w:ascii="Calibri" w:hAnsi="Calibri"/>
        </w:rPr>
        <w:t>). The weighted prevalence was very similar to the unweighted prevalence for all strategies for the prevalence, and the prevalence reduction compared to counterfactual, and showed higher differences in the prevalence reductions compared to the baseline in 2016 (</w:t>
      </w:r>
      <w:r w:rsidR="00764FF6">
        <w:rPr>
          <w:rFonts w:ascii="Calibri" w:hAnsi="Calibri"/>
        </w:rPr>
        <w:t>Table S3.2</w:t>
      </w:r>
      <w:r w:rsidRPr="00D31B80">
        <w:rPr>
          <w:rFonts w:ascii="Calibri" w:hAnsi="Calibri"/>
        </w:rPr>
        <w:t xml:space="preserve">). </w:t>
      </w:r>
    </w:p>
    <w:p w:rsidR="00B973C9" w:rsidRPr="00D31B80" w:rsidRDefault="00B973C9" w:rsidP="002A5AC2">
      <w:pPr>
        <w:spacing w:after="0" w:line="360" w:lineRule="auto"/>
        <w:rPr>
          <w:rFonts w:ascii="Calibri" w:hAnsi="Calibri"/>
        </w:rPr>
      </w:pPr>
    </w:p>
    <w:p w:rsidR="00B973C9" w:rsidRPr="00447397" w:rsidRDefault="00B973C9" w:rsidP="002A5AC2">
      <w:pPr>
        <w:pStyle w:val="Caption"/>
        <w:keepNext/>
        <w:spacing w:before="0" w:after="0" w:line="360" w:lineRule="auto"/>
        <w:rPr>
          <w:rFonts w:ascii="Calibri" w:eastAsiaTheme="minorHAnsi" w:hAnsi="Calibri" w:cstheme="minorBidi"/>
          <w:b/>
          <w:bCs w:val="0"/>
          <w:sz w:val="22"/>
          <w:szCs w:val="22"/>
          <w:lang w:eastAsia="en-US"/>
        </w:rPr>
      </w:pPr>
      <w:bookmarkStart w:id="18" w:name="_Ref11705433"/>
      <w:r w:rsidRPr="00447397">
        <w:rPr>
          <w:rFonts w:ascii="Calibri" w:eastAsiaTheme="minorHAnsi" w:hAnsi="Calibri" w:cstheme="minorBidi"/>
          <w:b/>
          <w:bCs w:val="0"/>
          <w:sz w:val="22"/>
          <w:szCs w:val="22"/>
          <w:lang w:eastAsia="en-US"/>
        </w:rPr>
        <w:lastRenderedPageBreak/>
        <w:t xml:space="preserve">Table </w:t>
      </w:r>
      <w:r w:rsidR="00447397" w:rsidRPr="00447397">
        <w:rPr>
          <w:rFonts w:ascii="Calibri" w:eastAsiaTheme="minorHAnsi" w:hAnsi="Calibri" w:cstheme="minorBidi"/>
          <w:b/>
          <w:bCs w:val="0"/>
          <w:sz w:val="22"/>
          <w:szCs w:val="22"/>
          <w:lang w:eastAsia="en-US"/>
        </w:rPr>
        <w:t>S</w:t>
      </w:r>
      <w:r w:rsidR="00417C3E">
        <w:rPr>
          <w:rFonts w:ascii="Calibri" w:eastAsiaTheme="minorHAnsi" w:hAnsi="Calibri" w:cstheme="minorBidi"/>
          <w:b/>
          <w:bCs w:val="0"/>
          <w:sz w:val="22"/>
          <w:szCs w:val="22"/>
          <w:lang w:eastAsia="en-US"/>
        </w:rPr>
        <w:t>4</w:t>
      </w:r>
      <w:r w:rsidR="00447397" w:rsidRPr="00447397">
        <w:rPr>
          <w:rFonts w:ascii="Calibri" w:eastAsiaTheme="minorHAnsi" w:hAnsi="Calibri" w:cstheme="minorBidi"/>
          <w:b/>
          <w:bCs w:val="0"/>
          <w:sz w:val="22"/>
          <w:szCs w:val="22"/>
          <w:lang w:eastAsia="en-US"/>
        </w:rPr>
        <w:t>.</w:t>
      </w:r>
      <w:r w:rsidRPr="00447397">
        <w:rPr>
          <w:rFonts w:ascii="Calibri" w:eastAsiaTheme="minorHAnsi" w:hAnsi="Calibri" w:cstheme="minorBidi"/>
          <w:b/>
          <w:bCs w:val="0"/>
          <w:sz w:val="22"/>
          <w:szCs w:val="22"/>
          <w:lang w:eastAsia="en-US"/>
        </w:rPr>
        <w:fldChar w:fldCharType="begin"/>
      </w:r>
      <w:r w:rsidRPr="00447397">
        <w:rPr>
          <w:rFonts w:ascii="Calibri" w:eastAsiaTheme="minorHAnsi" w:hAnsi="Calibri" w:cstheme="minorBidi"/>
          <w:b/>
          <w:bCs w:val="0"/>
          <w:sz w:val="22"/>
          <w:szCs w:val="22"/>
          <w:lang w:eastAsia="en-US"/>
        </w:rPr>
        <w:instrText xml:space="preserve"> SEQ Table \* ARABIC </w:instrText>
      </w:r>
      <w:r w:rsidRPr="00447397">
        <w:rPr>
          <w:rFonts w:ascii="Calibri" w:eastAsiaTheme="minorHAnsi" w:hAnsi="Calibri" w:cstheme="minorBidi"/>
          <w:b/>
          <w:bCs w:val="0"/>
          <w:sz w:val="22"/>
          <w:szCs w:val="22"/>
          <w:lang w:eastAsia="en-US"/>
        </w:rPr>
        <w:fldChar w:fldCharType="separate"/>
      </w:r>
      <w:r w:rsidR="00764FF6" w:rsidRPr="00447397">
        <w:rPr>
          <w:rFonts w:ascii="Calibri" w:eastAsiaTheme="minorHAnsi" w:hAnsi="Calibri" w:cstheme="minorBidi"/>
          <w:b/>
          <w:bCs w:val="0"/>
          <w:sz w:val="22"/>
          <w:szCs w:val="22"/>
          <w:lang w:eastAsia="en-US"/>
        </w:rPr>
        <w:t>2</w:t>
      </w:r>
      <w:r w:rsidRPr="00447397">
        <w:rPr>
          <w:rFonts w:ascii="Calibri" w:eastAsiaTheme="minorHAnsi" w:hAnsi="Calibri" w:cstheme="minorBidi"/>
          <w:b/>
          <w:bCs w:val="0"/>
          <w:sz w:val="22"/>
          <w:szCs w:val="22"/>
          <w:lang w:eastAsia="en-US"/>
        </w:rPr>
        <w:fldChar w:fldCharType="end"/>
      </w:r>
      <w:bookmarkEnd w:id="18"/>
      <w:r w:rsidRPr="00447397">
        <w:rPr>
          <w:rFonts w:ascii="Calibri" w:eastAsiaTheme="minorHAnsi" w:hAnsi="Calibri" w:cstheme="minorBidi"/>
          <w:b/>
          <w:bCs w:val="0"/>
          <w:sz w:val="22"/>
          <w:szCs w:val="22"/>
          <w:lang w:eastAsia="en-US"/>
        </w:rPr>
        <w:t xml:space="preserve">: Comparison of population-weighted and unweighted predicted mean </w:t>
      </w:r>
      <w:proofErr w:type="spellStart"/>
      <w:r w:rsidRPr="00447397">
        <w:rPr>
          <w:rFonts w:ascii="Calibri" w:eastAsiaTheme="minorHAnsi" w:hAnsi="Calibri" w:cstheme="minorBidi"/>
          <w:b/>
          <w:bCs w:val="0"/>
          <w:sz w:val="22"/>
          <w:szCs w:val="22"/>
          <w:lang w:eastAsia="en-US"/>
        </w:rPr>
        <w:t>prevalences</w:t>
      </w:r>
      <w:proofErr w:type="spellEnd"/>
      <w:r w:rsidRPr="00447397">
        <w:rPr>
          <w:rFonts w:ascii="Calibri" w:eastAsiaTheme="minorHAnsi" w:hAnsi="Calibri" w:cstheme="minorBidi"/>
          <w:b/>
          <w:bCs w:val="0"/>
          <w:sz w:val="22"/>
          <w:szCs w:val="22"/>
          <w:lang w:eastAsia="en-US"/>
        </w:rPr>
        <w:t xml:space="preserve"> per strategy at national level for 2020. </w:t>
      </w:r>
    </w:p>
    <w:tbl>
      <w:tblPr>
        <w:tblW w:w="5000" w:type="pct"/>
        <w:tblLayout w:type="fixed"/>
        <w:tblLook w:val="04A0" w:firstRow="1" w:lastRow="0" w:firstColumn="1" w:lastColumn="0" w:noHBand="0" w:noVBand="1"/>
      </w:tblPr>
      <w:tblGrid>
        <w:gridCol w:w="3292"/>
        <w:gridCol w:w="962"/>
        <w:gridCol w:w="831"/>
        <w:gridCol w:w="973"/>
        <w:gridCol w:w="831"/>
        <w:gridCol w:w="1038"/>
        <w:gridCol w:w="1145"/>
      </w:tblGrid>
      <w:tr w:rsidR="00B973C9" w:rsidRPr="00D31B80" w:rsidTr="00B8655E">
        <w:trPr>
          <w:trHeight w:hRule="exact" w:val="934"/>
        </w:trPr>
        <w:tc>
          <w:tcPr>
            <w:tcW w:w="1815" w:type="pct"/>
            <w:vMerge w:val="restart"/>
            <w:tcBorders>
              <w:top w:val="single" w:sz="4" w:space="0" w:color="auto"/>
              <w:right w:val="single" w:sz="4" w:space="0" w:color="auto"/>
            </w:tcBorders>
            <w:shd w:val="clear" w:color="auto" w:fill="auto"/>
            <w:vAlign w:val="center"/>
            <w:hideMark/>
          </w:tcPr>
          <w:p w:rsidR="00B973C9" w:rsidRPr="00D31B80" w:rsidRDefault="00B973C9" w:rsidP="002A5AC2">
            <w:pPr>
              <w:spacing w:after="0" w:line="360" w:lineRule="auto"/>
              <w:rPr>
                <w:rFonts w:ascii="Calibri" w:eastAsia="Times New Roman" w:hAnsi="Calibri" w:cs="Times New Roman"/>
                <w:b/>
                <w:bCs/>
                <w:color w:val="000000"/>
                <w:sz w:val="20"/>
                <w:lang w:eastAsia="en-GB"/>
              </w:rPr>
            </w:pPr>
            <w:r w:rsidRPr="00D31B80">
              <w:rPr>
                <w:rFonts w:ascii="Calibri" w:eastAsia="Times New Roman" w:hAnsi="Calibri" w:cs="Times New Roman"/>
                <w:b/>
                <w:bCs/>
                <w:color w:val="000000"/>
                <w:sz w:val="20"/>
                <w:lang w:eastAsia="en-GB"/>
              </w:rPr>
              <w:t>Strategy</w:t>
            </w:r>
          </w:p>
        </w:tc>
        <w:tc>
          <w:tcPr>
            <w:tcW w:w="988" w:type="pct"/>
            <w:gridSpan w:val="2"/>
            <w:tcBorders>
              <w:top w:val="single" w:sz="4" w:space="0" w:color="auto"/>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8"/>
                <w:lang w:eastAsia="en-GB"/>
              </w:rPr>
            </w:pPr>
            <w:r w:rsidRPr="00D31B80">
              <w:rPr>
                <w:rFonts w:ascii="Calibri" w:eastAsia="Times New Roman" w:hAnsi="Calibri" w:cs="Times New Roman"/>
                <w:b/>
                <w:bCs/>
                <w:i/>
                <w:color w:val="000000"/>
                <w:sz w:val="18"/>
                <w:lang w:eastAsia="en-GB"/>
              </w:rPr>
              <w:t>Pf</w:t>
            </w:r>
            <w:r w:rsidRPr="00D31B80">
              <w:rPr>
                <w:rFonts w:ascii="Calibri" w:eastAsia="Times New Roman" w:hAnsi="Calibri" w:cs="Times New Roman"/>
                <w:b/>
                <w:bCs/>
                <w:color w:val="000000"/>
                <w:sz w:val="18"/>
                <w:lang w:eastAsia="en-GB"/>
              </w:rPr>
              <w:t>PR</w:t>
            </w:r>
            <w:r w:rsidRPr="00D31B80">
              <w:rPr>
                <w:rFonts w:ascii="Calibri" w:eastAsia="Times New Roman" w:hAnsi="Calibri" w:cs="Times New Roman"/>
                <w:b/>
                <w:bCs/>
                <w:color w:val="000000"/>
                <w:sz w:val="18"/>
                <w:vertAlign w:val="subscript"/>
                <w:lang w:eastAsia="en-GB"/>
              </w:rPr>
              <w:t xml:space="preserve">2to10 </w:t>
            </w:r>
            <w:r w:rsidRPr="00D31B80">
              <w:rPr>
                <w:rFonts w:ascii="Calibri" w:eastAsia="Times New Roman" w:hAnsi="Calibri" w:cs="Times New Roman"/>
                <w:b/>
                <w:bCs/>
                <w:color w:val="000000"/>
                <w:sz w:val="18"/>
                <w:lang w:eastAsia="en-GB"/>
              </w:rPr>
              <w:t xml:space="preserve">(%) </w:t>
            </w:r>
          </w:p>
          <w:p w:rsidR="00B973C9" w:rsidRPr="00D31B80" w:rsidRDefault="00B973C9" w:rsidP="002A5AC2">
            <w:pPr>
              <w:spacing w:after="0" w:line="360" w:lineRule="auto"/>
              <w:jc w:val="center"/>
              <w:rPr>
                <w:rFonts w:ascii="Calibri" w:eastAsia="Times New Roman" w:hAnsi="Calibri" w:cs="Times New Roman"/>
                <w:b/>
                <w:bCs/>
                <w:color w:val="000000"/>
                <w:sz w:val="18"/>
                <w:lang w:eastAsia="en-GB"/>
              </w:rPr>
            </w:pPr>
          </w:p>
        </w:tc>
        <w:tc>
          <w:tcPr>
            <w:tcW w:w="994" w:type="pct"/>
            <w:gridSpan w:val="2"/>
            <w:tcBorders>
              <w:top w:val="single" w:sz="4" w:space="0" w:color="auto"/>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8"/>
                <w:lang w:eastAsia="en-GB"/>
              </w:rPr>
            </w:pPr>
            <w:r w:rsidRPr="00D31B80">
              <w:rPr>
                <w:rFonts w:ascii="Calibri" w:eastAsia="Times New Roman" w:hAnsi="Calibri" w:cs="Times New Roman"/>
                <w:b/>
                <w:bCs/>
                <w:i/>
                <w:color w:val="000000"/>
                <w:sz w:val="18"/>
                <w:lang w:eastAsia="en-GB"/>
              </w:rPr>
              <w:t>Pf</w:t>
            </w:r>
            <w:r w:rsidRPr="00D31B80">
              <w:rPr>
                <w:rFonts w:ascii="Calibri" w:eastAsia="Times New Roman" w:hAnsi="Calibri" w:cs="Times New Roman"/>
                <w:b/>
                <w:bCs/>
                <w:color w:val="000000"/>
                <w:sz w:val="18"/>
                <w:lang w:eastAsia="en-GB"/>
              </w:rPr>
              <w:t>PR</w:t>
            </w:r>
            <w:r w:rsidRPr="00D31B80">
              <w:rPr>
                <w:rFonts w:ascii="Calibri" w:eastAsia="Times New Roman" w:hAnsi="Calibri" w:cs="Times New Roman"/>
                <w:b/>
                <w:bCs/>
                <w:color w:val="000000"/>
                <w:sz w:val="18"/>
                <w:vertAlign w:val="subscript"/>
                <w:lang w:eastAsia="en-GB"/>
              </w:rPr>
              <w:t xml:space="preserve">2to10 </w:t>
            </w:r>
            <w:r w:rsidRPr="00D31B80">
              <w:rPr>
                <w:rFonts w:ascii="Calibri" w:eastAsia="Times New Roman" w:hAnsi="Calibri" w:cs="Times New Roman"/>
                <w:b/>
                <w:bCs/>
                <w:color w:val="000000"/>
                <w:sz w:val="18"/>
                <w:lang w:eastAsia="en-GB"/>
              </w:rPr>
              <w:t xml:space="preserve">reduction compared to </w:t>
            </w:r>
          </w:p>
          <w:p w:rsidR="00B973C9" w:rsidRPr="00D31B80" w:rsidRDefault="00B973C9" w:rsidP="002A5AC2">
            <w:pPr>
              <w:spacing w:after="0" w:line="360" w:lineRule="auto"/>
              <w:jc w:val="center"/>
              <w:rPr>
                <w:rFonts w:ascii="Calibri" w:eastAsia="Times New Roman" w:hAnsi="Calibri" w:cs="Times New Roman"/>
                <w:b/>
                <w:bCs/>
                <w:color w:val="000000"/>
                <w:sz w:val="18"/>
                <w:lang w:eastAsia="en-GB"/>
              </w:rPr>
            </w:pPr>
            <w:r w:rsidRPr="00D31B80">
              <w:rPr>
                <w:rFonts w:ascii="Calibri" w:eastAsia="Times New Roman" w:hAnsi="Calibri" w:cs="Times New Roman"/>
                <w:b/>
                <w:bCs/>
                <w:color w:val="000000"/>
                <w:sz w:val="18"/>
                <w:lang w:eastAsia="en-GB"/>
              </w:rPr>
              <w:t>baseline in 2016 (%)</w:t>
            </w:r>
          </w:p>
        </w:tc>
        <w:tc>
          <w:tcPr>
            <w:tcW w:w="1203" w:type="pct"/>
            <w:gridSpan w:val="2"/>
            <w:tcBorders>
              <w:top w:val="single" w:sz="4" w:space="0" w:color="auto"/>
              <w:lef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8"/>
                <w:lang w:eastAsia="en-GB"/>
              </w:rPr>
            </w:pPr>
            <w:r w:rsidRPr="00D31B80">
              <w:rPr>
                <w:rFonts w:ascii="Calibri" w:eastAsia="Times New Roman" w:hAnsi="Calibri" w:cs="Times New Roman"/>
                <w:b/>
                <w:bCs/>
                <w:i/>
                <w:color w:val="000000"/>
                <w:sz w:val="18"/>
                <w:lang w:eastAsia="en-GB"/>
              </w:rPr>
              <w:t>Pf</w:t>
            </w:r>
            <w:r w:rsidRPr="00D31B80">
              <w:rPr>
                <w:rFonts w:ascii="Calibri" w:eastAsia="Times New Roman" w:hAnsi="Calibri" w:cs="Times New Roman"/>
                <w:b/>
                <w:bCs/>
                <w:color w:val="000000"/>
                <w:sz w:val="18"/>
                <w:lang w:eastAsia="en-GB"/>
              </w:rPr>
              <w:t>PR</w:t>
            </w:r>
            <w:r w:rsidRPr="00D31B80">
              <w:rPr>
                <w:rFonts w:ascii="Calibri" w:eastAsia="Times New Roman" w:hAnsi="Calibri" w:cs="Times New Roman"/>
                <w:b/>
                <w:bCs/>
                <w:color w:val="000000"/>
                <w:sz w:val="18"/>
                <w:vertAlign w:val="subscript"/>
                <w:lang w:eastAsia="en-GB"/>
              </w:rPr>
              <w:t xml:space="preserve">2to10 </w:t>
            </w:r>
            <w:r w:rsidRPr="00D31B80">
              <w:rPr>
                <w:rFonts w:ascii="Calibri" w:eastAsia="Times New Roman" w:hAnsi="Calibri" w:cs="Times New Roman"/>
                <w:b/>
                <w:bCs/>
                <w:color w:val="000000"/>
                <w:sz w:val="18"/>
                <w:lang w:eastAsia="en-GB"/>
              </w:rPr>
              <w:t>reduction compared to counterfactual (%)</w:t>
            </w:r>
          </w:p>
        </w:tc>
      </w:tr>
      <w:tr w:rsidR="00B973C9" w:rsidRPr="00D31B80" w:rsidTr="00B8655E">
        <w:trPr>
          <w:trHeight w:hRule="exact" w:val="284"/>
        </w:trPr>
        <w:tc>
          <w:tcPr>
            <w:tcW w:w="1815" w:type="pct"/>
            <w:vMerge/>
            <w:tcBorders>
              <w:bottom w:val="single" w:sz="4" w:space="0" w:color="auto"/>
              <w:right w:val="single" w:sz="4" w:space="0" w:color="auto"/>
            </w:tcBorders>
            <w:vAlign w:val="center"/>
            <w:hideMark/>
          </w:tcPr>
          <w:p w:rsidR="00B973C9" w:rsidRPr="00D31B80" w:rsidRDefault="00B973C9" w:rsidP="002A5AC2">
            <w:pPr>
              <w:spacing w:after="0" w:line="360" w:lineRule="auto"/>
              <w:rPr>
                <w:rFonts w:ascii="Calibri" w:eastAsia="Times New Roman" w:hAnsi="Calibri" w:cs="Times New Roman"/>
                <w:b/>
                <w:bCs/>
                <w:color w:val="000000"/>
                <w:sz w:val="20"/>
                <w:lang w:eastAsia="en-GB"/>
              </w:rPr>
            </w:pPr>
          </w:p>
        </w:tc>
        <w:tc>
          <w:tcPr>
            <w:tcW w:w="530" w:type="pct"/>
            <w:tcBorders>
              <w:left w:val="single" w:sz="4" w:space="0" w:color="auto"/>
              <w:bottom w:val="single" w:sz="4" w:space="0" w:color="auto"/>
              <w:right w:val="single" w:sz="4" w:space="0" w:color="auto"/>
            </w:tcBorders>
            <w:shd w:val="clear" w:color="auto" w:fill="auto"/>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4"/>
                <w:lang w:eastAsia="en-GB"/>
              </w:rPr>
            </w:pPr>
            <w:r w:rsidRPr="00D31B80">
              <w:rPr>
                <w:rFonts w:ascii="Calibri" w:eastAsia="Times New Roman" w:hAnsi="Calibri" w:cs="Times New Roman"/>
                <w:b/>
                <w:bCs/>
                <w:color w:val="000000"/>
                <w:sz w:val="14"/>
                <w:lang w:eastAsia="en-GB"/>
              </w:rPr>
              <w:t>unweighted</w:t>
            </w:r>
          </w:p>
        </w:tc>
        <w:tc>
          <w:tcPr>
            <w:tcW w:w="458" w:type="pct"/>
            <w:tcBorders>
              <w:left w:val="single" w:sz="4" w:space="0" w:color="auto"/>
              <w:bottom w:val="single" w:sz="4" w:space="0" w:color="auto"/>
              <w:right w:val="single" w:sz="4" w:space="0" w:color="auto"/>
            </w:tcBorders>
            <w:shd w:val="clear" w:color="auto" w:fill="auto"/>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4"/>
                <w:lang w:eastAsia="en-GB"/>
              </w:rPr>
            </w:pPr>
            <w:r w:rsidRPr="00D31B80">
              <w:rPr>
                <w:rFonts w:ascii="Calibri" w:eastAsia="Times New Roman" w:hAnsi="Calibri" w:cs="Times New Roman"/>
                <w:b/>
                <w:bCs/>
                <w:color w:val="000000"/>
                <w:sz w:val="14"/>
                <w:lang w:eastAsia="en-GB"/>
              </w:rPr>
              <w:t>weighted</w:t>
            </w:r>
          </w:p>
        </w:tc>
        <w:tc>
          <w:tcPr>
            <w:tcW w:w="536" w:type="pct"/>
            <w:tcBorders>
              <w:left w:val="single" w:sz="4" w:space="0" w:color="auto"/>
              <w:right w:val="single" w:sz="4" w:space="0" w:color="auto"/>
            </w:tcBorders>
            <w:shd w:val="clear" w:color="auto" w:fill="auto"/>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4"/>
                <w:lang w:eastAsia="en-GB"/>
              </w:rPr>
            </w:pPr>
            <w:r w:rsidRPr="00D31B80">
              <w:rPr>
                <w:rFonts w:ascii="Calibri" w:eastAsia="Times New Roman" w:hAnsi="Calibri" w:cs="Times New Roman"/>
                <w:b/>
                <w:bCs/>
                <w:color w:val="000000"/>
                <w:sz w:val="14"/>
                <w:lang w:eastAsia="en-GB"/>
              </w:rPr>
              <w:t>unweighted</w:t>
            </w:r>
          </w:p>
        </w:tc>
        <w:tc>
          <w:tcPr>
            <w:tcW w:w="458" w:type="pct"/>
            <w:tcBorders>
              <w:left w:val="single" w:sz="4" w:space="0" w:color="auto"/>
              <w:right w:val="single" w:sz="4" w:space="0" w:color="auto"/>
            </w:tcBorders>
            <w:shd w:val="clear" w:color="auto" w:fill="auto"/>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4"/>
                <w:lang w:eastAsia="en-GB"/>
              </w:rPr>
            </w:pPr>
            <w:r w:rsidRPr="00D31B80">
              <w:rPr>
                <w:rFonts w:ascii="Calibri" w:eastAsia="Times New Roman" w:hAnsi="Calibri" w:cs="Times New Roman"/>
                <w:b/>
                <w:bCs/>
                <w:color w:val="000000"/>
                <w:sz w:val="14"/>
                <w:lang w:eastAsia="en-GB"/>
              </w:rPr>
              <w:t>weighted</w:t>
            </w:r>
          </w:p>
        </w:tc>
        <w:tc>
          <w:tcPr>
            <w:tcW w:w="572" w:type="pct"/>
            <w:tcBorders>
              <w:left w:val="single" w:sz="4" w:space="0" w:color="auto"/>
              <w:bottom w:val="single" w:sz="4" w:space="0" w:color="auto"/>
              <w:right w:val="single" w:sz="4" w:space="0" w:color="auto"/>
            </w:tcBorders>
            <w:shd w:val="clear" w:color="auto" w:fill="auto"/>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4"/>
                <w:lang w:eastAsia="en-GB"/>
              </w:rPr>
            </w:pPr>
            <w:r w:rsidRPr="00D31B80">
              <w:rPr>
                <w:rFonts w:ascii="Calibri" w:eastAsia="Times New Roman" w:hAnsi="Calibri" w:cs="Times New Roman"/>
                <w:b/>
                <w:bCs/>
                <w:color w:val="000000"/>
                <w:sz w:val="14"/>
                <w:lang w:eastAsia="en-GB"/>
              </w:rPr>
              <w:t>unweighted</w:t>
            </w:r>
          </w:p>
        </w:tc>
        <w:tc>
          <w:tcPr>
            <w:tcW w:w="631" w:type="pct"/>
            <w:tcBorders>
              <w:left w:val="single" w:sz="4" w:space="0" w:color="auto"/>
              <w:bottom w:val="single" w:sz="4" w:space="0" w:color="auto"/>
            </w:tcBorders>
            <w:shd w:val="clear" w:color="auto" w:fill="auto"/>
            <w:vAlign w:val="center"/>
            <w:hideMark/>
          </w:tcPr>
          <w:p w:rsidR="00B973C9" w:rsidRPr="00D31B80" w:rsidRDefault="00B973C9" w:rsidP="002A5AC2">
            <w:pPr>
              <w:spacing w:after="0" w:line="360" w:lineRule="auto"/>
              <w:jc w:val="center"/>
              <w:rPr>
                <w:rFonts w:ascii="Calibri" w:eastAsia="Times New Roman" w:hAnsi="Calibri" w:cs="Times New Roman"/>
                <w:b/>
                <w:bCs/>
                <w:color w:val="000000"/>
                <w:sz w:val="14"/>
                <w:lang w:eastAsia="en-GB"/>
              </w:rPr>
            </w:pPr>
            <w:r w:rsidRPr="00D31B80">
              <w:rPr>
                <w:rFonts w:ascii="Calibri" w:eastAsia="Times New Roman" w:hAnsi="Calibri" w:cs="Times New Roman"/>
                <w:b/>
                <w:bCs/>
                <w:color w:val="000000"/>
                <w:sz w:val="14"/>
                <w:lang w:eastAsia="en-GB"/>
              </w:rPr>
              <w:t>weighted</w:t>
            </w:r>
          </w:p>
        </w:tc>
      </w:tr>
      <w:tr w:rsidR="00B973C9" w:rsidRPr="00D31B80" w:rsidTr="00B8655E">
        <w:trPr>
          <w:trHeight w:hRule="exact" w:val="284"/>
        </w:trPr>
        <w:tc>
          <w:tcPr>
            <w:tcW w:w="1815" w:type="pct"/>
            <w:tcBorders>
              <w:top w:val="single" w:sz="4" w:space="0" w:color="auto"/>
              <w:right w:val="single" w:sz="4" w:space="0" w:color="auto"/>
            </w:tcBorders>
            <w:shd w:val="clear" w:color="auto" w:fill="auto"/>
            <w:noWrap/>
            <w:vAlign w:val="bottom"/>
            <w:hideMark/>
          </w:tcPr>
          <w:p w:rsidR="00B973C9" w:rsidRPr="00D31B80" w:rsidRDefault="00B973C9" w:rsidP="002A5AC2">
            <w:pPr>
              <w:spacing w:after="0" w:line="360" w:lineRule="auto"/>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Counterfactual</w:t>
            </w:r>
          </w:p>
        </w:tc>
        <w:tc>
          <w:tcPr>
            <w:tcW w:w="530" w:type="pct"/>
            <w:tcBorders>
              <w:top w:val="single" w:sz="4" w:space="0" w:color="auto"/>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21.5</w:t>
            </w:r>
          </w:p>
        </w:tc>
        <w:tc>
          <w:tcPr>
            <w:tcW w:w="458" w:type="pct"/>
            <w:tcBorders>
              <w:top w:val="single" w:sz="4" w:space="0" w:color="auto"/>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20.8</w:t>
            </w:r>
          </w:p>
        </w:tc>
        <w:tc>
          <w:tcPr>
            <w:tcW w:w="536" w:type="pct"/>
            <w:tcBorders>
              <w:top w:val="single" w:sz="4" w:space="0" w:color="auto"/>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-65.8</w:t>
            </w:r>
          </w:p>
        </w:tc>
        <w:tc>
          <w:tcPr>
            <w:tcW w:w="458" w:type="pct"/>
            <w:tcBorders>
              <w:top w:val="single" w:sz="4" w:space="0" w:color="auto"/>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-60.2</w:t>
            </w:r>
          </w:p>
        </w:tc>
        <w:tc>
          <w:tcPr>
            <w:tcW w:w="572" w:type="pct"/>
            <w:tcBorders>
              <w:top w:val="single" w:sz="4" w:space="0" w:color="auto"/>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0.0</w:t>
            </w:r>
          </w:p>
        </w:tc>
        <w:tc>
          <w:tcPr>
            <w:tcW w:w="631" w:type="pct"/>
            <w:tcBorders>
              <w:top w:val="single" w:sz="4" w:space="0" w:color="auto"/>
              <w:lef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0.0</w:t>
            </w:r>
          </w:p>
        </w:tc>
      </w:tr>
      <w:tr w:rsidR="00B973C9" w:rsidRPr="00D31B80" w:rsidTr="00B8655E">
        <w:trPr>
          <w:trHeight w:hRule="exact" w:val="284"/>
        </w:trPr>
        <w:tc>
          <w:tcPr>
            <w:tcW w:w="1815" w:type="pct"/>
            <w:tcBorders>
              <w:right w:val="single" w:sz="4" w:space="0" w:color="auto"/>
            </w:tcBorders>
            <w:shd w:val="clear" w:color="auto" w:fill="auto"/>
            <w:noWrap/>
            <w:vAlign w:val="bottom"/>
            <w:hideMark/>
          </w:tcPr>
          <w:p w:rsidR="00B973C9" w:rsidRPr="00D31B80" w:rsidRDefault="00B973C9" w:rsidP="002A5AC2">
            <w:pPr>
              <w:spacing w:after="0" w:line="360" w:lineRule="auto"/>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NMSP</w:t>
            </w:r>
          </w:p>
        </w:tc>
        <w:tc>
          <w:tcPr>
            <w:tcW w:w="530"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11.2</w:t>
            </w:r>
          </w:p>
        </w:tc>
        <w:tc>
          <w:tcPr>
            <w:tcW w:w="458"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10.1</w:t>
            </w:r>
          </w:p>
        </w:tc>
        <w:tc>
          <w:tcPr>
            <w:tcW w:w="536"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23.8</w:t>
            </w:r>
          </w:p>
        </w:tc>
        <w:tc>
          <w:tcPr>
            <w:tcW w:w="458"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30.2</w:t>
            </w:r>
          </w:p>
        </w:tc>
        <w:tc>
          <w:tcPr>
            <w:tcW w:w="572"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51.0</w:t>
            </w:r>
          </w:p>
        </w:tc>
        <w:tc>
          <w:tcPr>
            <w:tcW w:w="631" w:type="pct"/>
            <w:tcBorders>
              <w:lef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54.2</w:t>
            </w:r>
          </w:p>
        </w:tc>
      </w:tr>
      <w:tr w:rsidR="00B973C9" w:rsidRPr="00D31B80" w:rsidTr="00B8655E">
        <w:trPr>
          <w:trHeight w:hRule="exact" w:val="284"/>
        </w:trPr>
        <w:tc>
          <w:tcPr>
            <w:tcW w:w="1815" w:type="pct"/>
            <w:tcBorders>
              <w:right w:val="single" w:sz="4" w:space="0" w:color="auto"/>
            </w:tcBorders>
            <w:shd w:val="clear" w:color="auto" w:fill="auto"/>
            <w:noWrap/>
            <w:vAlign w:val="bottom"/>
            <w:hideMark/>
          </w:tcPr>
          <w:p w:rsidR="00B973C9" w:rsidRPr="00D31B80" w:rsidRDefault="00B973C9" w:rsidP="002A5AC2">
            <w:pPr>
              <w:spacing w:after="0" w:line="360" w:lineRule="auto"/>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NMSP with improved case management</w:t>
            </w:r>
          </w:p>
        </w:tc>
        <w:tc>
          <w:tcPr>
            <w:tcW w:w="530"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7.4</w:t>
            </w:r>
          </w:p>
        </w:tc>
        <w:tc>
          <w:tcPr>
            <w:tcW w:w="458"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6.5</w:t>
            </w:r>
          </w:p>
        </w:tc>
        <w:tc>
          <w:tcPr>
            <w:tcW w:w="536"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52.1</w:t>
            </w:r>
          </w:p>
        </w:tc>
        <w:tc>
          <w:tcPr>
            <w:tcW w:w="458"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56.9</w:t>
            </w:r>
          </w:p>
        </w:tc>
        <w:tc>
          <w:tcPr>
            <w:tcW w:w="572"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69.0</w:t>
            </w:r>
          </w:p>
        </w:tc>
        <w:tc>
          <w:tcPr>
            <w:tcW w:w="631" w:type="pct"/>
            <w:tcBorders>
              <w:lef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71.5</w:t>
            </w:r>
          </w:p>
        </w:tc>
      </w:tr>
      <w:tr w:rsidR="00B973C9" w:rsidRPr="00D31B80" w:rsidTr="00B8655E">
        <w:trPr>
          <w:trHeight w:hRule="exact" w:val="284"/>
        </w:trPr>
        <w:tc>
          <w:tcPr>
            <w:tcW w:w="1815" w:type="pct"/>
            <w:tcBorders>
              <w:right w:val="single" w:sz="4" w:space="0" w:color="auto"/>
            </w:tcBorders>
            <w:shd w:val="clear" w:color="auto" w:fill="auto"/>
            <w:noWrap/>
            <w:vAlign w:val="bottom"/>
            <w:hideMark/>
          </w:tcPr>
          <w:p w:rsidR="00B973C9" w:rsidRPr="00D31B80" w:rsidRDefault="00B973C9" w:rsidP="002A5AC2">
            <w:pPr>
              <w:spacing w:after="0" w:line="360" w:lineRule="auto"/>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Optimised for cost-effectiveness</w:t>
            </w:r>
          </w:p>
        </w:tc>
        <w:tc>
          <w:tcPr>
            <w:tcW w:w="530"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10.5</w:t>
            </w:r>
          </w:p>
        </w:tc>
        <w:tc>
          <w:tcPr>
            <w:tcW w:w="458"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10.0</w:t>
            </w:r>
          </w:p>
        </w:tc>
        <w:tc>
          <w:tcPr>
            <w:tcW w:w="536"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25.0</w:t>
            </w:r>
          </w:p>
        </w:tc>
        <w:tc>
          <w:tcPr>
            <w:tcW w:w="458"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29.1</w:t>
            </w:r>
          </w:p>
        </w:tc>
        <w:tc>
          <w:tcPr>
            <w:tcW w:w="572" w:type="pct"/>
            <w:tcBorders>
              <w:left w:val="single" w:sz="4" w:space="0" w:color="auto"/>
              <w:righ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53.0</w:t>
            </w:r>
          </w:p>
        </w:tc>
        <w:tc>
          <w:tcPr>
            <w:tcW w:w="631" w:type="pct"/>
            <w:tcBorders>
              <w:left w:val="single" w:sz="4" w:space="0" w:color="auto"/>
            </w:tcBorders>
            <w:shd w:val="clear" w:color="auto" w:fill="auto"/>
            <w:noWrap/>
            <w:vAlign w:val="center"/>
            <w:hideMark/>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54.2</w:t>
            </w:r>
          </w:p>
        </w:tc>
      </w:tr>
      <w:tr w:rsidR="00B973C9" w:rsidRPr="00D31B80" w:rsidTr="00B8655E">
        <w:trPr>
          <w:trHeight w:hRule="exact" w:val="284"/>
        </w:trPr>
        <w:tc>
          <w:tcPr>
            <w:tcW w:w="1815" w:type="pct"/>
            <w:tcBorders>
              <w:bottom w:val="single" w:sz="4" w:space="0" w:color="auto"/>
              <w:right w:val="single" w:sz="4" w:space="0" w:color="auto"/>
            </w:tcBorders>
            <w:shd w:val="clear" w:color="auto" w:fill="auto"/>
            <w:noWrap/>
            <w:vAlign w:val="bottom"/>
          </w:tcPr>
          <w:p w:rsidR="00B973C9" w:rsidRPr="00D31B80" w:rsidRDefault="00B973C9" w:rsidP="002A5AC2">
            <w:pPr>
              <w:spacing w:after="0" w:line="360" w:lineRule="auto"/>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Achieving NMSP target at lowest costs</w:t>
            </w:r>
          </w:p>
        </w:tc>
        <w:tc>
          <w:tcPr>
            <w:tcW w:w="530" w:type="pct"/>
            <w:tcBorders>
              <w:left w:val="single" w:sz="4" w:space="0" w:color="auto"/>
              <w:bottom w:val="single" w:sz="4" w:space="0" w:color="auto"/>
              <w:right w:val="single" w:sz="4" w:space="0" w:color="auto"/>
            </w:tcBorders>
            <w:shd w:val="clear" w:color="auto" w:fill="auto"/>
            <w:noWrap/>
            <w:vAlign w:val="center"/>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0.4</w:t>
            </w:r>
          </w:p>
        </w:tc>
        <w:tc>
          <w:tcPr>
            <w:tcW w:w="458" w:type="pct"/>
            <w:tcBorders>
              <w:left w:val="single" w:sz="4" w:space="0" w:color="auto"/>
              <w:bottom w:val="single" w:sz="4" w:space="0" w:color="auto"/>
              <w:right w:val="single" w:sz="4" w:space="0" w:color="auto"/>
            </w:tcBorders>
            <w:shd w:val="clear" w:color="auto" w:fill="auto"/>
            <w:noWrap/>
            <w:vAlign w:val="center"/>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0.5</w:t>
            </w:r>
          </w:p>
        </w:tc>
        <w:tc>
          <w:tcPr>
            <w:tcW w:w="536" w:type="pct"/>
            <w:tcBorders>
              <w:left w:val="single" w:sz="4" w:space="0" w:color="auto"/>
              <w:bottom w:val="single" w:sz="4" w:space="0" w:color="auto"/>
              <w:right w:val="single" w:sz="4" w:space="0" w:color="auto"/>
            </w:tcBorders>
            <w:shd w:val="clear" w:color="auto" w:fill="auto"/>
            <w:noWrap/>
            <w:vAlign w:val="center"/>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77.5</w:t>
            </w:r>
          </w:p>
        </w:tc>
        <w:tc>
          <w:tcPr>
            <w:tcW w:w="458" w:type="pct"/>
            <w:tcBorders>
              <w:left w:val="single" w:sz="4" w:space="0" w:color="auto"/>
              <w:bottom w:val="single" w:sz="4" w:space="0" w:color="auto"/>
              <w:right w:val="single" w:sz="4" w:space="0" w:color="auto"/>
            </w:tcBorders>
            <w:shd w:val="clear" w:color="auto" w:fill="auto"/>
            <w:noWrap/>
            <w:vAlign w:val="center"/>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79.6</w:t>
            </w:r>
          </w:p>
        </w:tc>
        <w:tc>
          <w:tcPr>
            <w:tcW w:w="572" w:type="pct"/>
            <w:tcBorders>
              <w:left w:val="single" w:sz="4" w:space="0" w:color="auto"/>
              <w:bottom w:val="single" w:sz="4" w:space="0" w:color="auto"/>
              <w:right w:val="single" w:sz="4" w:space="0" w:color="auto"/>
            </w:tcBorders>
            <w:shd w:val="clear" w:color="auto" w:fill="auto"/>
            <w:noWrap/>
            <w:vAlign w:val="center"/>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87.4</w:t>
            </w:r>
          </w:p>
        </w:tc>
        <w:tc>
          <w:tcPr>
            <w:tcW w:w="631" w:type="pct"/>
            <w:tcBorders>
              <w:left w:val="single" w:sz="4" w:space="0" w:color="auto"/>
              <w:bottom w:val="single" w:sz="4" w:space="0" w:color="auto"/>
            </w:tcBorders>
            <w:shd w:val="clear" w:color="auto" w:fill="auto"/>
            <w:noWrap/>
            <w:vAlign w:val="center"/>
          </w:tcPr>
          <w:p w:rsidR="00B973C9" w:rsidRPr="00D31B80" w:rsidRDefault="00B973C9" w:rsidP="002A5AC2">
            <w:pPr>
              <w:spacing w:after="0" w:line="360" w:lineRule="auto"/>
              <w:jc w:val="center"/>
              <w:rPr>
                <w:rFonts w:ascii="Calibri" w:eastAsia="Times New Roman" w:hAnsi="Calibri" w:cs="Times New Roman"/>
                <w:color w:val="000000"/>
                <w:sz w:val="20"/>
                <w:lang w:eastAsia="en-GB"/>
              </w:rPr>
            </w:pPr>
            <w:r w:rsidRPr="00D31B80">
              <w:rPr>
                <w:rFonts w:ascii="Calibri" w:eastAsia="Times New Roman" w:hAnsi="Calibri" w:cs="Times New Roman"/>
                <w:color w:val="000000"/>
                <w:sz w:val="20"/>
                <w:lang w:eastAsia="en-GB"/>
              </w:rPr>
              <w:t>88.1</w:t>
            </w:r>
          </w:p>
        </w:tc>
      </w:tr>
    </w:tbl>
    <w:p w:rsidR="00B973C9" w:rsidRPr="00D31B80" w:rsidRDefault="00B973C9" w:rsidP="002A5AC2">
      <w:pPr>
        <w:spacing w:line="360" w:lineRule="auto"/>
        <w:rPr>
          <w:rFonts w:ascii="Calibri" w:hAnsi="Calibri"/>
          <w:lang w:eastAsia="de-DE"/>
        </w:rPr>
      </w:pPr>
    </w:p>
    <w:p w:rsidR="00395C7A" w:rsidRPr="00D31B80" w:rsidRDefault="00395C7A" w:rsidP="00764FF6">
      <w:pPr>
        <w:pStyle w:val="Heading1"/>
        <w:numPr>
          <w:ilvl w:val="0"/>
          <w:numId w:val="0"/>
        </w:numPr>
        <w:spacing w:before="0" w:line="360" w:lineRule="auto"/>
        <w:ind w:left="432" w:hanging="432"/>
        <w:rPr>
          <w:rFonts w:ascii="Calibri" w:hAnsi="Calibri"/>
          <w:lang w:eastAsia="de-DE"/>
        </w:rPr>
      </w:pPr>
      <w:bookmarkStart w:id="19" w:name="_Toc22294593"/>
      <w:r w:rsidRPr="00D31B80">
        <w:rPr>
          <w:rFonts w:ascii="Calibri" w:hAnsi="Calibri"/>
          <w:lang w:eastAsia="de-DE"/>
        </w:rPr>
        <w:t>References</w:t>
      </w:r>
      <w:bookmarkEnd w:id="19"/>
    </w:p>
    <w:p w:rsidR="006F40AC" w:rsidRPr="006F40AC" w:rsidRDefault="00395C7A" w:rsidP="006F40AC">
      <w:pPr>
        <w:pStyle w:val="Bibliography"/>
        <w:rPr>
          <w:rFonts w:ascii="Calibri" w:hAnsi="Calibri"/>
        </w:rPr>
      </w:pPr>
      <w:r w:rsidRPr="00D31B80">
        <w:rPr>
          <w:rFonts w:ascii="Calibri" w:hAnsi="Calibri"/>
          <w:lang w:eastAsia="de-DE"/>
        </w:rPr>
        <w:fldChar w:fldCharType="begin"/>
      </w:r>
      <w:r w:rsidR="006F40AC">
        <w:rPr>
          <w:rFonts w:ascii="Calibri" w:hAnsi="Calibri"/>
          <w:lang w:eastAsia="de-DE"/>
        </w:rPr>
        <w:instrText xml:space="preserve"> ADDIN ZOTERO_BIBL {"uncited":[],"omitted":[],"custom":[]} CSL_BIBLIOGRAPHY </w:instrText>
      </w:r>
      <w:r w:rsidRPr="00D31B80">
        <w:rPr>
          <w:rFonts w:ascii="Calibri" w:hAnsi="Calibri"/>
          <w:lang w:eastAsia="de-DE"/>
        </w:rPr>
        <w:fldChar w:fldCharType="separate"/>
      </w:r>
      <w:r w:rsidR="006F40AC" w:rsidRPr="006F40AC">
        <w:rPr>
          <w:rFonts w:ascii="Calibri" w:hAnsi="Calibri"/>
        </w:rPr>
        <w:t xml:space="preserve">1. </w:t>
      </w:r>
      <w:r w:rsidR="006F40AC" w:rsidRPr="006F40AC">
        <w:rPr>
          <w:rFonts w:ascii="Calibri" w:hAnsi="Calibri"/>
        </w:rPr>
        <w:tab/>
        <w:t>Gosoniu L, Msengwa A, Lengeler C, Vounatsou P. Spatially Explicit Burden Estimates of Malaria in Tanzania: Bayesian Geostatistical Modeling of the Malaria Indicator Survey Data. PLoS ONE. 2012;7: e23966. doi:10.1371/journal.pone.0023966</w:t>
      </w:r>
    </w:p>
    <w:p w:rsidR="006F40AC" w:rsidRPr="006F40AC" w:rsidRDefault="006F40AC" w:rsidP="006F40AC">
      <w:pPr>
        <w:pStyle w:val="Bibliography"/>
        <w:rPr>
          <w:rFonts w:ascii="Calibri" w:hAnsi="Calibri"/>
        </w:rPr>
      </w:pPr>
      <w:r w:rsidRPr="006F40AC">
        <w:rPr>
          <w:rFonts w:ascii="Calibri" w:hAnsi="Calibri"/>
        </w:rPr>
        <w:t xml:space="preserve">2. </w:t>
      </w:r>
      <w:r w:rsidRPr="006F40AC">
        <w:rPr>
          <w:rFonts w:ascii="Calibri" w:hAnsi="Calibri"/>
        </w:rPr>
        <w:tab/>
        <w:t>Chacky F, Runge M, Rumisha SF, Machafuko P, Chaki P, Massaga JJ, et al. Nationwide school malaria parasitaemia survey in public primary schools, the United Republic of Tanzania. Malar J. 2018;17: 452. doi:10.1186/s12936-018-2601-1</w:t>
      </w:r>
    </w:p>
    <w:p w:rsidR="006F40AC" w:rsidRPr="006F40AC" w:rsidRDefault="006F40AC" w:rsidP="006F40AC">
      <w:pPr>
        <w:pStyle w:val="Bibliography"/>
        <w:rPr>
          <w:rFonts w:ascii="Calibri" w:hAnsi="Calibri"/>
        </w:rPr>
      </w:pPr>
      <w:r w:rsidRPr="006F40AC">
        <w:rPr>
          <w:rFonts w:ascii="Calibri" w:hAnsi="Calibri"/>
        </w:rPr>
        <w:t xml:space="preserve">3. </w:t>
      </w:r>
      <w:r w:rsidRPr="006F40AC">
        <w:rPr>
          <w:rFonts w:ascii="Calibri" w:hAnsi="Calibri"/>
        </w:rPr>
        <w:tab/>
        <w:t>Hagenlocher M, Castro MC. Mapping malaria risk and vulnerability in the United Republic of Tanzania: a spatial explicit model. Popul Health Metr. 2015;13: 2. doi:10.1186/s12963-015-0036-2</w:t>
      </w:r>
    </w:p>
    <w:p w:rsidR="006F40AC" w:rsidRPr="006F40AC" w:rsidRDefault="006F40AC" w:rsidP="006F40AC">
      <w:pPr>
        <w:pStyle w:val="Bibliography"/>
        <w:rPr>
          <w:rFonts w:ascii="Calibri" w:hAnsi="Calibri"/>
        </w:rPr>
      </w:pPr>
      <w:r w:rsidRPr="006F40AC">
        <w:rPr>
          <w:rFonts w:ascii="Calibri" w:hAnsi="Calibri"/>
        </w:rPr>
        <w:t xml:space="preserve">4. </w:t>
      </w:r>
      <w:r w:rsidRPr="006F40AC">
        <w:rPr>
          <w:rFonts w:ascii="Calibri" w:hAnsi="Calibri"/>
        </w:rPr>
        <w:tab/>
        <w:t xml:space="preserve">National Malaria Control Programme (Tanzania), WHO, Ifakara Health Institute, KEMRI-Wellcome Trust (Kenya). An epidemiological profile of malaria and its control in mainland Tanzania. Report funded by Roll Back Malaria and Department for International Development-UK; 2013 p. 152. </w:t>
      </w:r>
    </w:p>
    <w:p w:rsidR="006F40AC" w:rsidRPr="006F40AC" w:rsidRDefault="006F40AC" w:rsidP="006F40AC">
      <w:pPr>
        <w:pStyle w:val="Bibliography"/>
        <w:rPr>
          <w:rFonts w:ascii="Calibri" w:hAnsi="Calibri"/>
        </w:rPr>
      </w:pPr>
      <w:r w:rsidRPr="006F40AC">
        <w:rPr>
          <w:rFonts w:ascii="Calibri" w:hAnsi="Calibri"/>
        </w:rPr>
        <w:t xml:space="preserve">5. </w:t>
      </w:r>
      <w:r w:rsidRPr="006F40AC">
        <w:rPr>
          <w:rFonts w:ascii="Calibri" w:hAnsi="Calibri"/>
        </w:rPr>
        <w:tab/>
        <w:t>Massey NC, Garrod G, Wiebe A, Henry AJ, Huang Z, Moyes CL, et al. A global bionomic database for the dominant vectors of human malaria. Sci Data. 2016;3: 160014. doi:10.1038/sdata.2016.14</w:t>
      </w:r>
    </w:p>
    <w:p w:rsidR="006F40AC" w:rsidRPr="006F40AC" w:rsidRDefault="006F40AC" w:rsidP="006F40AC">
      <w:pPr>
        <w:pStyle w:val="Bibliography"/>
        <w:rPr>
          <w:rFonts w:ascii="Calibri" w:hAnsi="Calibri"/>
        </w:rPr>
      </w:pPr>
      <w:r w:rsidRPr="006F40AC">
        <w:rPr>
          <w:rFonts w:ascii="Calibri" w:hAnsi="Calibri"/>
        </w:rPr>
        <w:t xml:space="preserve">6. </w:t>
      </w:r>
      <w:r w:rsidRPr="006F40AC">
        <w:rPr>
          <w:rFonts w:ascii="Calibri" w:hAnsi="Calibri"/>
        </w:rPr>
        <w:tab/>
        <w:t>Huho BJ, Killeen GF, Ferguson HM, Tami A, Lengeler C, Charlwood JD, et al. Artemisinin-based combination therapy does not measurably reduce human infectiousness to vectors in a setting of intense malaria transmission. Malar J. 2012;11: 118. doi:10.1186/1475-2875-11-118</w:t>
      </w:r>
    </w:p>
    <w:p w:rsidR="006F40AC" w:rsidRPr="006F40AC" w:rsidRDefault="006F40AC" w:rsidP="006F40AC">
      <w:pPr>
        <w:pStyle w:val="Bibliography"/>
        <w:rPr>
          <w:rFonts w:ascii="Calibri" w:hAnsi="Calibri"/>
        </w:rPr>
      </w:pPr>
      <w:r w:rsidRPr="006F40AC">
        <w:rPr>
          <w:rFonts w:ascii="Calibri" w:hAnsi="Calibri"/>
        </w:rPr>
        <w:t xml:space="preserve">7. </w:t>
      </w:r>
      <w:r w:rsidRPr="006F40AC">
        <w:rPr>
          <w:rFonts w:ascii="Calibri" w:hAnsi="Calibri"/>
        </w:rPr>
        <w:tab/>
        <w:t>Curtis CF, Maxwell CA, Maxwell CA, Finch RJ, Finch RJ, Njunwa KJ. A comparison of use of a pyrethroid either for house spraying or for bednet treatment against malaria vectors. Trop Med Int Health. 1998;3: 619–631. doi:10.1046/j.1365-3156.1998.00281.x</w:t>
      </w:r>
    </w:p>
    <w:p w:rsidR="006F40AC" w:rsidRPr="006F40AC" w:rsidRDefault="006F40AC" w:rsidP="006F40AC">
      <w:pPr>
        <w:pStyle w:val="Bibliography"/>
        <w:rPr>
          <w:rFonts w:ascii="Calibri" w:hAnsi="Calibri"/>
        </w:rPr>
      </w:pPr>
      <w:r w:rsidRPr="006F40AC">
        <w:rPr>
          <w:rFonts w:ascii="Calibri" w:hAnsi="Calibri"/>
        </w:rPr>
        <w:t xml:space="preserve">8. </w:t>
      </w:r>
      <w:r w:rsidRPr="006F40AC">
        <w:rPr>
          <w:rFonts w:ascii="Calibri" w:hAnsi="Calibri"/>
        </w:rPr>
        <w:tab/>
        <w:t>Shiff CJ, Minjas JN, Hall T, Hunt RH, Lyimo S, Davis JR. Malaria infection potential of anopheline mosquitoes sampled by light trapping indoors in coastal Tanzanian villages. Med Vet Entomol. 1995;9: 256–262. doi:10.1111/j.1365-2915.1995.tb00131.x</w:t>
      </w:r>
    </w:p>
    <w:p w:rsidR="006F40AC" w:rsidRPr="006F40AC" w:rsidRDefault="006F40AC" w:rsidP="006F40AC">
      <w:pPr>
        <w:pStyle w:val="Bibliography"/>
        <w:rPr>
          <w:rFonts w:ascii="Calibri" w:hAnsi="Calibri"/>
        </w:rPr>
      </w:pPr>
      <w:r w:rsidRPr="006F40AC">
        <w:rPr>
          <w:rFonts w:ascii="Calibri" w:hAnsi="Calibri"/>
        </w:rPr>
        <w:t xml:space="preserve">9. </w:t>
      </w:r>
      <w:r w:rsidRPr="006F40AC">
        <w:rPr>
          <w:rFonts w:ascii="Calibri" w:hAnsi="Calibri"/>
        </w:rPr>
        <w:tab/>
        <w:t xml:space="preserve">Ijumba JN, Mosha FW, Lindsay SW. Malaria transmission risk variations derived from different agricultural practices in an irrigated area of northern Tanzania. Med Vet Entomol. 2002;16: 28–38. </w:t>
      </w:r>
    </w:p>
    <w:p w:rsidR="006F40AC" w:rsidRPr="006F40AC" w:rsidRDefault="006F40AC" w:rsidP="006F40AC">
      <w:pPr>
        <w:pStyle w:val="Bibliography"/>
        <w:rPr>
          <w:rFonts w:ascii="Calibri" w:hAnsi="Calibri"/>
        </w:rPr>
      </w:pPr>
      <w:r w:rsidRPr="006F40AC">
        <w:rPr>
          <w:rFonts w:ascii="Calibri" w:hAnsi="Calibri"/>
        </w:rPr>
        <w:lastRenderedPageBreak/>
        <w:t xml:space="preserve">10. </w:t>
      </w:r>
      <w:r w:rsidRPr="006F40AC">
        <w:rPr>
          <w:rFonts w:ascii="Calibri" w:hAnsi="Calibri"/>
        </w:rPr>
        <w:tab/>
        <w:t xml:space="preserve">Beier JC, Killeen GF, Githure JI. Short report: entomologic inoculation rates and Plasmodium falciparum malaria prevalence in Africa. Am J Trop Med Hyg. 1999;61: 109–113. </w:t>
      </w:r>
    </w:p>
    <w:p w:rsidR="006F40AC" w:rsidRPr="006F40AC" w:rsidRDefault="006F40AC" w:rsidP="006F40AC">
      <w:pPr>
        <w:pStyle w:val="Bibliography"/>
        <w:rPr>
          <w:rFonts w:ascii="Calibri" w:hAnsi="Calibri"/>
        </w:rPr>
      </w:pPr>
      <w:r w:rsidRPr="006F40AC">
        <w:rPr>
          <w:rFonts w:ascii="Calibri" w:hAnsi="Calibri"/>
        </w:rPr>
        <w:t xml:space="preserve">11. </w:t>
      </w:r>
      <w:r w:rsidRPr="006F40AC">
        <w:rPr>
          <w:rFonts w:ascii="Calibri" w:hAnsi="Calibri"/>
        </w:rPr>
        <w:tab/>
        <w:t>Penny MA, Maire N, Bever CA, Pemberton-Ross P, Briët OJT, Smith DL, et al. Distribution of malaria exposure in endemic countries in Africa considering country levels of effective treatment. Malar J. 2015;14: 384. doi:10.1186/s12936-015-0864-3</w:t>
      </w:r>
    </w:p>
    <w:p w:rsidR="006F40AC" w:rsidRPr="006F40AC" w:rsidRDefault="006F40AC" w:rsidP="006F40AC">
      <w:pPr>
        <w:pStyle w:val="Bibliography"/>
        <w:rPr>
          <w:rFonts w:ascii="Calibri" w:hAnsi="Calibri"/>
        </w:rPr>
      </w:pPr>
      <w:r w:rsidRPr="006F40AC">
        <w:rPr>
          <w:rFonts w:ascii="Calibri" w:hAnsi="Calibri"/>
        </w:rPr>
        <w:t xml:space="preserve">12. </w:t>
      </w:r>
      <w:r w:rsidRPr="006F40AC">
        <w:rPr>
          <w:rFonts w:ascii="Calibri" w:hAnsi="Calibri"/>
        </w:rPr>
        <w:tab/>
        <w:t xml:space="preserve">Charlwood JD, Smith T, Lyimo E, Kitua AY, Masanja H, Booth M, et al. Incidence of Plasmodium falciparum infection in infants in relation to exposure to sporozoite-infected anophelines. Am J Trop Med Hyg. 1998;59: 243–251. </w:t>
      </w:r>
    </w:p>
    <w:p w:rsidR="006F40AC" w:rsidRPr="006F40AC" w:rsidRDefault="006F40AC" w:rsidP="006F40AC">
      <w:pPr>
        <w:pStyle w:val="Bibliography"/>
        <w:rPr>
          <w:rFonts w:ascii="Calibri" w:hAnsi="Calibri"/>
        </w:rPr>
      </w:pPr>
      <w:r w:rsidRPr="006F40AC">
        <w:rPr>
          <w:rFonts w:ascii="Calibri" w:hAnsi="Calibri"/>
        </w:rPr>
        <w:t xml:space="preserve">13. </w:t>
      </w:r>
      <w:r w:rsidRPr="006F40AC">
        <w:rPr>
          <w:rFonts w:ascii="Calibri" w:hAnsi="Calibri"/>
        </w:rPr>
        <w:tab/>
        <w:t>Drakeley C, Schellenberg D, Kihonda J, Sousa CA, Arez AP, Lopes D, et al. An estimation of the entomological inoculation rate for Ifakara: a semi-urban area in a region of intense malaria transmission in Tanzania. Trop Med Int Health. 2003;8: 767–774. doi:10.1046/j.1365-3156.2003.01100.x</w:t>
      </w:r>
    </w:p>
    <w:p w:rsidR="006F40AC" w:rsidRPr="006F40AC" w:rsidRDefault="006F40AC" w:rsidP="006F40AC">
      <w:pPr>
        <w:pStyle w:val="Bibliography"/>
        <w:rPr>
          <w:rFonts w:ascii="Calibri" w:hAnsi="Calibri"/>
        </w:rPr>
      </w:pPr>
      <w:r w:rsidRPr="006F40AC">
        <w:rPr>
          <w:rFonts w:ascii="Calibri" w:hAnsi="Calibri"/>
        </w:rPr>
        <w:t xml:space="preserve">14. </w:t>
      </w:r>
      <w:r w:rsidRPr="006F40AC">
        <w:rPr>
          <w:rFonts w:ascii="Calibri" w:hAnsi="Calibri"/>
        </w:rPr>
        <w:tab/>
        <w:t>Killeen GF, Smith TA, Ferguson HM, Mshinda H, Abdulla S, Lengeler C, et al. Preventing Childhood Malaria in Africa by Protecting Adults from Mosquitoes with Insecticide-Treated Nets. PLoS Med. 2007;4. doi:10.1371/journal.pmed.0040229</w:t>
      </w:r>
    </w:p>
    <w:p w:rsidR="006F40AC" w:rsidRPr="006F40AC" w:rsidRDefault="006F40AC" w:rsidP="006F40AC">
      <w:pPr>
        <w:pStyle w:val="Bibliography"/>
        <w:rPr>
          <w:rFonts w:ascii="Calibri" w:hAnsi="Calibri"/>
        </w:rPr>
      </w:pPr>
      <w:r w:rsidRPr="006F40AC">
        <w:rPr>
          <w:rFonts w:ascii="Calibri" w:hAnsi="Calibri"/>
        </w:rPr>
        <w:t xml:space="preserve">15. </w:t>
      </w:r>
      <w:r w:rsidRPr="006F40AC">
        <w:rPr>
          <w:rFonts w:ascii="Calibri" w:hAnsi="Calibri"/>
        </w:rPr>
        <w:tab/>
        <w:t>Smith T, Charlwood JD, Kihonda J, Mwankusye S, Billingsley P, Meuwissen J, et al. Absence of seasonal variation in malaria parasitaemia in an area of intense seasonal transmission. Acta Trop. 1993;54: 55–72. doi:10.1016/0001-706X(93)90068-M</w:t>
      </w:r>
    </w:p>
    <w:p w:rsidR="006F40AC" w:rsidRPr="006F40AC" w:rsidRDefault="006F40AC" w:rsidP="006F40AC">
      <w:pPr>
        <w:pStyle w:val="Bibliography"/>
        <w:rPr>
          <w:rFonts w:ascii="Calibri" w:hAnsi="Calibri"/>
        </w:rPr>
      </w:pPr>
      <w:r w:rsidRPr="006F40AC">
        <w:rPr>
          <w:rFonts w:ascii="Calibri" w:hAnsi="Calibri"/>
        </w:rPr>
        <w:t xml:space="preserve">16. </w:t>
      </w:r>
      <w:r w:rsidRPr="006F40AC">
        <w:rPr>
          <w:rFonts w:ascii="Calibri" w:hAnsi="Calibri"/>
        </w:rPr>
        <w:tab/>
        <w:t xml:space="preserve">Freyvogel TA, Kihaule PM. Report on a limited anopheline survey at Ifakara, South-Eastern Tanzania. Acta Trop. 1968;25: 17–28. </w:t>
      </w:r>
    </w:p>
    <w:p w:rsidR="006F40AC" w:rsidRPr="006F40AC" w:rsidRDefault="006F40AC" w:rsidP="006F40AC">
      <w:pPr>
        <w:pStyle w:val="Bibliography"/>
        <w:rPr>
          <w:rFonts w:ascii="Calibri" w:hAnsi="Calibri"/>
        </w:rPr>
      </w:pPr>
      <w:r w:rsidRPr="006F40AC">
        <w:rPr>
          <w:rFonts w:ascii="Calibri" w:hAnsi="Calibri"/>
        </w:rPr>
        <w:t xml:space="preserve">17. </w:t>
      </w:r>
      <w:r w:rsidRPr="006F40AC">
        <w:rPr>
          <w:rFonts w:ascii="Calibri" w:hAnsi="Calibri"/>
        </w:rPr>
        <w:tab/>
        <w:t>Mboera LEG, Senkoro KP, Mayala BK, Rumisha SF, Rwegoshora RT, Mlozi MRS, et al. Spatio-temporal variation in malaria transmission intensity in five agro-ecosystems in Mvomero district, Tanzania. Geospatial Health. 2010;4: 167–178. doi:10.4081/gh.2010.198</w:t>
      </w:r>
    </w:p>
    <w:p w:rsidR="006F40AC" w:rsidRPr="006F40AC" w:rsidRDefault="006F40AC" w:rsidP="006F40AC">
      <w:pPr>
        <w:pStyle w:val="Bibliography"/>
        <w:rPr>
          <w:rFonts w:ascii="Calibri" w:hAnsi="Calibri"/>
        </w:rPr>
      </w:pPr>
      <w:r w:rsidRPr="006F40AC">
        <w:rPr>
          <w:rFonts w:ascii="Calibri" w:hAnsi="Calibri"/>
        </w:rPr>
        <w:t xml:space="preserve">18. </w:t>
      </w:r>
      <w:r w:rsidRPr="006F40AC">
        <w:rPr>
          <w:rFonts w:ascii="Calibri" w:hAnsi="Calibri"/>
        </w:rPr>
        <w:tab/>
        <w:t xml:space="preserve">Temu EA, Minjas JN, Coetzee M, Hunt RH, Shift CJ. The role of four anopheline species (Diptera: Culicidae) in malaria transmission in coastal Tanzania. Trans R Soc Trop Med Hyg. 1998;92: 152–158. </w:t>
      </w:r>
    </w:p>
    <w:p w:rsidR="006F40AC" w:rsidRPr="006F40AC" w:rsidRDefault="006F40AC" w:rsidP="006F40AC">
      <w:pPr>
        <w:pStyle w:val="Bibliography"/>
        <w:rPr>
          <w:rFonts w:ascii="Calibri" w:hAnsi="Calibri"/>
        </w:rPr>
      </w:pPr>
      <w:r w:rsidRPr="006F40AC">
        <w:rPr>
          <w:rFonts w:ascii="Calibri" w:hAnsi="Calibri"/>
        </w:rPr>
        <w:t xml:space="preserve">19. </w:t>
      </w:r>
      <w:r w:rsidRPr="006F40AC">
        <w:rPr>
          <w:rFonts w:ascii="Calibri" w:hAnsi="Calibri"/>
        </w:rPr>
        <w:tab/>
        <w:t>Bødker R, Akida J, Shayo D, Kisinza W, Msangeni HA, Pedersen EM, et al. Relationship Between Altitude and Intensity of Malaria Transmission in the Usambara Mountains, Tanzania. J Med Entomol. 2003;40: 706–717. doi:10.1603/0022-2585-40.5.706</w:t>
      </w:r>
    </w:p>
    <w:p w:rsidR="006F40AC" w:rsidRPr="006F40AC" w:rsidRDefault="006F40AC" w:rsidP="006F40AC">
      <w:pPr>
        <w:pStyle w:val="Bibliography"/>
        <w:rPr>
          <w:rFonts w:ascii="Calibri" w:hAnsi="Calibri"/>
        </w:rPr>
      </w:pPr>
      <w:r w:rsidRPr="006F40AC">
        <w:rPr>
          <w:rFonts w:ascii="Calibri" w:hAnsi="Calibri"/>
        </w:rPr>
        <w:t xml:space="preserve">20. </w:t>
      </w:r>
      <w:r w:rsidRPr="006F40AC">
        <w:rPr>
          <w:rFonts w:ascii="Calibri" w:hAnsi="Calibri"/>
        </w:rPr>
        <w:tab/>
        <w:t>Magesa SM, Wilkes TJ, Mnzava AEP, Njunwa KJ, Myamba J, Kivuyo MDP, et al. Trial of pyrethroid impregnated bednets in an area of Tanzania holoendemic for malaria Part 2. Effects on the malaria vector population. Acta Trop. 1991;49: 97–108. doi:10.1016/0001-706X(91)90057-Q</w:t>
      </w:r>
    </w:p>
    <w:p w:rsidR="006F40AC" w:rsidRPr="006F40AC" w:rsidRDefault="006F40AC" w:rsidP="006F40AC">
      <w:pPr>
        <w:pStyle w:val="Bibliography"/>
        <w:rPr>
          <w:rFonts w:ascii="Calibri" w:hAnsi="Calibri"/>
        </w:rPr>
      </w:pPr>
      <w:r w:rsidRPr="006F40AC">
        <w:rPr>
          <w:rFonts w:ascii="Calibri" w:hAnsi="Calibri"/>
        </w:rPr>
        <w:t xml:space="preserve">21. </w:t>
      </w:r>
      <w:r w:rsidRPr="006F40AC">
        <w:rPr>
          <w:rFonts w:ascii="Calibri" w:hAnsi="Calibri"/>
        </w:rPr>
        <w:tab/>
        <w:t xml:space="preserve">Mnzava AEP. Epidemiology and control of malaria transmission by residual house spraying with ddt and lambdacyhalothrin in two populations of the Anopheles gambiae complex in Tanga region. University of Basel. 1991. </w:t>
      </w:r>
    </w:p>
    <w:p w:rsidR="006F40AC" w:rsidRPr="006F40AC" w:rsidRDefault="006F40AC" w:rsidP="006F40AC">
      <w:pPr>
        <w:pStyle w:val="Bibliography"/>
        <w:rPr>
          <w:rFonts w:ascii="Calibri" w:hAnsi="Calibri"/>
        </w:rPr>
      </w:pPr>
      <w:r w:rsidRPr="006F40AC">
        <w:rPr>
          <w:rFonts w:ascii="Calibri" w:hAnsi="Calibri"/>
        </w:rPr>
        <w:t xml:space="preserve">22. </w:t>
      </w:r>
      <w:r w:rsidRPr="006F40AC">
        <w:rPr>
          <w:rFonts w:ascii="Calibri" w:hAnsi="Calibri"/>
        </w:rPr>
        <w:tab/>
        <w:t>Lin LI-K. A Concordance Correlation Coefficient to Evaluate Reproducibility. Biometrics. 1989;45: 255–268. doi:10.2307/2532051</w:t>
      </w:r>
    </w:p>
    <w:p w:rsidR="00395C7A" w:rsidRPr="00D31B80" w:rsidRDefault="00395C7A" w:rsidP="00573BA7">
      <w:pPr>
        <w:pStyle w:val="Bibliography"/>
        <w:spacing w:line="276" w:lineRule="auto"/>
        <w:rPr>
          <w:rFonts w:ascii="Calibri" w:hAnsi="Calibri"/>
          <w:lang w:eastAsia="de-DE"/>
        </w:rPr>
      </w:pPr>
      <w:r w:rsidRPr="00D31B80">
        <w:rPr>
          <w:rFonts w:ascii="Calibri" w:hAnsi="Calibri"/>
          <w:lang w:eastAsia="de-DE"/>
        </w:rPr>
        <w:fldChar w:fldCharType="end"/>
      </w:r>
    </w:p>
    <w:sectPr w:rsidR="00395C7A" w:rsidRPr="00D31B80">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0418" w:rsidRDefault="00710418" w:rsidP="00484937">
      <w:pPr>
        <w:spacing w:after="0" w:line="240" w:lineRule="auto"/>
      </w:pPr>
      <w:r>
        <w:separator/>
      </w:r>
    </w:p>
  </w:endnote>
  <w:endnote w:type="continuationSeparator" w:id="0">
    <w:p w:rsidR="00710418" w:rsidRDefault="00710418" w:rsidP="0048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763071"/>
      <w:docPartObj>
        <w:docPartGallery w:val="Page Numbers (Bottom of Page)"/>
        <w:docPartUnique/>
      </w:docPartObj>
    </w:sdtPr>
    <w:sdtEndPr>
      <w:rPr>
        <w:noProof/>
      </w:rPr>
    </w:sdtEndPr>
    <w:sdtContent>
      <w:p w:rsidR="000F4A25" w:rsidRDefault="000F4A25">
        <w:pPr>
          <w:pStyle w:val="Footer"/>
          <w:jc w:val="right"/>
        </w:pPr>
        <w:r>
          <w:fldChar w:fldCharType="begin"/>
        </w:r>
        <w:r>
          <w:instrText xml:space="preserve"> PAGE   \* MERGEFORMAT </w:instrText>
        </w:r>
        <w:r>
          <w:fldChar w:fldCharType="separate"/>
        </w:r>
        <w:r w:rsidR="006F40AC">
          <w:rPr>
            <w:noProof/>
          </w:rPr>
          <w:t>13</w:t>
        </w:r>
        <w:r>
          <w:rPr>
            <w:noProof/>
          </w:rPr>
          <w:fldChar w:fldCharType="end"/>
        </w:r>
      </w:p>
    </w:sdtContent>
  </w:sdt>
  <w:p w:rsidR="000F4A25" w:rsidRDefault="000F4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0418" w:rsidRDefault="00710418" w:rsidP="00484937">
      <w:pPr>
        <w:spacing w:after="0" w:line="240" w:lineRule="auto"/>
      </w:pPr>
      <w:r>
        <w:separator/>
      </w:r>
    </w:p>
  </w:footnote>
  <w:footnote w:type="continuationSeparator" w:id="0">
    <w:p w:rsidR="00710418" w:rsidRDefault="00710418" w:rsidP="00484937">
      <w:pPr>
        <w:spacing w:after="0" w:line="240" w:lineRule="auto"/>
      </w:pPr>
      <w:r>
        <w:continuationSeparator/>
      </w:r>
    </w:p>
  </w:footnote>
  <w:footnote w:id="1">
    <w:p w:rsidR="000F4A25" w:rsidRPr="00764FF6" w:rsidRDefault="000F4A25" w:rsidP="00D954B4">
      <w:pPr>
        <w:pStyle w:val="FootnoteText"/>
        <w:spacing w:after="0" w:line="240" w:lineRule="auto"/>
        <w:rPr>
          <w:rFonts w:asciiTheme="minorHAnsi" w:hAnsiTheme="minorHAnsi"/>
        </w:rPr>
      </w:pPr>
      <w:r w:rsidRPr="00764FF6">
        <w:rPr>
          <w:rStyle w:val="FootnoteReference"/>
          <w:rFonts w:asciiTheme="minorHAnsi" w:hAnsiTheme="minorHAnsi"/>
          <w:sz w:val="20"/>
        </w:rPr>
        <w:footnoteRef/>
      </w:r>
      <w:r w:rsidRPr="00764FF6">
        <w:rPr>
          <w:rFonts w:asciiTheme="minorHAnsi" w:hAnsiTheme="minorHAnsi"/>
          <w:sz w:val="20"/>
        </w:rPr>
        <w:t xml:space="preserve"> EIR estimates were collated from literature and shared by Dr Fredros Okumu, Ifakara Health Institute and each reference was individually reviewed if accessible.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4952F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YzMzU2MjAyM7CwNDBW0lEKTi0uzszPAykwMqgFAH65BuwtAAAA"/>
  </w:docVars>
  <w:rsids>
    <w:rsidRoot w:val="00484937"/>
    <w:rsid w:val="00010EA2"/>
    <w:rsid w:val="0001548E"/>
    <w:rsid w:val="00030EF6"/>
    <w:rsid w:val="00034D52"/>
    <w:rsid w:val="0004096A"/>
    <w:rsid w:val="000454D6"/>
    <w:rsid w:val="000462A9"/>
    <w:rsid w:val="00046717"/>
    <w:rsid w:val="000551BA"/>
    <w:rsid w:val="00055C97"/>
    <w:rsid w:val="00066776"/>
    <w:rsid w:val="00083157"/>
    <w:rsid w:val="00090068"/>
    <w:rsid w:val="00091319"/>
    <w:rsid w:val="00091B60"/>
    <w:rsid w:val="000A0548"/>
    <w:rsid w:val="000A4B47"/>
    <w:rsid w:val="000A7D0D"/>
    <w:rsid w:val="000B20DF"/>
    <w:rsid w:val="000C0DF5"/>
    <w:rsid w:val="000C3961"/>
    <w:rsid w:val="000D00AD"/>
    <w:rsid w:val="000D2F18"/>
    <w:rsid w:val="000D7092"/>
    <w:rsid w:val="000E74EE"/>
    <w:rsid w:val="000F4A25"/>
    <w:rsid w:val="000F7E65"/>
    <w:rsid w:val="001011B9"/>
    <w:rsid w:val="00112BBE"/>
    <w:rsid w:val="001133C7"/>
    <w:rsid w:val="00117F1A"/>
    <w:rsid w:val="001243EA"/>
    <w:rsid w:val="00144D62"/>
    <w:rsid w:val="001512EB"/>
    <w:rsid w:val="00152C96"/>
    <w:rsid w:val="00153B3D"/>
    <w:rsid w:val="00163A3B"/>
    <w:rsid w:val="0016660A"/>
    <w:rsid w:val="001714BD"/>
    <w:rsid w:val="001727AD"/>
    <w:rsid w:val="00190841"/>
    <w:rsid w:val="00191193"/>
    <w:rsid w:val="001936B7"/>
    <w:rsid w:val="00197736"/>
    <w:rsid w:val="001A4127"/>
    <w:rsid w:val="001B2B02"/>
    <w:rsid w:val="001C14D6"/>
    <w:rsid w:val="001C2A2D"/>
    <w:rsid w:val="001D3C1E"/>
    <w:rsid w:val="001D55D9"/>
    <w:rsid w:val="001E64D9"/>
    <w:rsid w:val="001E70DF"/>
    <w:rsid w:val="001F2533"/>
    <w:rsid w:val="00207352"/>
    <w:rsid w:val="00211CE3"/>
    <w:rsid w:val="00211D0C"/>
    <w:rsid w:val="0021625C"/>
    <w:rsid w:val="00223E70"/>
    <w:rsid w:val="00225ECD"/>
    <w:rsid w:val="00227505"/>
    <w:rsid w:val="00253901"/>
    <w:rsid w:val="00257A5C"/>
    <w:rsid w:val="00264733"/>
    <w:rsid w:val="0027281F"/>
    <w:rsid w:val="002746C9"/>
    <w:rsid w:val="0029194F"/>
    <w:rsid w:val="002929C7"/>
    <w:rsid w:val="002A17AD"/>
    <w:rsid w:val="002A2B59"/>
    <w:rsid w:val="002A36C1"/>
    <w:rsid w:val="002A5AC2"/>
    <w:rsid w:val="002B69CD"/>
    <w:rsid w:val="002B7C5B"/>
    <w:rsid w:val="002C26D4"/>
    <w:rsid w:val="002D4F90"/>
    <w:rsid w:val="002E58E6"/>
    <w:rsid w:val="002E7D2A"/>
    <w:rsid w:val="002F0FF5"/>
    <w:rsid w:val="002F4EA2"/>
    <w:rsid w:val="00304009"/>
    <w:rsid w:val="00311224"/>
    <w:rsid w:val="003126EA"/>
    <w:rsid w:val="00314C86"/>
    <w:rsid w:val="0035667A"/>
    <w:rsid w:val="00361EAE"/>
    <w:rsid w:val="0038660E"/>
    <w:rsid w:val="00391898"/>
    <w:rsid w:val="00394177"/>
    <w:rsid w:val="00395C7A"/>
    <w:rsid w:val="003B2EF9"/>
    <w:rsid w:val="003B5AD4"/>
    <w:rsid w:val="003D1FD6"/>
    <w:rsid w:val="003D3301"/>
    <w:rsid w:val="003D3503"/>
    <w:rsid w:val="003D56ED"/>
    <w:rsid w:val="003D5A6B"/>
    <w:rsid w:val="003D6172"/>
    <w:rsid w:val="003D7AB0"/>
    <w:rsid w:val="003E078A"/>
    <w:rsid w:val="003E2687"/>
    <w:rsid w:val="003E38D2"/>
    <w:rsid w:val="003F178A"/>
    <w:rsid w:val="003F5A59"/>
    <w:rsid w:val="003F7862"/>
    <w:rsid w:val="00402EE9"/>
    <w:rsid w:val="0040392F"/>
    <w:rsid w:val="00417C3E"/>
    <w:rsid w:val="00425F03"/>
    <w:rsid w:val="00430566"/>
    <w:rsid w:val="00432B5D"/>
    <w:rsid w:val="004337B7"/>
    <w:rsid w:val="00434EB4"/>
    <w:rsid w:val="00436EBC"/>
    <w:rsid w:val="00447397"/>
    <w:rsid w:val="0045067F"/>
    <w:rsid w:val="00454805"/>
    <w:rsid w:val="00484017"/>
    <w:rsid w:val="00484937"/>
    <w:rsid w:val="00495985"/>
    <w:rsid w:val="004959F3"/>
    <w:rsid w:val="00496201"/>
    <w:rsid w:val="004A1835"/>
    <w:rsid w:val="004A2967"/>
    <w:rsid w:val="004A750A"/>
    <w:rsid w:val="004B48B9"/>
    <w:rsid w:val="004B56BA"/>
    <w:rsid w:val="004B6A24"/>
    <w:rsid w:val="004C05EC"/>
    <w:rsid w:val="004C2C1C"/>
    <w:rsid w:val="004C3CDD"/>
    <w:rsid w:val="004C5FA9"/>
    <w:rsid w:val="004C639B"/>
    <w:rsid w:val="004E704E"/>
    <w:rsid w:val="004F1287"/>
    <w:rsid w:val="004F32BF"/>
    <w:rsid w:val="0051183B"/>
    <w:rsid w:val="005146D2"/>
    <w:rsid w:val="00516C57"/>
    <w:rsid w:val="00530CCE"/>
    <w:rsid w:val="00530D1A"/>
    <w:rsid w:val="005317C2"/>
    <w:rsid w:val="00532E28"/>
    <w:rsid w:val="00533DDB"/>
    <w:rsid w:val="00535F7D"/>
    <w:rsid w:val="0053654C"/>
    <w:rsid w:val="00536C23"/>
    <w:rsid w:val="00552164"/>
    <w:rsid w:val="0055509B"/>
    <w:rsid w:val="0056365D"/>
    <w:rsid w:val="005700AF"/>
    <w:rsid w:val="00573BA7"/>
    <w:rsid w:val="0057767E"/>
    <w:rsid w:val="00581190"/>
    <w:rsid w:val="005900F5"/>
    <w:rsid w:val="00592C02"/>
    <w:rsid w:val="005B234B"/>
    <w:rsid w:val="005B3F0B"/>
    <w:rsid w:val="005B7750"/>
    <w:rsid w:val="005B786B"/>
    <w:rsid w:val="005D4708"/>
    <w:rsid w:val="005D6B7E"/>
    <w:rsid w:val="005E03B0"/>
    <w:rsid w:val="005F06AA"/>
    <w:rsid w:val="006047F9"/>
    <w:rsid w:val="00613201"/>
    <w:rsid w:val="00613C12"/>
    <w:rsid w:val="006167CA"/>
    <w:rsid w:val="006169AF"/>
    <w:rsid w:val="006570A0"/>
    <w:rsid w:val="0066230E"/>
    <w:rsid w:val="00667ACA"/>
    <w:rsid w:val="00670F0F"/>
    <w:rsid w:val="00672CE6"/>
    <w:rsid w:val="00675146"/>
    <w:rsid w:val="006771E8"/>
    <w:rsid w:val="00685368"/>
    <w:rsid w:val="006869F4"/>
    <w:rsid w:val="00696C6D"/>
    <w:rsid w:val="006A08DE"/>
    <w:rsid w:val="006A6092"/>
    <w:rsid w:val="006A6E8D"/>
    <w:rsid w:val="006A798C"/>
    <w:rsid w:val="006B0486"/>
    <w:rsid w:val="006B5848"/>
    <w:rsid w:val="006C32FD"/>
    <w:rsid w:val="006C6C67"/>
    <w:rsid w:val="006D01CC"/>
    <w:rsid w:val="006D151C"/>
    <w:rsid w:val="006D5E2A"/>
    <w:rsid w:val="006E00EE"/>
    <w:rsid w:val="006E5A1C"/>
    <w:rsid w:val="006F2F7D"/>
    <w:rsid w:val="006F40AC"/>
    <w:rsid w:val="006F471F"/>
    <w:rsid w:val="00704348"/>
    <w:rsid w:val="00706D9A"/>
    <w:rsid w:val="00706F66"/>
    <w:rsid w:val="00710418"/>
    <w:rsid w:val="007108FA"/>
    <w:rsid w:val="0072514D"/>
    <w:rsid w:val="007260E3"/>
    <w:rsid w:val="0072624E"/>
    <w:rsid w:val="00726A5D"/>
    <w:rsid w:val="00732F8B"/>
    <w:rsid w:val="00762A5A"/>
    <w:rsid w:val="00764FF6"/>
    <w:rsid w:val="00784812"/>
    <w:rsid w:val="0078779E"/>
    <w:rsid w:val="007B5BD9"/>
    <w:rsid w:val="007B63DF"/>
    <w:rsid w:val="007C0F04"/>
    <w:rsid w:val="007C5E03"/>
    <w:rsid w:val="007D3E75"/>
    <w:rsid w:val="007D58C6"/>
    <w:rsid w:val="007E3BA8"/>
    <w:rsid w:val="007E69DD"/>
    <w:rsid w:val="007F5C58"/>
    <w:rsid w:val="007F5D06"/>
    <w:rsid w:val="00800B7C"/>
    <w:rsid w:val="00800E14"/>
    <w:rsid w:val="00801AF7"/>
    <w:rsid w:val="00802171"/>
    <w:rsid w:val="0080684E"/>
    <w:rsid w:val="00813643"/>
    <w:rsid w:val="008268BB"/>
    <w:rsid w:val="00827743"/>
    <w:rsid w:val="00836F12"/>
    <w:rsid w:val="00837181"/>
    <w:rsid w:val="00854312"/>
    <w:rsid w:val="00864D5E"/>
    <w:rsid w:val="008704A7"/>
    <w:rsid w:val="00882C96"/>
    <w:rsid w:val="00890240"/>
    <w:rsid w:val="008A7103"/>
    <w:rsid w:val="008B5B80"/>
    <w:rsid w:val="008C7F9E"/>
    <w:rsid w:val="008D047B"/>
    <w:rsid w:val="008E63FF"/>
    <w:rsid w:val="00901594"/>
    <w:rsid w:val="00902209"/>
    <w:rsid w:val="00906E8F"/>
    <w:rsid w:val="00907CFA"/>
    <w:rsid w:val="00921932"/>
    <w:rsid w:val="00940325"/>
    <w:rsid w:val="009437AF"/>
    <w:rsid w:val="009478C6"/>
    <w:rsid w:val="009530CC"/>
    <w:rsid w:val="009602C1"/>
    <w:rsid w:val="009731A9"/>
    <w:rsid w:val="00976B0C"/>
    <w:rsid w:val="00991E04"/>
    <w:rsid w:val="009A11EA"/>
    <w:rsid w:val="009B0A55"/>
    <w:rsid w:val="009B3C11"/>
    <w:rsid w:val="009B798A"/>
    <w:rsid w:val="009D3AA2"/>
    <w:rsid w:val="009D600C"/>
    <w:rsid w:val="009E2F0D"/>
    <w:rsid w:val="009E475E"/>
    <w:rsid w:val="009F1D93"/>
    <w:rsid w:val="009F2544"/>
    <w:rsid w:val="009F412E"/>
    <w:rsid w:val="009F6533"/>
    <w:rsid w:val="00A066E6"/>
    <w:rsid w:val="00A309FD"/>
    <w:rsid w:val="00A3552F"/>
    <w:rsid w:val="00A35D89"/>
    <w:rsid w:val="00A37CE2"/>
    <w:rsid w:val="00A50345"/>
    <w:rsid w:val="00A60112"/>
    <w:rsid w:val="00A64793"/>
    <w:rsid w:val="00A73768"/>
    <w:rsid w:val="00A73EF9"/>
    <w:rsid w:val="00A7745D"/>
    <w:rsid w:val="00A80F93"/>
    <w:rsid w:val="00A878D8"/>
    <w:rsid w:val="00A921A0"/>
    <w:rsid w:val="00AA0C82"/>
    <w:rsid w:val="00AA3D7D"/>
    <w:rsid w:val="00AA5E63"/>
    <w:rsid w:val="00AB43D0"/>
    <w:rsid w:val="00AC6EA5"/>
    <w:rsid w:val="00AF55AD"/>
    <w:rsid w:val="00AF6FC5"/>
    <w:rsid w:val="00B01AB5"/>
    <w:rsid w:val="00B10783"/>
    <w:rsid w:val="00B22385"/>
    <w:rsid w:val="00B271EC"/>
    <w:rsid w:val="00B40142"/>
    <w:rsid w:val="00B40B7C"/>
    <w:rsid w:val="00B43E06"/>
    <w:rsid w:val="00B54E04"/>
    <w:rsid w:val="00B63A4B"/>
    <w:rsid w:val="00B769B2"/>
    <w:rsid w:val="00B825DF"/>
    <w:rsid w:val="00B84290"/>
    <w:rsid w:val="00B861AD"/>
    <w:rsid w:val="00B8655E"/>
    <w:rsid w:val="00B973C9"/>
    <w:rsid w:val="00BB30A7"/>
    <w:rsid w:val="00BB50D0"/>
    <w:rsid w:val="00BB6714"/>
    <w:rsid w:val="00BD0B47"/>
    <w:rsid w:val="00BD23A3"/>
    <w:rsid w:val="00BE50E3"/>
    <w:rsid w:val="00BF014B"/>
    <w:rsid w:val="00C0038D"/>
    <w:rsid w:val="00C050A0"/>
    <w:rsid w:val="00C159F7"/>
    <w:rsid w:val="00C15B1A"/>
    <w:rsid w:val="00C303A4"/>
    <w:rsid w:val="00C3085E"/>
    <w:rsid w:val="00C33943"/>
    <w:rsid w:val="00C454E5"/>
    <w:rsid w:val="00C45D71"/>
    <w:rsid w:val="00C54C0C"/>
    <w:rsid w:val="00C62DF3"/>
    <w:rsid w:val="00C66091"/>
    <w:rsid w:val="00C850BC"/>
    <w:rsid w:val="00C92435"/>
    <w:rsid w:val="00C93B2B"/>
    <w:rsid w:val="00CB1915"/>
    <w:rsid w:val="00CB2902"/>
    <w:rsid w:val="00CB5402"/>
    <w:rsid w:val="00CB695D"/>
    <w:rsid w:val="00CC17FB"/>
    <w:rsid w:val="00CC45D6"/>
    <w:rsid w:val="00CC4B20"/>
    <w:rsid w:val="00CC5202"/>
    <w:rsid w:val="00CE4F20"/>
    <w:rsid w:val="00CE6255"/>
    <w:rsid w:val="00CF6422"/>
    <w:rsid w:val="00CF7862"/>
    <w:rsid w:val="00D124B4"/>
    <w:rsid w:val="00D242A3"/>
    <w:rsid w:val="00D31B80"/>
    <w:rsid w:val="00D407A6"/>
    <w:rsid w:val="00D41B50"/>
    <w:rsid w:val="00D51CC2"/>
    <w:rsid w:val="00D54942"/>
    <w:rsid w:val="00D669E0"/>
    <w:rsid w:val="00D9196D"/>
    <w:rsid w:val="00D9211D"/>
    <w:rsid w:val="00D954B4"/>
    <w:rsid w:val="00DA53E6"/>
    <w:rsid w:val="00DD050B"/>
    <w:rsid w:val="00DD066B"/>
    <w:rsid w:val="00DD4A89"/>
    <w:rsid w:val="00DE2839"/>
    <w:rsid w:val="00DE3A02"/>
    <w:rsid w:val="00DF1D33"/>
    <w:rsid w:val="00DF2D39"/>
    <w:rsid w:val="00E04B7E"/>
    <w:rsid w:val="00E12E6B"/>
    <w:rsid w:val="00E15FE0"/>
    <w:rsid w:val="00E342F6"/>
    <w:rsid w:val="00E43DE4"/>
    <w:rsid w:val="00E45ADD"/>
    <w:rsid w:val="00E5373B"/>
    <w:rsid w:val="00E60DEE"/>
    <w:rsid w:val="00E6690B"/>
    <w:rsid w:val="00E82EC8"/>
    <w:rsid w:val="00E83A6D"/>
    <w:rsid w:val="00E86E3E"/>
    <w:rsid w:val="00E90AA3"/>
    <w:rsid w:val="00E95CD2"/>
    <w:rsid w:val="00EA2B07"/>
    <w:rsid w:val="00EA449D"/>
    <w:rsid w:val="00EA5844"/>
    <w:rsid w:val="00EA5E3D"/>
    <w:rsid w:val="00EB22E9"/>
    <w:rsid w:val="00EB2794"/>
    <w:rsid w:val="00ED0EEF"/>
    <w:rsid w:val="00ED25C3"/>
    <w:rsid w:val="00EE1687"/>
    <w:rsid w:val="00EE70ED"/>
    <w:rsid w:val="00EF5617"/>
    <w:rsid w:val="00EF6B5E"/>
    <w:rsid w:val="00EF73A4"/>
    <w:rsid w:val="00F403A1"/>
    <w:rsid w:val="00F42916"/>
    <w:rsid w:val="00F47D18"/>
    <w:rsid w:val="00F52634"/>
    <w:rsid w:val="00F52F94"/>
    <w:rsid w:val="00F74346"/>
    <w:rsid w:val="00F864C8"/>
    <w:rsid w:val="00FA1F80"/>
    <w:rsid w:val="00FA2241"/>
    <w:rsid w:val="00FB132B"/>
    <w:rsid w:val="00FB7F55"/>
    <w:rsid w:val="00FC1D33"/>
    <w:rsid w:val="00FC2CA0"/>
    <w:rsid w:val="00FC50F6"/>
    <w:rsid w:val="00FC601A"/>
    <w:rsid w:val="00FC6508"/>
    <w:rsid w:val="00FD2B1C"/>
    <w:rsid w:val="00FD605E"/>
    <w:rsid w:val="00FD6150"/>
    <w:rsid w:val="00FD6DD3"/>
    <w:rsid w:val="00FE4569"/>
    <w:rsid w:val="00FE6ECD"/>
    <w:rsid w:val="00FE78B7"/>
    <w:rsid w:val="00FF2285"/>
    <w:rsid w:val="00FF2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68443F-AF41-4FEF-BE2E-B387D8F7F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319"/>
    <w:pPr>
      <w:keepNext/>
      <w:keepLines/>
      <w:numPr>
        <w:numId w:val="1"/>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152C96"/>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152C96"/>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2BBE"/>
    <w:pPr>
      <w:keepNext/>
      <w:keepLines/>
      <w:numPr>
        <w:ilvl w:val="3"/>
        <w:numId w:val="1"/>
      </w:numPr>
      <w:spacing w:after="0" w:line="360" w:lineRule="auto"/>
      <w:outlineLvl w:val="3"/>
    </w:pPr>
    <w:rPr>
      <w:rFonts w:ascii="Calibri" w:hAnsi="Calibri" w:cstheme="majorBidi"/>
      <w:b/>
      <w:bCs/>
      <w:i/>
      <w:iCs/>
      <w:sz w:val="24"/>
    </w:rPr>
  </w:style>
  <w:style w:type="paragraph" w:styleId="Heading5">
    <w:name w:val="heading 5"/>
    <w:basedOn w:val="Normal"/>
    <w:next w:val="Normal"/>
    <w:link w:val="Heading5Char"/>
    <w:uiPriority w:val="9"/>
    <w:semiHidden/>
    <w:unhideWhenUsed/>
    <w:qFormat/>
    <w:rsid w:val="00764FF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4FF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4FF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4FF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64FF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84937"/>
    <w:rPr>
      <w:sz w:val="16"/>
      <w:szCs w:val="16"/>
    </w:rPr>
  </w:style>
  <w:style w:type="paragraph" w:styleId="CommentText">
    <w:name w:val="annotation text"/>
    <w:basedOn w:val="Normal"/>
    <w:link w:val="CommentTextChar"/>
    <w:uiPriority w:val="99"/>
    <w:unhideWhenUsed/>
    <w:rsid w:val="00484937"/>
    <w:pPr>
      <w:spacing w:line="240" w:lineRule="auto"/>
    </w:pPr>
    <w:rPr>
      <w:sz w:val="20"/>
      <w:szCs w:val="20"/>
    </w:rPr>
  </w:style>
  <w:style w:type="character" w:customStyle="1" w:styleId="CommentTextChar">
    <w:name w:val="Comment Text Char"/>
    <w:basedOn w:val="DefaultParagraphFont"/>
    <w:link w:val="CommentText"/>
    <w:uiPriority w:val="99"/>
    <w:rsid w:val="00484937"/>
    <w:rPr>
      <w:sz w:val="20"/>
      <w:szCs w:val="20"/>
    </w:rPr>
  </w:style>
  <w:style w:type="paragraph" w:styleId="BalloonText">
    <w:name w:val="Balloon Text"/>
    <w:basedOn w:val="Normal"/>
    <w:link w:val="BalloonTextChar"/>
    <w:uiPriority w:val="99"/>
    <w:semiHidden/>
    <w:unhideWhenUsed/>
    <w:rsid w:val="00484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937"/>
    <w:rPr>
      <w:rFonts w:ascii="Tahoma" w:hAnsi="Tahoma" w:cs="Tahoma"/>
      <w:sz w:val="16"/>
      <w:szCs w:val="16"/>
    </w:rPr>
  </w:style>
  <w:style w:type="character" w:customStyle="1" w:styleId="Heading1Char">
    <w:name w:val="Heading 1 Char"/>
    <w:basedOn w:val="DefaultParagraphFont"/>
    <w:link w:val="Heading1"/>
    <w:uiPriority w:val="9"/>
    <w:rsid w:val="00091319"/>
    <w:rPr>
      <w:rFonts w:eastAsiaTheme="majorEastAsia" w:cstheme="majorBidi"/>
      <w:b/>
      <w:bCs/>
      <w:sz w:val="28"/>
      <w:szCs w:val="28"/>
    </w:rPr>
  </w:style>
  <w:style w:type="character" w:customStyle="1" w:styleId="Heading2Char">
    <w:name w:val="Heading 2 Char"/>
    <w:basedOn w:val="DefaultParagraphFont"/>
    <w:link w:val="Heading2"/>
    <w:uiPriority w:val="9"/>
    <w:rsid w:val="00152C96"/>
    <w:rPr>
      <w:rFonts w:eastAsiaTheme="majorEastAsia" w:cstheme="majorBidi"/>
      <w:b/>
      <w:bCs/>
      <w:sz w:val="26"/>
      <w:szCs w:val="26"/>
    </w:rPr>
  </w:style>
  <w:style w:type="character" w:customStyle="1" w:styleId="Heading4Char">
    <w:name w:val="Heading 4 Char"/>
    <w:basedOn w:val="DefaultParagraphFont"/>
    <w:link w:val="Heading4"/>
    <w:uiPriority w:val="9"/>
    <w:rsid w:val="00112BBE"/>
    <w:rPr>
      <w:rFonts w:ascii="Calibri" w:hAnsi="Calibri" w:cstheme="majorBidi"/>
      <w:b/>
      <w:bCs/>
      <w:i/>
      <w:iCs/>
      <w:sz w:val="24"/>
    </w:rPr>
  </w:style>
  <w:style w:type="paragraph" w:styleId="Caption">
    <w:name w:val="caption"/>
    <w:basedOn w:val="Normal"/>
    <w:next w:val="Normal"/>
    <w:uiPriority w:val="35"/>
    <w:unhideWhenUsed/>
    <w:qFormat/>
    <w:rsid w:val="00484937"/>
    <w:pPr>
      <w:tabs>
        <w:tab w:val="left" w:pos="851"/>
      </w:tabs>
      <w:spacing w:before="120" w:after="240" w:line="288" w:lineRule="auto"/>
      <w:jc w:val="both"/>
    </w:pPr>
    <w:rPr>
      <w:rFonts w:ascii="Arial" w:eastAsia="Times New Roman" w:hAnsi="Arial" w:cs="Times New Roman"/>
      <w:bCs/>
      <w:sz w:val="20"/>
      <w:szCs w:val="20"/>
      <w:lang w:eastAsia="de-DE"/>
    </w:rPr>
  </w:style>
  <w:style w:type="paragraph" w:styleId="FootnoteText">
    <w:name w:val="footnote text"/>
    <w:basedOn w:val="Normal"/>
    <w:link w:val="FootnoteTextChar"/>
    <w:uiPriority w:val="99"/>
    <w:semiHidden/>
    <w:unhideWhenUsed/>
    <w:rsid w:val="00484937"/>
    <w:pPr>
      <w:tabs>
        <w:tab w:val="left" w:pos="851"/>
      </w:tabs>
      <w:spacing w:after="120" w:line="360" w:lineRule="auto"/>
      <w:jc w:val="both"/>
    </w:pPr>
    <w:rPr>
      <w:rFonts w:ascii="Arial" w:eastAsia="Times New Roman" w:hAnsi="Arial" w:cs="Times New Roman"/>
      <w:sz w:val="16"/>
      <w:szCs w:val="20"/>
      <w:lang w:eastAsia="de-DE"/>
    </w:rPr>
  </w:style>
  <w:style w:type="character" w:customStyle="1" w:styleId="FootnoteTextChar">
    <w:name w:val="Footnote Text Char"/>
    <w:basedOn w:val="DefaultParagraphFont"/>
    <w:link w:val="FootnoteText"/>
    <w:uiPriority w:val="99"/>
    <w:semiHidden/>
    <w:rsid w:val="00484937"/>
    <w:rPr>
      <w:rFonts w:ascii="Arial" w:eastAsia="Times New Roman" w:hAnsi="Arial" w:cs="Times New Roman"/>
      <w:sz w:val="16"/>
      <w:szCs w:val="20"/>
      <w:lang w:eastAsia="de-DE"/>
    </w:rPr>
  </w:style>
  <w:style w:type="character" w:styleId="FootnoteReference">
    <w:name w:val="footnote reference"/>
    <w:basedOn w:val="DefaultParagraphFont"/>
    <w:uiPriority w:val="99"/>
    <w:semiHidden/>
    <w:unhideWhenUsed/>
    <w:rsid w:val="00484937"/>
    <w:rPr>
      <w:rFonts w:ascii="Arial" w:hAnsi="Arial" w:cs="Arial" w:hint="default"/>
      <w:vertAlign w:val="superscript"/>
    </w:rPr>
  </w:style>
  <w:style w:type="paragraph" w:styleId="TOCHeading">
    <w:name w:val="TOC Heading"/>
    <w:basedOn w:val="Heading1"/>
    <w:next w:val="Normal"/>
    <w:uiPriority w:val="39"/>
    <w:unhideWhenUsed/>
    <w:qFormat/>
    <w:rsid w:val="00484937"/>
    <w:pPr>
      <w:outlineLvl w:val="9"/>
    </w:pPr>
    <w:rPr>
      <w:lang w:val="en-US" w:eastAsia="ja-JP"/>
    </w:rPr>
  </w:style>
  <w:style w:type="paragraph" w:styleId="TOC1">
    <w:name w:val="toc 1"/>
    <w:basedOn w:val="Normal"/>
    <w:next w:val="Normal"/>
    <w:autoRedefine/>
    <w:uiPriority w:val="39"/>
    <w:unhideWhenUsed/>
    <w:rsid w:val="00484937"/>
    <w:pPr>
      <w:spacing w:after="100"/>
    </w:pPr>
  </w:style>
  <w:style w:type="paragraph" w:styleId="TOC2">
    <w:name w:val="toc 2"/>
    <w:basedOn w:val="Normal"/>
    <w:next w:val="Normal"/>
    <w:autoRedefine/>
    <w:uiPriority w:val="39"/>
    <w:unhideWhenUsed/>
    <w:rsid w:val="00484937"/>
    <w:pPr>
      <w:spacing w:after="100"/>
      <w:ind w:left="220"/>
    </w:pPr>
  </w:style>
  <w:style w:type="character" w:styleId="Hyperlink">
    <w:name w:val="Hyperlink"/>
    <w:basedOn w:val="DefaultParagraphFont"/>
    <w:uiPriority w:val="99"/>
    <w:unhideWhenUsed/>
    <w:rsid w:val="00484937"/>
    <w:rPr>
      <w:color w:val="0000FF" w:themeColor="hyperlink"/>
      <w:u w:val="single"/>
    </w:rPr>
  </w:style>
  <w:style w:type="paragraph" w:styleId="Header">
    <w:name w:val="header"/>
    <w:basedOn w:val="Normal"/>
    <w:link w:val="HeaderChar"/>
    <w:uiPriority w:val="99"/>
    <w:unhideWhenUsed/>
    <w:rsid w:val="00DA5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3E6"/>
  </w:style>
  <w:style w:type="paragraph" w:styleId="Footer">
    <w:name w:val="footer"/>
    <w:basedOn w:val="Normal"/>
    <w:link w:val="FooterChar"/>
    <w:uiPriority w:val="99"/>
    <w:unhideWhenUsed/>
    <w:rsid w:val="00DA5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3E6"/>
  </w:style>
  <w:style w:type="character" w:styleId="EndnoteReference">
    <w:name w:val="endnote reference"/>
    <w:basedOn w:val="DefaultParagraphFont"/>
    <w:uiPriority w:val="99"/>
    <w:semiHidden/>
    <w:unhideWhenUsed/>
    <w:rsid w:val="00C62DF3"/>
    <w:rPr>
      <w:vertAlign w:val="superscript"/>
    </w:rPr>
  </w:style>
  <w:style w:type="paragraph" w:styleId="NoSpacing">
    <w:name w:val="No Spacing"/>
    <w:basedOn w:val="Normal"/>
    <w:uiPriority w:val="1"/>
    <w:qFormat/>
    <w:rsid w:val="00FD2B1C"/>
    <w:pPr>
      <w:spacing w:after="0" w:line="240" w:lineRule="auto"/>
    </w:pPr>
    <w:rPr>
      <w:rFonts w:eastAsiaTheme="minorEastAsia"/>
    </w:rPr>
  </w:style>
  <w:style w:type="paragraph" w:styleId="Bibliography">
    <w:name w:val="Bibliography"/>
    <w:basedOn w:val="Normal"/>
    <w:next w:val="Normal"/>
    <w:uiPriority w:val="37"/>
    <w:unhideWhenUsed/>
    <w:rsid w:val="00395C7A"/>
    <w:pPr>
      <w:tabs>
        <w:tab w:val="left" w:pos="504"/>
      </w:tabs>
      <w:spacing w:after="240" w:line="240" w:lineRule="auto"/>
      <w:ind w:left="504" w:hanging="504"/>
    </w:pPr>
  </w:style>
  <w:style w:type="paragraph" w:styleId="HTMLPreformatted">
    <w:name w:val="HTML Preformatted"/>
    <w:basedOn w:val="Normal"/>
    <w:link w:val="HTMLPreformattedChar"/>
    <w:uiPriority w:val="99"/>
    <w:unhideWhenUsed/>
    <w:rsid w:val="00613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13201"/>
    <w:rPr>
      <w:rFonts w:ascii="Courier New" w:eastAsia="Times New Roman" w:hAnsi="Courier New" w:cs="Courier New"/>
      <w:sz w:val="20"/>
      <w:szCs w:val="20"/>
      <w:lang w:eastAsia="en-GB"/>
    </w:rPr>
  </w:style>
  <w:style w:type="character" w:customStyle="1" w:styleId="gd15mcfceub">
    <w:name w:val="gd15mcfceub"/>
    <w:basedOn w:val="DefaultParagraphFont"/>
    <w:rsid w:val="00613201"/>
  </w:style>
  <w:style w:type="character" w:customStyle="1" w:styleId="Heading3Char">
    <w:name w:val="Heading 3 Char"/>
    <w:basedOn w:val="DefaultParagraphFont"/>
    <w:link w:val="Heading3"/>
    <w:uiPriority w:val="9"/>
    <w:rsid w:val="00152C9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7281F"/>
    <w:pPr>
      <w:spacing w:after="100"/>
      <w:ind w:left="440"/>
    </w:pPr>
  </w:style>
  <w:style w:type="paragraph" w:styleId="CommentSubject">
    <w:name w:val="annotation subject"/>
    <w:basedOn w:val="CommentText"/>
    <w:next w:val="CommentText"/>
    <w:link w:val="CommentSubjectChar"/>
    <w:uiPriority w:val="99"/>
    <w:semiHidden/>
    <w:unhideWhenUsed/>
    <w:rsid w:val="00EE70ED"/>
    <w:rPr>
      <w:b/>
      <w:bCs/>
    </w:rPr>
  </w:style>
  <w:style w:type="character" w:customStyle="1" w:styleId="CommentSubjectChar">
    <w:name w:val="Comment Subject Char"/>
    <w:basedOn w:val="CommentTextChar"/>
    <w:link w:val="CommentSubject"/>
    <w:uiPriority w:val="99"/>
    <w:semiHidden/>
    <w:rsid w:val="00EE70ED"/>
    <w:rPr>
      <w:b/>
      <w:bCs/>
      <w:sz w:val="20"/>
      <w:szCs w:val="20"/>
    </w:rPr>
  </w:style>
  <w:style w:type="character" w:customStyle="1" w:styleId="Heading5Char">
    <w:name w:val="Heading 5 Char"/>
    <w:basedOn w:val="DefaultParagraphFont"/>
    <w:link w:val="Heading5"/>
    <w:uiPriority w:val="9"/>
    <w:semiHidden/>
    <w:rsid w:val="00764FF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64FF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64FF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4F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4FF6"/>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3904">
      <w:bodyDiv w:val="1"/>
      <w:marLeft w:val="0"/>
      <w:marRight w:val="0"/>
      <w:marTop w:val="0"/>
      <w:marBottom w:val="0"/>
      <w:divBdr>
        <w:top w:val="none" w:sz="0" w:space="0" w:color="auto"/>
        <w:left w:val="none" w:sz="0" w:space="0" w:color="auto"/>
        <w:bottom w:val="none" w:sz="0" w:space="0" w:color="auto"/>
        <w:right w:val="none" w:sz="0" w:space="0" w:color="auto"/>
      </w:divBdr>
    </w:div>
    <w:div w:id="113061360">
      <w:bodyDiv w:val="1"/>
      <w:marLeft w:val="0"/>
      <w:marRight w:val="0"/>
      <w:marTop w:val="0"/>
      <w:marBottom w:val="0"/>
      <w:divBdr>
        <w:top w:val="none" w:sz="0" w:space="0" w:color="auto"/>
        <w:left w:val="none" w:sz="0" w:space="0" w:color="auto"/>
        <w:bottom w:val="none" w:sz="0" w:space="0" w:color="auto"/>
        <w:right w:val="none" w:sz="0" w:space="0" w:color="auto"/>
      </w:divBdr>
    </w:div>
    <w:div w:id="118494201">
      <w:bodyDiv w:val="1"/>
      <w:marLeft w:val="0"/>
      <w:marRight w:val="0"/>
      <w:marTop w:val="0"/>
      <w:marBottom w:val="0"/>
      <w:divBdr>
        <w:top w:val="none" w:sz="0" w:space="0" w:color="auto"/>
        <w:left w:val="none" w:sz="0" w:space="0" w:color="auto"/>
        <w:bottom w:val="none" w:sz="0" w:space="0" w:color="auto"/>
        <w:right w:val="none" w:sz="0" w:space="0" w:color="auto"/>
      </w:divBdr>
    </w:div>
    <w:div w:id="138768993">
      <w:bodyDiv w:val="1"/>
      <w:marLeft w:val="0"/>
      <w:marRight w:val="0"/>
      <w:marTop w:val="0"/>
      <w:marBottom w:val="0"/>
      <w:divBdr>
        <w:top w:val="none" w:sz="0" w:space="0" w:color="auto"/>
        <w:left w:val="none" w:sz="0" w:space="0" w:color="auto"/>
        <w:bottom w:val="none" w:sz="0" w:space="0" w:color="auto"/>
        <w:right w:val="none" w:sz="0" w:space="0" w:color="auto"/>
      </w:divBdr>
    </w:div>
    <w:div w:id="177930354">
      <w:bodyDiv w:val="1"/>
      <w:marLeft w:val="0"/>
      <w:marRight w:val="0"/>
      <w:marTop w:val="0"/>
      <w:marBottom w:val="0"/>
      <w:divBdr>
        <w:top w:val="none" w:sz="0" w:space="0" w:color="auto"/>
        <w:left w:val="none" w:sz="0" w:space="0" w:color="auto"/>
        <w:bottom w:val="none" w:sz="0" w:space="0" w:color="auto"/>
        <w:right w:val="none" w:sz="0" w:space="0" w:color="auto"/>
      </w:divBdr>
    </w:div>
    <w:div w:id="190146566">
      <w:bodyDiv w:val="1"/>
      <w:marLeft w:val="0"/>
      <w:marRight w:val="0"/>
      <w:marTop w:val="0"/>
      <w:marBottom w:val="0"/>
      <w:divBdr>
        <w:top w:val="none" w:sz="0" w:space="0" w:color="auto"/>
        <w:left w:val="none" w:sz="0" w:space="0" w:color="auto"/>
        <w:bottom w:val="none" w:sz="0" w:space="0" w:color="auto"/>
        <w:right w:val="none" w:sz="0" w:space="0" w:color="auto"/>
      </w:divBdr>
    </w:div>
    <w:div w:id="243538950">
      <w:bodyDiv w:val="1"/>
      <w:marLeft w:val="0"/>
      <w:marRight w:val="0"/>
      <w:marTop w:val="0"/>
      <w:marBottom w:val="0"/>
      <w:divBdr>
        <w:top w:val="none" w:sz="0" w:space="0" w:color="auto"/>
        <w:left w:val="none" w:sz="0" w:space="0" w:color="auto"/>
        <w:bottom w:val="none" w:sz="0" w:space="0" w:color="auto"/>
        <w:right w:val="none" w:sz="0" w:space="0" w:color="auto"/>
      </w:divBdr>
    </w:div>
    <w:div w:id="261643358">
      <w:bodyDiv w:val="1"/>
      <w:marLeft w:val="0"/>
      <w:marRight w:val="0"/>
      <w:marTop w:val="0"/>
      <w:marBottom w:val="0"/>
      <w:divBdr>
        <w:top w:val="none" w:sz="0" w:space="0" w:color="auto"/>
        <w:left w:val="none" w:sz="0" w:space="0" w:color="auto"/>
        <w:bottom w:val="none" w:sz="0" w:space="0" w:color="auto"/>
        <w:right w:val="none" w:sz="0" w:space="0" w:color="auto"/>
      </w:divBdr>
    </w:div>
    <w:div w:id="272177102">
      <w:bodyDiv w:val="1"/>
      <w:marLeft w:val="0"/>
      <w:marRight w:val="0"/>
      <w:marTop w:val="0"/>
      <w:marBottom w:val="0"/>
      <w:divBdr>
        <w:top w:val="none" w:sz="0" w:space="0" w:color="auto"/>
        <w:left w:val="none" w:sz="0" w:space="0" w:color="auto"/>
        <w:bottom w:val="none" w:sz="0" w:space="0" w:color="auto"/>
        <w:right w:val="none" w:sz="0" w:space="0" w:color="auto"/>
      </w:divBdr>
    </w:div>
    <w:div w:id="315500378">
      <w:bodyDiv w:val="1"/>
      <w:marLeft w:val="0"/>
      <w:marRight w:val="0"/>
      <w:marTop w:val="0"/>
      <w:marBottom w:val="0"/>
      <w:divBdr>
        <w:top w:val="none" w:sz="0" w:space="0" w:color="auto"/>
        <w:left w:val="none" w:sz="0" w:space="0" w:color="auto"/>
        <w:bottom w:val="none" w:sz="0" w:space="0" w:color="auto"/>
        <w:right w:val="none" w:sz="0" w:space="0" w:color="auto"/>
      </w:divBdr>
    </w:div>
    <w:div w:id="337468382">
      <w:bodyDiv w:val="1"/>
      <w:marLeft w:val="0"/>
      <w:marRight w:val="0"/>
      <w:marTop w:val="0"/>
      <w:marBottom w:val="0"/>
      <w:divBdr>
        <w:top w:val="none" w:sz="0" w:space="0" w:color="auto"/>
        <w:left w:val="none" w:sz="0" w:space="0" w:color="auto"/>
        <w:bottom w:val="none" w:sz="0" w:space="0" w:color="auto"/>
        <w:right w:val="none" w:sz="0" w:space="0" w:color="auto"/>
      </w:divBdr>
    </w:div>
    <w:div w:id="395320288">
      <w:bodyDiv w:val="1"/>
      <w:marLeft w:val="0"/>
      <w:marRight w:val="0"/>
      <w:marTop w:val="0"/>
      <w:marBottom w:val="0"/>
      <w:divBdr>
        <w:top w:val="none" w:sz="0" w:space="0" w:color="auto"/>
        <w:left w:val="none" w:sz="0" w:space="0" w:color="auto"/>
        <w:bottom w:val="none" w:sz="0" w:space="0" w:color="auto"/>
        <w:right w:val="none" w:sz="0" w:space="0" w:color="auto"/>
      </w:divBdr>
    </w:div>
    <w:div w:id="400492282">
      <w:bodyDiv w:val="1"/>
      <w:marLeft w:val="0"/>
      <w:marRight w:val="0"/>
      <w:marTop w:val="0"/>
      <w:marBottom w:val="0"/>
      <w:divBdr>
        <w:top w:val="none" w:sz="0" w:space="0" w:color="auto"/>
        <w:left w:val="none" w:sz="0" w:space="0" w:color="auto"/>
        <w:bottom w:val="none" w:sz="0" w:space="0" w:color="auto"/>
        <w:right w:val="none" w:sz="0" w:space="0" w:color="auto"/>
      </w:divBdr>
    </w:div>
    <w:div w:id="408429339">
      <w:bodyDiv w:val="1"/>
      <w:marLeft w:val="0"/>
      <w:marRight w:val="0"/>
      <w:marTop w:val="0"/>
      <w:marBottom w:val="0"/>
      <w:divBdr>
        <w:top w:val="none" w:sz="0" w:space="0" w:color="auto"/>
        <w:left w:val="none" w:sz="0" w:space="0" w:color="auto"/>
        <w:bottom w:val="none" w:sz="0" w:space="0" w:color="auto"/>
        <w:right w:val="none" w:sz="0" w:space="0" w:color="auto"/>
      </w:divBdr>
    </w:div>
    <w:div w:id="410201695">
      <w:bodyDiv w:val="1"/>
      <w:marLeft w:val="0"/>
      <w:marRight w:val="0"/>
      <w:marTop w:val="0"/>
      <w:marBottom w:val="0"/>
      <w:divBdr>
        <w:top w:val="none" w:sz="0" w:space="0" w:color="auto"/>
        <w:left w:val="none" w:sz="0" w:space="0" w:color="auto"/>
        <w:bottom w:val="none" w:sz="0" w:space="0" w:color="auto"/>
        <w:right w:val="none" w:sz="0" w:space="0" w:color="auto"/>
      </w:divBdr>
    </w:div>
    <w:div w:id="415248436">
      <w:bodyDiv w:val="1"/>
      <w:marLeft w:val="0"/>
      <w:marRight w:val="0"/>
      <w:marTop w:val="0"/>
      <w:marBottom w:val="0"/>
      <w:divBdr>
        <w:top w:val="none" w:sz="0" w:space="0" w:color="auto"/>
        <w:left w:val="none" w:sz="0" w:space="0" w:color="auto"/>
        <w:bottom w:val="none" w:sz="0" w:space="0" w:color="auto"/>
        <w:right w:val="none" w:sz="0" w:space="0" w:color="auto"/>
      </w:divBdr>
    </w:div>
    <w:div w:id="486752777">
      <w:bodyDiv w:val="1"/>
      <w:marLeft w:val="0"/>
      <w:marRight w:val="0"/>
      <w:marTop w:val="0"/>
      <w:marBottom w:val="0"/>
      <w:divBdr>
        <w:top w:val="none" w:sz="0" w:space="0" w:color="auto"/>
        <w:left w:val="none" w:sz="0" w:space="0" w:color="auto"/>
        <w:bottom w:val="none" w:sz="0" w:space="0" w:color="auto"/>
        <w:right w:val="none" w:sz="0" w:space="0" w:color="auto"/>
      </w:divBdr>
    </w:div>
    <w:div w:id="533738405">
      <w:bodyDiv w:val="1"/>
      <w:marLeft w:val="0"/>
      <w:marRight w:val="0"/>
      <w:marTop w:val="0"/>
      <w:marBottom w:val="0"/>
      <w:divBdr>
        <w:top w:val="none" w:sz="0" w:space="0" w:color="auto"/>
        <w:left w:val="none" w:sz="0" w:space="0" w:color="auto"/>
        <w:bottom w:val="none" w:sz="0" w:space="0" w:color="auto"/>
        <w:right w:val="none" w:sz="0" w:space="0" w:color="auto"/>
      </w:divBdr>
    </w:div>
    <w:div w:id="572740889">
      <w:bodyDiv w:val="1"/>
      <w:marLeft w:val="0"/>
      <w:marRight w:val="0"/>
      <w:marTop w:val="0"/>
      <w:marBottom w:val="0"/>
      <w:divBdr>
        <w:top w:val="none" w:sz="0" w:space="0" w:color="auto"/>
        <w:left w:val="none" w:sz="0" w:space="0" w:color="auto"/>
        <w:bottom w:val="none" w:sz="0" w:space="0" w:color="auto"/>
        <w:right w:val="none" w:sz="0" w:space="0" w:color="auto"/>
      </w:divBdr>
    </w:div>
    <w:div w:id="589431079">
      <w:bodyDiv w:val="1"/>
      <w:marLeft w:val="0"/>
      <w:marRight w:val="0"/>
      <w:marTop w:val="0"/>
      <w:marBottom w:val="0"/>
      <w:divBdr>
        <w:top w:val="none" w:sz="0" w:space="0" w:color="auto"/>
        <w:left w:val="none" w:sz="0" w:space="0" w:color="auto"/>
        <w:bottom w:val="none" w:sz="0" w:space="0" w:color="auto"/>
        <w:right w:val="none" w:sz="0" w:space="0" w:color="auto"/>
      </w:divBdr>
    </w:div>
    <w:div w:id="609169319">
      <w:bodyDiv w:val="1"/>
      <w:marLeft w:val="0"/>
      <w:marRight w:val="0"/>
      <w:marTop w:val="0"/>
      <w:marBottom w:val="0"/>
      <w:divBdr>
        <w:top w:val="none" w:sz="0" w:space="0" w:color="auto"/>
        <w:left w:val="none" w:sz="0" w:space="0" w:color="auto"/>
        <w:bottom w:val="none" w:sz="0" w:space="0" w:color="auto"/>
        <w:right w:val="none" w:sz="0" w:space="0" w:color="auto"/>
      </w:divBdr>
    </w:div>
    <w:div w:id="621958095">
      <w:bodyDiv w:val="1"/>
      <w:marLeft w:val="0"/>
      <w:marRight w:val="0"/>
      <w:marTop w:val="0"/>
      <w:marBottom w:val="0"/>
      <w:divBdr>
        <w:top w:val="none" w:sz="0" w:space="0" w:color="auto"/>
        <w:left w:val="none" w:sz="0" w:space="0" w:color="auto"/>
        <w:bottom w:val="none" w:sz="0" w:space="0" w:color="auto"/>
        <w:right w:val="none" w:sz="0" w:space="0" w:color="auto"/>
      </w:divBdr>
    </w:div>
    <w:div w:id="739257283">
      <w:bodyDiv w:val="1"/>
      <w:marLeft w:val="0"/>
      <w:marRight w:val="0"/>
      <w:marTop w:val="0"/>
      <w:marBottom w:val="0"/>
      <w:divBdr>
        <w:top w:val="none" w:sz="0" w:space="0" w:color="auto"/>
        <w:left w:val="none" w:sz="0" w:space="0" w:color="auto"/>
        <w:bottom w:val="none" w:sz="0" w:space="0" w:color="auto"/>
        <w:right w:val="none" w:sz="0" w:space="0" w:color="auto"/>
      </w:divBdr>
    </w:div>
    <w:div w:id="752628548">
      <w:bodyDiv w:val="1"/>
      <w:marLeft w:val="0"/>
      <w:marRight w:val="0"/>
      <w:marTop w:val="0"/>
      <w:marBottom w:val="0"/>
      <w:divBdr>
        <w:top w:val="none" w:sz="0" w:space="0" w:color="auto"/>
        <w:left w:val="none" w:sz="0" w:space="0" w:color="auto"/>
        <w:bottom w:val="none" w:sz="0" w:space="0" w:color="auto"/>
        <w:right w:val="none" w:sz="0" w:space="0" w:color="auto"/>
      </w:divBdr>
    </w:div>
    <w:div w:id="782773905">
      <w:bodyDiv w:val="1"/>
      <w:marLeft w:val="0"/>
      <w:marRight w:val="0"/>
      <w:marTop w:val="0"/>
      <w:marBottom w:val="0"/>
      <w:divBdr>
        <w:top w:val="none" w:sz="0" w:space="0" w:color="auto"/>
        <w:left w:val="none" w:sz="0" w:space="0" w:color="auto"/>
        <w:bottom w:val="none" w:sz="0" w:space="0" w:color="auto"/>
        <w:right w:val="none" w:sz="0" w:space="0" w:color="auto"/>
      </w:divBdr>
    </w:div>
    <w:div w:id="792674674">
      <w:bodyDiv w:val="1"/>
      <w:marLeft w:val="0"/>
      <w:marRight w:val="0"/>
      <w:marTop w:val="0"/>
      <w:marBottom w:val="0"/>
      <w:divBdr>
        <w:top w:val="none" w:sz="0" w:space="0" w:color="auto"/>
        <w:left w:val="none" w:sz="0" w:space="0" w:color="auto"/>
        <w:bottom w:val="none" w:sz="0" w:space="0" w:color="auto"/>
        <w:right w:val="none" w:sz="0" w:space="0" w:color="auto"/>
      </w:divBdr>
    </w:div>
    <w:div w:id="792797050">
      <w:bodyDiv w:val="1"/>
      <w:marLeft w:val="0"/>
      <w:marRight w:val="0"/>
      <w:marTop w:val="0"/>
      <w:marBottom w:val="0"/>
      <w:divBdr>
        <w:top w:val="none" w:sz="0" w:space="0" w:color="auto"/>
        <w:left w:val="none" w:sz="0" w:space="0" w:color="auto"/>
        <w:bottom w:val="none" w:sz="0" w:space="0" w:color="auto"/>
        <w:right w:val="none" w:sz="0" w:space="0" w:color="auto"/>
      </w:divBdr>
    </w:div>
    <w:div w:id="825317171">
      <w:bodyDiv w:val="1"/>
      <w:marLeft w:val="0"/>
      <w:marRight w:val="0"/>
      <w:marTop w:val="0"/>
      <w:marBottom w:val="0"/>
      <w:divBdr>
        <w:top w:val="none" w:sz="0" w:space="0" w:color="auto"/>
        <w:left w:val="none" w:sz="0" w:space="0" w:color="auto"/>
        <w:bottom w:val="none" w:sz="0" w:space="0" w:color="auto"/>
        <w:right w:val="none" w:sz="0" w:space="0" w:color="auto"/>
      </w:divBdr>
    </w:div>
    <w:div w:id="827668383">
      <w:bodyDiv w:val="1"/>
      <w:marLeft w:val="0"/>
      <w:marRight w:val="0"/>
      <w:marTop w:val="0"/>
      <w:marBottom w:val="0"/>
      <w:divBdr>
        <w:top w:val="none" w:sz="0" w:space="0" w:color="auto"/>
        <w:left w:val="none" w:sz="0" w:space="0" w:color="auto"/>
        <w:bottom w:val="none" w:sz="0" w:space="0" w:color="auto"/>
        <w:right w:val="none" w:sz="0" w:space="0" w:color="auto"/>
      </w:divBdr>
    </w:div>
    <w:div w:id="858546629">
      <w:bodyDiv w:val="1"/>
      <w:marLeft w:val="0"/>
      <w:marRight w:val="0"/>
      <w:marTop w:val="0"/>
      <w:marBottom w:val="0"/>
      <w:divBdr>
        <w:top w:val="none" w:sz="0" w:space="0" w:color="auto"/>
        <w:left w:val="none" w:sz="0" w:space="0" w:color="auto"/>
        <w:bottom w:val="none" w:sz="0" w:space="0" w:color="auto"/>
        <w:right w:val="none" w:sz="0" w:space="0" w:color="auto"/>
      </w:divBdr>
    </w:div>
    <w:div w:id="879590808">
      <w:bodyDiv w:val="1"/>
      <w:marLeft w:val="0"/>
      <w:marRight w:val="0"/>
      <w:marTop w:val="0"/>
      <w:marBottom w:val="0"/>
      <w:divBdr>
        <w:top w:val="none" w:sz="0" w:space="0" w:color="auto"/>
        <w:left w:val="none" w:sz="0" w:space="0" w:color="auto"/>
        <w:bottom w:val="none" w:sz="0" w:space="0" w:color="auto"/>
        <w:right w:val="none" w:sz="0" w:space="0" w:color="auto"/>
      </w:divBdr>
    </w:div>
    <w:div w:id="909001845">
      <w:bodyDiv w:val="1"/>
      <w:marLeft w:val="0"/>
      <w:marRight w:val="0"/>
      <w:marTop w:val="0"/>
      <w:marBottom w:val="0"/>
      <w:divBdr>
        <w:top w:val="none" w:sz="0" w:space="0" w:color="auto"/>
        <w:left w:val="none" w:sz="0" w:space="0" w:color="auto"/>
        <w:bottom w:val="none" w:sz="0" w:space="0" w:color="auto"/>
        <w:right w:val="none" w:sz="0" w:space="0" w:color="auto"/>
      </w:divBdr>
    </w:div>
    <w:div w:id="968705744">
      <w:bodyDiv w:val="1"/>
      <w:marLeft w:val="0"/>
      <w:marRight w:val="0"/>
      <w:marTop w:val="0"/>
      <w:marBottom w:val="0"/>
      <w:divBdr>
        <w:top w:val="none" w:sz="0" w:space="0" w:color="auto"/>
        <w:left w:val="none" w:sz="0" w:space="0" w:color="auto"/>
        <w:bottom w:val="none" w:sz="0" w:space="0" w:color="auto"/>
        <w:right w:val="none" w:sz="0" w:space="0" w:color="auto"/>
      </w:divBdr>
    </w:div>
    <w:div w:id="1006593059">
      <w:bodyDiv w:val="1"/>
      <w:marLeft w:val="0"/>
      <w:marRight w:val="0"/>
      <w:marTop w:val="0"/>
      <w:marBottom w:val="0"/>
      <w:divBdr>
        <w:top w:val="none" w:sz="0" w:space="0" w:color="auto"/>
        <w:left w:val="none" w:sz="0" w:space="0" w:color="auto"/>
        <w:bottom w:val="none" w:sz="0" w:space="0" w:color="auto"/>
        <w:right w:val="none" w:sz="0" w:space="0" w:color="auto"/>
      </w:divBdr>
    </w:div>
    <w:div w:id="1016276668">
      <w:bodyDiv w:val="1"/>
      <w:marLeft w:val="0"/>
      <w:marRight w:val="0"/>
      <w:marTop w:val="0"/>
      <w:marBottom w:val="0"/>
      <w:divBdr>
        <w:top w:val="none" w:sz="0" w:space="0" w:color="auto"/>
        <w:left w:val="none" w:sz="0" w:space="0" w:color="auto"/>
        <w:bottom w:val="none" w:sz="0" w:space="0" w:color="auto"/>
        <w:right w:val="none" w:sz="0" w:space="0" w:color="auto"/>
      </w:divBdr>
    </w:div>
    <w:div w:id="1049452653">
      <w:bodyDiv w:val="1"/>
      <w:marLeft w:val="0"/>
      <w:marRight w:val="0"/>
      <w:marTop w:val="0"/>
      <w:marBottom w:val="0"/>
      <w:divBdr>
        <w:top w:val="none" w:sz="0" w:space="0" w:color="auto"/>
        <w:left w:val="none" w:sz="0" w:space="0" w:color="auto"/>
        <w:bottom w:val="none" w:sz="0" w:space="0" w:color="auto"/>
        <w:right w:val="none" w:sz="0" w:space="0" w:color="auto"/>
      </w:divBdr>
    </w:div>
    <w:div w:id="1050345593">
      <w:bodyDiv w:val="1"/>
      <w:marLeft w:val="0"/>
      <w:marRight w:val="0"/>
      <w:marTop w:val="0"/>
      <w:marBottom w:val="0"/>
      <w:divBdr>
        <w:top w:val="none" w:sz="0" w:space="0" w:color="auto"/>
        <w:left w:val="none" w:sz="0" w:space="0" w:color="auto"/>
        <w:bottom w:val="none" w:sz="0" w:space="0" w:color="auto"/>
        <w:right w:val="none" w:sz="0" w:space="0" w:color="auto"/>
      </w:divBdr>
    </w:div>
    <w:div w:id="1056852082">
      <w:bodyDiv w:val="1"/>
      <w:marLeft w:val="0"/>
      <w:marRight w:val="0"/>
      <w:marTop w:val="0"/>
      <w:marBottom w:val="0"/>
      <w:divBdr>
        <w:top w:val="none" w:sz="0" w:space="0" w:color="auto"/>
        <w:left w:val="none" w:sz="0" w:space="0" w:color="auto"/>
        <w:bottom w:val="none" w:sz="0" w:space="0" w:color="auto"/>
        <w:right w:val="none" w:sz="0" w:space="0" w:color="auto"/>
      </w:divBdr>
    </w:div>
    <w:div w:id="1065026922">
      <w:bodyDiv w:val="1"/>
      <w:marLeft w:val="0"/>
      <w:marRight w:val="0"/>
      <w:marTop w:val="0"/>
      <w:marBottom w:val="0"/>
      <w:divBdr>
        <w:top w:val="none" w:sz="0" w:space="0" w:color="auto"/>
        <w:left w:val="none" w:sz="0" w:space="0" w:color="auto"/>
        <w:bottom w:val="none" w:sz="0" w:space="0" w:color="auto"/>
        <w:right w:val="none" w:sz="0" w:space="0" w:color="auto"/>
      </w:divBdr>
    </w:div>
    <w:div w:id="1076365093">
      <w:bodyDiv w:val="1"/>
      <w:marLeft w:val="0"/>
      <w:marRight w:val="0"/>
      <w:marTop w:val="0"/>
      <w:marBottom w:val="0"/>
      <w:divBdr>
        <w:top w:val="none" w:sz="0" w:space="0" w:color="auto"/>
        <w:left w:val="none" w:sz="0" w:space="0" w:color="auto"/>
        <w:bottom w:val="none" w:sz="0" w:space="0" w:color="auto"/>
        <w:right w:val="none" w:sz="0" w:space="0" w:color="auto"/>
      </w:divBdr>
    </w:div>
    <w:div w:id="1127702423">
      <w:bodyDiv w:val="1"/>
      <w:marLeft w:val="0"/>
      <w:marRight w:val="0"/>
      <w:marTop w:val="0"/>
      <w:marBottom w:val="0"/>
      <w:divBdr>
        <w:top w:val="none" w:sz="0" w:space="0" w:color="auto"/>
        <w:left w:val="none" w:sz="0" w:space="0" w:color="auto"/>
        <w:bottom w:val="none" w:sz="0" w:space="0" w:color="auto"/>
        <w:right w:val="none" w:sz="0" w:space="0" w:color="auto"/>
      </w:divBdr>
    </w:div>
    <w:div w:id="1213613017">
      <w:bodyDiv w:val="1"/>
      <w:marLeft w:val="0"/>
      <w:marRight w:val="0"/>
      <w:marTop w:val="0"/>
      <w:marBottom w:val="0"/>
      <w:divBdr>
        <w:top w:val="none" w:sz="0" w:space="0" w:color="auto"/>
        <w:left w:val="none" w:sz="0" w:space="0" w:color="auto"/>
        <w:bottom w:val="none" w:sz="0" w:space="0" w:color="auto"/>
        <w:right w:val="none" w:sz="0" w:space="0" w:color="auto"/>
      </w:divBdr>
    </w:div>
    <w:div w:id="1222910167">
      <w:bodyDiv w:val="1"/>
      <w:marLeft w:val="0"/>
      <w:marRight w:val="0"/>
      <w:marTop w:val="0"/>
      <w:marBottom w:val="0"/>
      <w:divBdr>
        <w:top w:val="none" w:sz="0" w:space="0" w:color="auto"/>
        <w:left w:val="none" w:sz="0" w:space="0" w:color="auto"/>
        <w:bottom w:val="none" w:sz="0" w:space="0" w:color="auto"/>
        <w:right w:val="none" w:sz="0" w:space="0" w:color="auto"/>
      </w:divBdr>
    </w:div>
    <w:div w:id="1269004871">
      <w:bodyDiv w:val="1"/>
      <w:marLeft w:val="0"/>
      <w:marRight w:val="0"/>
      <w:marTop w:val="0"/>
      <w:marBottom w:val="0"/>
      <w:divBdr>
        <w:top w:val="none" w:sz="0" w:space="0" w:color="auto"/>
        <w:left w:val="none" w:sz="0" w:space="0" w:color="auto"/>
        <w:bottom w:val="none" w:sz="0" w:space="0" w:color="auto"/>
        <w:right w:val="none" w:sz="0" w:space="0" w:color="auto"/>
      </w:divBdr>
    </w:div>
    <w:div w:id="1270696434">
      <w:bodyDiv w:val="1"/>
      <w:marLeft w:val="0"/>
      <w:marRight w:val="0"/>
      <w:marTop w:val="0"/>
      <w:marBottom w:val="0"/>
      <w:divBdr>
        <w:top w:val="none" w:sz="0" w:space="0" w:color="auto"/>
        <w:left w:val="none" w:sz="0" w:space="0" w:color="auto"/>
        <w:bottom w:val="none" w:sz="0" w:space="0" w:color="auto"/>
        <w:right w:val="none" w:sz="0" w:space="0" w:color="auto"/>
      </w:divBdr>
    </w:div>
    <w:div w:id="1285845582">
      <w:bodyDiv w:val="1"/>
      <w:marLeft w:val="0"/>
      <w:marRight w:val="0"/>
      <w:marTop w:val="0"/>
      <w:marBottom w:val="0"/>
      <w:divBdr>
        <w:top w:val="none" w:sz="0" w:space="0" w:color="auto"/>
        <w:left w:val="none" w:sz="0" w:space="0" w:color="auto"/>
        <w:bottom w:val="none" w:sz="0" w:space="0" w:color="auto"/>
        <w:right w:val="none" w:sz="0" w:space="0" w:color="auto"/>
      </w:divBdr>
    </w:div>
    <w:div w:id="1355231507">
      <w:bodyDiv w:val="1"/>
      <w:marLeft w:val="0"/>
      <w:marRight w:val="0"/>
      <w:marTop w:val="0"/>
      <w:marBottom w:val="0"/>
      <w:divBdr>
        <w:top w:val="none" w:sz="0" w:space="0" w:color="auto"/>
        <w:left w:val="none" w:sz="0" w:space="0" w:color="auto"/>
        <w:bottom w:val="none" w:sz="0" w:space="0" w:color="auto"/>
        <w:right w:val="none" w:sz="0" w:space="0" w:color="auto"/>
      </w:divBdr>
    </w:div>
    <w:div w:id="1399401149">
      <w:bodyDiv w:val="1"/>
      <w:marLeft w:val="0"/>
      <w:marRight w:val="0"/>
      <w:marTop w:val="0"/>
      <w:marBottom w:val="0"/>
      <w:divBdr>
        <w:top w:val="none" w:sz="0" w:space="0" w:color="auto"/>
        <w:left w:val="none" w:sz="0" w:space="0" w:color="auto"/>
        <w:bottom w:val="none" w:sz="0" w:space="0" w:color="auto"/>
        <w:right w:val="none" w:sz="0" w:space="0" w:color="auto"/>
      </w:divBdr>
    </w:div>
    <w:div w:id="1401978629">
      <w:bodyDiv w:val="1"/>
      <w:marLeft w:val="0"/>
      <w:marRight w:val="0"/>
      <w:marTop w:val="0"/>
      <w:marBottom w:val="0"/>
      <w:divBdr>
        <w:top w:val="none" w:sz="0" w:space="0" w:color="auto"/>
        <w:left w:val="none" w:sz="0" w:space="0" w:color="auto"/>
        <w:bottom w:val="none" w:sz="0" w:space="0" w:color="auto"/>
        <w:right w:val="none" w:sz="0" w:space="0" w:color="auto"/>
      </w:divBdr>
    </w:div>
    <w:div w:id="1403023137">
      <w:bodyDiv w:val="1"/>
      <w:marLeft w:val="0"/>
      <w:marRight w:val="0"/>
      <w:marTop w:val="0"/>
      <w:marBottom w:val="0"/>
      <w:divBdr>
        <w:top w:val="none" w:sz="0" w:space="0" w:color="auto"/>
        <w:left w:val="none" w:sz="0" w:space="0" w:color="auto"/>
        <w:bottom w:val="none" w:sz="0" w:space="0" w:color="auto"/>
        <w:right w:val="none" w:sz="0" w:space="0" w:color="auto"/>
      </w:divBdr>
    </w:div>
    <w:div w:id="1439372667">
      <w:bodyDiv w:val="1"/>
      <w:marLeft w:val="0"/>
      <w:marRight w:val="0"/>
      <w:marTop w:val="0"/>
      <w:marBottom w:val="0"/>
      <w:divBdr>
        <w:top w:val="none" w:sz="0" w:space="0" w:color="auto"/>
        <w:left w:val="none" w:sz="0" w:space="0" w:color="auto"/>
        <w:bottom w:val="none" w:sz="0" w:space="0" w:color="auto"/>
        <w:right w:val="none" w:sz="0" w:space="0" w:color="auto"/>
      </w:divBdr>
    </w:div>
    <w:div w:id="1558786371">
      <w:bodyDiv w:val="1"/>
      <w:marLeft w:val="0"/>
      <w:marRight w:val="0"/>
      <w:marTop w:val="0"/>
      <w:marBottom w:val="0"/>
      <w:divBdr>
        <w:top w:val="none" w:sz="0" w:space="0" w:color="auto"/>
        <w:left w:val="none" w:sz="0" w:space="0" w:color="auto"/>
        <w:bottom w:val="none" w:sz="0" w:space="0" w:color="auto"/>
        <w:right w:val="none" w:sz="0" w:space="0" w:color="auto"/>
      </w:divBdr>
    </w:div>
    <w:div w:id="1575121645">
      <w:bodyDiv w:val="1"/>
      <w:marLeft w:val="0"/>
      <w:marRight w:val="0"/>
      <w:marTop w:val="0"/>
      <w:marBottom w:val="0"/>
      <w:divBdr>
        <w:top w:val="none" w:sz="0" w:space="0" w:color="auto"/>
        <w:left w:val="none" w:sz="0" w:space="0" w:color="auto"/>
        <w:bottom w:val="none" w:sz="0" w:space="0" w:color="auto"/>
        <w:right w:val="none" w:sz="0" w:space="0" w:color="auto"/>
      </w:divBdr>
    </w:div>
    <w:div w:id="1610695787">
      <w:bodyDiv w:val="1"/>
      <w:marLeft w:val="0"/>
      <w:marRight w:val="0"/>
      <w:marTop w:val="0"/>
      <w:marBottom w:val="0"/>
      <w:divBdr>
        <w:top w:val="none" w:sz="0" w:space="0" w:color="auto"/>
        <w:left w:val="none" w:sz="0" w:space="0" w:color="auto"/>
        <w:bottom w:val="none" w:sz="0" w:space="0" w:color="auto"/>
        <w:right w:val="none" w:sz="0" w:space="0" w:color="auto"/>
      </w:divBdr>
    </w:div>
    <w:div w:id="1659655350">
      <w:bodyDiv w:val="1"/>
      <w:marLeft w:val="0"/>
      <w:marRight w:val="0"/>
      <w:marTop w:val="0"/>
      <w:marBottom w:val="0"/>
      <w:divBdr>
        <w:top w:val="none" w:sz="0" w:space="0" w:color="auto"/>
        <w:left w:val="none" w:sz="0" w:space="0" w:color="auto"/>
        <w:bottom w:val="none" w:sz="0" w:space="0" w:color="auto"/>
        <w:right w:val="none" w:sz="0" w:space="0" w:color="auto"/>
      </w:divBdr>
    </w:div>
    <w:div w:id="1667895920">
      <w:bodyDiv w:val="1"/>
      <w:marLeft w:val="0"/>
      <w:marRight w:val="0"/>
      <w:marTop w:val="0"/>
      <w:marBottom w:val="0"/>
      <w:divBdr>
        <w:top w:val="none" w:sz="0" w:space="0" w:color="auto"/>
        <w:left w:val="none" w:sz="0" w:space="0" w:color="auto"/>
        <w:bottom w:val="none" w:sz="0" w:space="0" w:color="auto"/>
        <w:right w:val="none" w:sz="0" w:space="0" w:color="auto"/>
      </w:divBdr>
    </w:div>
    <w:div w:id="1672757208">
      <w:bodyDiv w:val="1"/>
      <w:marLeft w:val="0"/>
      <w:marRight w:val="0"/>
      <w:marTop w:val="0"/>
      <w:marBottom w:val="0"/>
      <w:divBdr>
        <w:top w:val="none" w:sz="0" w:space="0" w:color="auto"/>
        <w:left w:val="none" w:sz="0" w:space="0" w:color="auto"/>
        <w:bottom w:val="none" w:sz="0" w:space="0" w:color="auto"/>
        <w:right w:val="none" w:sz="0" w:space="0" w:color="auto"/>
      </w:divBdr>
    </w:div>
    <w:div w:id="1701123764">
      <w:bodyDiv w:val="1"/>
      <w:marLeft w:val="0"/>
      <w:marRight w:val="0"/>
      <w:marTop w:val="0"/>
      <w:marBottom w:val="0"/>
      <w:divBdr>
        <w:top w:val="none" w:sz="0" w:space="0" w:color="auto"/>
        <w:left w:val="none" w:sz="0" w:space="0" w:color="auto"/>
        <w:bottom w:val="none" w:sz="0" w:space="0" w:color="auto"/>
        <w:right w:val="none" w:sz="0" w:space="0" w:color="auto"/>
      </w:divBdr>
    </w:div>
    <w:div w:id="1755590685">
      <w:bodyDiv w:val="1"/>
      <w:marLeft w:val="0"/>
      <w:marRight w:val="0"/>
      <w:marTop w:val="0"/>
      <w:marBottom w:val="0"/>
      <w:divBdr>
        <w:top w:val="none" w:sz="0" w:space="0" w:color="auto"/>
        <w:left w:val="none" w:sz="0" w:space="0" w:color="auto"/>
        <w:bottom w:val="none" w:sz="0" w:space="0" w:color="auto"/>
        <w:right w:val="none" w:sz="0" w:space="0" w:color="auto"/>
      </w:divBdr>
    </w:div>
    <w:div w:id="1814444127">
      <w:bodyDiv w:val="1"/>
      <w:marLeft w:val="0"/>
      <w:marRight w:val="0"/>
      <w:marTop w:val="0"/>
      <w:marBottom w:val="0"/>
      <w:divBdr>
        <w:top w:val="none" w:sz="0" w:space="0" w:color="auto"/>
        <w:left w:val="none" w:sz="0" w:space="0" w:color="auto"/>
        <w:bottom w:val="none" w:sz="0" w:space="0" w:color="auto"/>
        <w:right w:val="none" w:sz="0" w:space="0" w:color="auto"/>
      </w:divBdr>
    </w:div>
    <w:div w:id="1823042220">
      <w:bodyDiv w:val="1"/>
      <w:marLeft w:val="0"/>
      <w:marRight w:val="0"/>
      <w:marTop w:val="0"/>
      <w:marBottom w:val="0"/>
      <w:divBdr>
        <w:top w:val="none" w:sz="0" w:space="0" w:color="auto"/>
        <w:left w:val="none" w:sz="0" w:space="0" w:color="auto"/>
        <w:bottom w:val="none" w:sz="0" w:space="0" w:color="auto"/>
        <w:right w:val="none" w:sz="0" w:space="0" w:color="auto"/>
      </w:divBdr>
    </w:div>
    <w:div w:id="1890922092">
      <w:bodyDiv w:val="1"/>
      <w:marLeft w:val="0"/>
      <w:marRight w:val="0"/>
      <w:marTop w:val="0"/>
      <w:marBottom w:val="0"/>
      <w:divBdr>
        <w:top w:val="none" w:sz="0" w:space="0" w:color="auto"/>
        <w:left w:val="none" w:sz="0" w:space="0" w:color="auto"/>
        <w:bottom w:val="none" w:sz="0" w:space="0" w:color="auto"/>
        <w:right w:val="none" w:sz="0" w:space="0" w:color="auto"/>
      </w:divBdr>
    </w:div>
    <w:div w:id="1892763310">
      <w:bodyDiv w:val="1"/>
      <w:marLeft w:val="0"/>
      <w:marRight w:val="0"/>
      <w:marTop w:val="0"/>
      <w:marBottom w:val="0"/>
      <w:divBdr>
        <w:top w:val="none" w:sz="0" w:space="0" w:color="auto"/>
        <w:left w:val="none" w:sz="0" w:space="0" w:color="auto"/>
        <w:bottom w:val="none" w:sz="0" w:space="0" w:color="auto"/>
        <w:right w:val="none" w:sz="0" w:space="0" w:color="auto"/>
      </w:divBdr>
    </w:div>
    <w:div w:id="1924022766">
      <w:bodyDiv w:val="1"/>
      <w:marLeft w:val="0"/>
      <w:marRight w:val="0"/>
      <w:marTop w:val="0"/>
      <w:marBottom w:val="0"/>
      <w:divBdr>
        <w:top w:val="none" w:sz="0" w:space="0" w:color="auto"/>
        <w:left w:val="none" w:sz="0" w:space="0" w:color="auto"/>
        <w:bottom w:val="none" w:sz="0" w:space="0" w:color="auto"/>
        <w:right w:val="none" w:sz="0" w:space="0" w:color="auto"/>
      </w:divBdr>
    </w:div>
    <w:div w:id="1926181453">
      <w:bodyDiv w:val="1"/>
      <w:marLeft w:val="0"/>
      <w:marRight w:val="0"/>
      <w:marTop w:val="0"/>
      <w:marBottom w:val="0"/>
      <w:divBdr>
        <w:top w:val="none" w:sz="0" w:space="0" w:color="auto"/>
        <w:left w:val="none" w:sz="0" w:space="0" w:color="auto"/>
        <w:bottom w:val="none" w:sz="0" w:space="0" w:color="auto"/>
        <w:right w:val="none" w:sz="0" w:space="0" w:color="auto"/>
      </w:divBdr>
    </w:div>
    <w:div w:id="1972443124">
      <w:bodyDiv w:val="1"/>
      <w:marLeft w:val="0"/>
      <w:marRight w:val="0"/>
      <w:marTop w:val="0"/>
      <w:marBottom w:val="0"/>
      <w:divBdr>
        <w:top w:val="none" w:sz="0" w:space="0" w:color="auto"/>
        <w:left w:val="none" w:sz="0" w:space="0" w:color="auto"/>
        <w:bottom w:val="none" w:sz="0" w:space="0" w:color="auto"/>
        <w:right w:val="none" w:sz="0" w:space="0" w:color="auto"/>
      </w:divBdr>
    </w:div>
    <w:div w:id="1975603501">
      <w:bodyDiv w:val="1"/>
      <w:marLeft w:val="0"/>
      <w:marRight w:val="0"/>
      <w:marTop w:val="0"/>
      <w:marBottom w:val="0"/>
      <w:divBdr>
        <w:top w:val="none" w:sz="0" w:space="0" w:color="auto"/>
        <w:left w:val="none" w:sz="0" w:space="0" w:color="auto"/>
        <w:bottom w:val="none" w:sz="0" w:space="0" w:color="auto"/>
        <w:right w:val="none" w:sz="0" w:space="0" w:color="auto"/>
      </w:divBdr>
    </w:div>
    <w:div w:id="1982227391">
      <w:bodyDiv w:val="1"/>
      <w:marLeft w:val="0"/>
      <w:marRight w:val="0"/>
      <w:marTop w:val="0"/>
      <w:marBottom w:val="0"/>
      <w:divBdr>
        <w:top w:val="none" w:sz="0" w:space="0" w:color="auto"/>
        <w:left w:val="none" w:sz="0" w:space="0" w:color="auto"/>
        <w:bottom w:val="none" w:sz="0" w:space="0" w:color="auto"/>
        <w:right w:val="none" w:sz="0" w:space="0" w:color="auto"/>
      </w:divBdr>
    </w:div>
    <w:div w:id="2061325247">
      <w:bodyDiv w:val="1"/>
      <w:marLeft w:val="0"/>
      <w:marRight w:val="0"/>
      <w:marTop w:val="0"/>
      <w:marBottom w:val="0"/>
      <w:divBdr>
        <w:top w:val="none" w:sz="0" w:space="0" w:color="auto"/>
        <w:left w:val="none" w:sz="0" w:space="0" w:color="auto"/>
        <w:bottom w:val="none" w:sz="0" w:space="0" w:color="auto"/>
        <w:right w:val="none" w:sz="0" w:space="0" w:color="auto"/>
      </w:divBdr>
    </w:div>
    <w:div w:id="2063401981">
      <w:bodyDiv w:val="1"/>
      <w:marLeft w:val="0"/>
      <w:marRight w:val="0"/>
      <w:marTop w:val="0"/>
      <w:marBottom w:val="0"/>
      <w:divBdr>
        <w:top w:val="none" w:sz="0" w:space="0" w:color="auto"/>
        <w:left w:val="none" w:sz="0" w:space="0" w:color="auto"/>
        <w:bottom w:val="none" w:sz="0" w:space="0" w:color="auto"/>
        <w:right w:val="none" w:sz="0" w:space="0" w:color="auto"/>
      </w:divBdr>
    </w:div>
    <w:div w:id="2064910896">
      <w:bodyDiv w:val="1"/>
      <w:marLeft w:val="0"/>
      <w:marRight w:val="0"/>
      <w:marTop w:val="0"/>
      <w:marBottom w:val="0"/>
      <w:divBdr>
        <w:top w:val="none" w:sz="0" w:space="0" w:color="auto"/>
        <w:left w:val="none" w:sz="0" w:space="0" w:color="auto"/>
        <w:bottom w:val="none" w:sz="0" w:space="0" w:color="auto"/>
        <w:right w:val="none" w:sz="0" w:space="0" w:color="auto"/>
      </w:divBdr>
    </w:div>
    <w:div w:id="209181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C8ED4-827D-413A-9764-90C534BD8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22062</Words>
  <Characters>125757</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
    </vt:vector>
  </TitlesOfParts>
  <Company>Swiss TPH</Company>
  <LinksUpToDate>false</LinksUpToDate>
  <CharactersWithSpaces>147524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Runge</dc:creator>
  <cp:lastModifiedBy>Manuela Runge</cp:lastModifiedBy>
  <cp:revision>2</cp:revision>
  <cp:lastPrinted>2019-06-29T11:48:00Z</cp:lastPrinted>
  <dcterms:created xsi:type="dcterms:W3CDTF">2020-01-22T01:42:00Z</dcterms:created>
  <dcterms:modified xsi:type="dcterms:W3CDTF">2020-01-22T01:42:00Z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zotero-version="5.0.76"&gt;&lt;session id="iy6CwT43"/&gt;&lt;style id="http://www.zotero.org/styles/plos-one"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