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528D2" w14:textId="59F8E611" w:rsidR="00731B21" w:rsidRDefault="00C066DD" w:rsidP="00C066DD">
      <w:pPr>
        <w:spacing w:after="0"/>
        <w:rPr>
          <w:rFonts w:cs="Arial"/>
          <w:b/>
          <w:sz w:val="32"/>
        </w:rPr>
      </w:pPr>
      <w:bookmarkStart w:id="0" w:name="_GoBack"/>
      <w:bookmarkEnd w:id="0"/>
      <w:r>
        <w:rPr>
          <w:rFonts w:cs="Arial"/>
          <w:b/>
          <w:sz w:val="32"/>
        </w:rPr>
        <w:t>S2-file: Data sources, model parameterisation</w:t>
      </w:r>
      <w:r w:rsidR="002C3C68">
        <w:rPr>
          <w:rFonts w:cs="Arial"/>
          <w:b/>
          <w:sz w:val="32"/>
        </w:rPr>
        <w:t xml:space="preserve">, </w:t>
      </w:r>
      <w:r>
        <w:rPr>
          <w:rFonts w:cs="Arial"/>
          <w:b/>
          <w:sz w:val="32"/>
        </w:rPr>
        <w:t xml:space="preserve">calibration </w:t>
      </w:r>
      <w:r w:rsidR="002C3C68">
        <w:rPr>
          <w:rFonts w:cs="Arial"/>
          <w:b/>
          <w:sz w:val="32"/>
        </w:rPr>
        <w:t>method, and future intervention deployment and effectiveness</w:t>
      </w:r>
    </w:p>
    <w:p w14:paraId="6D86C36D" w14:textId="77777777" w:rsidR="00C066DD" w:rsidRDefault="00C066DD" w:rsidP="00C066DD">
      <w:pPr>
        <w:spacing w:after="0"/>
        <w:rPr>
          <w:rFonts w:eastAsiaTheme="majorEastAsia" w:cstheme="majorBidi"/>
          <w:bCs/>
          <w:sz w:val="28"/>
          <w:szCs w:val="28"/>
        </w:rPr>
      </w:pPr>
    </w:p>
    <w:p w14:paraId="63FFAF86" w14:textId="663EA00F" w:rsidR="00B51A34" w:rsidRPr="00B51A34" w:rsidRDefault="00B51A34" w:rsidP="00C066DD">
      <w:pPr>
        <w:spacing w:after="0"/>
        <w:rPr>
          <w:rFonts w:eastAsiaTheme="majorEastAsia" w:cstheme="majorBidi"/>
          <w:b/>
          <w:bCs/>
          <w:sz w:val="28"/>
          <w:szCs w:val="28"/>
        </w:rPr>
      </w:pPr>
      <w:r w:rsidRPr="00B51A34">
        <w:rPr>
          <w:rFonts w:eastAsiaTheme="majorEastAsia" w:cstheme="majorBidi"/>
          <w:b/>
          <w:bCs/>
          <w:sz w:val="28"/>
          <w:szCs w:val="28"/>
        </w:rPr>
        <w:t>Content</w:t>
      </w:r>
    </w:p>
    <w:p w14:paraId="0DFBBB56" w14:textId="77777777" w:rsidR="00731B21" w:rsidRPr="00B51A34" w:rsidRDefault="00731B21" w:rsidP="00FB7E5A">
      <w:pPr>
        <w:spacing w:after="0"/>
        <w:jc w:val="both"/>
        <w:rPr>
          <w:rFonts w:eastAsiaTheme="majorEastAsia" w:cstheme="majorBidi"/>
          <w:bCs/>
          <w:szCs w:val="28"/>
        </w:rPr>
      </w:pPr>
    </w:p>
    <w:bookmarkStart w:id="1" w:name="_Toc22121182" w:displacedByCustomXml="next"/>
    <w:bookmarkStart w:id="2" w:name="_Toc22121254" w:displacedByCustomXml="next"/>
    <w:bookmarkStart w:id="3" w:name="_Toc22283029" w:displacedByCustomXml="next"/>
    <w:sdt>
      <w:sdtPr>
        <w:rPr>
          <w:b/>
          <w:bCs/>
        </w:rPr>
        <w:id w:val="1060747828"/>
        <w:docPartObj>
          <w:docPartGallery w:val="Table of Contents"/>
          <w:docPartUnique/>
        </w:docPartObj>
      </w:sdtPr>
      <w:sdtEndPr>
        <w:rPr>
          <w:b w:val="0"/>
          <w:bCs w:val="0"/>
          <w:noProof/>
        </w:rPr>
      </w:sdtEndPr>
      <w:sdtContent>
        <w:bookmarkEnd w:id="2" w:displacedByCustomXml="prev"/>
        <w:bookmarkEnd w:id="1" w:displacedByCustomXml="prev"/>
        <w:p w14:paraId="4AA78944" w14:textId="635F3D92" w:rsidR="002C3C68" w:rsidRDefault="003A65A2">
          <w:pPr>
            <w:pStyle w:val="TOC1"/>
            <w:tabs>
              <w:tab w:val="left" w:pos="440"/>
              <w:tab w:val="right" w:leader="dot" w:pos="9062"/>
            </w:tabs>
            <w:rPr>
              <w:rFonts w:eastAsiaTheme="minorEastAsia"/>
              <w:noProof/>
              <w:lang w:eastAsia="en-GB"/>
            </w:rPr>
          </w:pPr>
          <w:r>
            <w:rPr>
              <w:rFonts w:eastAsiaTheme="majorEastAsia" w:cstheme="majorBidi"/>
              <w:b/>
              <w:bCs/>
              <w:sz w:val="28"/>
              <w:szCs w:val="28"/>
            </w:rPr>
            <w:fldChar w:fldCharType="begin"/>
          </w:r>
          <w:r>
            <w:instrText xml:space="preserve"> TOC \o "1-2" \h \z \u </w:instrText>
          </w:r>
          <w:r>
            <w:rPr>
              <w:rFonts w:eastAsiaTheme="majorEastAsia" w:cstheme="majorBidi"/>
              <w:b/>
              <w:bCs/>
              <w:sz w:val="28"/>
              <w:szCs w:val="28"/>
            </w:rPr>
            <w:fldChar w:fldCharType="separate"/>
          </w:r>
          <w:bookmarkEnd w:id="3"/>
          <w:r w:rsidR="002C3C68" w:rsidRPr="004D3778">
            <w:rPr>
              <w:rStyle w:val="Hyperlink"/>
              <w:noProof/>
            </w:rPr>
            <w:fldChar w:fldCharType="begin"/>
          </w:r>
          <w:r w:rsidR="002C3C68" w:rsidRPr="004D3778">
            <w:rPr>
              <w:rStyle w:val="Hyperlink"/>
              <w:noProof/>
            </w:rPr>
            <w:instrText xml:space="preserve"> </w:instrText>
          </w:r>
          <w:r w:rsidR="002C3C68">
            <w:rPr>
              <w:noProof/>
            </w:rPr>
            <w:instrText>HYPERLINK \l "_Toc22367551"</w:instrText>
          </w:r>
          <w:r w:rsidR="002C3C68" w:rsidRPr="004D3778">
            <w:rPr>
              <w:rStyle w:val="Hyperlink"/>
              <w:noProof/>
            </w:rPr>
            <w:instrText xml:space="preserve"> </w:instrText>
          </w:r>
          <w:r w:rsidR="002C3C68" w:rsidRPr="004D3778">
            <w:rPr>
              <w:rStyle w:val="Hyperlink"/>
              <w:noProof/>
            </w:rPr>
            <w:fldChar w:fldCharType="separate"/>
          </w:r>
          <w:r w:rsidR="002C3C68" w:rsidRPr="004D3778">
            <w:rPr>
              <w:rStyle w:val="Hyperlink"/>
              <w:noProof/>
            </w:rPr>
            <w:t>1</w:t>
          </w:r>
          <w:r w:rsidR="002C3C68">
            <w:rPr>
              <w:rFonts w:eastAsiaTheme="minorEastAsia"/>
              <w:noProof/>
              <w:lang w:eastAsia="en-GB"/>
            </w:rPr>
            <w:tab/>
          </w:r>
          <w:r w:rsidR="002C3C68" w:rsidRPr="004D3778">
            <w:rPr>
              <w:rStyle w:val="Hyperlink"/>
              <w:noProof/>
            </w:rPr>
            <w:t>Data and information sources</w:t>
          </w:r>
          <w:r w:rsidR="002C3C68">
            <w:rPr>
              <w:noProof/>
              <w:webHidden/>
            </w:rPr>
            <w:tab/>
          </w:r>
          <w:r w:rsidR="002C3C68">
            <w:rPr>
              <w:noProof/>
              <w:webHidden/>
            </w:rPr>
            <w:fldChar w:fldCharType="begin"/>
          </w:r>
          <w:r w:rsidR="002C3C68">
            <w:rPr>
              <w:noProof/>
              <w:webHidden/>
            </w:rPr>
            <w:instrText xml:space="preserve"> PAGEREF _Toc22367551 \h </w:instrText>
          </w:r>
          <w:r w:rsidR="002C3C68">
            <w:rPr>
              <w:noProof/>
              <w:webHidden/>
            </w:rPr>
          </w:r>
          <w:r w:rsidR="002C3C68">
            <w:rPr>
              <w:noProof/>
              <w:webHidden/>
            </w:rPr>
            <w:fldChar w:fldCharType="separate"/>
          </w:r>
          <w:r w:rsidR="00F25658">
            <w:rPr>
              <w:noProof/>
              <w:webHidden/>
            </w:rPr>
            <w:t>2</w:t>
          </w:r>
          <w:r w:rsidR="002C3C68">
            <w:rPr>
              <w:noProof/>
              <w:webHidden/>
            </w:rPr>
            <w:fldChar w:fldCharType="end"/>
          </w:r>
          <w:r w:rsidR="002C3C68" w:rsidRPr="004D3778">
            <w:rPr>
              <w:rStyle w:val="Hyperlink"/>
              <w:noProof/>
            </w:rPr>
            <w:fldChar w:fldCharType="end"/>
          </w:r>
        </w:p>
        <w:p w14:paraId="1849D95C" w14:textId="226AC1B3" w:rsidR="002C3C68" w:rsidRDefault="00B90DEF">
          <w:pPr>
            <w:pStyle w:val="TOC1"/>
            <w:tabs>
              <w:tab w:val="left" w:pos="440"/>
              <w:tab w:val="right" w:leader="dot" w:pos="9062"/>
            </w:tabs>
            <w:rPr>
              <w:rFonts w:eastAsiaTheme="minorEastAsia"/>
              <w:noProof/>
              <w:lang w:eastAsia="en-GB"/>
            </w:rPr>
          </w:pPr>
          <w:hyperlink w:anchor="_Toc22367552" w:history="1">
            <w:r w:rsidR="002C3C68" w:rsidRPr="004D3778">
              <w:rPr>
                <w:rStyle w:val="Hyperlink"/>
                <w:noProof/>
              </w:rPr>
              <w:t>2</w:t>
            </w:r>
            <w:r w:rsidR="002C3C68">
              <w:rPr>
                <w:rFonts w:eastAsiaTheme="minorEastAsia"/>
                <w:noProof/>
                <w:lang w:eastAsia="en-GB"/>
              </w:rPr>
              <w:tab/>
            </w:r>
            <w:r w:rsidR="002C3C68" w:rsidRPr="004D3778">
              <w:rPr>
                <w:rStyle w:val="Hyperlink"/>
                <w:noProof/>
              </w:rPr>
              <w:t>Model parameterisation</w:t>
            </w:r>
            <w:r w:rsidR="002C3C68">
              <w:rPr>
                <w:noProof/>
                <w:webHidden/>
              </w:rPr>
              <w:tab/>
            </w:r>
            <w:r w:rsidR="002C3C68">
              <w:rPr>
                <w:noProof/>
                <w:webHidden/>
              </w:rPr>
              <w:fldChar w:fldCharType="begin"/>
            </w:r>
            <w:r w:rsidR="002C3C68">
              <w:rPr>
                <w:noProof/>
                <w:webHidden/>
              </w:rPr>
              <w:instrText xml:space="preserve"> PAGEREF _Toc22367552 \h </w:instrText>
            </w:r>
            <w:r w:rsidR="002C3C68">
              <w:rPr>
                <w:noProof/>
                <w:webHidden/>
              </w:rPr>
            </w:r>
            <w:r w:rsidR="002C3C68">
              <w:rPr>
                <w:noProof/>
                <w:webHidden/>
              </w:rPr>
              <w:fldChar w:fldCharType="separate"/>
            </w:r>
            <w:r w:rsidR="00F25658">
              <w:rPr>
                <w:noProof/>
                <w:webHidden/>
              </w:rPr>
              <w:t>4</w:t>
            </w:r>
            <w:r w:rsidR="002C3C68">
              <w:rPr>
                <w:noProof/>
                <w:webHidden/>
              </w:rPr>
              <w:fldChar w:fldCharType="end"/>
            </w:r>
          </w:hyperlink>
        </w:p>
        <w:p w14:paraId="64246839" w14:textId="7FE68BF2" w:rsidR="002C3C68" w:rsidRDefault="00B90DEF">
          <w:pPr>
            <w:pStyle w:val="TOC2"/>
            <w:tabs>
              <w:tab w:val="left" w:pos="880"/>
              <w:tab w:val="right" w:leader="dot" w:pos="9062"/>
            </w:tabs>
            <w:rPr>
              <w:rFonts w:eastAsiaTheme="minorEastAsia"/>
              <w:noProof/>
              <w:lang w:eastAsia="en-GB"/>
            </w:rPr>
          </w:pPr>
          <w:hyperlink w:anchor="_Toc22367553" w:history="1">
            <w:r w:rsidR="002C3C68" w:rsidRPr="004D3778">
              <w:rPr>
                <w:rStyle w:val="Hyperlink"/>
                <w:noProof/>
              </w:rPr>
              <w:t>2.1</w:t>
            </w:r>
            <w:r w:rsidR="002C3C68">
              <w:rPr>
                <w:rFonts w:eastAsiaTheme="minorEastAsia"/>
                <w:noProof/>
                <w:lang w:eastAsia="en-GB"/>
              </w:rPr>
              <w:tab/>
            </w:r>
            <w:r w:rsidR="002C3C68" w:rsidRPr="004D3778">
              <w:rPr>
                <w:rStyle w:val="Hyperlink"/>
                <w:noProof/>
              </w:rPr>
              <w:t>Vector bionomics</w:t>
            </w:r>
            <w:r w:rsidR="002C3C68">
              <w:rPr>
                <w:noProof/>
                <w:webHidden/>
              </w:rPr>
              <w:tab/>
            </w:r>
            <w:r w:rsidR="002C3C68">
              <w:rPr>
                <w:noProof/>
                <w:webHidden/>
              </w:rPr>
              <w:fldChar w:fldCharType="begin"/>
            </w:r>
            <w:r w:rsidR="002C3C68">
              <w:rPr>
                <w:noProof/>
                <w:webHidden/>
              </w:rPr>
              <w:instrText xml:space="preserve"> PAGEREF _Toc22367553 \h </w:instrText>
            </w:r>
            <w:r w:rsidR="002C3C68">
              <w:rPr>
                <w:noProof/>
                <w:webHidden/>
              </w:rPr>
            </w:r>
            <w:r w:rsidR="002C3C68">
              <w:rPr>
                <w:noProof/>
                <w:webHidden/>
              </w:rPr>
              <w:fldChar w:fldCharType="separate"/>
            </w:r>
            <w:r w:rsidR="00F25658">
              <w:rPr>
                <w:noProof/>
                <w:webHidden/>
              </w:rPr>
              <w:t>4</w:t>
            </w:r>
            <w:r w:rsidR="002C3C68">
              <w:rPr>
                <w:noProof/>
                <w:webHidden/>
              </w:rPr>
              <w:fldChar w:fldCharType="end"/>
            </w:r>
          </w:hyperlink>
        </w:p>
        <w:p w14:paraId="63BF4FB0" w14:textId="02A23FEA" w:rsidR="002C3C68" w:rsidRDefault="00B90DEF">
          <w:pPr>
            <w:pStyle w:val="TOC2"/>
            <w:tabs>
              <w:tab w:val="left" w:pos="880"/>
              <w:tab w:val="right" w:leader="dot" w:pos="9062"/>
            </w:tabs>
            <w:rPr>
              <w:rFonts w:eastAsiaTheme="minorEastAsia"/>
              <w:noProof/>
              <w:lang w:eastAsia="en-GB"/>
            </w:rPr>
          </w:pPr>
          <w:hyperlink w:anchor="_Toc22367554" w:history="1">
            <w:r w:rsidR="002C3C68" w:rsidRPr="004D3778">
              <w:rPr>
                <w:rStyle w:val="Hyperlink"/>
                <w:noProof/>
              </w:rPr>
              <w:t>2.2</w:t>
            </w:r>
            <w:r w:rsidR="002C3C68">
              <w:rPr>
                <w:rFonts w:eastAsiaTheme="minorEastAsia"/>
                <w:noProof/>
                <w:lang w:eastAsia="en-GB"/>
              </w:rPr>
              <w:tab/>
            </w:r>
            <w:r w:rsidR="002C3C68" w:rsidRPr="004D3778">
              <w:rPr>
                <w:rStyle w:val="Hyperlink"/>
                <w:noProof/>
              </w:rPr>
              <w:t>Transmission intensity and seasonality</w:t>
            </w:r>
            <w:r w:rsidR="002C3C68">
              <w:rPr>
                <w:noProof/>
                <w:webHidden/>
              </w:rPr>
              <w:tab/>
            </w:r>
            <w:r w:rsidR="002C3C68">
              <w:rPr>
                <w:noProof/>
                <w:webHidden/>
              </w:rPr>
              <w:fldChar w:fldCharType="begin"/>
            </w:r>
            <w:r w:rsidR="002C3C68">
              <w:rPr>
                <w:noProof/>
                <w:webHidden/>
              </w:rPr>
              <w:instrText xml:space="preserve"> PAGEREF _Toc22367554 \h </w:instrText>
            </w:r>
            <w:r w:rsidR="002C3C68">
              <w:rPr>
                <w:noProof/>
                <w:webHidden/>
              </w:rPr>
            </w:r>
            <w:r w:rsidR="002C3C68">
              <w:rPr>
                <w:noProof/>
                <w:webHidden/>
              </w:rPr>
              <w:fldChar w:fldCharType="separate"/>
            </w:r>
            <w:r w:rsidR="00F25658">
              <w:rPr>
                <w:noProof/>
                <w:webHidden/>
              </w:rPr>
              <w:t>7</w:t>
            </w:r>
            <w:r w:rsidR="002C3C68">
              <w:rPr>
                <w:noProof/>
                <w:webHidden/>
              </w:rPr>
              <w:fldChar w:fldCharType="end"/>
            </w:r>
          </w:hyperlink>
        </w:p>
        <w:p w14:paraId="3D60EBE1" w14:textId="563C50E2" w:rsidR="002C3C68" w:rsidRDefault="00B90DEF">
          <w:pPr>
            <w:pStyle w:val="TOC2"/>
            <w:tabs>
              <w:tab w:val="left" w:pos="880"/>
              <w:tab w:val="right" w:leader="dot" w:pos="9062"/>
            </w:tabs>
            <w:rPr>
              <w:rFonts w:eastAsiaTheme="minorEastAsia"/>
              <w:noProof/>
              <w:lang w:eastAsia="en-GB"/>
            </w:rPr>
          </w:pPr>
          <w:hyperlink w:anchor="_Toc22367555" w:history="1">
            <w:r w:rsidR="002C3C68" w:rsidRPr="004D3778">
              <w:rPr>
                <w:rStyle w:val="Hyperlink"/>
                <w:noProof/>
              </w:rPr>
              <w:t>2.3</w:t>
            </w:r>
            <w:r w:rsidR="002C3C68">
              <w:rPr>
                <w:rFonts w:eastAsiaTheme="minorEastAsia"/>
                <w:noProof/>
                <w:lang w:eastAsia="en-GB"/>
              </w:rPr>
              <w:tab/>
            </w:r>
            <w:r w:rsidR="002C3C68" w:rsidRPr="004D3778">
              <w:rPr>
                <w:rStyle w:val="Hyperlink"/>
                <w:noProof/>
              </w:rPr>
              <w:t>Case management and control interventions</w:t>
            </w:r>
            <w:r w:rsidR="002C3C68">
              <w:rPr>
                <w:noProof/>
                <w:webHidden/>
              </w:rPr>
              <w:tab/>
            </w:r>
            <w:r w:rsidR="002C3C68">
              <w:rPr>
                <w:noProof/>
                <w:webHidden/>
              </w:rPr>
              <w:fldChar w:fldCharType="begin"/>
            </w:r>
            <w:r w:rsidR="002C3C68">
              <w:rPr>
                <w:noProof/>
                <w:webHidden/>
              </w:rPr>
              <w:instrText xml:space="preserve"> PAGEREF _Toc22367555 \h </w:instrText>
            </w:r>
            <w:r w:rsidR="002C3C68">
              <w:rPr>
                <w:noProof/>
                <w:webHidden/>
              </w:rPr>
            </w:r>
            <w:r w:rsidR="002C3C68">
              <w:rPr>
                <w:noProof/>
                <w:webHidden/>
              </w:rPr>
              <w:fldChar w:fldCharType="separate"/>
            </w:r>
            <w:r w:rsidR="00F25658">
              <w:rPr>
                <w:noProof/>
                <w:webHidden/>
              </w:rPr>
              <w:t>8</w:t>
            </w:r>
            <w:r w:rsidR="002C3C68">
              <w:rPr>
                <w:noProof/>
                <w:webHidden/>
              </w:rPr>
              <w:fldChar w:fldCharType="end"/>
            </w:r>
          </w:hyperlink>
        </w:p>
        <w:p w14:paraId="4A45E184" w14:textId="510BC790" w:rsidR="002C3C68" w:rsidRDefault="00B90DEF">
          <w:pPr>
            <w:pStyle w:val="TOC1"/>
            <w:tabs>
              <w:tab w:val="left" w:pos="440"/>
              <w:tab w:val="right" w:leader="dot" w:pos="9062"/>
            </w:tabs>
            <w:rPr>
              <w:rFonts w:eastAsiaTheme="minorEastAsia"/>
              <w:noProof/>
              <w:lang w:eastAsia="en-GB"/>
            </w:rPr>
          </w:pPr>
          <w:hyperlink w:anchor="_Toc22367556" w:history="1">
            <w:r w:rsidR="002C3C68" w:rsidRPr="004D3778">
              <w:rPr>
                <w:rStyle w:val="Hyperlink"/>
                <w:noProof/>
              </w:rPr>
              <w:t>3</w:t>
            </w:r>
            <w:r w:rsidR="002C3C68">
              <w:rPr>
                <w:rFonts w:eastAsiaTheme="minorEastAsia"/>
                <w:noProof/>
                <w:lang w:eastAsia="en-GB"/>
              </w:rPr>
              <w:tab/>
            </w:r>
            <w:r w:rsidR="002C3C68" w:rsidRPr="004D3778">
              <w:rPr>
                <w:rStyle w:val="Hyperlink"/>
                <w:noProof/>
              </w:rPr>
              <w:t>Model calibration</w:t>
            </w:r>
            <w:r w:rsidR="002C3C68">
              <w:rPr>
                <w:noProof/>
                <w:webHidden/>
              </w:rPr>
              <w:tab/>
            </w:r>
            <w:r w:rsidR="002C3C68">
              <w:rPr>
                <w:noProof/>
                <w:webHidden/>
              </w:rPr>
              <w:fldChar w:fldCharType="begin"/>
            </w:r>
            <w:r w:rsidR="002C3C68">
              <w:rPr>
                <w:noProof/>
                <w:webHidden/>
              </w:rPr>
              <w:instrText xml:space="preserve"> PAGEREF _Toc22367556 \h </w:instrText>
            </w:r>
            <w:r w:rsidR="002C3C68">
              <w:rPr>
                <w:noProof/>
                <w:webHidden/>
              </w:rPr>
            </w:r>
            <w:r w:rsidR="002C3C68">
              <w:rPr>
                <w:noProof/>
                <w:webHidden/>
              </w:rPr>
              <w:fldChar w:fldCharType="separate"/>
            </w:r>
            <w:r w:rsidR="00F25658">
              <w:rPr>
                <w:noProof/>
                <w:webHidden/>
              </w:rPr>
              <w:t>15</w:t>
            </w:r>
            <w:r w:rsidR="002C3C68">
              <w:rPr>
                <w:noProof/>
                <w:webHidden/>
              </w:rPr>
              <w:fldChar w:fldCharType="end"/>
            </w:r>
          </w:hyperlink>
        </w:p>
        <w:p w14:paraId="75E9696E" w14:textId="6669F9CB" w:rsidR="002C3C68" w:rsidRDefault="00B90DEF">
          <w:pPr>
            <w:pStyle w:val="TOC1"/>
            <w:tabs>
              <w:tab w:val="left" w:pos="440"/>
              <w:tab w:val="right" w:leader="dot" w:pos="9062"/>
            </w:tabs>
            <w:rPr>
              <w:rFonts w:eastAsiaTheme="minorEastAsia"/>
              <w:noProof/>
              <w:lang w:eastAsia="en-GB"/>
            </w:rPr>
          </w:pPr>
          <w:hyperlink w:anchor="_Toc22367557" w:history="1">
            <w:r w:rsidR="002C3C68" w:rsidRPr="004D3778">
              <w:rPr>
                <w:rStyle w:val="Hyperlink"/>
                <w:noProof/>
              </w:rPr>
              <w:t>4</w:t>
            </w:r>
            <w:r w:rsidR="002C3C68">
              <w:rPr>
                <w:rFonts w:eastAsiaTheme="minorEastAsia"/>
                <w:noProof/>
                <w:lang w:eastAsia="en-GB"/>
              </w:rPr>
              <w:tab/>
            </w:r>
            <w:r w:rsidR="002C3C68" w:rsidRPr="004D3778">
              <w:rPr>
                <w:rStyle w:val="Hyperlink"/>
                <w:noProof/>
              </w:rPr>
              <w:t>Simulated future scenarios 2017-2020</w:t>
            </w:r>
            <w:r w:rsidR="002C3C68">
              <w:rPr>
                <w:noProof/>
                <w:webHidden/>
              </w:rPr>
              <w:tab/>
            </w:r>
            <w:r w:rsidR="002C3C68">
              <w:rPr>
                <w:noProof/>
                <w:webHidden/>
              </w:rPr>
              <w:fldChar w:fldCharType="begin"/>
            </w:r>
            <w:r w:rsidR="002C3C68">
              <w:rPr>
                <w:noProof/>
                <w:webHidden/>
              </w:rPr>
              <w:instrText xml:space="preserve"> PAGEREF _Toc22367557 \h </w:instrText>
            </w:r>
            <w:r w:rsidR="002C3C68">
              <w:rPr>
                <w:noProof/>
                <w:webHidden/>
              </w:rPr>
            </w:r>
            <w:r w:rsidR="002C3C68">
              <w:rPr>
                <w:noProof/>
                <w:webHidden/>
              </w:rPr>
              <w:fldChar w:fldCharType="separate"/>
            </w:r>
            <w:r w:rsidR="00F25658">
              <w:rPr>
                <w:noProof/>
                <w:webHidden/>
              </w:rPr>
              <w:t>15</w:t>
            </w:r>
            <w:r w:rsidR="002C3C68">
              <w:rPr>
                <w:noProof/>
                <w:webHidden/>
              </w:rPr>
              <w:fldChar w:fldCharType="end"/>
            </w:r>
          </w:hyperlink>
        </w:p>
        <w:p w14:paraId="167E910E" w14:textId="2C36F91A" w:rsidR="002C3C68" w:rsidRDefault="00B90DEF">
          <w:pPr>
            <w:pStyle w:val="TOC1"/>
            <w:tabs>
              <w:tab w:val="right" w:leader="dot" w:pos="9062"/>
            </w:tabs>
            <w:rPr>
              <w:rFonts w:eastAsiaTheme="minorEastAsia"/>
              <w:noProof/>
              <w:lang w:eastAsia="en-GB"/>
            </w:rPr>
          </w:pPr>
          <w:hyperlink w:anchor="_Toc22367558" w:history="1">
            <w:r w:rsidR="002C3C68" w:rsidRPr="004D3778">
              <w:rPr>
                <w:rStyle w:val="Hyperlink"/>
                <w:noProof/>
              </w:rPr>
              <w:t>References</w:t>
            </w:r>
            <w:r w:rsidR="002C3C68">
              <w:rPr>
                <w:noProof/>
                <w:webHidden/>
              </w:rPr>
              <w:tab/>
            </w:r>
            <w:r w:rsidR="002C3C68">
              <w:rPr>
                <w:noProof/>
                <w:webHidden/>
              </w:rPr>
              <w:fldChar w:fldCharType="begin"/>
            </w:r>
            <w:r w:rsidR="002C3C68">
              <w:rPr>
                <w:noProof/>
                <w:webHidden/>
              </w:rPr>
              <w:instrText xml:space="preserve"> PAGEREF _Toc22367558 \h </w:instrText>
            </w:r>
            <w:r w:rsidR="002C3C68">
              <w:rPr>
                <w:noProof/>
                <w:webHidden/>
              </w:rPr>
            </w:r>
            <w:r w:rsidR="002C3C68">
              <w:rPr>
                <w:noProof/>
                <w:webHidden/>
              </w:rPr>
              <w:fldChar w:fldCharType="separate"/>
            </w:r>
            <w:r w:rsidR="00F25658">
              <w:rPr>
                <w:noProof/>
                <w:webHidden/>
              </w:rPr>
              <w:t>16</w:t>
            </w:r>
            <w:r w:rsidR="002C3C68">
              <w:rPr>
                <w:noProof/>
                <w:webHidden/>
              </w:rPr>
              <w:fldChar w:fldCharType="end"/>
            </w:r>
          </w:hyperlink>
        </w:p>
        <w:p w14:paraId="70CEDC45" w14:textId="14532B0C" w:rsidR="00731B21" w:rsidRPr="00092331" w:rsidRDefault="003A65A2" w:rsidP="00C325CF">
          <w:pPr>
            <w:spacing w:after="240"/>
            <w:jc w:val="both"/>
          </w:pPr>
          <w:r>
            <w:fldChar w:fldCharType="end"/>
          </w:r>
        </w:p>
      </w:sdtContent>
    </w:sdt>
    <w:p w14:paraId="4AE52765" w14:textId="77777777" w:rsidR="00A24FF7" w:rsidRPr="00092331" w:rsidRDefault="00A24FF7" w:rsidP="00FB7E5A">
      <w:pPr>
        <w:spacing w:after="0"/>
        <w:jc w:val="both"/>
        <w:rPr>
          <w:rFonts w:eastAsiaTheme="majorEastAsia" w:cstheme="majorBidi"/>
          <w:bCs/>
          <w:sz w:val="28"/>
          <w:szCs w:val="28"/>
        </w:rPr>
        <w:sectPr w:rsidR="00A24FF7" w:rsidRPr="00092331" w:rsidSect="0034399F">
          <w:footerReference w:type="default" r:id="rId8"/>
          <w:pgSz w:w="11906" w:h="16838"/>
          <w:pgMar w:top="1417" w:right="1417" w:bottom="1134" w:left="1417" w:header="708" w:footer="708" w:gutter="0"/>
          <w:cols w:space="708"/>
          <w:docGrid w:linePitch="360"/>
        </w:sectPr>
      </w:pPr>
    </w:p>
    <w:p w14:paraId="54252FEC" w14:textId="77777777" w:rsidR="00A91C88" w:rsidRDefault="00A66E2C" w:rsidP="00FB7E5A">
      <w:pPr>
        <w:pStyle w:val="Heading1"/>
        <w:spacing w:before="0"/>
        <w:jc w:val="both"/>
      </w:pPr>
      <w:bookmarkStart w:id="4" w:name="_Toc22121183"/>
      <w:bookmarkStart w:id="5" w:name="_Toc22367551"/>
      <w:r w:rsidRPr="00092331">
        <w:lastRenderedPageBreak/>
        <w:t>Data and information sources</w:t>
      </w:r>
      <w:bookmarkEnd w:id="4"/>
      <w:bookmarkEnd w:id="5"/>
    </w:p>
    <w:p w14:paraId="31AC4F98" w14:textId="77777777" w:rsidR="007A1690" w:rsidRPr="007A1690" w:rsidRDefault="007A1690" w:rsidP="007A1690">
      <w:pPr>
        <w:spacing w:after="0"/>
      </w:pPr>
    </w:p>
    <w:p w14:paraId="3A765269" w14:textId="12AD06B6" w:rsidR="00A91C88" w:rsidRPr="00E40467" w:rsidRDefault="00A91C88" w:rsidP="00FB7E5A">
      <w:pPr>
        <w:pStyle w:val="Caption"/>
        <w:spacing w:before="0" w:after="0" w:line="276" w:lineRule="auto"/>
        <w:rPr>
          <w:rFonts w:asciiTheme="minorHAnsi" w:hAnsiTheme="minorHAnsi"/>
          <w:b/>
        </w:rPr>
      </w:pPr>
      <w:bookmarkStart w:id="6" w:name="_Ref519956453"/>
      <w:r w:rsidRPr="00092331">
        <w:rPr>
          <w:rFonts w:asciiTheme="minorHAnsi" w:hAnsiTheme="minorHAnsi"/>
          <w:b/>
        </w:rPr>
        <w:t xml:space="preserve">Table </w:t>
      </w:r>
      <w:r w:rsidR="009C3D40">
        <w:rPr>
          <w:rFonts w:asciiTheme="minorHAnsi" w:hAnsiTheme="minorHAnsi"/>
          <w:b/>
        </w:rPr>
        <w:t>S2.</w:t>
      </w:r>
      <w:r w:rsidR="00373891" w:rsidRPr="00092331">
        <w:rPr>
          <w:rFonts w:asciiTheme="minorHAnsi" w:hAnsiTheme="minorHAnsi"/>
          <w:b/>
        </w:rPr>
        <w:fldChar w:fldCharType="begin"/>
      </w:r>
      <w:r w:rsidR="00373891" w:rsidRPr="00092331">
        <w:rPr>
          <w:rFonts w:asciiTheme="minorHAnsi" w:hAnsiTheme="minorHAnsi"/>
          <w:b/>
        </w:rPr>
        <w:instrText xml:space="preserve"> SEQ Table \* ARABIC </w:instrText>
      </w:r>
      <w:r w:rsidR="00373891" w:rsidRPr="00092331">
        <w:rPr>
          <w:rFonts w:asciiTheme="minorHAnsi" w:hAnsiTheme="minorHAnsi"/>
          <w:b/>
        </w:rPr>
        <w:fldChar w:fldCharType="separate"/>
      </w:r>
      <w:r w:rsidR="00B51A34">
        <w:rPr>
          <w:rFonts w:asciiTheme="minorHAnsi" w:hAnsiTheme="minorHAnsi"/>
          <w:b/>
          <w:noProof/>
        </w:rPr>
        <w:t>1</w:t>
      </w:r>
      <w:r w:rsidR="00373891" w:rsidRPr="00092331">
        <w:rPr>
          <w:rFonts w:asciiTheme="minorHAnsi" w:hAnsiTheme="minorHAnsi"/>
          <w:b/>
          <w:noProof/>
        </w:rPr>
        <w:fldChar w:fldCharType="end"/>
      </w:r>
      <w:bookmarkEnd w:id="6"/>
      <w:r w:rsidRPr="00092331">
        <w:rPr>
          <w:rFonts w:asciiTheme="minorHAnsi" w:hAnsiTheme="minorHAnsi"/>
          <w:b/>
        </w:rPr>
        <w:t>:</w:t>
      </w:r>
      <w:r w:rsidRPr="00092331">
        <w:rPr>
          <w:rFonts w:asciiTheme="minorHAnsi" w:hAnsiTheme="minorHAnsi"/>
        </w:rPr>
        <w:t xml:space="preserve"> </w:t>
      </w:r>
      <w:r w:rsidR="009C47B0" w:rsidRPr="00E40467">
        <w:rPr>
          <w:rFonts w:asciiTheme="minorHAnsi" w:hAnsiTheme="minorHAnsi"/>
          <w:b/>
        </w:rPr>
        <w:t>Data</w:t>
      </w:r>
      <w:r w:rsidRPr="00E40467">
        <w:rPr>
          <w:rFonts w:asciiTheme="minorHAnsi" w:hAnsiTheme="minorHAnsi"/>
          <w:b/>
        </w:rPr>
        <w:t xml:space="preserve"> </w:t>
      </w:r>
      <w:r w:rsidR="00846BFA" w:rsidRPr="00E40467">
        <w:rPr>
          <w:rFonts w:asciiTheme="minorHAnsi" w:hAnsiTheme="minorHAnsi"/>
          <w:b/>
        </w:rPr>
        <w:t>and information sources</w:t>
      </w:r>
      <w:r w:rsidR="00A66E2C" w:rsidRPr="00E40467">
        <w:rPr>
          <w:rFonts w:asciiTheme="minorHAnsi" w:hAnsiTheme="minorHAnsi"/>
          <w:b/>
        </w:rPr>
        <w:t xml:space="preserve"> used for parameterising </w:t>
      </w:r>
      <w:r w:rsidR="00A66E2C" w:rsidRPr="00E40467">
        <w:rPr>
          <w:rFonts w:asciiTheme="minorHAnsi" w:hAnsiTheme="minorHAnsi"/>
          <w:b/>
          <w:i/>
        </w:rPr>
        <w:t>OpenMalaria</w:t>
      </w:r>
      <w:r w:rsidR="00A66E2C" w:rsidRPr="00E40467">
        <w:rPr>
          <w:rFonts w:asciiTheme="minorHAnsi" w:hAnsiTheme="minorHAnsi"/>
          <w:b/>
        </w:rPr>
        <w:t xml:space="preserve"> models</w:t>
      </w:r>
      <w:r w:rsidR="00215A11">
        <w:rPr>
          <w:rFonts w:asciiTheme="minorHAnsi" w:hAnsiTheme="minorHAnsi"/>
          <w:b/>
        </w:rPr>
        <w:t xml:space="preserve"> and analysing outputs</w:t>
      </w:r>
      <w:r w:rsidR="00E40467">
        <w:rPr>
          <w:rFonts w:asciiTheme="minorHAnsi" w:hAnsiTheme="minorHAnsi"/>
          <w:b/>
        </w:rPr>
        <w:t>.</w:t>
      </w:r>
    </w:p>
    <w:tbl>
      <w:tblPr>
        <w:tblW w:w="14000" w:type="dxa"/>
        <w:tblLayout w:type="fixed"/>
        <w:tblLook w:val="04A0" w:firstRow="1" w:lastRow="0" w:firstColumn="1" w:lastColumn="0" w:noHBand="0" w:noVBand="1"/>
      </w:tblPr>
      <w:tblGrid>
        <w:gridCol w:w="1560"/>
        <w:gridCol w:w="3458"/>
        <w:gridCol w:w="2801"/>
        <w:gridCol w:w="1134"/>
        <w:gridCol w:w="1146"/>
        <w:gridCol w:w="1133"/>
        <w:gridCol w:w="2768"/>
      </w:tblGrid>
      <w:tr w:rsidR="00215A11" w:rsidRPr="00092331" w14:paraId="7B9D8A4D"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hideMark/>
          </w:tcPr>
          <w:p w14:paraId="684457F7" w14:textId="48DAA801" w:rsidR="00215A11" w:rsidRPr="00092331" w:rsidRDefault="00215A11" w:rsidP="00FB7E5A">
            <w:pPr>
              <w:spacing w:after="0"/>
              <w:jc w:val="both"/>
              <w:rPr>
                <w:b/>
                <w:bCs/>
                <w:sz w:val="18"/>
                <w:szCs w:val="18"/>
                <w:lang w:eastAsia="en-GB"/>
              </w:rPr>
            </w:pPr>
            <w:r w:rsidRPr="00092331">
              <w:rPr>
                <w:b/>
                <w:bCs/>
                <w:sz w:val="18"/>
                <w:szCs w:val="18"/>
                <w:lang w:eastAsia="en-GB"/>
              </w:rPr>
              <w:t>Indicator</w:t>
            </w:r>
          </w:p>
        </w:tc>
        <w:tc>
          <w:tcPr>
            <w:tcW w:w="3458" w:type="dxa"/>
            <w:tcBorders>
              <w:top w:val="single" w:sz="4" w:space="0" w:color="auto"/>
              <w:left w:val="nil"/>
              <w:bottom w:val="single" w:sz="4" w:space="0" w:color="auto"/>
              <w:right w:val="nil"/>
            </w:tcBorders>
            <w:vAlign w:val="center"/>
          </w:tcPr>
          <w:p w14:paraId="4C2DB1EF" w14:textId="7F02029C" w:rsidR="00215A11" w:rsidRPr="00092331" w:rsidRDefault="00215A11" w:rsidP="00FB7E5A">
            <w:pPr>
              <w:spacing w:after="0"/>
              <w:jc w:val="both"/>
              <w:rPr>
                <w:b/>
                <w:bCs/>
                <w:sz w:val="18"/>
                <w:szCs w:val="18"/>
                <w:lang w:eastAsia="en-GB"/>
              </w:rPr>
            </w:pPr>
            <w:r w:rsidRPr="00092331">
              <w:rPr>
                <w:b/>
                <w:bCs/>
                <w:sz w:val="18"/>
                <w:szCs w:val="18"/>
                <w:lang w:eastAsia="en-GB"/>
              </w:rPr>
              <w:t>Definition</w:t>
            </w:r>
          </w:p>
        </w:tc>
        <w:tc>
          <w:tcPr>
            <w:tcW w:w="2801" w:type="dxa"/>
            <w:tcBorders>
              <w:top w:val="single" w:sz="4" w:space="0" w:color="auto"/>
              <w:left w:val="nil"/>
              <w:bottom w:val="single" w:sz="4" w:space="0" w:color="auto"/>
              <w:right w:val="nil"/>
            </w:tcBorders>
            <w:shd w:val="clear" w:color="auto" w:fill="auto"/>
            <w:vAlign w:val="center"/>
            <w:hideMark/>
          </w:tcPr>
          <w:p w14:paraId="20EF860F" w14:textId="338AA9DB" w:rsidR="00215A11" w:rsidRPr="00092331" w:rsidRDefault="00215A11" w:rsidP="00FB7E5A">
            <w:pPr>
              <w:spacing w:after="0"/>
              <w:jc w:val="both"/>
              <w:rPr>
                <w:b/>
                <w:bCs/>
                <w:sz w:val="18"/>
                <w:szCs w:val="18"/>
                <w:lang w:eastAsia="en-GB"/>
              </w:rPr>
            </w:pPr>
            <w:r w:rsidRPr="00092331">
              <w:rPr>
                <w:b/>
                <w:bCs/>
                <w:sz w:val="18"/>
                <w:szCs w:val="18"/>
                <w:lang w:eastAsia="en-GB"/>
              </w:rPr>
              <w:t>Use</w:t>
            </w:r>
          </w:p>
        </w:tc>
        <w:tc>
          <w:tcPr>
            <w:tcW w:w="1134" w:type="dxa"/>
            <w:tcBorders>
              <w:top w:val="single" w:sz="4" w:space="0" w:color="auto"/>
              <w:left w:val="nil"/>
              <w:bottom w:val="single" w:sz="4" w:space="0" w:color="auto"/>
              <w:right w:val="nil"/>
            </w:tcBorders>
            <w:shd w:val="clear" w:color="auto" w:fill="auto"/>
            <w:vAlign w:val="center"/>
            <w:hideMark/>
          </w:tcPr>
          <w:p w14:paraId="1FF6B36F" w14:textId="77777777" w:rsidR="00215A11" w:rsidRPr="00092331" w:rsidRDefault="00215A11" w:rsidP="00FB7E5A">
            <w:pPr>
              <w:spacing w:after="0"/>
              <w:jc w:val="both"/>
              <w:rPr>
                <w:b/>
                <w:bCs/>
                <w:sz w:val="18"/>
                <w:szCs w:val="18"/>
                <w:lang w:eastAsia="en-GB"/>
              </w:rPr>
            </w:pPr>
            <w:r w:rsidRPr="00092331">
              <w:rPr>
                <w:b/>
                <w:bCs/>
                <w:sz w:val="18"/>
                <w:szCs w:val="18"/>
                <w:lang w:eastAsia="en-GB"/>
              </w:rPr>
              <w:t>Resolution</w:t>
            </w:r>
          </w:p>
        </w:tc>
        <w:tc>
          <w:tcPr>
            <w:tcW w:w="1146" w:type="dxa"/>
            <w:tcBorders>
              <w:top w:val="single" w:sz="4" w:space="0" w:color="auto"/>
              <w:left w:val="nil"/>
              <w:bottom w:val="single" w:sz="4" w:space="0" w:color="auto"/>
              <w:right w:val="nil"/>
            </w:tcBorders>
            <w:shd w:val="clear" w:color="auto" w:fill="auto"/>
            <w:vAlign w:val="center"/>
            <w:hideMark/>
          </w:tcPr>
          <w:p w14:paraId="564E75D3" w14:textId="137B13D3" w:rsidR="00215A11" w:rsidRPr="00092331" w:rsidRDefault="00215A11" w:rsidP="00810E50">
            <w:pPr>
              <w:spacing w:after="0"/>
              <w:jc w:val="both"/>
              <w:rPr>
                <w:b/>
                <w:bCs/>
                <w:sz w:val="18"/>
                <w:szCs w:val="18"/>
                <w:lang w:eastAsia="en-GB"/>
              </w:rPr>
            </w:pPr>
            <w:r w:rsidRPr="00092331">
              <w:rPr>
                <w:b/>
                <w:bCs/>
                <w:sz w:val="18"/>
                <w:szCs w:val="18"/>
                <w:lang w:eastAsia="en-GB"/>
              </w:rPr>
              <w:t xml:space="preserve">Age </w:t>
            </w:r>
            <w:r>
              <w:rPr>
                <w:b/>
                <w:bCs/>
                <w:sz w:val="18"/>
                <w:szCs w:val="18"/>
                <w:lang w:eastAsia="en-GB"/>
              </w:rPr>
              <w:t>g</w:t>
            </w:r>
            <w:r w:rsidRPr="00092331">
              <w:rPr>
                <w:b/>
                <w:bCs/>
                <w:sz w:val="18"/>
                <w:szCs w:val="18"/>
                <w:lang w:eastAsia="en-GB"/>
              </w:rPr>
              <w:t>roup</w:t>
            </w:r>
          </w:p>
        </w:tc>
        <w:tc>
          <w:tcPr>
            <w:tcW w:w="1133" w:type="dxa"/>
            <w:tcBorders>
              <w:top w:val="single" w:sz="4" w:space="0" w:color="auto"/>
              <w:left w:val="nil"/>
              <w:bottom w:val="single" w:sz="4" w:space="0" w:color="auto"/>
              <w:right w:val="nil"/>
            </w:tcBorders>
            <w:shd w:val="clear" w:color="auto" w:fill="auto"/>
            <w:vAlign w:val="center"/>
            <w:hideMark/>
          </w:tcPr>
          <w:p w14:paraId="1B0B0AF4" w14:textId="77777777" w:rsidR="00215A11" w:rsidRPr="00092331" w:rsidRDefault="00215A11" w:rsidP="00FB7E5A">
            <w:pPr>
              <w:spacing w:after="0"/>
              <w:jc w:val="both"/>
              <w:rPr>
                <w:b/>
                <w:bCs/>
                <w:sz w:val="18"/>
                <w:szCs w:val="18"/>
                <w:lang w:eastAsia="en-GB"/>
              </w:rPr>
            </w:pPr>
            <w:r w:rsidRPr="00092331">
              <w:rPr>
                <w:b/>
                <w:bCs/>
                <w:sz w:val="18"/>
                <w:szCs w:val="18"/>
                <w:lang w:eastAsia="en-GB"/>
              </w:rPr>
              <w:t>Years</w:t>
            </w:r>
          </w:p>
        </w:tc>
        <w:tc>
          <w:tcPr>
            <w:tcW w:w="2768" w:type="dxa"/>
            <w:tcBorders>
              <w:top w:val="single" w:sz="4" w:space="0" w:color="auto"/>
              <w:left w:val="nil"/>
              <w:bottom w:val="single" w:sz="4" w:space="0" w:color="auto"/>
              <w:right w:val="nil"/>
            </w:tcBorders>
            <w:vAlign w:val="center"/>
          </w:tcPr>
          <w:p w14:paraId="24BCD754" w14:textId="77777777" w:rsidR="00215A11" w:rsidRPr="00092331" w:rsidRDefault="00215A11" w:rsidP="00FB7E5A">
            <w:pPr>
              <w:spacing w:after="0"/>
              <w:jc w:val="both"/>
              <w:rPr>
                <w:b/>
                <w:bCs/>
                <w:sz w:val="18"/>
                <w:szCs w:val="18"/>
                <w:lang w:eastAsia="en-GB"/>
              </w:rPr>
            </w:pPr>
            <w:r w:rsidRPr="00092331">
              <w:rPr>
                <w:b/>
                <w:bCs/>
                <w:sz w:val="18"/>
                <w:szCs w:val="18"/>
                <w:lang w:eastAsia="en-GB"/>
              </w:rPr>
              <w:t>Source</w:t>
            </w:r>
          </w:p>
        </w:tc>
      </w:tr>
      <w:tr w:rsidR="00215A11" w:rsidRPr="00092331" w14:paraId="71D41FA4" w14:textId="77777777" w:rsidTr="00215A11">
        <w:trPr>
          <w:trHeight w:val="284"/>
        </w:trPr>
        <w:tc>
          <w:tcPr>
            <w:tcW w:w="14000" w:type="dxa"/>
            <w:gridSpan w:val="7"/>
            <w:tcBorders>
              <w:top w:val="single" w:sz="4" w:space="0" w:color="auto"/>
              <w:left w:val="nil"/>
              <w:right w:val="nil"/>
            </w:tcBorders>
            <w:shd w:val="clear" w:color="auto" w:fill="auto"/>
            <w:vAlign w:val="center"/>
          </w:tcPr>
          <w:p w14:paraId="7CFF8667" w14:textId="0EB0FB50" w:rsidR="00215A11" w:rsidRPr="00092331" w:rsidRDefault="00215A11" w:rsidP="002C3C68">
            <w:pPr>
              <w:keepNext/>
              <w:spacing w:after="0"/>
              <w:rPr>
                <w:sz w:val="18"/>
                <w:szCs w:val="18"/>
                <w:lang w:eastAsia="en-GB"/>
              </w:rPr>
            </w:pPr>
            <w:r w:rsidRPr="00215A11">
              <w:rPr>
                <w:b/>
                <w:sz w:val="20"/>
                <w:szCs w:val="18"/>
                <w:lang w:eastAsia="en-GB"/>
              </w:rPr>
              <w:t>Population</w:t>
            </w:r>
            <w:r>
              <w:rPr>
                <w:b/>
                <w:sz w:val="20"/>
                <w:szCs w:val="18"/>
                <w:lang w:eastAsia="en-GB"/>
              </w:rPr>
              <w:t xml:space="preserve"> and administrative units</w:t>
            </w:r>
          </w:p>
        </w:tc>
      </w:tr>
      <w:tr w:rsidR="00215A11" w:rsidRPr="00092331" w14:paraId="74298A2A" w14:textId="77777777" w:rsidTr="00215A11">
        <w:trPr>
          <w:trHeight w:val="284"/>
        </w:trPr>
        <w:tc>
          <w:tcPr>
            <w:tcW w:w="1560" w:type="dxa"/>
            <w:tcBorders>
              <w:top w:val="single" w:sz="4" w:space="0" w:color="auto"/>
              <w:left w:val="nil"/>
              <w:right w:val="nil"/>
            </w:tcBorders>
            <w:shd w:val="clear" w:color="auto" w:fill="auto"/>
            <w:vAlign w:val="center"/>
          </w:tcPr>
          <w:p w14:paraId="0486FB5C" w14:textId="201623D5" w:rsidR="00215A11" w:rsidRPr="00092331" w:rsidRDefault="00215A11" w:rsidP="002A5E29">
            <w:pPr>
              <w:spacing w:after="0"/>
              <w:rPr>
                <w:sz w:val="18"/>
                <w:szCs w:val="18"/>
                <w:lang w:eastAsia="en-GB"/>
              </w:rPr>
            </w:pPr>
            <w:r>
              <w:rPr>
                <w:sz w:val="18"/>
                <w:szCs w:val="18"/>
                <w:lang w:eastAsia="en-GB"/>
              </w:rPr>
              <w:t>Administrative boundaries</w:t>
            </w:r>
          </w:p>
        </w:tc>
        <w:tc>
          <w:tcPr>
            <w:tcW w:w="3458" w:type="dxa"/>
            <w:tcBorders>
              <w:top w:val="single" w:sz="4" w:space="0" w:color="auto"/>
              <w:left w:val="nil"/>
              <w:bottom w:val="single" w:sz="4" w:space="0" w:color="auto"/>
              <w:right w:val="nil"/>
            </w:tcBorders>
            <w:vAlign w:val="center"/>
          </w:tcPr>
          <w:p w14:paraId="496598B7" w14:textId="5E46BEBB" w:rsidR="00215A11" w:rsidRDefault="00215A11" w:rsidP="00215A11">
            <w:pPr>
              <w:spacing w:after="0"/>
              <w:rPr>
                <w:sz w:val="18"/>
                <w:szCs w:val="18"/>
                <w:lang w:eastAsia="en-GB"/>
              </w:rPr>
            </w:pPr>
            <w:r>
              <w:rPr>
                <w:sz w:val="18"/>
                <w:szCs w:val="18"/>
                <w:lang w:eastAsia="en-GB"/>
              </w:rPr>
              <w:t xml:space="preserve">Geographical areas that are defined by boundaries for administrative and operational purposes </w:t>
            </w:r>
          </w:p>
        </w:tc>
        <w:tc>
          <w:tcPr>
            <w:tcW w:w="2801" w:type="dxa"/>
            <w:tcBorders>
              <w:top w:val="single" w:sz="4" w:space="0" w:color="auto"/>
              <w:left w:val="nil"/>
              <w:bottom w:val="single" w:sz="4" w:space="0" w:color="auto"/>
              <w:right w:val="nil"/>
            </w:tcBorders>
            <w:shd w:val="clear" w:color="auto" w:fill="auto"/>
            <w:vAlign w:val="center"/>
          </w:tcPr>
          <w:p w14:paraId="59A08955" w14:textId="23BEF324" w:rsidR="00215A11" w:rsidRDefault="00215A11" w:rsidP="00503CA2">
            <w:pPr>
              <w:spacing w:after="0"/>
              <w:rPr>
                <w:sz w:val="18"/>
                <w:szCs w:val="18"/>
                <w:lang w:eastAsia="en-GB"/>
              </w:rPr>
            </w:pPr>
            <w:r>
              <w:rPr>
                <w:sz w:val="18"/>
                <w:szCs w:val="18"/>
                <w:lang w:eastAsia="en-GB"/>
              </w:rPr>
              <w:t>To define the number of distinct models to run</w:t>
            </w:r>
          </w:p>
        </w:tc>
        <w:tc>
          <w:tcPr>
            <w:tcW w:w="1134" w:type="dxa"/>
            <w:tcBorders>
              <w:top w:val="single" w:sz="4" w:space="0" w:color="auto"/>
              <w:left w:val="nil"/>
              <w:bottom w:val="single" w:sz="4" w:space="0" w:color="auto"/>
              <w:right w:val="nil"/>
            </w:tcBorders>
            <w:shd w:val="clear" w:color="auto" w:fill="auto"/>
            <w:vAlign w:val="center"/>
          </w:tcPr>
          <w:p w14:paraId="7EC16E72" w14:textId="12E72559" w:rsidR="00215A11" w:rsidRPr="00092331" w:rsidRDefault="00215A11" w:rsidP="002A5E29">
            <w:pPr>
              <w:spacing w:after="0"/>
              <w:rPr>
                <w:sz w:val="18"/>
                <w:szCs w:val="18"/>
                <w:lang w:eastAsia="en-GB"/>
              </w:rPr>
            </w:pPr>
            <w:r>
              <w:rPr>
                <w:sz w:val="18"/>
                <w:szCs w:val="18"/>
                <w:lang w:eastAsia="en-GB"/>
              </w:rPr>
              <w:t>NA</w:t>
            </w:r>
          </w:p>
        </w:tc>
        <w:tc>
          <w:tcPr>
            <w:tcW w:w="1146" w:type="dxa"/>
            <w:tcBorders>
              <w:top w:val="single" w:sz="4" w:space="0" w:color="auto"/>
              <w:left w:val="nil"/>
              <w:bottom w:val="single" w:sz="4" w:space="0" w:color="auto"/>
              <w:right w:val="nil"/>
            </w:tcBorders>
            <w:shd w:val="clear" w:color="auto" w:fill="auto"/>
            <w:vAlign w:val="center"/>
          </w:tcPr>
          <w:p w14:paraId="5DB7132F" w14:textId="489087C5" w:rsidR="00215A11" w:rsidRDefault="00215A11" w:rsidP="002A5E29">
            <w:pPr>
              <w:spacing w:after="0"/>
              <w:rPr>
                <w:sz w:val="18"/>
                <w:szCs w:val="18"/>
                <w:lang w:eastAsia="en-GB"/>
              </w:rPr>
            </w:pPr>
            <w:r>
              <w:rPr>
                <w:sz w:val="18"/>
                <w:szCs w:val="18"/>
                <w:lang w:eastAsia="en-GB"/>
              </w:rPr>
              <w:t>NA</w:t>
            </w:r>
          </w:p>
        </w:tc>
        <w:tc>
          <w:tcPr>
            <w:tcW w:w="1133" w:type="dxa"/>
            <w:tcBorders>
              <w:top w:val="single" w:sz="4" w:space="0" w:color="auto"/>
              <w:left w:val="nil"/>
              <w:bottom w:val="single" w:sz="4" w:space="0" w:color="auto"/>
              <w:right w:val="nil"/>
            </w:tcBorders>
            <w:shd w:val="clear" w:color="auto" w:fill="auto"/>
            <w:vAlign w:val="center"/>
          </w:tcPr>
          <w:p w14:paraId="5367D102" w14:textId="2AF65B7D" w:rsidR="00215A11" w:rsidRPr="00092331" w:rsidRDefault="00215A11" w:rsidP="002A5E29">
            <w:pPr>
              <w:spacing w:after="0"/>
              <w:rPr>
                <w:sz w:val="18"/>
                <w:szCs w:val="18"/>
                <w:lang w:eastAsia="en-GB"/>
              </w:rPr>
            </w:pPr>
            <w:r>
              <w:rPr>
                <w:sz w:val="18"/>
                <w:szCs w:val="18"/>
                <w:lang w:eastAsia="en-GB"/>
              </w:rPr>
              <w:t>2018</w:t>
            </w:r>
          </w:p>
        </w:tc>
        <w:tc>
          <w:tcPr>
            <w:tcW w:w="2768" w:type="dxa"/>
            <w:tcBorders>
              <w:top w:val="single" w:sz="4" w:space="0" w:color="auto"/>
              <w:left w:val="nil"/>
              <w:bottom w:val="single" w:sz="4" w:space="0" w:color="auto"/>
              <w:right w:val="nil"/>
            </w:tcBorders>
            <w:shd w:val="clear" w:color="auto" w:fill="auto"/>
            <w:vAlign w:val="center"/>
          </w:tcPr>
          <w:p w14:paraId="50CA18E3" w14:textId="1A436200" w:rsidR="00215A11" w:rsidRPr="00092331" w:rsidRDefault="00215A11" w:rsidP="002C3C68">
            <w:pPr>
              <w:keepNext/>
              <w:spacing w:after="0"/>
              <w:rPr>
                <w:sz w:val="18"/>
                <w:szCs w:val="18"/>
                <w:lang w:eastAsia="en-GB"/>
              </w:rPr>
            </w:pPr>
            <w:r>
              <w:rPr>
                <w:sz w:val="18"/>
                <w:szCs w:val="18"/>
                <w:lang w:eastAsia="en-GB"/>
              </w:rPr>
              <w:t>NMCP (unpublished data)</w:t>
            </w:r>
          </w:p>
        </w:tc>
      </w:tr>
      <w:tr w:rsidR="00215A11" w:rsidRPr="00092331" w14:paraId="43349D59" w14:textId="77777777" w:rsidTr="00215A11">
        <w:trPr>
          <w:trHeight w:val="284"/>
        </w:trPr>
        <w:tc>
          <w:tcPr>
            <w:tcW w:w="1560" w:type="dxa"/>
            <w:vMerge w:val="restart"/>
            <w:tcBorders>
              <w:top w:val="single" w:sz="4" w:space="0" w:color="auto"/>
              <w:left w:val="nil"/>
              <w:right w:val="nil"/>
            </w:tcBorders>
            <w:shd w:val="clear" w:color="auto" w:fill="auto"/>
            <w:vAlign w:val="center"/>
          </w:tcPr>
          <w:p w14:paraId="194C819D" w14:textId="5424FFD9" w:rsidR="00215A11" w:rsidRPr="00092331" w:rsidRDefault="00215A11" w:rsidP="002A5E29">
            <w:pPr>
              <w:spacing w:after="0"/>
              <w:rPr>
                <w:sz w:val="18"/>
                <w:szCs w:val="18"/>
                <w:lang w:eastAsia="en-GB"/>
              </w:rPr>
            </w:pPr>
            <w:r w:rsidRPr="00092331">
              <w:rPr>
                <w:sz w:val="18"/>
                <w:szCs w:val="18"/>
                <w:lang w:eastAsia="en-GB"/>
              </w:rPr>
              <w:t xml:space="preserve">Population </w:t>
            </w:r>
          </w:p>
        </w:tc>
        <w:tc>
          <w:tcPr>
            <w:tcW w:w="3458" w:type="dxa"/>
            <w:tcBorders>
              <w:top w:val="single" w:sz="4" w:space="0" w:color="auto"/>
              <w:left w:val="nil"/>
              <w:bottom w:val="single" w:sz="4" w:space="0" w:color="auto"/>
              <w:right w:val="nil"/>
            </w:tcBorders>
            <w:vAlign w:val="center"/>
          </w:tcPr>
          <w:p w14:paraId="27152E84" w14:textId="3302D60F" w:rsidR="00215A11" w:rsidRPr="00092331" w:rsidRDefault="00215A11" w:rsidP="00503CA2">
            <w:pPr>
              <w:spacing w:after="0"/>
              <w:rPr>
                <w:sz w:val="18"/>
                <w:szCs w:val="18"/>
                <w:lang w:eastAsia="en-GB"/>
              </w:rPr>
            </w:pPr>
            <w:r>
              <w:rPr>
                <w:sz w:val="18"/>
                <w:szCs w:val="18"/>
                <w:lang w:eastAsia="en-GB"/>
              </w:rPr>
              <w:t>Population estimates at high resolution</w:t>
            </w:r>
          </w:p>
        </w:tc>
        <w:tc>
          <w:tcPr>
            <w:tcW w:w="2801" w:type="dxa"/>
            <w:tcBorders>
              <w:top w:val="single" w:sz="4" w:space="0" w:color="auto"/>
              <w:left w:val="nil"/>
              <w:bottom w:val="single" w:sz="4" w:space="0" w:color="auto"/>
              <w:right w:val="nil"/>
            </w:tcBorders>
            <w:shd w:val="clear" w:color="auto" w:fill="auto"/>
            <w:vAlign w:val="center"/>
          </w:tcPr>
          <w:p w14:paraId="72A6468E" w14:textId="3CB7A48B" w:rsidR="00215A11" w:rsidRPr="00092331" w:rsidRDefault="00215A11" w:rsidP="00503CA2">
            <w:pPr>
              <w:spacing w:after="0"/>
              <w:rPr>
                <w:sz w:val="18"/>
                <w:szCs w:val="18"/>
                <w:lang w:eastAsia="en-GB"/>
              </w:rPr>
            </w:pPr>
            <w:r>
              <w:rPr>
                <w:sz w:val="18"/>
                <w:szCs w:val="18"/>
                <w:lang w:eastAsia="en-GB"/>
              </w:rPr>
              <w:t>To extract p</w:t>
            </w:r>
            <w:r w:rsidRPr="00092331">
              <w:rPr>
                <w:sz w:val="18"/>
                <w:szCs w:val="18"/>
                <w:lang w:eastAsia="en-GB"/>
              </w:rPr>
              <w:t>opulation-</w:t>
            </w:r>
            <w:r>
              <w:rPr>
                <w:sz w:val="18"/>
                <w:szCs w:val="18"/>
                <w:lang w:eastAsia="en-GB"/>
              </w:rPr>
              <w:t>weighted averages f</w:t>
            </w:r>
            <w:r w:rsidR="00C24AEF">
              <w:rPr>
                <w:sz w:val="18"/>
                <w:szCs w:val="18"/>
                <w:lang w:eastAsia="en-GB"/>
              </w:rPr>
              <w:t xml:space="preserve">rom high resolution ITN </w:t>
            </w:r>
            <w:r w:rsidR="0076338D">
              <w:rPr>
                <w:sz w:val="18"/>
                <w:szCs w:val="18"/>
                <w:lang w:eastAsia="en-GB"/>
              </w:rPr>
              <w:t>usage</w:t>
            </w:r>
            <w:r>
              <w:rPr>
                <w:sz w:val="18"/>
                <w:szCs w:val="18"/>
                <w:lang w:eastAsia="en-GB"/>
              </w:rPr>
              <w:t xml:space="preserve"> raster files</w:t>
            </w:r>
          </w:p>
        </w:tc>
        <w:tc>
          <w:tcPr>
            <w:tcW w:w="1134" w:type="dxa"/>
            <w:tcBorders>
              <w:top w:val="single" w:sz="4" w:space="0" w:color="auto"/>
              <w:left w:val="nil"/>
              <w:bottom w:val="single" w:sz="4" w:space="0" w:color="auto"/>
              <w:right w:val="nil"/>
            </w:tcBorders>
            <w:shd w:val="clear" w:color="auto" w:fill="auto"/>
            <w:vAlign w:val="center"/>
          </w:tcPr>
          <w:p w14:paraId="6FEDB629" w14:textId="7BAA6D40" w:rsidR="00215A11" w:rsidRDefault="00215A11" w:rsidP="002A5E29">
            <w:pPr>
              <w:spacing w:after="0"/>
              <w:rPr>
                <w:sz w:val="18"/>
                <w:szCs w:val="18"/>
                <w:lang w:eastAsia="en-GB"/>
              </w:rPr>
            </w:pPr>
            <w:r w:rsidRPr="00092331">
              <w:rPr>
                <w:sz w:val="18"/>
                <w:szCs w:val="18"/>
                <w:lang w:eastAsia="en-GB"/>
              </w:rPr>
              <w:t>5 × 5 km</w:t>
            </w:r>
            <w:r w:rsidRPr="00E40467">
              <w:rPr>
                <w:sz w:val="18"/>
                <w:szCs w:val="18"/>
                <w:vertAlign w:val="superscript"/>
                <w:lang w:eastAsia="en-GB"/>
              </w:rPr>
              <w:t>2</w:t>
            </w:r>
            <w:r w:rsidRPr="00092331">
              <w:rPr>
                <w:sz w:val="18"/>
                <w:szCs w:val="18"/>
                <w:lang w:eastAsia="en-GB"/>
              </w:rPr>
              <w:t xml:space="preserve"> pixel raster</w:t>
            </w:r>
          </w:p>
        </w:tc>
        <w:tc>
          <w:tcPr>
            <w:tcW w:w="1146" w:type="dxa"/>
            <w:tcBorders>
              <w:top w:val="single" w:sz="4" w:space="0" w:color="auto"/>
              <w:left w:val="nil"/>
              <w:bottom w:val="single" w:sz="4" w:space="0" w:color="auto"/>
              <w:right w:val="nil"/>
            </w:tcBorders>
            <w:shd w:val="clear" w:color="auto" w:fill="auto"/>
            <w:vAlign w:val="center"/>
          </w:tcPr>
          <w:p w14:paraId="0D723769" w14:textId="7674928B" w:rsidR="00215A11" w:rsidRPr="00092331" w:rsidRDefault="00215A11" w:rsidP="002A5E29">
            <w:pPr>
              <w:spacing w:after="0"/>
              <w:rPr>
                <w:sz w:val="18"/>
                <w:szCs w:val="18"/>
                <w:lang w:eastAsia="en-GB"/>
              </w:rPr>
            </w:pPr>
            <w:r>
              <w:rPr>
                <w:sz w:val="18"/>
                <w:szCs w:val="18"/>
                <w:lang w:eastAsia="en-GB"/>
              </w:rPr>
              <w:t>All</w:t>
            </w:r>
          </w:p>
        </w:tc>
        <w:tc>
          <w:tcPr>
            <w:tcW w:w="1133" w:type="dxa"/>
            <w:tcBorders>
              <w:top w:val="single" w:sz="4" w:space="0" w:color="auto"/>
              <w:left w:val="nil"/>
              <w:bottom w:val="single" w:sz="4" w:space="0" w:color="auto"/>
              <w:right w:val="nil"/>
            </w:tcBorders>
            <w:shd w:val="clear" w:color="auto" w:fill="auto"/>
            <w:vAlign w:val="center"/>
          </w:tcPr>
          <w:p w14:paraId="71C47C00" w14:textId="0B47C0D7" w:rsidR="00215A11" w:rsidRPr="00092331" w:rsidRDefault="00215A11" w:rsidP="002A5E29">
            <w:pPr>
              <w:spacing w:after="0"/>
              <w:rPr>
                <w:sz w:val="18"/>
                <w:szCs w:val="18"/>
                <w:lang w:eastAsia="en-GB"/>
              </w:rPr>
            </w:pPr>
            <w:r w:rsidRPr="00092331">
              <w:rPr>
                <w:sz w:val="18"/>
                <w:szCs w:val="18"/>
                <w:lang w:eastAsia="en-GB"/>
              </w:rPr>
              <w:t>2012</w:t>
            </w:r>
          </w:p>
        </w:tc>
        <w:tc>
          <w:tcPr>
            <w:tcW w:w="2768" w:type="dxa"/>
            <w:tcBorders>
              <w:top w:val="single" w:sz="4" w:space="0" w:color="auto"/>
              <w:left w:val="nil"/>
              <w:bottom w:val="single" w:sz="4" w:space="0" w:color="auto"/>
              <w:right w:val="nil"/>
            </w:tcBorders>
            <w:shd w:val="clear" w:color="auto" w:fill="auto"/>
            <w:vAlign w:val="center"/>
          </w:tcPr>
          <w:p w14:paraId="5ABDBF70" w14:textId="77777777" w:rsidR="00215A11" w:rsidRPr="00092331" w:rsidRDefault="00215A11" w:rsidP="002C3C68">
            <w:pPr>
              <w:keepNext/>
              <w:spacing w:after="0"/>
            </w:pPr>
            <w:proofErr w:type="spellStart"/>
            <w:r w:rsidRPr="00092331">
              <w:rPr>
                <w:sz w:val="18"/>
                <w:szCs w:val="18"/>
                <w:lang w:eastAsia="en-GB"/>
              </w:rPr>
              <w:t>WorldPop</w:t>
            </w:r>
            <w:proofErr w:type="spellEnd"/>
            <w:r w:rsidRPr="00092331">
              <w:t xml:space="preserve"> </w:t>
            </w:r>
          </w:p>
          <w:p w14:paraId="19D6096F" w14:textId="3C660288" w:rsidR="00215A11" w:rsidRPr="00215A11" w:rsidRDefault="00B90DEF" w:rsidP="002A5E29">
            <w:pPr>
              <w:keepNext/>
              <w:spacing w:after="0"/>
              <w:rPr>
                <w:sz w:val="18"/>
                <w:szCs w:val="18"/>
                <w:lang w:eastAsia="en-GB"/>
              </w:rPr>
            </w:pPr>
            <w:hyperlink r:id="rId9" w:history="1">
              <w:r w:rsidR="00215A11" w:rsidRPr="00092331">
                <w:rPr>
                  <w:rStyle w:val="Hyperlink"/>
                  <w:color w:val="auto"/>
                  <w:sz w:val="18"/>
                  <w:szCs w:val="18"/>
                  <w:lang w:eastAsia="en-GB"/>
                </w:rPr>
                <w:t>http://www.worldpop.org.uk/</w:t>
              </w:r>
            </w:hyperlink>
            <w:r w:rsidR="00215A11" w:rsidRPr="00092331">
              <w:rPr>
                <w:rStyle w:val="Hyperlink"/>
                <w:color w:val="auto"/>
                <w:sz w:val="18"/>
                <w:szCs w:val="18"/>
              </w:rPr>
              <w:t xml:space="preserve"> </w:t>
            </w:r>
          </w:p>
        </w:tc>
      </w:tr>
      <w:tr w:rsidR="00215A11" w:rsidRPr="0076338D" w14:paraId="41C1F613" w14:textId="77777777" w:rsidTr="00215A11">
        <w:trPr>
          <w:trHeight w:val="284"/>
        </w:trPr>
        <w:tc>
          <w:tcPr>
            <w:tcW w:w="1560" w:type="dxa"/>
            <w:vMerge/>
            <w:tcBorders>
              <w:left w:val="nil"/>
              <w:bottom w:val="single" w:sz="4" w:space="0" w:color="auto"/>
              <w:right w:val="nil"/>
            </w:tcBorders>
            <w:shd w:val="clear" w:color="auto" w:fill="auto"/>
            <w:vAlign w:val="center"/>
          </w:tcPr>
          <w:p w14:paraId="65CFB58A" w14:textId="5CA7E9D5" w:rsidR="00215A11" w:rsidRPr="00092331" w:rsidRDefault="00215A11" w:rsidP="002A5E29">
            <w:pPr>
              <w:spacing w:after="0"/>
              <w:rPr>
                <w:sz w:val="18"/>
                <w:szCs w:val="18"/>
                <w:lang w:eastAsia="en-GB"/>
              </w:rPr>
            </w:pPr>
          </w:p>
        </w:tc>
        <w:tc>
          <w:tcPr>
            <w:tcW w:w="3458" w:type="dxa"/>
            <w:tcBorders>
              <w:top w:val="single" w:sz="4" w:space="0" w:color="auto"/>
              <w:left w:val="nil"/>
              <w:bottom w:val="single" w:sz="4" w:space="0" w:color="auto"/>
              <w:right w:val="nil"/>
            </w:tcBorders>
            <w:vAlign w:val="center"/>
          </w:tcPr>
          <w:p w14:paraId="4E977233" w14:textId="0D95856D" w:rsidR="00215A11" w:rsidRPr="00092331" w:rsidRDefault="00215A11" w:rsidP="00503CA2">
            <w:pPr>
              <w:spacing w:after="0"/>
              <w:rPr>
                <w:sz w:val="18"/>
                <w:szCs w:val="18"/>
                <w:lang w:eastAsia="en-GB"/>
              </w:rPr>
            </w:pPr>
            <w:r>
              <w:rPr>
                <w:sz w:val="18"/>
                <w:szCs w:val="18"/>
                <w:lang w:eastAsia="en-GB"/>
              </w:rPr>
              <w:t>Total number of people per council</w:t>
            </w:r>
          </w:p>
        </w:tc>
        <w:tc>
          <w:tcPr>
            <w:tcW w:w="2801" w:type="dxa"/>
            <w:tcBorders>
              <w:top w:val="single" w:sz="4" w:space="0" w:color="auto"/>
              <w:left w:val="nil"/>
              <w:bottom w:val="single" w:sz="4" w:space="0" w:color="auto"/>
              <w:right w:val="nil"/>
            </w:tcBorders>
            <w:shd w:val="clear" w:color="auto" w:fill="auto"/>
            <w:vAlign w:val="center"/>
          </w:tcPr>
          <w:p w14:paraId="6C745BDA" w14:textId="39E4E887" w:rsidR="00215A11" w:rsidRPr="00092331" w:rsidRDefault="00215A11" w:rsidP="00215A11">
            <w:pPr>
              <w:spacing w:after="0"/>
              <w:rPr>
                <w:sz w:val="18"/>
                <w:szCs w:val="18"/>
                <w:lang w:eastAsia="en-GB"/>
              </w:rPr>
            </w:pPr>
            <w:r w:rsidRPr="00092331">
              <w:rPr>
                <w:sz w:val="18"/>
                <w:szCs w:val="18"/>
                <w:lang w:eastAsia="en-GB"/>
              </w:rPr>
              <w:t xml:space="preserve">To </w:t>
            </w:r>
            <w:r>
              <w:rPr>
                <w:sz w:val="18"/>
                <w:szCs w:val="18"/>
                <w:lang w:eastAsia="en-GB"/>
              </w:rPr>
              <w:t>calculate costs of interventions targeting a certain proportion of the population within councils</w:t>
            </w:r>
          </w:p>
        </w:tc>
        <w:tc>
          <w:tcPr>
            <w:tcW w:w="1134" w:type="dxa"/>
            <w:tcBorders>
              <w:top w:val="single" w:sz="4" w:space="0" w:color="auto"/>
              <w:left w:val="nil"/>
              <w:bottom w:val="single" w:sz="4" w:space="0" w:color="auto"/>
              <w:right w:val="nil"/>
            </w:tcBorders>
            <w:shd w:val="clear" w:color="auto" w:fill="auto"/>
            <w:vAlign w:val="center"/>
          </w:tcPr>
          <w:p w14:paraId="46F4A98A" w14:textId="77777777" w:rsidR="00215A11" w:rsidRPr="00092331" w:rsidRDefault="00215A11" w:rsidP="002A5E29">
            <w:pPr>
              <w:spacing w:after="0"/>
              <w:rPr>
                <w:sz w:val="18"/>
                <w:szCs w:val="18"/>
                <w:lang w:eastAsia="en-GB"/>
              </w:rPr>
            </w:pPr>
            <w:r>
              <w:rPr>
                <w:sz w:val="18"/>
                <w:szCs w:val="18"/>
                <w:lang w:eastAsia="en-GB"/>
              </w:rPr>
              <w:t>Council</w:t>
            </w:r>
          </w:p>
        </w:tc>
        <w:tc>
          <w:tcPr>
            <w:tcW w:w="1146" w:type="dxa"/>
            <w:tcBorders>
              <w:top w:val="single" w:sz="4" w:space="0" w:color="auto"/>
              <w:left w:val="nil"/>
              <w:bottom w:val="single" w:sz="4" w:space="0" w:color="auto"/>
              <w:right w:val="nil"/>
            </w:tcBorders>
            <w:shd w:val="clear" w:color="auto" w:fill="auto"/>
            <w:vAlign w:val="center"/>
          </w:tcPr>
          <w:p w14:paraId="3318E9D3" w14:textId="6DAB259E" w:rsidR="00215A11" w:rsidRPr="00092331" w:rsidRDefault="00215A11" w:rsidP="002A5E29">
            <w:pPr>
              <w:spacing w:after="0"/>
              <w:rPr>
                <w:sz w:val="18"/>
                <w:szCs w:val="18"/>
                <w:lang w:eastAsia="en-GB"/>
              </w:rPr>
            </w:pPr>
            <w:r>
              <w:rPr>
                <w:sz w:val="18"/>
                <w:szCs w:val="18"/>
                <w:lang w:eastAsia="en-GB"/>
              </w:rPr>
              <w:t>All</w:t>
            </w:r>
          </w:p>
        </w:tc>
        <w:tc>
          <w:tcPr>
            <w:tcW w:w="1133" w:type="dxa"/>
            <w:tcBorders>
              <w:top w:val="single" w:sz="4" w:space="0" w:color="auto"/>
              <w:left w:val="nil"/>
              <w:bottom w:val="single" w:sz="4" w:space="0" w:color="auto"/>
              <w:right w:val="nil"/>
            </w:tcBorders>
            <w:shd w:val="clear" w:color="auto" w:fill="auto"/>
            <w:vAlign w:val="center"/>
          </w:tcPr>
          <w:p w14:paraId="5DCF238F" w14:textId="77777777" w:rsidR="00215A11" w:rsidRPr="00092331" w:rsidRDefault="00215A11" w:rsidP="002A5E29">
            <w:pPr>
              <w:spacing w:after="0"/>
              <w:rPr>
                <w:sz w:val="18"/>
                <w:szCs w:val="18"/>
                <w:lang w:eastAsia="en-GB"/>
              </w:rPr>
            </w:pPr>
            <w:r w:rsidRPr="00092331">
              <w:rPr>
                <w:sz w:val="18"/>
                <w:szCs w:val="18"/>
                <w:lang w:eastAsia="en-GB"/>
              </w:rPr>
              <w:t>2012</w:t>
            </w:r>
          </w:p>
        </w:tc>
        <w:tc>
          <w:tcPr>
            <w:tcW w:w="2768" w:type="dxa"/>
            <w:tcBorders>
              <w:top w:val="single" w:sz="4" w:space="0" w:color="auto"/>
              <w:left w:val="nil"/>
              <w:bottom w:val="single" w:sz="4" w:space="0" w:color="auto"/>
              <w:right w:val="nil"/>
            </w:tcBorders>
            <w:shd w:val="clear" w:color="auto" w:fill="auto"/>
            <w:vAlign w:val="center"/>
          </w:tcPr>
          <w:p w14:paraId="0295B3C1" w14:textId="77777777" w:rsidR="002C3C68" w:rsidRPr="00092331" w:rsidRDefault="002C3C68" w:rsidP="002C3C68">
            <w:pPr>
              <w:keepNext/>
              <w:spacing w:after="0"/>
              <w:rPr>
                <w:lang w:val="de-CH"/>
              </w:rPr>
            </w:pPr>
            <w:r w:rsidRPr="00092331">
              <w:rPr>
                <w:sz w:val="18"/>
                <w:szCs w:val="18"/>
                <w:lang w:val="de-CH" w:eastAsia="en-GB"/>
              </w:rPr>
              <w:t>NBS</w:t>
            </w:r>
            <w:r w:rsidRPr="00092331">
              <w:rPr>
                <w:lang w:val="de-CH"/>
              </w:rPr>
              <w:t xml:space="preserve"> </w:t>
            </w:r>
            <w:r>
              <w:rPr>
                <w:lang w:val="de-CH"/>
              </w:rPr>
              <w:t xml:space="preserve"> </w:t>
            </w:r>
            <w:r w:rsidRPr="00092331">
              <w:rPr>
                <w:rStyle w:val="Hyperlink"/>
                <w:color w:val="auto"/>
                <w:sz w:val="18"/>
                <w:szCs w:val="18"/>
              </w:rPr>
              <w:fldChar w:fldCharType="begin"/>
            </w:r>
            <w:r>
              <w:rPr>
                <w:rStyle w:val="Hyperlink"/>
                <w:color w:val="auto"/>
                <w:sz w:val="18"/>
                <w:szCs w:val="18"/>
                <w:lang w:val="de-CH"/>
              </w:rPr>
              <w:instrText xml:space="preserve"> ADDIN ZOTERO_ITEM CSL_CITATION {"citationID":"5V8cjrLx","properties":{"formattedCitation":"[1]","plainCitation":"[1]","noteIndex":0},"citationItems":[{"id":17621,"uris":["http://zotero.org/users/3516901/items/UV56U8X2"],"uri":["http://zotero.org/users/3516901/items/UV56U8X2"],"itemData":{"id":17621,"type":"report","title":"2012 Population and Housing Census","publisher":"NBS and OCGS","publisher-place":"Dar Es Salaam, Tanzania","event-place":"Dar Es Salaam, Tanzania","author":[{"literal":"National Bureau of Statistics (NBS), Tanzania"},{"literal":"Office of Chief Government Statistician (OCGS), Zanzibar"}],"issued":{"date-parts":[["2013"]]}}}],"schema":"https://github.com/citation-style-language/schema/raw/master/csl-citation.json"} </w:instrText>
            </w:r>
            <w:r w:rsidRPr="00092331">
              <w:rPr>
                <w:rStyle w:val="Hyperlink"/>
                <w:color w:val="auto"/>
                <w:sz w:val="18"/>
                <w:szCs w:val="18"/>
              </w:rPr>
              <w:fldChar w:fldCharType="separate"/>
            </w:r>
            <w:r w:rsidRPr="00096916">
              <w:rPr>
                <w:rFonts w:ascii="Calibri" w:hAnsi="Calibri"/>
                <w:sz w:val="18"/>
                <w:lang w:val="de-CH"/>
              </w:rPr>
              <w:t>[1]</w:t>
            </w:r>
            <w:r w:rsidRPr="00092331">
              <w:rPr>
                <w:rStyle w:val="Hyperlink"/>
                <w:color w:val="auto"/>
                <w:sz w:val="18"/>
                <w:szCs w:val="18"/>
              </w:rPr>
              <w:fldChar w:fldCharType="end"/>
            </w:r>
          </w:p>
          <w:p w14:paraId="441D9E6C" w14:textId="77777777" w:rsidR="002C3C68" w:rsidRPr="00092331" w:rsidRDefault="00B90DEF" w:rsidP="002C3C68">
            <w:pPr>
              <w:keepNext/>
              <w:spacing w:after="0"/>
              <w:rPr>
                <w:rStyle w:val="Hyperlink"/>
                <w:color w:val="auto"/>
                <w:sz w:val="18"/>
                <w:szCs w:val="18"/>
                <w:lang w:val="de-CH"/>
              </w:rPr>
            </w:pPr>
            <w:hyperlink r:id="rId10" w:history="1">
              <w:r w:rsidR="002C3C68" w:rsidRPr="00092331">
                <w:rPr>
                  <w:rStyle w:val="Hyperlink"/>
                  <w:color w:val="auto"/>
                  <w:sz w:val="18"/>
                  <w:szCs w:val="18"/>
                  <w:lang w:val="de-CH" w:eastAsia="en-GB"/>
                </w:rPr>
                <w:t>https://www.nbs.go.tz/</w:t>
              </w:r>
            </w:hyperlink>
            <w:r w:rsidR="002C3C68" w:rsidRPr="00092331">
              <w:rPr>
                <w:rStyle w:val="Hyperlink"/>
                <w:color w:val="auto"/>
                <w:sz w:val="18"/>
                <w:szCs w:val="18"/>
                <w:lang w:val="de-CH"/>
              </w:rPr>
              <w:t xml:space="preserve"> </w:t>
            </w:r>
          </w:p>
          <w:p w14:paraId="62ED3974" w14:textId="1EE6A2F8" w:rsidR="00215A11" w:rsidRPr="00092331" w:rsidRDefault="00215A11" w:rsidP="002A5E29">
            <w:pPr>
              <w:keepNext/>
              <w:spacing w:after="0"/>
              <w:rPr>
                <w:rStyle w:val="Hyperlink"/>
                <w:color w:val="auto"/>
                <w:sz w:val="18"/>
                <w:szCs w:val="18"/>
                <w:lang w:val="de-CH"/>
              </w:rPr>
            </w:pPr>
          </w:p>
        </w:tc>
      </w:tr>
      <w:tr w:rsidR="00215A11" w:rsidRPr="0076338D" w14:paraId="77061CA3"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4897ACCF" w14:textId="2D7497E3" w:rsidR="00215A11" w:rsidRPr="00092331" w:rsidRDefault="00215A11" w:rsidP="002A5E29">
            <w:pPr>
              <w:spacing w:after="0"/>
              <w:rPr>
                <w:sz w:val="18"/>
                <w:szCs w:val="18"/>
                <w:lang w:eastAsia="en-GB"/>
              </w:rPr>
            </w:pPr>
            <w:r w:rsidRPr="00092331">
              <w:rPr>
                <w:sz w:val="18"/>
                <w:szCs w:val="18"/>
                <w:lang w:eastAsia="en-GB"/>
              </w:rPr>
              <w:t>Population per household</w:t>
            </w:r>
          </w:p>
        </w:tc>
        <w:tc>
          <w:tcPr>
            <w:tcW w:w="3458" w:type="dxa"/>
            <w:tcBorders>
              <w:top w:val="single" w:sz="4" w:space="0" w:color="auto"/>
              <w:left w:val="nil"/>
              <w:bottom w:val="single" w:sz="4" w:space="0" w:color="auto"/>
              <w:right w:val="nil"/>
            </w:tcBorders>
            <w:vAlign w:val="center"/>
          </w:tcPr>
          <w:p w14:paraId="7DCD57AA" w14:textId="05DE7DE6" w:rsidR="00215A11" w:rsidRPr="00092331" w:rsidRDefault="00215A11" w:rsidP="00810E50">
            <w:pPr>
              <w:spacing w:after="0"/>
              <w:rPr>
                <w:sz w:val="18"/>
                <w:szCs w:val="18"/>
                <w:lang w:eastAsia="en-GB"/>
              </w:rPr>
            </w:pPr>
            <w:r w:rsidRPr="00092331">
              <w:rPr>
                <w:sz w:val="18"/>
                <w:szCs w:val="18"/>
                <w:lang w:eastAsia="en-GB"/>
              </w:rPr>
              <w:t>Number of people living in the same household</w:t>
            </w:r>
          </w:p>
        </w:tc>
        <w:tc>
          <w:tcPr>
            <w:tcW w:w="2801" w:type="dxa"/>
            <w:tcBorders>
              <w:top w:val="single" w:sz="4" w:space="0" w:color="auto"/>
              <w:left w:val="nil"/>
              <w:bottom w:val="single" w:sz="4" w:space="0" w:color="auto"/>
              <w:right w:val="nil"/>
            </w:tcBorders>
            <w:shd w:val="clear" w:color="auto" w:fill="auto"/>
            <w:vAlign w:val="center"/>
          </w:tcPr>
          <w:p w14:paraId="49A90620" w14:textId="439088A4" w:rsidR="00215A11" w:rsidRPr="00092331" w:rsidRDefault="00215A11" w:rsidP="00E40467">
            <w:pPr>
              <w:spacing w:after="0"/>
              <w:rPr>
                <w:sz w:val="18"/>
                <w:szCs w:val="18"/>
                <w:lang w:eastAsia="en-GB"/>
              </w:rPr>
            </w:pPr>
            <w:r w:rsidRPr="00092331">
              <w:rPr>
                <w:sz w:val="18"/>
                <w:szCs w:val="18"/>
                <w:lang w:eastAsia="en-GB"/>
              </w:rPr>
              <w:t xml:space="preserve">To determine the number of total household per </w:t>
            </w:r>
            <w:r>
              <w:rPr>
                <w:sz w:val="18"/>
                <w:szCs w:val="18"/>
                <w:lang w:eastAsia="en-GB"/>
              </w:rPr>
              <w:t>council</w:t>
            </w:r>
            <w:r w:rsidRPr="00092331">
              <w:rPr>
                <w:sz w:val="18"/>
                <w:szCs w:val="18"/>
                <w:lang w:eastAsia="en-GB"/>
              </w:rPr>
              <w:t xml:space="preserve"> as </w:t>
            </w:r>
            <w:r w:rsidRPr="00092331">
              <w:rPr>
                <w:noProof/>
                <w:sz w:val="18"/>
                <w:szCs w:val="18"/>
                <w:lang w:eastAsia="en-GB"/>
              </w:rPr>
              <w:t>denominator</w:t>
            </w:r>
            <w:r w:rsidRPr="00092331">
              <w:rPr>
                <w:sz w:val="18"/>
                <w:szCs w:val="18"/>
                <w:lang w:eastAsia="en-GB"/>
              </w:rPr>
              <w:t xml:space="preserve"> for IRS coverage calculation</w:t>
            </w:r>
          </w:p>
        </w:tc>
        <w:tc>
          <w:tcPr>
            <w:tcW w:w="1134" w:type="dxa"/>
            <w:tcBorders>
              <w:top w:val="single" w:sz="4" w:space="0" w:color="auto"/>
              <w:left w:val="nil"/>
              <w:bottom w:val="single" w:sz="4" w:space="0" w:color="auto"/>
              <w:right w:val="nil"/>
            </w:tcBorders>
            <w:shd w:val="clear" w:color="auto" w:fill="auto"/>
            <w:vAlign w:val="center"/>
          </w:tcPr>
          <w:p w14:paraId="745CCCB8" w14:textId="1AD6DC3D" w:rsidR="00215A11" w:rsidRDefault="00215A11" w:rsidP="00E40467">
            <w:pPr>
              <w:spacing w:after="0"/>
              <w:rPr>
                <w:sz w:val="18"/>
                <w:szCs w:val="18"/>
                <w:lang w:eastAsia="en-GB"/>
              </w:rPr>
            </w:pPr>
            <w:r>
              <w:rPr>
                <w:sz w:val="18"/>
                <w:szCs w:val="18"/>
                <w:lang w:eastAsia="en-GB"/>
              </w:rPr>
              <w:t>Council</w:t>
            </w:r>
          </w:p>
        </w:tc>
        <w:tc>
          <w:tcPr>
            <w:tcW w:w="1146" w:type="dxa"/>
            <w:tcBorders>
              <w:top w:val="single" w:sz="4" w:space="0" w:color="auto"/>
              <w:left w:val="nil"/>
              <w:bottom w:val="single" w:sz="4" w:space="0" w:color="auto"/>
              <w:right w:val="nil"/>
            </w:tcBorders>
            <w:shd w:val="clear" w:color="auto" w:fill="auto"/>
            <w:vAlign w:val="center"/>
          </w:tcPr>
          <w:p w14:paraId="2726998B" w14:textId="5828B611" w:rsidR="00215A11" w:rsidRPr="00092331" w:rsidRDefault="00215A11" w:rsidP="002A5E29">
            <w:pPr>
              <w:spacing w:after="0"/>
              <w:rPr>
                <w:sz w:val="18"/>
                <w:szCs w:val="18"/>
                <w:lang w:eastAsia="en-GB"/>
              </w:rPr>
            </w:pPr>
            <w:r>
              <w:rPr>
                <w:sz w:val="18"/>
                <w:szCs w:val="18"/>
                <w:lang w:eastAsia="en-GB"/>
              </w:rPr>
              <w:t>All</w:t>
            </w:r>
          </w:p>
        </w:tc>
        <w:tc>
          <w:tcPr>
            <w:tcW w:w="1133" w:type="dxa"/>
            <w:tcBorders>
              <w:top w:val="single" w:sz="4" w:space="0" w:color="auto"/>
              <w:left w:val="nil"/>
              <w:bottom w:val="single" w:sz="4" w:space="0" w:color="auto"/>
              <w:right w:val="nil"/>
            </w:tcBorders>
            <w:shd w:val="clear" w:color="auto" w:fill="auto"/>
            <w:vAlign w:val="center"/>
          </w:tcPr>
          <w:p w14:paraId="0EDD3627" w14:textId="08EEC0F1" w:rsidR="00215A11" w:rsidRPr="00464577" w:rsidRDefault="00215A11" w:rsidP="002A5E29">
            <w:pPr>
              <w:spacing w:after="0"/>
              <w:rPr>
                <w:sz w:val="18"/>
                <w:szCs w:val="18"/>
                <w:lang w:eastAsia="en-GB"/>
              </w:rPr>
            </w:pPr>
            <w:r w:rsidRPr="00092331">
              <w:rPr>
                <w:sz w:val="18"/>
                <w:szCs w:val="18"/>
                <w:lang w:eastAsia="en-GB"/>
              </w:rPr>
              <w:t>2012</w:t>
            </w:r>
          </w:p>
        </w:tc>
        <w:tc>
          <w:tcPr>
            <w:tcW w:w="2768" w:type="dxa"/>
            <w:tcBorders>
              <w:top w:val="single" w:sz="4" w:space="0" w:color="auto"/>
              <w:left w:val="nil"/>
              <w:bottom w:val="single" w:sz="4" w:space="0" w:color="auto"/>
              <w:right w:val="nil"/>
            </w:tcBorders>
            <w:shd w:val="clear" w:color="auto" w:fill="auto"/>
            <w:vAlign w:val="center"/>
          </w:tcPr>
          <w:p w14:paraId="4A6C8124" w14:textId="65DA6F20" w:rsidR="00215A11" w:rsidRPr="00092331" w:rsidRDefault="00215A11" w:rsidP="002C3C68">
            <w:pPr>
              <w:keepNext/>
              <w:spacing w:after="0"/>
              <w:rPr>
                <w:lang w:val="de-CH"/>
              </w:rPr>
            </w:pPr>
            <w:r w:rsidRPr="00092331">
              <w:rPr>
                <w:sz w:val="18"/>
                <w:szCs w:val="18"/>
                <w:lang w:val="de-CH" w:eastAsia="en-GB"/>
              </w:rPr>
              <w:t>NBS</w:t>
            </w:r>
            <w:r w:rsidRPr="00092331">
              <w:rPr>
                <w:lang w:val="de-CH"/>
              </w:rPr>
              <w:t xml:space="preserve"> </w:t>
            </w:r>
            <w:r>
              <w:rPr>
                <w:lang w:val="de-CH"/>
              </w:rPr>
              <w:t xml:space="preserve"> </w:t>
            </w:r>
            <w:r w:rsidRPr="00092331">
              <w:rPr>
                <w:rStyle w:val="Hyperlink"/>
                <w:color w:val="auto"/>
                <w:sz w:val="18"/>
                <w:szCs w:val="18"/>
              </w:rPr>
              <w:fldChar w:fldCharType="begin"/>
            </w:r>
            <w:r>
              <w:rPr>
                <w:rStyle w:val="Hyperlink"/>
                <w:color w:val="auto"/>
                <w:sz w:val="18"/>
                <w:szCs w:val="18"/>
                <w:lang w:val="de-CH"/>
              </w:rPr>
              <w:instrText xml:space="preserve"> ADDIN ZOTERO_ITEM CSL_CITATION {"citationID":"5V8cjrLx","properties":{"formattedCitation":"[1]","plainCitation":"[1]","noteIndex":0},"citationItems":[{"id":17621,"uris":["http://zotero.org/users/3516901/items/UV56U8X2"],"uri":["http://zotero.org/users/3516901/items/UV56U8X2"],"itemData":{"id":17621,"type":"report","title":"2012 Population and Housing Census","publisher":"NBS and OCGS","publisher-place":"Dar Es Salaam, Tanzania","event-place":"Dar Es Salaam, Tanzania","author":[{"literal":"National Bureau of Statistics (NBS), Tanzania"},{"literal":"Office of Chief Government Statistician (OCGS), Zanzibar"}],"issued":{"date-parts":[["2013"]]}}}],"schema":"https://github.com/citation-style-language/schema/raw/master/csl-citation.json"} </w:instrText>
            </w:r>
            <w:r w:rsidRPr="00092331">
              <w:rPr>
                <w:rStyle w:val="Hyperlink"/>
                <w:color w:val="auto"/>
                <w:sz w:val="18"/>
                <w:szCs w:val="18"/>
              </w:rPr>
              <w:fldChar w:fldCharType="separate"/>
            </w:r>
            <w:r w:rsidRPr="00096916">
              <w:rPr>
                <w:rFonts w:ascii="Calibri" w:hAnsi="Calibri"/>
                <w:sz w:val="18"/>
                <w:lang w:val="de-CH"/>
              </w:rPr>
              <w:t>[1]</w:t>
            </w:r>
            <w:r w:rsidRPr="00092331">
              <w:rPr>
                <w:rStyle w:val="Hyperlink"/>
                <w:color w:val="auto"/>
                <w:sz w:val="18"/>
                <w:szCs w:val="18"/>
              </w:rPr>
              <w:fldChar w:fldCharType="end"/>
            </w:r>
          </w:p>
          <w:p w14:paraId="3FA326A2" w14:textId="77777777" w:rsidR="00215A11" w:rsidRPr="00092331" w:rsidRDefault="00B90DEF" w:rsidP="002C3C68">
            <w:pPr>
              <w:keepNext/>
              <w:spacing w:after="0"/>
              <w:rPr>
                <w:rStyle w:val="Hyperlink"/>
                <w:color w:val="auto"/>
                <w:sz w:val="18"/>
                <w:szCs w:val="18"/>
                <w:lang w:val="de-CH"/>
              </w:rPr>
            </w:pPr>
            <w:hyperlink r:id="rId11" w:history="1">
              <w:r w:rsidR="00215A11" w:rsidRPr="00092331">
                <w:rPr>
                  <w:rStyle w:val="Hyperlink"/>
                  <w:color w:val="auto"/>
                  <w:sz w:val="18"/>
                  <w:szCs w:val="18"/>
                  <w:lang w:val="de-CH" w:eastAsia="en-GB"/>
                </w:rPr>
                <w:t>https://www.nbs.go.tz/</w:t>
              </w:r>
            </w:hyperlink>
            <w:r w:rsidR="00215A11" w:rsidRPr="00092331">
              <w:rPr>
                <w:rStyle w:val="Hyperlink"/>
                <w:color w:val="auto"/>
                <w:sz w:val="18"/>
                <w:szCs w:val="18"/>
                <w:lang w:val="de-CH"/>
              </w:rPr>
              <w:t xml:space="preserve"> </w:t>
            </w:r>
          </w:p>
          <w:p w14:paraId="577322AD" w14:textId="79BD6522" w:rsidR="00215A11" w:rsidRPr="00096916" w:rsidDel="00571E0F" w:rsidRDefault="00215A11" w:rsidP="002A5E29">
            <w:pPr>
              <w:keepNext/>
              <w:spacing w:after="0"/>
              <w:rPr>
                <w:rStyle w:val="Hyperlink"/>
                <w:color w:val="auto"/>
                <w:sz w:val="18"/>
                <w:szCs w:val="18"/>
                <w:lang w:val="de-CH"/>
              </w:rPr>
            </w:pPr>
          </w:p>
        </w:tc>
      </w:tr>
      <w:tr w:rsidR="00215A11" w:rsidRPr="00092331" w14:paraId="5074CB85" w14:textId="77777777" w:rsidTr="00215A11">
        <w:trPr>
          <w:trHeight w:val="284"/>
        </w:trPr>
        <w:tc>
          <w:tcPr>
            <w:tcW w:w="14000" w:type="dxa"/>
            <w:gridSpan w:val="7"/>
            <w:tcBorders>
              <w:top w:val="single" w:sz="4" w:space="0" w:color="auto"/>
              <w:left w:val="nil"/>
              <w:bottom w:val="single" w:sz="4" w:space="0" w:color="auto"/>
              <w:right w:val="nil"/>
            </w:tcBorders>
            <w:shd w:val="clear" w:color="auto" w:fill="auto"/>
            <w:vAlign w:val="center"/>
          </w:tcPr>
          <w:p w14:paraId="428DAEB9" w14:textId="12A61804" w:rsidR="00215A11" w:rsidRPr="00092331" w:rsidRDefault="00215A11" w:rsidP="00163B63">
            <w:pPr>
              <w:keepNext/>
              <w:spacing w:after="0"/>
              <w:rPr>
                <w:sz w:val="18"/>
                <w:szCs w:val="18"/>
              </w:rPr>
            </w:pPr>
            <w:r w:rsidRPr="00215A11">
              <w:rPr>
                <w:b/>
                <w:sz w:val="20"/>
                <w:szCs w:val="18"/>
                <w:lang w:eastAsia="en-GB"/>
              </w:rPr>
              <w:t>Vector bionomics</w:t>
            </w:r>
          </w:p>
        </w:tc>
      </w:tr>
      <w:tr w:rsidR="00215A11" w:rsidRPr="00092331" w14:paraId="7D9591EB"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3A04B4F7" w14:textId="5C695EE5" w:rsidR="00215A11" w:rsidRPr="00092331" w:rsidRDefault="00215A11" w:rsidP="002A5E29">
            <w:pPr>
              <w:spacing w:after="0"/>
              <w:rPr>
                <w:sz w:val="18"/>
                <w:szCs w:val="18"/>
                <w:lang w:eastAsia="en-GB"/>
              </w:rPr>
            </w:pPr>
            <w:r>
              <w:rPr>
                <w:sz w:val="18"/>
                <w:szCs w:val="18"/>
                <w:lang w:eastAsia="en-GB"/>
              </w:rPr>
              <w:t>Vector occurrence and sporozoites rates</w:t>
            </w:r>
          </w:p>
        </w:tc>
        <w:tc>
          <w:tcPr>
            <w:tcW w:w="3458" w:type="dxa"/>
            <w:tcBorders>
              <w:top w:val="single" w:sz="4" w:space="0" w:color="auto"/>
              <w:left w:val="nil"/>
              <w:bottom w:val="single" w:sz="4" w:space="0" w:color="auto"/>
              <w:right w:val="nil"/>
            </w:tcBorders>
            <w:vAlign w:val="center"/>
          </w:tcPr>
          <w:p w14:paraId="791A7C58" w14:textId="44713A1D" w:rsidR="00215A11" w:rsidRDefault="00215A11" w:rsidP="001C4413">
            <w:pPr>
              <w:spacing w:after="0"/>
              <w:rPr>
                <w:sz w:val="18"/>
                <w:szCs w:val="18"/>
                <w:lang w:eastAsia="en-GB"/>
              </w:rPr>
            </w:pPr>
            <w:r>
              <w:rPr>
                <w:sz w:val="18"/>
                <w:szCs w:val="18"/>
                <w:lang w:eastAsia="en-GB"/>
              </w:rPr>
              <w:t>Counts of mosquito species per area and proportion of mosquitoes found with sporozoites per species</w:t>
            </w:r>
          </w:p>
        </w:tc>
        <w:tc>
          <w:tcPr>
            <w:tcW w:w="2801" w:type="dxa"/>
            <w:tcBorders>
              <w:top w:val="single" w:sz="4" w:space="0" w:color="auto"/>
              <w:left w:val="nil"/>
              <w:bottom w:val="single" w:sz="4" w:space="0" w:color="auto"/>
              <w:right w:val="nil"/>
            </w:tcBorders>
            <w:shd w:val="clear" w:color="auto" w:fill="auto"/>
            <w:vAlign w:val="center"/>
          </w:tcPr>
          <w:p w14:paraId="619F46E3" w14:textId="1AE44476" w:rsidR="00215A11" w:rsidRPr="00092331" w:rsidRDefault="00215A11" w:rsidP="001C4413">
            <w:pPr>
              <w:spacing w:after="0"/>
              <w:rPr>
                <w:sz w:val="18"/>
                <w:szCs w:val="18"/>
                <w:lang w:eastAsia="en-GB"/>
              </w:rPr>
            </w:pPr>
            <w:r>
              <w:rPr>
                <w:sz w:val="18"/>
                <w:szCs w:val="18"/>
                <w:lang w:eastAsia="en-GB"/>
              </w:rPr>
              <w:t>To determine the</w:t>
            </w:r>
            <w:r w:rsidRPr="00092331">
              <w:rPr>
                <w:sz w:val="18"/>
                <w:szCs w:val="18"/>
                <w:lang w:eastAsia="en-GB"/>
              </w:rPr>
              <w:t xml:space="preserve"> </w:t>
            </w:r>
            <w:r>
              <w:rPr>
                <w:sz w:val="18"/>
                <w:szCs w:val="18"/>
                <w:lang w:eastAsia="en-GB"/>
              </w:rPr>
              <w:t>r</w:t>
            </w:r>
            <w:r w:rsidRPr="00571E0F">
              <w:rPr>
                <w:sz w:val="18"/>
                <w:szCs w:val="18"/>
                <w:lang w:eastAsia="en-GB"/>
              </w:rPr>
              <w:t>elative contribution per vector species to malaria transmission</w:t>
            </w:r>
          </w:p>
        </w:tc>
        <w:tc>
          <w:tcPr>
            <w:tcW w:w="1134" w:type="dxa"/>
            <w:tcBorders>
              <w:top w:val="single" w:sz="4" w:space="0" w:color="auto"/>
              <w:left w:val="nil"/>
              <w:bottom w:val="single" w:sz="4" w:space="0" w:color="auto"/>
              <w:right w:val="nil"/>
            </w:tcBorders>
            <w:shd w:val="clear" w:color="auto" w:fill="auto"/>
            <w:vAlign w:val="center"/>
          </w:tcPr>
          <w:p w14:paraId="366F6688" w14:textId="77777777" w:rsidR="00215A11" w:rsidRPr="00092331" w:rsidRDefault="00215A11" w:rsidP="002A5E29">
            <w:pPr>
              <w:spacing w:after="0"/>
              <w:rPr>
                <w:sz w:val="18"/>
                <w:szCs w:val="18"/>
                <w:lang w:eastAsia="en-GB"/>
              </w:rPr>
            </w:pPr>
            <w:r>
              <w:rPr>
                <w:sz w:val="18"/>
                <w:szCs w:val="18"/>
                <w:lang w:eastAsia="en-GB"/>
              </w:rPr>
              <w:t>Council</w:t>
            </w:r>
          </w:p>
        </w:tc>
        <w:tc>
          <w:tcPr>
            <w:tcW w:w="1146" w:type="dxa"/>
            <w:tcBorders>
              <w:top w:val="single" w:sz="4" w:space="0" w:color="auto"/>
              <w:left w:val="nil"/>
              <w:bottom w:val="single" w:sz="4" w:space="0" w:color="auto"/>
              <w:right w:val="nil"/>
            </w:tcBorders>
            <w:shd w:val="clear" w:color="auto" w:fill="auto"/>
            <w:vAlign w:val="center"/>
          </w:tcPr>
          <w:p w14:paraId="6ABD30BE" w14:textId="77777777" w:rsidR="00215A11" w:rsidRPr="00092331" w:rsidRDefault="00215A11" w:rsidP="002A5E29">
            <w:pPr>
              <w:spacing w:after="0"/>
              <w:rPr>
                <w:sz w:val="18"/>
                <w:szCs w:val="18"/>
                <w:lang w:eastAsia="en-GB"/>
              </w:rPr>
            </w:pPr>
            <w:r w:rsidRPr="00092331">
              <w:rPr>
                <w:sz w:val="18"/>
                <w:szCs w:val="18"/>
                <w:lang w:eastAsia="en-GB"/>
              </w:rPr>
              <w:t>NA</w:t>
            </w:r>
          </w:p>
        </w:tc>
        <w:tc>
          <w:tcPr>
            <w:tcW w:w="1133" w:type="dxa"/>
            <w:tcBorders>
              <w:top w:val="single" w:sz="4" w:space="0" w:color="auto"/>
              <w:left w:val="nil"/>
              <w:bottom w:val="single" w:sz="4" w:space="0" w:color="auto"/>
              <w:right w:val="nil"/>
            </w:tcBorders>
            <w:shd w:val="clear" w:color="auto" w:fill="auto"/>
            <w:vAlign w:val="center"/>
          </w:tcPr>
          <w:p w14:paraId="7703D1D8" w14:textId="77777777" w:rsidR="00215A11" w:rsidRPr="00092331" w:rsidRDefault="00215A11" w:rsidP="002A5E29">
            <w:pPr>
              <w:spacing w:after="0"/>
              <w:rPr>
                <w:sz w:val="18"/>
                <w:szCs w:val="18"/>
                <w:lang w:eastAsia="en-GB"/>
              </w:rPr>
            </w:pPr>
            <w:r w:rsidRPr="00092331">
              <w:rPr>
                <w:sz w:val="18"/>
                <w:szCs w:val="18"/>
                <w:lang w:eastAsia="en-GB"/>
              </w:rPr>
              <w:t>2016</w:t>
            </w:r>
          </w:p>
        </w:tc>
        <w:tc>
          <w:tcPr>
            <w:tcW w:w="2768" w:type="dxa"/>
            <w:tcBorders>
              <w:top w:val="single" w:sz="4" w:space="0" w:color="auto"/>
              <w:left w:val="nil"/>
              <w:bottom w:val="single" w:sz="4" w:space="0" w:color="auto"/>
              <w:right w:val="nil"/>
            </w:tcBorders>
            <w:shd w:val="clear" w:color="auto" w:fill="auto"/>
            <w:vAlign w:val="center"/>
          </w:tcPr>
          <w:p w14:paraId="698B6F86" w14:textId="77777777" w:rsidR="00215A11" w:rsidRDefault="00215A11" w:rsidP="00163B63">
            <w:pPr>
              <w:keepNext/>
              <w:spacing w:after="0"/>
              <w:rPr>
                <w:sz w:val="18"/>
                <w:szCs w:val="18"/>
              </w:rPr>
            </w:pPr>
            <w:r w:rsidRPr="00092331">
              <w:rPr>
                <w:sz w:val="18"/>
                <w:szCs w:val="18"/>
              </w:rPr>
              <w:t>Entomological surveillance d</w:t>
            </w:r>
            <w:r>
              <w:rPr>
                <w:sz w:val="18"/>
                <w:szCs w:val="18"/>
              </w:rPr>
              <w:t>ata</w:t>
            </w:r>
          </w:p>
          <w:p w14:paraId="25425A79" w14:textId="77777777" w:rsidR="00215A11" w:rsidRPr="00092331" w:rsidRDefault="00215A11" w:rsidP="00163B63">
            <w:pPr>
              <w:keepNext/>
              <w:spacing w:after="0"/>
              <w:rPr>
                <w:sz w:val="18"/>
                <w:szCs w:val="18"/>
              </w:rPr>
            </w:pPr>
            <w:r>
              <w:rPr>
                <w:sz w:val="18"/>
                <w:szCs w:val="18"/>
              </w:rPr>
              <w:t>[NMCP, unpublished data]</w:t>
            </w:r>
          </w:p>
        </w:tc>
      </w:tr>
      <w:tr w:rsidR="00215A11" w:rsidRPr="00092331" w14:paraId="7F2540C9"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6E0BECE3" w14:textId="79D28D9F" w:rsidR="00215A11" w:rsidRPr="00092331" w:rsidRDefault="00215A11" w:rsidP="001C4413">
            <w:pPr>
              <w:spacing w:after="0"/>
              <w:rPr>
                <w:sz w:val="18"/>
                <w:szCs w:val="18"/>
                <w:lang w:eastAsia="en-GB"/>
              </w:rPr>
            </w:pPr>
            <w:r>
              <w:rPr>
                <w:sz w:val="18"/>
                <w:szCs w:val="18"/>
                <w:lang w:eastAsia="en-GB"/>
              </w:rPr>
              <w:t xml:space="preserve">Vector occurrence </w:t>
            </w:r>
          </w:p>
        </w:tc>
        <w:tc>
          <w:tcPr>
            <w:tcW w:w="3458" w:type="dxa"/>
            <w:tcBorders>
              <w:top w:val="single" w:sz="4" w:space="0" w:color="auto"/>
              <w:left w:val="nil"/>
              <w:bottom w:val="single" w:sz="4" w:space="0" w:color="auto"/>
              <w:right w:val="nil"/>
            </w:tcBorders>
            <w:vAlign w:val="center"/>
          </w:tcPr>
          <w:p w14:paraId="7FA3836B" w14:textId="4554A251" w:rsidR="00215A11" w:rsidRPr="00092331" w:rsidRDefault="00215A11" w:rsidP="002A5E29">
            <w:pPr>
              <w:spacing w:after="0"/>
              <w:rPr>
                <w:sz w:val="18"/>
                <w:szCs w:val="18"/>
                <w:lang w:eastAsia="en-GB"/>
              </w:rPr>
            </w:pPr>
            <w:r>
              <w:rPr>
                <w:sz w:val="18"/>
                <w:szCs w:val="18"/>
                <w:lang w:eastAsia="en-GB"/>
              </w:rPr>
              <w:t>Presence or absence of mosquito species at different locations and times</w:t>
            </w:r>
          </w:p>
        </w:tc>
        <w:tc>
          <w:tcPr>
            <w:tcW w:w="2801" w:type="dxa"/>
            <w:tcBorders>
              <w:top w:val="single" w:sz="4" w:space="0" w:color="auto"/>
              <w:left w:val="nil"/>
              <w:bottom w:val="single" w:sz="4" w:space="0" w:color="auto"/>
              <w:right w:val="nil"/>
            </w:tcBorders>
            <w:shd w:val="clear" w:color="auto" w:fill="auto"/>
            <w:vAlign w:val="center"/>
          </w:tcPr>
          <w:p w14:paraId="5A8BBEB8" w14:textId="5878CFFE" w:rsidR="00215A11" w:rsidRPr="00092331" w:rsidRDefault="00215A11" w:rsidP="002A5E29">
            <w:pPr>
              <w:spacing w:after="0"/>
              <w:rPr>
                <w:sz w:val="18"/>
                <w:szCs w:val="18"/>
                <w:lang w:eastAsia="en-GB"/>
              </w:rPr>
            </w:pPr>
            <w:r>
              <w:rPr>
                <w:sz w:val="18"/>
                <w:szCs w:val="18"/>
                <w:lang w:eastAsia="en-GB"/>
              </w:rPr>
              <w:t>To determine the</w:t>
            </w:r>
            <w:r w:rsidRPr="00092331">
              <w:rPr>
                <w:sz w:val="18"/>
                <w:szCs w:val="18"/>
                <w:lang w:eastAsia="en-GB"/>
              </w:rPr>
              <w:t xml:space="preserve"> </w:t>
            </w:r>
            <w:r>
              <w:rPr>
                <w:sz w:val="18"/>
                <w:szCs w:val="18"/>
                <w:lang w:eastAsia="en-GB"/>
              </w:rPr>
              <w:t>r</w:t>
            </w:r>
            <w:r w:rsidRPr="00571E0F">
              <w:rPr>
                <w:sz w:val="18"/>
                <w:szCs w:val="18"/>
                <w:lang w:eastAsia="en-GB"/>
              </w:rPr>
              <w:t>elative contribution per vector species to malaria transmission</w:t>
            </w:r>
          </w:p>
        </w:tc>
        <w:tc>
          <w:tcPr>
            <w:tcW w:w="1134" w:type="dxa"/>
            <w:tcBorders>
              <w:top w:val="single" w:sz="4" w:space="0" w:color="auto"/>
              <w:left w:val="nil"/>
              <w:bottom w:val="single" w:sz="4" w:space="0" w:color="auto"/>
              <w:right w:val="nil"/>
            </w:tcBorders>
            <w:shd w:val="clear" w:color="auto" w:fill="auto"/>
            <w:vAlign w:val="center"/>
          </w:tcPr>
          <w:p w14:paraId="3E20753B" w14:textId="77777777" w:rsidR="00215A11" w:rsidRPr="00092331" w:rsidRDefault="00215A11" w:rsidP="002A5E29">
            <w:pPr>
              <w:spacing w:after="0"/>
              <w:rPr>
                <w:sz w:val="18"/>
                <w:szCs w:val="18"/>
                <w:lang w:eastAsia="en-GB"/>
              </w:rPr>
            </w:pPr>
            <w:r>
              <w:rPr>
                <w:sz w:val="18"/>
                <w:szCs w:val="18"/>
                <w:lang w:eastAsia="en-GB"/>
              </w:rPr>
              <w:t>Study sites</w:t>
            </w:r>
          </w:p>
        </w:tc>
        <w:tc>
          <w:tcPr>
            <w:tcW w:w="1146" w:type="dxa"/>
            <w:tcBorders>
              <w:top w:val="single" w:sz="4" w:space="0" w:color="auto"/>
              <w:left w:val="nil"/>
              <w:bottom w:val="single" w:sz="4" w:space="0" w:color="auto"/>
              <w:right w:val="nil"/>
            </w:tcBorders>
            <w:shd w:val="clear" w:color="auto" w:fill="auto"/>
            <w:vAlign w:val="center"/>
          </w:tcPr>
          <w:p w14:paraId="7E3E30D8" w14:textId="77777777" w:rsidR="00215A11" w:rsidRPr="00092331" w:rsidRDefault="00215A11" w:rsidP="002A5E29">
            <w:pPr>
              <w:spacing w:after="0"/>
              <w:rPr>
                <w:sz w:val="18"/>
                <w:szCs w:val="18"/>
                <w:lang w:eastAsia="en-GB"/>
              </w:rPr>
            </w:pPr>
            <w:r w:rsidRPr="00092331">
              <w:rPr>
                <w:sz w:val="18"/>
                <w:szCs w:val="18"/>
                <w:lang w:eastAsia="en-GB"/>
              </w:rPr>
              <w:t>NA</w:t>
            </w:r>
          </w:p>
        </w:tc>
        <w:tc>
          <w:tcPr>
            <w:tcW w:w="1133" w:type="dxa"/>
            <w:tcBorders>
              <w:top w:val="single" w:sz="4" w:space="0" w:color="auto"/>
              <w:left w:val="nil"/>
              <w:bottom w:val="single" w:sz="4" w:space="0" w:color="auto"/>
              <w:right w:val="nil"/>
            </w:tcBorders>
            <w:shd w:val="clear" w:color="auto" w:fill="auto"/>
            <w:vAlign w:val="center"/>
          </w:tcPr>
          <w:p w14:paraId="32E4DB8F" w14:textId="77777777" w:rsidR="00215A11" w:rsidRPr="00092331" w:rsidRDefault="00215A11" w:rsidP="002A5E29">
            <w:pPr>
              <w:spacing w:after="0"/>
              <w:rPr>
                <w:sz w:val="18"/>
                <w:szCs w:val="18"/>
                <w:lang w:eastAsia="en-GB"/>
              </w:rPr>
            </w:pPr>
            <w:r w:rsidRPr="00092331">
              <w:rPr>
                <w:sz w:val="18"/>
                <w:szCs w:val="18"/>
                <w:lang w:eastAsia="en-GB"/>
              </w:rPr>
              <w:t>NA</w:t>
            </w:r>
          </w:p>
        </w:tc>
        <w:tc>
          <w:tcPr>
            <w:tcW w:w="2768" w:type="dxa"/>
            <w:tcBorders>
              <w:top w:val="single" w:sz="4" w:space="0" w:color="auto"/>
              <w:left w:val="nil"/>
              <w:bottom w:val="single" w:sz="4" w:space="0" w:color="auto"/>
              <w:right w:val="nil"/>
            </w:tcBorders>
            <w:shd w:val="clear" w:color="auto" w:fill="auto"/>
            <w:vAlign w:val="center"/>
          </w:tcPr>
          <w:p w14:paraId="236BF1BA" w14:textId="1405F6B5" w:rsidR="00215A11" w:rsidRPr="00092331" w:rsidRDefault="00215A11" w:rsidP="001C4413">
            <w:pPr>
              <w:keepNext/>
              <w:spacing w:after="0"/>
              <w:rPr>
                <w:sz w:val="18"/>
                <w:szCs w:val="18"/>
                <w:lang w:eastAsia="en-GB"/>
              </w:rPr>
            </w:pPr>
            <w:r w:rsidRPr="00092331">
              <w:rPr>
                <w:sz w:val="18"/>
                <w:szCs w:val="18"/>
                <w:lang w:eastAsia="en-GB"/>
              </w:rPr>
              <w:t>Personal communication</w:t>
            </w:r>
            <w:r>
              <w:rPr>
                <w:sz w:val="18"/>
                <w:szCs w:val="18"/>
                <w:lang w:eastAsia="en-GB"/>
              </w:rPr>
              <w:t>, assembled literature database from the Ifakara Health Institute</w:t>
            </w:r>
          </w:p>
        </w:tc>
      </w:tr>
      <w:tr w:rsidR="00215A11" w:rsidRPr="00092331" w14:paraId="648F61FA"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53336584" w14:textId="3B062933" w:rsidR="00215A11" w:rsidRPr="00092331" w:rsidRDefault="00215A11" w:rsidP="00215A11">
            <w:pPr>
              <w:spacing w:after="0"/>
              <w:rPr>
                <w:sz w:val="18"/>
                <w:szCs w:val="18"/>
                <w:lang w:eastAsia="en-GB"/>
              </w:rPr>
            </w:pPr>
            <w:r w:rsidRPr="00092331">
              <w:rPr>
                <w:sz w:val="18"/>
                <w:szCs w:val="18"/>
                <w:lang w:eastAsia="en-GB"/>
              </w:rPr>
              <w:t>Indoor/</w:t>
            </w:r>
            <w:r>
              <w:rPr>
                <w:sz w:val="18"/>
                <w:szCs w:val="18"/>
                <w:lang w:eastAsia="en-GB"/>
              </w:rPr>
              <w:t xml:space="preserve"> o</w:t>
            </w:r>
            <w:r w:rsidRPr="00092331">
              <w:rPr>
                <w:sz w:val="18"/>
                <w:szCs w:val="18"/>
                <w:lang w:eastAsia="en-GB"/>
              </w:rPr>
              <w:t xml:space="preserve">utdoor biting </w:t>
            </w:r>
          </w:p>
        </w:tc>
        <w:tc>
          <w:tcPr>
            <w:tcW w:w="3458" w:type="dxa"/>
            <w:tcBorders>
              <w:top w:val="single" w:sz="4" w:space="0" w:color="auto"/>
              <w:left w:val="nil"/>
              <w:bottom w:val="single" w:sz="4" w:space="0" w:color="auto"/>
              <w:right w:val="nil"/>
            </w:tcBorders>
            <w:vAlign w:val="center"/>
          </w:tcPr>
          <w:p w14:paraId="6F21F50C" w14:textId="5D010FEC" w:rsidR="00215A11" w:rsidRDefault="00215A11" w:rsidP="00571E0F">
            <w:pPr>
              <w:spacing w:after="0"/>
              <w:rPr>
                <w:sz w:val="18"/>
                <w:szCs w:val="18"/>
                <w:lang w:eastAsia="en-GB"/>
              </w:rPr>
            </w:pPr>
            <w:r>
              <w:rPr>
                <w:sz w:val="18"/>
                <w:szCs w:val="18"/>
                <w:lang w:eastAsia="en-GB"/>
              </w:rPr>
              <w:t>%</w:t>
            </w:r>
            <w:r w:rsidRPr="00092331">
              <w:rPr>
                <w:sz w:val="18"/>
                <w:szCs w:val="18"/>
                <w:lang w:eastAsia="en-GB"/>
              </w:rPr>
              <w:t xml:space="preserve"> of vectors affected by indoor interventions</w:t>
            </w:r>
          </w:p>
        </w:tc>
        <w:tc>
          <w:tcPr>
            <w:tcW w:w="2801" w:type="dxa"/>
            <w:tcBorders>
              <w:top w:val="single" w:sz="4" w:space="0" w:color="auto"/>
              <w:left w:val="nil"/>
              <w:bottom w:val="single" w:sz="4" w:space="0" w:color="auto"/>
              <w:right w:val="nil"/>
            </w:tcBorders>
            <w:shd w:val="clear" w:color="auto" w:fill="auto"/>
            <w:vAlign w:val="center"/>
          </w:tcPr>
          <w:p w14:paraId="75CA5496" w14:textId="23EB53DB" w:rsidR="00215A11" w:rsidRPr="00092331" w:rsidRDefault="00215A11" w:rsidP="001C4413">
            <w:pPr>
              <w:spacing w:after="0"/>
              <w:rPr>
                <w:sz w:val="18"/>
                <w:szCs w:val="18"/>
                <w:lang w:eastAsia="en-GB"/>
              </w:rPr>
            </w:pPr>
            <w:r>
              <w:rPr>
                <w:sz w:val="18"/>
                <w:szCs w:val="18"/>
                <w:lang w:eastAsia="en-GB"/>
              </w:rPr>
              <w:t>To inform v</w:t>
            </w:r>
            <w:r w:rsidRPr="00092331">
              <w:rPr>
                <w:sz w:val="18"/>
                <w:szCs w:val="18"/>
                <w:lang w:eastAsia="en-GB"/>
              </w:rPr>
              <w:t>ector</w:t>
            </w:r>
            <w:r>
              <w:rPr>
                <w:sz w:val="18"/>
                <w:szCs w:val="18"/>
                <w:lang w:eastAsia="en-GB"/>
              </w:rPr>
              <w:t xml:space="preserve"> bionomics</w:t>
            </w:r>
            <w:r w:rsidRPr="00092331">
              <w:rPr>
                <w:sz w:val="18"/>
                <w:szCs w:val="18"/>
                <w:lang w:eastAsia="en-GB"/>
              </w:rPr>
              <w:t xml:space="preserve"> parameter</w:t>
            </w:r>
          </w:p>
        </w:tc>
        <w:tc>
          <w:tcPr>
            <w:tcW w:w="1134" w:type="dxa"/>
            <w:tcBorders>
              <w:top w:val="single" w:sz="4" w:space="0" w:color="auto"/>
              <w:left w:val="nil"/>
              <w:bottom w:val="single" w:sz="4" w:space="0" w:color="auto"/>
              <w:right w:val="nil"/>
            </w:tcBorders>
            <w:shd w:val="clear" w:color="auto" w:fill="auto"/>
            <w:vAlign w:val="center"/>
          </w:tcPr>
          <w:p w14:paraId="6E1C0450" w14:textId="77777777" w:rsidR="00215A11" w:rsidRPr="00092331" w:rsidRDefault="00215A11" w:rsidP="002A5E29">
            <w:pPr>
              <w:spacing w:after="0"/>
              <w:rPr>
                <w:sz w:val="18"/>
                <w:szCs w:val="18"/>
                <w:lang w:eastAsia="en-GB"/>
              </w:rPr>
            </w:pPr>
            <w:r>
              <w:rPr>
                <w:sz w:val="18"/>
                <w:szCs w:val="18"/>
                <w:lang w:eastAsia="en-GB"/>
              </w:rPr>
              <w:t>Study site</w:t>
            </w:r>
          </w:p>
        </w:tc>
        <w:tc>
          <w:tcPr>
            <w:tcW w:w="1146" w:type="dxa"/>
            <w:tcBorders>
              <w:top w:val="single" w:sz="4" w:space="0" w:color="auto"/>
              <w:left w:val="nil"/>
              <w:bottom w:val="single" w:sz="4" w:space="0" w:color="auto"/>
              <w:right w:val="nil"/>
            </w:tcBorders>
            <w:shd w:val="clear" w:color="auto" w:fill="auto"/>
            <w:vAlign w:val="center"/>
          </w:tcPr>
          <w:p w14:paraId="43DE5AA3" w14:textId="77777777" w:rsidR="00215A11" w:rsidRPr="00092331" w:rsidRDefault="00215A11" w:rsidP="002A5E29">
            <w:pPr>
              <w:spacing w:after="0"/>
              <w:rPr>
                <w:sz w:val="18"/>
                <w:szCs w:val="18"/>
                <w:lang w:eastAsia="en-GB"/>
              </w:rPr>
            </w:pPr>
            <w:r w:rsidRPr="00092331">
              <w:rPr>
                <w:sz w:val="18"/>
                <w:szCs w:val="18"/>
                <w:lang w:eastAsia="en-GB"/>
              </w:rPr>
              <w:t>NA</w:t>
            </w:r>
          </w:p>
        </w:tc>
        <w:tc>
          <w:tcPr>
            <w:tcW w:w="1133" w:type="dxa"/>
            <w:tcBorders>
              <w:top w:val="single" w:sz="4" w:space="0" w:color="auto"/>
              <w:left w:val="nil"/>
              <w:bottom w:val="single" w:sz="4" w:space="0" w:color="auto"/>
              <w:right w:val="nil"/>
            </w:tcBorders>
            <w:shd w:val="clear" w:color="auto" w:fill="auto"/>
            <w:vAlign w:val="center"/>
          </w:tcPr>
          <w:p w14:paraId="4447F682" w14:textId="77777777" w:rsidR="00215A11" w:rsidRPr="00092331" w:rsidRDefault="00215A11" w:rsidP="002A5E29">
            <w:pPr>
              <w:spacing w:after="0"/>
              <w:rPr>
                <w:sz w:val="18"/>
                <w:szCs w:val="18"/>
                <w:lang w:eastAsia="en-GB"/>
              </w:rPr>
            </w:pPr>
            <w:r w:rsidRPr="00092331">
              <w:rPr>
                <w:sz w:val="18"/>
                <w:szCs w:val="18"/>
                <w:lang w:eastAsia="en-GB"/>
              </w:rPr>
              <w:t>2016</w:t>
            </w:r>
          </w:p>
        </w:tc>
        <w:tc>
          <w:tcPr>
            <w:tcW w:w="2768" w:type="dxa"/>
            <w:tcBorders>
              <w:top w:val="single" w:sz="4" w:space="0" w:color="auto"/>
              <w:left w:val="nil"/>
              <w:bottom w:val="single" w:sz="4" w:space="0" w:color="auto"/>
              <w:right w:val="nil"/>
            </w:tcBorders>
            <w:shd w:val="clear" w:color="auto" w:fill="auto"/>
            <w:vAlign w:val="center"/>
          </w:tcPr>
          <w:p w14:paraId="074E5E96" w14:textId="5CE5BBFA" w:rsidR="00215A11" w:rsidRPr="00092331" w:rsidRDefault="00215A11" w:rsidP="002A5E29">
            <w:pPr>
              <w:keepNext/>
              <w:spacing w:after="0"/>
              <w:rPr>
                <w:sz w:val="18"/>
                <w:szCs w:val="18"/>
                <w:lang w:eastAsia="en-GB"/>
              </w:rPr>
            </w:pPr>
            <w:r w:rsidRPr="00092331">
              <w:rPr>
                <w:sz w:val="18"/>
                <w:szCs w:val="18"/>
                <w:lang w:eastAsia="en-GB"/>
              </w:rPr>
              <w:fldChar w:fldCharType="begin"/>
            </w:r>
            <w:r>
              <w:rPr>
                <w:sz w:val="18"/>
                <w:szCs w:val="18"/>
                <w:lang w:eastAsia="en-GB"/>
              </w:rPr>
              <w:instrText xml:space="preserve"> ADDIN ZOTERO_ITEM CSL_CITATION {"citationID":"jlsWTDWF","properties":{"formattedCitation":"[3]","plainCitation":"[3]","noteIndex":0},"citationItems":[{"id":24286,"uris":["http://zotero.org/users/3516901/items/3ENA9EKZ"],"uri":["http://zotero.org/users/3516901/items/3ENA9EKZ"],"itemData":{"id":24286,"type":"article-journal","title":"Variations in household microclimate affect outdoor-biting behaviour of malaria vectors","container-title":"Wellcome Open Research","page":"102","volume":"2","source":"CrossRef","DOI":"10.12688/wellcomeopenres.12928.1","ISSN":"2398-502X","language":"en","author":[{"family":"Ngowo","given":"Halfan Said"},{"family":"Kaindoa","given":"Emmanuel Wilson"},{"family":"Matthiopoulos","given":"Jason"},{"family":"Ferguson","given":"Heather M."},{"family":"Okumu","given":"Fredros Oketch"}],"issued":{"date-parts":[["2017",10,24]]}}}],"schema":"https://github.com/citation-style-language/schema/raw/master/csl-citation.json"} </w:instrText>
            </w:r>
            <w:r w:rsidRPr="00092331">
              <w:rPr>
                <w:sz w:val="18"/>
                <w:szCs w:val="18"/>
                <w:lang w:eastAsia="en-GB"/>
              </w:rPr>
              <w:fldChar w:fldCharType="separate"/>
            </w:r>
            <w:r w:rsidRPr="00AC27AD">
              <w:rPr>
                <w:rFonts w:ascii="Calibri" w:hAnsi="Calibri"/>
                <w:sz w:val="18"/>
              </w:rPr>
              <w:t>[3]</w:t>
            </w:r>
            <w:r w:rsidRPr="00092331">
              <w:rPr>
                <w:sz w:val="18"/>
                <w:szCs w:val="18"/>
                <w:lang w:eastAsia="en-GB"/>
              </w:rPr>
              <w:fldChar w:fldCharType="end"/>
            </w:r>
          </w:p>
        </w:tc>
      </w:tr>
      <w:tr w:rsidR="00215A11" w:rsidRPr="00092331" w14:paraId="647841DF"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6BAEAA94" w14:textId="790DEB4A" w:rsidR="00215A11" w:rsidRPr="00092331" w:rsidRDefault="00215A11" w:rsidP="002A5E29">
            <w:pPr>
              <w:spacing w:after="0"/>
              <w:rPr>
                <w:sz w:val="18"/>
                <w:szCs w:val="18"/>
                <w:lang w:eastAsia="en-GB"/>
              </w:rPr>
            </w:pPr>
            <w:r w:rsidRPr="00092331">
              <w:rPr>
                <w:sz w:val="18"/>
                <w:szCs w:val="18"/>
                <w:lang w:eastAsia="en-GB"/>
              </w:rPr>
              <w:t>Resistance</w:t>
            </w:r>
          </w:p>
        </w:tc>
        <w:tc>
          <w:tcPr>
            <w:tcW w:w="3458" w:type="dxa"/>
            <w:tcBorders>
              <w:top w:val="single" w:sz="4" w:space="0" w:color="auto"/>
              <w:left w:val="nil"/>
              <w:bottom w:val="single" w:sz="4" w:space="0" w:color="auto"/>
              <w:right w:val="nil"/>
            </w:tcBorders>
            <w:vAlign w:val="center"/>
          </w:tcPr>
          <w:p w14:paraId="3E8BD38C" w14:textId="3A94AA98" w:rsidR="00215A11" w:rsidRDefault="00215A11" w:rsidP="00571E0F">
            <w:pPr>
              <w:spacing w:after="0"/>
              <w:rPr>
                <w:sz w:val="18"/>
                <w:szCs w:val="18"/>
                <w:lang w:eastAsia="en-GB"/>
              </w:rPr>
            </w:pPr>
            <w:r w:rsidRPr="00092331">
              <w:rPr>
                <w:sz w:val="18"/>
                <w:szCs w:val="18"/>
                <w:lang w:eastAsia="en-GB"/>
              </w:rPr>
              <w:t>Assumed resistance against pyrethroids (% mortality)</w:t>
            </w:r>
          </w:p>
        </w:tc>
        <w:tc>
          <w:tcPr>
            <w:tcW w:w="2801" w:type="dxa"/>
            <w:tcBorders>
              <w:top w:val="single" w:sz="4" w:space="0" w:color="auto"/>
              <w:left w:val="nil"/>
              <w:bottom w:val="single" w:sz="4" w:space="0" w:color="auto"/>
              <w:right w:val="nil"/>
            </w:tcBorders>
            <w:shd w:val="clear" w:color="auto" w:fill="auto"/>
            <w:vAlign w:val="center"/>
          </w:tcPr>
          <w:p w14:paraId="26D2EC26" w14:textId="1EEA852C" w:rsidR="00215A11" w:rsidRPr="00092331" w:rsidRDefault="00215A11" w:rsidP="001C4413">
            <w:pPr>
              <w:spacing w:after="0"/>
              <w:rPr>
                <w:sz w:val="18"/>
                <w:szCs w:val="18"/>
                <w:lang w:eastAsia="en-GB"/>
              </w:rPr>
            </w:pPr>
            <w:r>
              <w:rPr>
                <w:sz w:val="18"/>
                <w:szCs w:val="18"/>
                <w:lang w:eastAsia="en-GB"/>
              </w:rPr>
              <w:t xml:space="preserve">To inform assumptions about insecticide </w:t>
            </w:r>
            <w:r w:rsidRPr="00092331">
              <w:rPr>
                <w:sz w:val="18"/>
                <w:szCs w:val="18"/>
                <w:lang w:eastAsia="en-GB"/>
              </w:rPr>
              <w:t xml:space="preserve">resistance </w:t>
            </w:r>
          </w:p>
        </w:tc>
        <w:tc>
          <w:tcPr>
            <w:tcW w:w="1134" w:type="dxa"/>
            <w:tcBorders>
              <w:top w:val="single" w:sz="4" w:space="0" w:color="auto"/>
              <w:left w:val="nil"/>
              <w:bottom w:val="single" w:sz="4" w:space="0" w:color="auto"/>
              <w:right w:val="nil"/>
            </w:tcBorders>
            <w:shd w:val="clear" w:color="auto" w:fill="auto"/>
            <w:vAlign w:val="center"/>
          </w:tcPr>
          <w:p w14:paraId="04BA355D" w14:textId="77777777" w:rsidR="00215A11" w:rsidRPr="00092331" w:rsidRDefault="00215A11" w:rsidP="002A5E29">
            <w:pPr>
              <w:spacing w:after="0"/>
              <w:rPr>
                <w:sz w:val="18"/>
                <w:szCs w:val="18"/>
                <w:lang w:eastAsia="en-GB"/>
              </w:rPr>
            </w:pPr>
            <w:r>
              <w:rPr>
                <w:sz w:val="18"/>
                <w:szCs w:val="18"/>
                <w:lang w:eastAsia="en-GB"/>
              </w:rPr>
              <w:t>Council</w:t>
            </w:r>
          </w:p>
        </w:tc>
        <w:tc>
          <w:tcPr>
            <w:tcW w:w="1146" w:type="dxa"/>
            <w:tcBorders>
              <w:top w:val="single" w:sz="4" w:space="0" w:color="auto"/>
              <w:left w:val="nil"/>
              <w:bottom w:val="single" w:sz="4" w:space="0" w:color="auto"/>
              <w:right w:val="nil"/>
            </w:tcBorders>
            <w:shd w:val="clear" w:color="auto" w:fill="auto"/>
            <w:vAlign w:val="center"/>
          </w:tcPr>
          <w:p w14:paraId="769DF62A" w14:textId="77777777" w:rsidR="00215A11" w:rsidRPr="00092331" w:rsidRDefault="00215A11" w:rsidP="002A5E29">
            <w:pPr>
              <w:spacing w:after="0"/>
              <w:rPr>
                <w:sz w:val="18"/>
                <w:szCs w:val="18"/>
                <w:lang w:eastAsia="en-GB"/>
              </w:rPr>
            </w:pPr>
            <w:r w:rsidRPr="00092331">
              <w:rPr>
                <w:sz w:val="18"/>
                <w:szCs w:val="18"/>
                <w:lang w:eastAsia="en-GB"/>
              </w:rPr>
              <w:t>NA</w:t>
            </w:r>
          </w:p>
        </w:tc>
        <w:tc>
          <w:tcPr>
            <w:tcW w:w="1133" w:type="dxa"/>
            <w:tcBorders>
              <w:top w:val="single" w:sz="4" w:space="0" w:color="auto"/>
              <w:left w:val="nil"/>
              <w:bottom w:val="single" w:sz="4" w:space="0" w:color="auto"/>
              <w:right w:val="nil"/>
            </w:tcBorders>
            <w:shd w:val="clear" w:color="auto" w:fill="auto"/>
            <w:vAlign w:val="center"/>
          </w:tcPr>
          <w:p w14:paraId="24F9B11B" w14:textId="77777777" w:rsidR="00215A11" w:rsidRPr="00092331" w:rsidRDefault="00215A11" w:rsidP="002A5E29">
            <w:pPr>
              <w:spacing w:after="0"/>
              <w:rPr>
                <w:sz w:val="18"/>
                <w:szCs w:val="18"/>
                <w:lang w:eastAsia="en-GB"/>
              </w:rPr>
            </w:pPr>
            <w:r>
              <w:rPr>
                <w:sz w:val="18"/>
                <w:szCs w:val="18"/>
                <w:lang w:eastAsia="en-GB"/>
              </w:rPr>
              <w:t>2014, 2015</w:t>
            </w:r>
          </w:p>
        </w:tc>
        <w:tc>
          <w:tcPr>
            <w:tcW w:w="2768" w:type="dxa"/>
            <w:tcBorders>
              <w:top w:val="single" w:sz="4" w:space="0" w:color="auto"/>
              <w:left w:val="nil"/>
              <w:bottom w:val="single" w:sz="4" w:space="0" w:color="auto"/>
              <w:right w:val="nil"/>
            </w:tcBorders>
            <w:shd w:val="clear" w:color="auto" w:fill="auto"/>
            <w:vAlign w:val="center"/>
          </w:tcPr>
          <w:p w14:paraId="5D11C93D" w14:textId="77777777" w:rsidR="00215A11" w:rsidRPr="00092331" w:rsidRDefault="00215A11" w:rsidP="002A5E29">
            <w:pPr>
              <w:keepNext/>
              <w:spacing w:after="0"/>
              <w:rPr>
                <w:sz w:val="18"/>
                <w:szCs w:val="18"/>
                <w:lang w:eastAsia="en-GB"/>
              </w:rPr>
            </w:pPr>
            <w:r w:rsidRPr="00092331">
              <w:rPr>
                <w:sz w:val="18"/>
                <w:szCs w:val="18"/>
                <w:lang w:eastAsia="en-GB"/>
              </w:rPr>
              <w:t>NIMR, resistance reports</w:t>
            </w:r>
          </w:p>
          <w:p w14:paraId="0E62197B" w14:textId="091628B1" w:rsidR="00215A11" w:rsidRPr="00092331" w:rsidRDefault="00215A11" w:rsidP="002A5E29">
            <w:pPr>
              <w:keepNext/>
              <w:spacing w:after="0"/>
              <w:rPr>
                <w:sz w:val="18"/>
                <w:szCs w:val="18"/>
              </w:rPr>
            </w:pPr>
            <w:r w:rsidRPr="00092331">
              <w:rPr>
                <w:sz w:val="18"/>
                <w:szCs w:val="18"/>
              </w:rPr>
              <w:fldChar w:fldCharType="begin"/>
            </w:r>
            <w:r>
              <w:rPr>
                <w:sz w:val="18"/>
                <w:szCs w:val="18"/>
              </w:rPr>
              <w:instrText xml:space="preserve"> ADDIN ZOTERO_ITEM CSL_CITATION {"citationID":"a11n64sokd8","properties":{"unsorted":true,"formattedCitation":"[4,5]","plainCitation":"[4,5]","noteIndex":0},"citationItems":[{"id":20564,"uris":["http://zotero.org/users/3516901/items/TEB3NNNC"],"uri":["http://zotero.org/users/3516901/items/TEB3NNNC"],"itemData":{"id":20564,"type":"report","title":"Detection and Monitoring of Insecticide Resistance in Malaria Vectors in Tanzania Mainland","collection-title":"Technical Report of the National Institute for Medical Research","publisher":"National Institute for Medical Research","publisher-place":"Dar es Salaam, Tanzania","genre":"Technical Report","event-place":"Dar es Salaam, Tanzania","author":[{"literal":"Kisinza W"},{"literal":"Nkya T"},{"literal":"Msangi S"},{"literal":"Mbilu T"},{"literal":"Batengana B"},{"literal":"Lyimo E"},{"literal":"Materu G"},{"literal":"Manga C"},{"literal":"Kitau J"},{"literal":"Kabula B"}],"issued":{"date-parts":[["2015"]]}},"label":"page"},{"id":28841,"uris":["http://zotero.org/users/3516901/items/RH6GI6KK"],"uri":["http://zotero.org/users/3516901/items/RH6GI6KK"],"itemData":{"id":28841,"type":"report","title":"Detection and Monitoring of Insecticide Resistance to Malaria Vectors in Tanzania Mainland","collection-title":"Technical Report of the National Institute for Medical Research","publisher":"National Institute for Medical Research","publisher-place":"Dar es Salaam, Tanzania","event-place":"Dar es Salaam, Tanzania","abstract":"Introduction: In recent years malaria has been reported to decline mostly due to effectiveness of\nindoor residual spraying and wide coverage of pyrethroid treated bed nets. However this achieved\nmilestone in combating malaria in sub‐Sahara Africa is threatened by the rise of insecticide resistance\nto all classes of insecticides that are currently used for vector control. The same interventions that\nhave been proven effective (ITNs and IRS) are said to be the driving forces behind the selection of\ninsecticide resistance mechanisms in major malaria vectors. The occurrence and rapid spread of\ninsecticide resistance has necessitated the regular monitoring of the susceptibility status of malaria\nvectors to the insecticides for the effective and timely deployment of resistance mitigation plans.\nThe current survey was carried out between May and August 2014 in 19 districts for the detection\nand monitoring of malaria vector resistance to insecticides of public health relevance in Tanzania\nMainland.\nMethods: The surveillance was conducted in 19 sentinel districts of which 18 districts mosquito\nlarvae were collected and reared to adults for susceptibility tests and molecular analysis. Adult\nfemale mosquitoes aged 2‐5 days old were exposed to insecticides at discriminatory dosages of 0.75%\nPermethrin, 0.05% Deltamethrin, 0.05% Lambdacyhalothrin and 0.1% Bendiocarb following WHO\nprotocol. The distribution of An. gambiae sibling species and pyrethroid target‐site mutations (kdr)\nwere investigated using molecular assays (Standard PCR and Real time PCR). Biochemical assays\nwere used to detect the enzyme‐based resistance mechanisms in mosquitoes across all the sentinel\nsites.\nResults: Susceptibility tests continued to confirm the spread of pyrethroid resistance across the\ncountry. Lambdacyhalothrin showed the highest level of resistance in Kilombero, Arumeru, Babati,\nKahama, Kilosa, Bagamoyo, Kinondoni, Magu and Ngara (mortality rate of 25 ‐86%). Resistance to\nDeltamethrin was detected in Babati, Kahama, Kilombero, Kilosa and Kinondoni (mortality rate of 59‐\n86%). Resistance to Permethrin and Bendiocarb were restricted in Arumeru with mortality rate of 45%\nand 58.3% respectively. Resistance ratio (RR50) of 9‐folds to Lambdacyhalothrin, 5.4‐folds to\nPermethrin and 4.4‐folds to Deltamethrin was recorded in Bagamoyo. A total of 1936 Anopheles\nfemale adults from the 18 sampled populations were used for species identification by PCR. As for\nmembers of Anopheles gambiae complex, it was observed that Anopheles gambiae s.s accounted for\n28%, mostly collected from rural sentinel sites, while the remaining 78% were Anopheles arabiensis.\nL1014S east‐kdr‐mutation was recorded in Kinondoni (20%), Kyela (15%), Muheza (25%), Musoma (6%)\nand Ngara (6%) respectively. Elevated levels of P450‐oxidases were significantly elevated in\nmosquitoes from Kondoa, Kilombero and Bagamoyo, while Glutathione s‐transferase (GST) were\nsignificantly elevated in mosquitoes from Arumeru only. In addition, significantly elevated levels of\nnonspecific esterases were detected in mosquitoes from Arumeru, Kondoa, Kilombero and\nBagamoyo.\nConclusion: The current report evidently shows an increase of insecticide resistance particularly to\npyrethroids. Not only that but also we report alarming increase of carbamate resistance in Tanzania.\nThe resistance mechanisms reported here range from target site resistance (kdr) to biochemical\nmechanisms that involve increased levels of Glutathione s‐transferase, P450 oxidase and non specific\nesterases. These phenomena of resistance mechanisms in the malaria mosquito population may\ncomplicate the resistance management strategies that need to be explored further. With such\nscenario, the continued systematic resistance monitoring is important and that operational impact of\nresistance to the effectiveness of the LLINs in the control of malaria vectors should be ascertained in\na rigorous and systematic manner.","author":[{"literal":"Kisinza W"},{"literal":"Tungu P"},{"literal":"Nkya T"},{"literal":"Malima R"},{"literal":"Zawadi M"},{"literal":"Msangi S"},{"literal":"Magogo F"},{"literal":"Rwegoshora D"},{"literal":"Mbilu T"},{"literal":"Emidi B"},{"literal":"Batengana B"},{"literal":"Materu G"},{"literal":"Lyatuu E"},{"literal":"Kibona M"},{"literal":"Kassim K"},{"literal":"Manga C"},{"literal":"Kibweja A"},{"literal":"Charle D"},{"literal":"Francis D"},{"literal":"Martin J"},{"literal":"Gavana T"},{"literal":"Masue D"},{"literal":"Govella N"},{"literal":"Magogo G"},{"literal":"Sudi W"},{"literal":"Kabula B"}],"issued":{"date-parts":[["2014"]]}},"label":"page"}],"schema":"https://github.com/citation-style-language/schema/raw/master/csl-citation.json"} </w:instrText>
            </w:r>
            <w:r w:rsidRPr="00092331">
              <w:rPr>
                <w:sz w:val="18"/>
                <w:szCs w:val="18"/>
              </w:rPr>
              <w:fldChar w:fldCharType="separate"/>
            </w:r>
            <w:r w:rsidRPr="00AC27AD">
              <w:rPr>
                <w:rFonts w:ascii="Calibri" w:hAnsi="Calibri"/>
                <w:sz w:val="18"/>
              </w:rPr>
              <w:t>[4,5]</w:t>
            </w:r>
            <w:r w:rsidRPr="00092331">
              <w:rPr>
                <w:sz w:val="18"/>
                <w:szCs w:val="18"/>
              </w:rPr>
              <w:fldChar w:fldCharType="end"/>
            </w:r>
          </w:p>
        </w:tc>
      </w:tr>
      <w:tr w:rsidR="00215A11" w:rsidRPr="00092331" w14:paraId="2A07D148" w14:textId="77777777" w:rsidTr="00215A11">
        <w:trPr>
          <w:trHeight w:val="284"/>
        </w:trPr>
        <w:tc>
          <w:tcPr>
            <w:tcW w:w="14000" w:type="dxa"/>
            <w:gridSpan w:val="7"/>
            <w:tcBorders>
              <w:top w:val="single" w:sz="4" w:space="0" w:color="auto"/>
              <w:left w:val="nil"/>
              <w:bottom w:val="single" w:sz="4" w:space="0" w:color="auto"/>
              <w:right w:val="nil"/>
            </w:tcBorders>
            <w:shd w:val="clear" w:color="auto" w:fill="auto"/>
            <w:vAlign w:val="center"/>
          </w:tcPr>
          <w:p w14:paraId="1E2FC791" w14:textId="17E9080B" w:rsidR="00215A11" w:rsidRDefault="00215A11" w:rsidP="00215A11">
            <w:pPr>
              <w:keepNext/>
              <w:spacing w:after="0"/>
              <w:rPr>
                <w:sz w:val="18"/>
                <w:szCs w:val="18"/>
                <w:lang w:eastAsia="en-GB"/>
              </w:rPr>
            </w:pPr>
            <w:r w:rsidRPr="00215A11">
              <w:rPr>
                <w:b/>
                <w:sz w:val="20"/>
                <w:szCs w:val="18"/>
                <w:lang w:eastAsia="en-GB"/>
              </w:rPr>
              <w:t>Transmission and seasonality</w:t>
            </w:r>
          </w:p>
        </w:tc>
      </w:tr>
      <w:tr w:rsidR="00215A11" w:rsidRPr="00092331" w14:paraId="10A3B754"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05168AEC" w14:textId="2C53CB00" w:rsidR="00215A11" w:rsidRPr="00092331" w:rsidRDefault="00215A11" w:rsidP="00215A11">
            <w:pPr>
              <w:spacing w:after="0"/>
              <w:rPr>
                <w:sz w:val="18"/>
                <w:szCs w:val="18"/>
                <w:lang w:eastAsia="en-GB"/>
              </w:rPr>
            </w:pPr>
            <w:r>
              <w:rPr>
                <w:sz w:val="18"/>
                <w:szCs w:val="18"/>
                <w:lang w:eastAsia="en-GB"/>
              </w:rPr>
              <w:t>Pre-intervention Transmission intensity</w:t>
            </w:r>
          </w:p>
        </w:tc>
        <w:tc>
          <w:tcPr>
            <w:tcW w:w="3458" w:type="dxa"/>
            <w:tcBorders>
              <w:top w:val="single" w:sz="4" w:space="0" w:color="auto"/>
              <w:left w:val="nil"/>
              <w:bottom w:val="single" w:sz="4" w:space="0" w:color="auto"/>
              <w:right w:val="nil"/>
            </w:tcBorders>
            <w:vAlign w:val="center"/>
          </w:tcPr>
          <w:p w14:paraId="4CDC451E" w14:textId="0549448E" w:rsidR="00215A11" w:rsidRPr="00092331" w:rsidRDefault="00215A11" w:rsidP="00215A11">
            <w:pPr>
              <w:spacing w:after="0"/>
              <w:rPr>
                <w:sz w:val="18"/>
                <w:szCs w:val="18"/>
                <w:lang w:eastAsia="en-GB"/>
              </w:rPr>
            </w:pPr>
            <w:r>
              <w:rPr>
                <w:sz w:val="18"/>
                <w:szCs w:val="18"/>
                <w:lang w:eastAsia="en-GB"/>
              </w:rPr>
              <w:t xml:space="preserve">Infectious bites per person per year before large scale up of control interventions </w:t>
            </w:r>
          </w:p>
        </w:tc>
        <w:tc>
          <w:tcPr>
            <w:tcW w:w="8982" w:type="dxa"/>
            <w:gridSpan w:val="5"/>
            <w:tcBorders>
              <w:top w:val="single" w:sz="4" w:space="0" w:color="auto"/>
              <w:left w:val="nil"/>
              <w:bottom w:val="single" w:sz="4" w:space="0" w:color="auto"/>
              <w:right w:val="nil"/>
            </w:tcBorders>
            <w:shd w:val="clear" w:color="auto" w:fill="auto"/>
            <w:vAlign w:val="center"/>
          </w:tcPr>
          <w:p w14:paraId="57025C81" w14:textId="0C0F10FF" w:rsidR="00215A11" w:rsidRPr="00092331" w:rsidRDefault="00215A11" w:rsidP="00215A11">
            <w:pPr>
              <w:keepNext/>
              <w:spacing w:after="0"/>
              <w:rPr>
                <w:sz w:val="18"/>
                <w:szCs w:val="18"/>
                <w:lang w:eastAsia="en-GB"/>
              </w:rPr>
            </w:pPr>
            <w:r>
              <w:rPr>
                <w:sz w:val="18"/>
                <w:szCs w:val="18"/>
                <w:lang w:eastAsia="en-GB"/>
              </w:rPr>
              <w:t>No data available for all councils and parameter was estimated</w:t>
            </w:r>
          </w:p>
        </w:tc>
      </w:tr>
      <w:tr w:rsidR="00215A11" w:rsidRPr="00F25658" w14:paraId="09908675" w14:textId="77777777" w:rsidTr="00215A11">
        <w:trPr>
          <w:trHeight w:val="284"/>
        </w:trPr>
        <w:tc>
          <w:tcPr>
            <w:tcW w:w="1560" w:type="dxa"/>
            <w:vMerge w:val="restart"/>
            <w:tcBorders>
              <w:top w:val="single" w:sz="4" w:space="0" w:color="auto"/>
              <w:left w:val="nil"/>
              <w:right w:val="nil"/>
            </w:tcBorders>
            <w:shd w:val="clear" w:color="auto" w:fill="auto"/>
            <w:vAlign w:val="center"/>
          </w:tcPr>
          <w:p w14:paraId="541B6716" w14:textId="31E80EC7" w:rsidR="00215A11" w:rsidRPr="00092331" w:rsidRDefault="00215A11" w:rsidP="001C4413">
            <w:pPr>
              <w:spacing w:after="0"/>
              <w:rPr>
                <w:sz w:val="18"/>
                <w:szCs w:val="18"/>
                <w:lang w:eastAsia="en-GB"/>
              </w:rPr>
            </w:pPr>
            <w:r w:rsidRPr="00215A11">
              <w:rPr>
                <w:i/>
                <w:sz w:val="18"/>
                <w:szCs w:val="18"/>
                <w:lang w:eastAsia="en-GB"/>
              </w:rPr>
              <w:lastRenderedPageBreak/>
              <w:t>Pf</w:t>
            </w:r>
            <w:r>
              <w:rPr>
                <w:sz w:val="18"/>
                <w:szCs w:val="18"/>
                <w:lang w:eastAsia="en-GB"/>
              </w:rPr>
              <w:t>PR</w:t>
            </w:r>
          </w:p>
        </w:tc>
        <w:tc>
          <w:tcPr>
            <w:tcW w:w="3458" w:type="dxa"/>
            <w:tcBorders>
              <w:top w:val="single" w:sz="4" w:space="0" w:color="auto"/>
              <w:left w:val="nil"/>
              <w:bottom w:val="single" w:sz="4" w:space="0" w:color="auto"/>
              <w:right w:val="nil"/>
            </w:tcBorders>
            <w:vAlign w:val="center"/>
          </w:tcPr>
          <w:p w14:paraId="3A4E8D89" w14:textId="22D80D7A" w:rsidR="00215A11" w:rsidRPr="00092331" w:rsidRDefault="00215A11" w:rsidP="001C4413">
            <w:pPr>
              <w:spacing w:after="0"/>
              <w:rPr>
                <w:sz w:val="18"/>
                <w:szCs w:val="18"/>
                <w:lang w:eastAsia="en-GB"/>
              </w:rPr>
            </w:pPr>
            <w:r w:rsidRPr="00092331">
              <w:rPr>
                <w:sz w:val="18"/>
                <w:szCs w:val="18"/>
                <w:lang w:eastAsia="en-GB"/>
              </w:rPr>
              <w:t xml:space="preserve">% of children who were tested positive using </w:t>
            </w:r>
            <w:r w:rsidRPr="00092331">
              <w:rPr>
                <w:noProof/>
                <w:sz w:val="18"/>
                <w:szCs w:val="18"/>
                <w:lang w:eastAsia="en-GB"/>
              </w:rPr>
              <w:t>an mRDT,</w:t>
            </w:r>
            <w:r w:rsidRPr="00092331">
              <w:rPr>
                <w:sz w:val="18"/>
                <w:szCs w:val="18"/>
                <w:lang w:eastAsia="en-GB"/>
              </w:rPr>
              <w:t xml:space="preserve"> out of all children tested with </w:t>
            </w:r>
            <w:proofErr w:type="spellStart"/>
            <w:r w:rsidRPr="00092331">
              <w:rPr>
                <w:sz w:val="18"/>
                <w:szCs w:val="18"/>
                <w:lang w:eastAsia="en-GB"/>
              </w:rPr>
              <w:t>mRDT</w:t>
            </w:r>
            <w:proofErr w:type="spellEnd"/>
          </w:p>
        </w:tc>
        <w:tc>
          <w:tcPr>
            <w:tcW w:w="2801" w:type="dxa"/>
            <w:tcBorders>
              <w:top w:val="single" w:sz="4" w:space="0" w:color="auto"/>
              <w:left w:val="nil"/>
              <w:bottom w:val="single" w:sz="4" w:space="0" w:color="auto"/>
              <w:right w:val="nil"/>
            </w:tcBorders>
            <w:shd w:val="clear" w:color="auto" w:fill="auto"/>
            <w:vAlign w:val="center"/>
          </w:tcPr>
          <w:p w14:paraId="729892BD" w14:textId="5589BE3C" w:rsidR="00215A11" w:rsidRPr="00092331" w:rsidRDefault="00215A11" w:rsidP="002A5E29">
            <w:pPr>
              <w:spacing w:after="0"/>
              <w:rPr>
                <w:sz w:val="18"/>
                <w:szCs w:val="18"/>
                <w:lang w:eastAsia="en-GB"/>
              </w:rPr>
            </w:pPr>
            <w:r>
              <w:rPr>
                <w:sz w:val="18"/>
                <w:szCs w:val="18"/>
                <w:lang w:eastAsia="en-GB"/>
              </w:rPr>
              <w:t>To compare</w:t>
            </w:r>
            <w:r w:rsidRPr="00092331">
              <w:rPr>
                <w:sz w:val="18"/>
                <w:szCs w:val="18"/>
                <w:lang w:eastAsia="en-GB"/>
              </w:rPr>
              <w:t xml:space="preserve"> with other prevalence sources and the </w:t>
            </w:r>
            <w:r w:rsidRPr="00092331">
              <w:rPr>
                <w:noProof/>
                <w:sz w:val="18"/>
                <w:szCs w:val="18"/>
                <w:lang w:eastAsia="en-GB"/>
              </w:rPr>
              <w:t>simulated</w:t>
            </w:r>
            <w:r w:rsidRPr="00092331">
              <w:rPr>
                <w:sz w:val="18"/>
                <w:szCs w:val="18"/>
                <w:lang w:eastAsia="en-GB"/>
              </w:rPr>
              <w:t xml:space="preserve"> prevalence</w:t>
            </w:r>
          </w:p>
        </w:tc>
        <w:tc>
          <w:tcPr>
            <w:tcW w:w="1134" w:type="dxa"/>
            <w:tcBorders>
              <w:top w:val="single" w:sz="4" w:space="0" w:color="auto"/>
              <w:left w:val="nil"/>
              <w:bottom w:val="single" w:sz="4" w:space="0" w:color="auto"/>
              <w:right w:val="nil"/>
            </w:tcBorders>
            <w:shd w:val="clear" w:color="auto" w:fill="auto"/>
            <w:vAlign w:val="center"/>
          </w:tcPr>
          <w:p w14:paraId="624251EC" w14:textId="2053F77D" w:rsidR="00215A11" w:rsidRDefault="00215A11" w:rsidP="002A5E29">
            <w:pPr>
              <w:spacing w:after="0"/>
              <w:rPr>
                <w:sz w:val="18"/>
                <w:szCs w:val="18"/>
                <w:lang w:eastAsia="en-GB"/>
              </w:rPr>
            </w:pPr>
            <w:r w:rsidRPr="00092331">
              <w:rPr>
                <w:sz w:val="18"/>
                <w:szCs w:val="18"/>
                <w:lang w:eastAsia="en-GB"/>
              </w:rPr>
              <w:t>Region</w:t>
            </w:r>
          </w:p>
        </w:tc>
        <w:tc>
          <w:tcPr>
            <w:tcW w:w="1146" w:type="dxa"/>
            <w:tcBorders>
              <w:top w:val="single" w:sz="4" w:space="0" w:color="auto"/>
              <w:left w:val="nil"/>
              <w:bottom w:val="single" w:sz="4" w:space="0" w:color="auto"/>
              <w:right w:val="nil"/>
            </w:tcBorders>
            <w:shd w:val="clear" w:color="auto" w:fill="auto"/>
            <w:vAlign w:val="center"/>
          </w:tcPr>
          <w:p w14:paraId="254DAEEA" w14:textId="504A3B45" w:rsidR="00215A11" w:rsidRDefault="00215A11" w:rsidP="002A5E29">
            <w:pPr>
              <w:spacing w:after="0"/>
              <w:rPr>
                <w:sz w:val="18"/>
                <w:szCs w:val="18"/>
                <w:lang w:eastAsia="en-GB"/>
              </w:rPr>
            </w:pPr>
            <w:r w:rsidRPr="00092331">
              <w:rPr>
                <w:sz w:val="18"/>
                <w:szCs w:val="18"/>
                <w:lang w:eastAsia="en-GB"/>
              </w:rPr>
              <w:t>0-5 years</w:t>
            </w:r>
          </w:p>
        </w:tc>
        <w:tc>
          <w:tcPr>
            <w:tcW w:w="1133" w:type="dxa"/>
            <w:tcBorders>
              <w:top w:val="single" w:sz="4" w:space="0" w:color="auto"/>
              <w:left w:val="nil"/>
              <w:bottom w:val="single" w:sz="4" w:space="0" w:color="auto"/>
              <w:right w:val="nil"/>
            </w:tcBorders>
            <w:shd w:val="clear" w:color="auto" w:fill="auto"/>
            <w:vAlign w:val="center"/>
          </w:tcPr>
          <w:p w14:paraId="303C1B3A" w14:textId="4AD09D22" w:rsidR="00215A11" w:rsidRPr="00464577" w:rsidRDefault="00215A11" w:rsidP="002A5E29">
            <w:pPr>
              <w:spacing w:after="0"/>
              <w:rPr>
                <w:sz w:val="18"/>
                <w:szCs w:val="18"/>
                <w:lang w:eastAsia="en-GB"/>
              </w:rPr>
            </w:pPr>
            <w:r w:rsidRPr="00092331">
              <w:rPr>
                <w:sz w:val="18"/>
                <w:szCs w:val="18"/>
                <w:lang w:eastAsia="en-GB"/>
              </w:rPr>
              <w:t>2008, 2012, 2016</w:t>
            </w:r>
          </w:p>
        </w:tc>
        <w:tc>
          <w:tcPr>
            <w:tcW w:w="2768" w:type="dxa"/>
            <w:tcBorders>
              <w:top w:val="single" w:sz="4" w:space="0" w:color="auto"/>
              <w:left w:val="nil"/>
              <w:bottom w:val="single" w:sz="4" w:space="0" w:color="auto"/>
              <w:right w:val="nil"/>
            </w:tcBorders>
            <w:shd w:val="clear" w:color="auto" w:fill="auto"/>
            <w:vAlign w:val="center"/>
          </w:tcPr>
          <w:p w14:paraId="4028FDBD" w14:textId="6F2ED60B" w:rsidR="00215A11" w:rsidRPr="006726D9" w:rsidRDefault="00215A11" w:rsidP="002C3C68">
            <w:pPr>
              <w:keepNext/>
              <w:spacing w:after="0"/>
              <w:rPr>
                <w:lang w:val="fr-CH"/>
              </w:rPr>
            </w:pPr>
            <w:r w:rsidRPr="00F25658">
              <w:rPr>
                <w:sz w:val="18"/>
                <w:szCs w:val="18"/>
                <w:lang w:val="en-US" w:eastAsia="en-GB"/>
              </w:rPr>
              <w:t>MIS</w:t>
            </w:r>
            <w:r w:rsidRPr="00F25658">
              <w:rPr>
                <w:lang w:val="en-US"/>
              </w:rPr>
              <w:t xml:space="preserve">  </w:t>
            </w:r>
            <w:r>
              <w:rPr>
                <w:rStyle w:val="Hyperlink"/>
                <w:color w:val="auto"/>
                <w:sz w:val="18"/>
                <w:szCs w:val="18"/>
                <w:lang w:eastAsia="en-GB"/>
              </w:rPr>
              <w:fldChar w:fldCharType="begin"/>
            </w:r>
            <w:r w:rsidRPr="00F25658">
              <w:rPr>
                <w:rStyle w:val="Hyperlink"/>
                <w:color w:val="auto"/>
                <w:sz w:val="18"/>
                <w:szCs w:val="18"/>
                <w:lang w:val="en-US" w:eastAsia="en-GB"/>
              </w:rPr>
              <w:instrText xml:space="preserve"> ADDIN ZOTERO_ITEM CSL_CITATION {"citationID":"A2xxb7kW","properties":{"formattedCitation":"[9\\uc0\\u8211{}12]","plainCitation":"[9–12]","noteIndex":0},"citationItems":[{"id":16746,"uris":["http://zotero.org/users/3516901/items/NZSSZ2HF"],"uri":["http://zotero.org/users/3516901/items/NZSSZ2HF"],"itemData":{"id":16746,"type":"report","title":"Tanzania HIV/AIDS and Malaria Indicator Survey 2007-08","publisher":"Tanzania Commission for AIDS (TACAIDS)","publisher-place":"Dar Es Salaam,Tanzania","event-place":"Dar Es Salaam,Tanzania","author":[{"family":"TACAIDS","given":""},{"literal":"Zanzibar AIDS Commission (ZAC)"},{"literal":"National Bureau of Statistics (NBS) [Tanzania]"},{"literal":"MEASURE DHS"},{"literal":"Macro International Inc."}],"issued":{"date-parts":[["2008"]]}},"label":"page"},{"id":27636,"uris":["http://zotero.org/users/3516901/items/8NFD3HWY"],"uri":["http://zotero.org/users/3516901/items/8NFD3HWY"],"itemData":{"id":27636,"type":"report","title":"Tanzania Demographic and Health Survey 2010","source":"dhsprogram.com","URL":"http://dhspr</w:instrText>
            </w:r>
            <w:r w:rsidRPr="006726D9">
              <w:rPr>
                <w:rStyle w:val="Hyperlink"/>
                <w:color w:val="auto"/>
                <w:sz w:val="18"/>
                <w:szCs w:val="18"/>
                <w:lang w:val="fr-CH" w:eastAsia="en-GB"/>
              </w:rPr>
              <w:instrText xml:space="preserve">ogram.com/publications/publication-FR243-DHS-Final-Reports.cfm","language":"en","author":[{"family":"NBS/Tanzania","given":"National Bureau of Statistics-"},{"family":"Macro","given":"I. C. F."}],"issued":{"date-parts":[["2011"]]},"accessed":{"date-parts":[["2018",8,20]]}},"label":"page"},{"id":17358,"uris":["http://zotero.org/users/3516901/items/SG44M9ZT"],"uri":["http://zotero.org/users/3516901/items/SG44M9ZT"],"itemData":{"id":17358,"type":"report","title":"Tanzania HIV/AIDS and Malaria Indicator Survey 2011-12","publisher":"TACAIDS, ZAC,  NBS, OCGS, and ICF International","publisher-place":"Dar Es Salaam, Tanzania","event-place":"Dar Es Salaam, Tanzania","author":[{"literal":"TACAIDS"},{"literal":"Zanzibar AIDS Commission (ZAC)"},{"literal":"National Bureau of Statistics (NBS) [Tanzania]"},{"literal":"Office of the Chief Government Statistician (OCGS)"},{"literal":"ICF International 2013"}],"issued":{"date-parts":[["2013"]]}},"label":"page"},{"id":15907,"uris":["http://zotero.org/users/3516901/items/WWHQCFSW"],"uri":["http://zotero.org/users/3516901/items/WWHQCFSW"],"itemData":{"id":15907,"type":"report","title":"Tanzania Demographic and Health Survey and Malaria Indicator Survey (TDHS-MIS) 2015-2016","publisher":"MoHSW, MoH, NBS, OCGS, and ICF International","publisher-place":"Dar es Salaam, Tanzania and Rockville, Maryland, USA","event-place":"Dar es Salaam, Tanzania and Rockville, Maryland, USA","author":[{"family":"MoHCDGEC","given":""},{"literal":"Ministry of Health (MoH) (Zanzibar)"},{"literal":"National Bureau of Statistics (NBS) [Tanzania]"},{"literal":"Office of Chief Government Statistician (OCGS)"},{"literal":"ICF International"}],"issued":{"date-parts":[["2016"]]}},"label":"page"}],"schema":"https://github.com/citation-style-language/schema/raw/master/csl-citation.json"} </w:instrText>
            </w:r>
            <w:r>
              <w:rPr>
                <w:rStyle w:val="Hyperlink"/>
                <w:color w:val="auto"/>
                <w:sz w:val="18"/>
                <w:szCs w:val="18"/>
                <w:lang w:eastAsia="en-GB"/>
              </w:rPr>
              <w:fldChar w:fldCharType="separate"/>
            </w:r>
            <w:r w:rsidRPr="006726D9">
              <w:rPr>
                <w:rFonts w:ascii="Calibri" w:hAnsi="Calibri" w:cs="Times New Roman"/>
                <w:sz w:val="18"/>
                <w:szCs w:val="24"/>
                <w:lang w:val="fr-CH"/>
              </w:rPr>
              <w:t>[9–12]</w:t>
            </w:r>
            <w:r>
              <w:rPr>
                <w:rStyle w:val="Hyperlink"/>
                <w:color w:val="auto"/>
                <w:sz w:val="18"/>
                <w:szCs w:val="18"/>
                <w:lang w:eastAsia="en-GB"/>
              </w:rPr>
              <w:fldChar w:fldCharType="end"/>
            </w:r>
          </w:p>
          <w:p w14:paraId="7F9B1412" w14:textId="77777777" w:rsidR="00215A11" w:rsidRPr="006726D9" w:rsidRDefault="00B90DEF" w:rsidP="002C3C68">
            <w:pPr>
              <w:keepNext/>
              <w:spacing w:after="0"/>
              <w:rPr>
                <w:rStyle w:val="Hyperlink"/>
                <w:color w:val="auto"/>
                <w:sz w:val="18"/>
                <w:szCs w:val="18"/>
                <w:lang w:val="fr-CH" w:eastAsia="en-GB"/>
              </w:rPr>
            </w:pPr>
            <w:hyperlink r:id="rId12" w:history="1">
              <w:r w:rsidR="00215A11" w:rsidRPr="006726D9">
                <w:rPr>
                  <w:rStyle w:val="Hyperlink"/>
                  <w:color w:val="auto"/>
                  <w:sz w:val="18"/>
                  <w:szCs w:val="18"/>
                  <w:lang w:val="fr-CH" w:eastAsia="en-GB"/>
                </w:rPr>
                <w:t>https://www.statcompiler.com/</w:t>
              </w:r>
            </w:hyperlink>
          </w:p>
          <w:p w14:paraId="0CED6035" w14:textId="106E7D6A" w:rsidR="00215A11" w:rsidRPr="006726D9" w:rsidRDefault="00215A11" w:rsidP="002C3C68">
            <w:pPr>
              <w:keepNext/>
              <w:spacing w:after="0"/>
              <w:rPr>
                <w:sz w:val="18"/>
                <w:szCs w:val="18"/>
                <w:lang w:val="fr-CH" w:eastAsia="en-GB"/>
              </w:rPr>
            </w:pPr>
          </w:p>
        </w:tc>
      </w:tr>
      <w:tr w:rsidR="00215A11" w:rsidRPr="00092331" w14:paraId="399E80D7" w14:textId="77777777" w:rsidTr="00215A11">
        <w:trPr>
          <w:trHeight w:val="284"/>
        </w:trPr>
        <w:tc>
          <w:tcPr>
            <w:tcW w:w="1560" w:type="dxa"/>
            <w:vMerge/>
            <w:tcBorders>
              <w:left w:val="nil"/>
              <w:bottom w:val="single" w:sz="4" w:space="0" w:color="auto"/>
              <w:right w:val="nil"/>
            </w:tcBorders>
            <w:shd w:val="clear" w:color="auto" w:fill="auto"/>
            <w:vAlign w:val="center"/>
          </w:tcPr>
          <w:p w14:paraId="22081EC4" w14:textId="77777777" w:rsidR="00215A11" w:rsidRPr="006726D9" w:rsidRDefault="00215A11" w:rsidP="001C4413">
            <w:pPr>
              <w:spacing w:after="0"/>
              <w:rPr>
                <w:sz w:val="18"/>
                <w:szCs w:val="18"/>
                <w:lang w:val="fr-CH" w:eastAsia="en-GB"/>
              </w:rPr>
            </w:pPr>
          </w:p>
        </w:tc>
        <w:tc>
          <w:tcPr>
            <w:tcW w:w="3458" w:type="dxa"/>
            <w:tcBorders>
              <w:top w:val="single" w:sz="4" w:space="0" w:color="auto"/>
              <w:left w:val="nil"/>
              <w:bottom w:val="single" w:sz="4" w:space="0" w:color="auto"/>
              <w:right w:val="nil"/>
            </w:tcBorders>
            <w:vAlign w:val="center"/>
          </w:tcPr>
          <w:p w14:paraId="2C910040" w14:textId="60BE1286" w:rsidR="00215A11" w:rsidRPr="00092331" w:rsidRDefault="00215A11" w:rsidP="001C4413">
            <w:pPr>
              <w:spacing w:after="0"/>
              <w:rPr>
                <w:sz w:val="18"/>
                <w:szCs w:val="18"/>
                <w:lang w:eastAsia="en-GB"/>
              </w:rPr>
            </w:pPr>
            <w:r w:rsidRPr="00092331">
              <w:rPr>
                <w:sz w:val="18"/>
                <w:szCs w:val="18"/>
                <w:lang w:eastAsia="en-GB"/>
              </w:rPr>
              <w:t>Model predicted prevalence (</w:t>
            </w:r>
            <w:r w:rsidRPr="00092331">
              <w:rPr>
                <w:i/>
                <w:sz w:val="18"/>
                <w:szCs w:val="18"/>
                <w:lang w:eastAsia="en-GB"/>
              </w:rPr>
              <w:t>Pf</w:t>
            </w:r>
            <w:r w:rsidRPr="00092331">
              <w:rPr>
                <w:sz w:val="18"/>
                <w:szCs w:val="18"/>
                <w:lang w:eastAsia="en-GB"/>
              </w:rPr>
              <w:t>PR</w:t>
            </w:r>
            <w:r w:rsidRPr="00092331">
              <w:rPr>
                <w:sz w:val="18"/>
                <w:szCs w:val="18"/>
                <w:vertAlign w:val="subscript"/>
                <w:lang w:eastAsia="en-GB"/>
              </w:rPr>
              <w:t>2to10</w:t>
            </w:r>
            <w:r w:rsidRPr="00092331">
              <w:rPr>
                <w:sz w:val="18"/>
                <w:szCs w:val="18"/>
                <w:lang w:eastAsia="en-GB"/>
              </w:rPr>
              <w:t>)</w:t>
            </w:r>
          </w:p>
        </w:tc>
        <w:tc>
          <w:tcPr>
            <w:tcW w:w="2801" w:type="dxa"/>
            <w:tcBorders>
              <w:top w:val="single" w:sz="4" w:space="0" w:color="auto"/>
              <w:left w:val="nil"/>
              <w:bottom w:val="single" w:sz="4" w:space="0" w:color="auto"/>
              <w:right w:val="nil"/>
            </w:tcBorders>
            <w:shd w:val="clear" w:color="auto" w:fill="auto"/>
            <w:vAlign w:val="center"/>
          </w:tcPr>
          <w:p w14:paraId="51C34FD2" w14:textId="575BF21B" w:rsidR="00215A11" w:rsidRPr="00092331" w:rsidRDefault="00215A11" w:rsidP="00215A11">
            <w:pPr>
              <w:spacing w:after="0"/>
              <w:rPr>
                <w:sz w:val="18"/>
                <w:szCs w:val="18"/>
                <w:lang w:eastAsia="en-GB"/>
              </w:rPr>
            </w:pPr>
            <w:r>
              <w:rPr>
                <w:sz w:val="18"/>
                <w:szCs w:val="18"/>
                <w:lang w:eastAsia="en-GB"/>
              </w:rPr>
              <w:t xml:space="preserve">To fit to simulated prevalence to obtain weighted predictions per councils </w:t>
            </w:r>
          </w:p>
        </w:tc>
        <w:tc>
          <w:tcPr>
            <w:tcW w:w="1134" w:type="dxa"/>
            <w:tcBorders>
              <w:top w:val="single" w:sz="4" w:space="0" w:color="auto"/>
              <w:left w:val="nil"/>
              <w:bottom w:val="single" w:sz="4" w:space="0" w:color="auto"/>
              <w:right w:val="nil"/>
            </w:tcBorders>
            <w:shd w:val="clear" w:color="auto" w:fill="auto"/>
            <w:vAlign w:val="center"/>
          </w:tcPr>
          <w:p w14:paraId="4CDA0A73" w14:textId="13F0A9F4" w:rsidR="00215A11" w:rsidRDefault="00215A11" w:rsidP="002A5E29">
            <w:pPr>
              <w:spacing w:after="0"/>
              <w:rPr>
                <w:sz w:val="18"/>
                <w:szCs w:val="18"/>
                <w:lang w:eastAsia="en-GB"/>
              </w:rPr>
            </w:pPr>
            <w:r w:rsidRPr="00092331">
              <w:rPr>
                <w:sz w:val="18"/>
                <w:szCs w:val="18"/>
                <w:lang w:eastAsia="en-GB"/>
              </w:rPr>
              <w:t xml:space="preserve">5 × 5 </w:t>
            </w:r>
            <w:r w:rsidRPr="00092331">
              <w:rPr>
                <w:noProof/>
                <w:sz w:val="18"/>
                <w:szCs w:val="18"/>
                <w:lang w:eastAsia="en-GB"/>
              </w:rPr>
              <w:t>sq</w:t>
            </w:r>
            <w:r w:rsidRPr="00092331">
              <w:rPr>
                <w:sz w:val="18"/>
                <w:szCs w:val="18"/>
                <w:lang w:eastAsia="en-GB"/>
              </w:rPr>
              <w:t xml:space="preserve"> km pixel raster </w:t>
            </w:r>
          </w:p>
        </w:tc>
        <w:tc>
          <w:tcPr>
            <w:tcW w:w="1146" w:type="dxa"/>
            <w:tcBorders>
              <w:top w:val="single" w:sz="4" w:space="0" w:color="auto"/>
              <w:left w:val="nil"/>
              <w:bottom w:val="single" w:sz="4" w:space="0" w:color="auto"/>
              <w:right w:val="nil"/>
            </w:tcBorders>
            <w:shd w:val="clear" w:color="auto" w:fill="auto"/>
            <w:vAlign w:val="center"/>
          </w:tcPr>
          <w:p w14:paraId="63CFAB7A" w14:textId="12B49F61" w:rsidR="00215A11" w:rsidRDefault="00215A11" w:rsidP="002A5E29">
            <w:pPr>
              <w:spacing w:after="0"/>
              <w:rPr>
                <w:sz w:val="18"/>
                <w:szCs w:val="18"/>
                <w:lang w:eastAsia="en-GB"/>
              </w:rPr>
            </w:pPr>
            <w:r>
              <w:rPr>
                <w:sz w:val="18"/>
                <w:szCs w:val="18"/>
                <w:lang w:eastAsia="en-GB"/>
              </w:rPr>
              <w:t>2-</w:t>
            </w:r>
            <w:r w:rsidRPr="00092331">
              <w:rPr>
                <w:sz w:val="18"/>
                <w:szCs w:val="18"/>
                <w:lang w:eastAsia="en-GB"/>
              </w:rPr>
              <w:t>10 years</w:t>
            </w:r>
          </w:p>
        </w:tc>
        <w:tc>
          <w:tcPr>
            <w:tcW w:w="1133" w:type="dxa"/>
            <w:tcBorders>
              <w:top w:val="single" w:sz="4" w:space="0" w:color="auto"/>
              <w:left w:val="nil"/>
              <w:bottom w:val="single" w:sz="4" w:space="0" w:color="auto"/>
              <w:right w:val="nil"/>
            </w:tcBorders>
            <w:shd w:val="clear" w:color="auto" w:fill="auto"/>
            <w:vAlign w:val="center"/>
          </w:tcPr>
          <w:p w14:paraId="30F24F06" w14:textId="36530662" w:rsidR="00215A11" w:rsidRPr="00464577" w:rsidRDefault="00215A11" w:rsidP="002A5E29">
            <w:pPr>
              <w:spacing w:after="0"/>
              <w:rPr>
                <w:sz w:val="18"/>
                <w:szCs w:val="18"/>
                <w:lang w:eastAsia="en-GB"/>
              </w:rPr>
            </w:pPr>
            <w:r w:rsidRPr="00092331">
              <w:rPr>
                <w:sz w:val="18"/>
                <w:szCs w:val="18"/>
                <w:lang w:eastAsia="en-GB"/>
              </w:rPr>
              <w:t>1990 - 2017</w:t>
            </w:r>
          </w:p>
        </w:tc>
        <w:tc>
          <w:tcPr>
            <w:tcW w:w="2768" w:type="dxa"/>
            <w:tcBorders>
              <w:top w:val="single" w:sz="4" w:space="0" w:color="auto"/>
              <w:left w:val="nil"/>
              <w:bottom w:val="single" w:sz="4" w:space="0" w:color="auto"/>
              <w:right w:val="nil"/>
            </w:tcBorders>
            <w:shd w:val="clear" w:color="auto" w:fill="auto"/>
            <w:vAlign w:val="center"/>
          </w:tcPr>
          <w:p w14:paraId="5ACE5BA4" w14:textId="2A28B5A5" w:rsidR="00215A11" w:rsidRPr="00092331" w:rsidRDefault="00215A11" w:rsidP="002C3C68">
            <w:pPr>
              <w:keepNext/>
              <w:spacing w:after="0"/>
              <w:rPr>
                <w:sz w:val="18"/>
                <w:szCs w:val="18"/>
                <w:lang w:eastAsia="en-GB"/>
              </w:rPr>
            </w:pPr>
            <w:r>
              <w:rPr>
                <w:sz w:val="18"/>
                <w:szCs w:val="18"/>
              </w:rPr>
              <w:t>Described in S</w:t>
            </w:r>
            <w:r w:rsidRPr="00092331">
              <w:rPr>
                <w:sz w:val="18"/>
                <w:szCs w:val="18"/>
              </w:rPr>
              <w:t>1</w:t>
            </w:r>
            <w:r>
              <w:rPr>
                <w:sz w:val="18"/>
                <w:szCs w:val="18"/>
              </w:rPr>
              <w:t xml:space="preserve"> file</w:t>
            </w:r>
          </w:p>
        </w:tc>
      </w:tr>
      <w:tr w:rsidR="00215A11" w:rsidRPr="00092331" w14:paraId="4371419F"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7CF56198" w14:textId="75D42BFE" w:rsidR="00215A11" w:rsidRPr="00092331" w:rsidRDefault="00215A11" w:rsidP="001C4413">
            <w:pPr>
              <w:spacing w:after="0"/>
              <w:rPr>
                <w:sz w:val="18"/>
                <w:szCs w:val="18"/>
                <w:lang w:eastAsia="en-GB"/>
              </w:rPr>
            </w:pPr>
            <w:r w:rsidRPr="00092331">
              <w:rPr>
                <w:sz w:val="18"/>
                <w:szCs w:val="18"/>
                <w:lang w:eastAsia="en-GB"/>
              </w:rPr>
              <w:t>Seasonality</w:t>
            </w:r>
          </w:p>
        </w:tc>
        <w:tc>
          <w:tcPr>
            <w:tcW w:w="3458" w:type="dxa"/>
            <w:tcBorders>
              <w:top w:val="single" w:sz="4" w:space="0" w:color="auto"/>
              <w:left w:val="nil"/>
              <w:bottom w:val="single" w:sz="4" w:space="0" w:color="auto"/>
              <w:right w:val="nil"/>
            </w:tcBorders>
            <w:vAlign w:val="center"/>
          </w:tcPr>
          <w:p w14:paraId="6CADFCED" w14:textId="6B2FD911" w:rsidR="00215A11" w:rsidRPr="00092331" w:rsidRDefault="00215A11" w:rsidP="001C4413">
            <w:pPr>
              <w:spacing w:after="0"/>
              <w:rPr>
                <w:sz w:val="18"/>
                <w:szCs w:val="18"/>
                <w:lang w:eastAsia="en-GB"/>
              </w:rPr>
            </w:pPr>
            <w:r w:rsidRPr="00092331">
              <w:rPr>
                <w:sz w:val="18"/>
                <w:szCs w:val="18"/>
                <w:lang w:eastAsia="en-GB"/>
              </w:rPr>
              <w:t>Monthly climate suitability for malaria transmission</w:t>
            </w:r>
          </w:p>
        </w:tc>
        <w:tc>
          <w:tcPr>
            <w:tcW w:w="2801" w:type="dxa"/>
            <w:tcBorders>
              <w:top w:val="single" w:sz="4" w:space="0" w:color="auto"/>
              <w:left w:val="nil"/>
              <w:bottom w:val="single" w:sz="4" w:space="0" w:color="auto"/>
              <w:right w:val="nil"/>
            </w:tcBorders>
            <w:shd w:val="clear" w:color="auto" w:fill="auto"/>
            <w:vAlign w:val="center"/>
          </w:tcPr>
          <w:p w14:paraId="69CD01E9" w14:textId="25A74668" w:rsidR="00215A11" w:rsidRPr="00092331" w:rsidRDefault="00215A11" w:rsidP="002A5E29">
            <w:pPr>
              <w:spacing w:after="0"/>
              <w:rPr>
                <w:sz w:val="18"/>
                <w:szCs w:val="18"/>
                <w:lang w:eastAsia="en-GB"/>
              </w:rPr>
            </w:pPr>
            <w:r w:rsidRPr="00092331">
              <w:rPr>
                <w:sz w:val="18"/>
                <w:szCs w:val="18"/>
                <w:lang w:eastAsia="en-GB"/>
              </w:rPr>
              <w:t>To define the seasonal trend of transmission</w:t>
            </w:r>
          </w:p>
        </w:tc>
        <w:tc>
          <w:tcPr>
            <w:tcW w:w="1134" w:type="dxa"/>
            <w:tcBorders>
              <w:top w:val="single" w:sz="4" w:space="0" w:color="auto"/>
              <w:left w:val="nil"/>
              <w:bottom w:val="single" w:sz="4" w:space="0" w:color="auto"/>
              <w:right w:val="nil"/>
            </w:tcBorders>
            <w:shd w:val="clear" w:color="auto" w:fill="auto"/>
            <w:vAlign w:val="center"/>
          </w:tcPr>
          <w:p w14:paraId="78CF448C" w14:textId="1D44C68B" w:rsidR="00215A11" w:rsidRPr="00092331" w:rsidRDefault="00215A11" w:rsidP="002A5E29">
            <w:pPr>
              <w:spacing w:after="0"/>
              <w:rPr>
                <w:sz w:val="18"/>
                <w:szCs w:val="18"/>
                <w:lang w:eastAsia="en-GB"/>
              </w:rPr>
            </w:pPr>
            <w:r>
              <w:rPr>
                <w:sz w:val="18"/>
                <w:szCs w:val="18"/>
                <w:lang w:eastAsia="en-GB"/>
              </w:rPr>
              <w:t>Council</w:t>
            </w:r>
          </w:p>
        </w:tc>
        <w:tc>
          <w:tcPr>
            <w:tcW w:w="1146" w:type="dxa"/>
            <w:tcBorders>
              <w:top w:val="single" w:sz="4" w:space="0" w:color="auto"/>
              <w:left w:val="nil"/>
              <w:bottom w:val="single" w:sz="4" w:space="0" w:color="auto"/>
              <w:right w:val="nil"/>
            </w:tcBorders>
            <w:shd w:val="clear" w:color="auto" w:fill="auto"/>
            <w:vAlign w:val="center"/>
          </w:tcPr>
          <w:p w14:paraId="4285A732" w14:textId="72819643" w:rsidR="00215A11" w:rsidRPr="00092331" w:rsidRDefault="00215A11" w:rsidP="002A5E29">
            <w:pPr>
              <w:spacing w:after="0"/>
              <w:rPr>
                <w:sz w:val="18"/>
                <w:szCs w:val="18"/>
                <w:lang w:eastAsia="en-GB"/>
              </w:rPr>
            </w:pPr>
            <w:r>
              <w:rPr>
                <w:sz w:val="18"/>
                <w:szCs w:val="18"/>
                <w:lang w:eastAsia="en-GB"/>
              </w:rPr>
              <w:t>All</w:t>
            </w:r>
          </w:p>
        </w:tc>
        <w:tc>
          <w:tcPr>
            <w:tcW w:w="1133" w:type="dxa"/>
            <w:tcBorders>
              <w:top w:val="single" w:sz="4" w:space="0" w:color="auto"/>
              <w:left w:val="nil"/>
              <w:bottom w:val="single" w:sz="4" w:space="0" w:color="auto"/>
              <w:right w:val="nil"/>
            </w:tcBorders>
            <w:shd w:val="clear" w:color="auto" w:fill="auto"/>
            <w:vAlign w:val="center"/>
          </w:tcPr>
          <w:p w14:paraId="1C6BF811" w14:textId="706E8B63" w:rsidR="00215A11" w:rsidRPr="00092331" w:rsidRDefault="00215A11" w:rsidP="002A5E29">
            <w:pPr>
              <w:spacing w:after="0"/>
              <w:rPr>
                <w:sz w:val="18"/>
                <w:szCs w:val="18"/>
                <w:lang w:eastAsia="en-GB"/>
              </w:rPr>
            </w:pPr>
            <w:r w:rsidRPr="00464577">
              <w:rPr>
                <w:sz w:val="18"/>
                <w:szCs w:val="18"/>
                <w:lang w:eastAsia="en-GB"/>
              </w:rPr>
              <w:t>1983-2010</w:t>
            </w:r>
          </w:p>
        </w:tc>
        <w:tc>
          <w:tcPr>
            <w:tcW w:w="2768" w:type="dxa"/>
            <w:tcBorders>
              <w:top w:val="single" w:sz="4" w:space="0" w:color="auto"/>
              <w:left w:val="nil"/>
              <w:bottom w:val="single" w:sz="4" w:space="0" w:color="auto"/>
              <w:right w:val="nil"/>
            </w:tcBorders>
            <w:shd w:val="clear" w:color="auto" w:fill="auto"/>
            <w:vAlign w:val="center"/>
          </w:tcPr>
          <w:p w14:paraId="5BE64954" w14:textId="5E487866" w:rsidR="00215A11" w:rsidRPr="00092331" w:rsidRDefault="00215A11" w:rsidP="002C3C68">
            <w:pPr>
              <w:keepNext/>
              <w:spacing w:after="0"/>
            </w:pPr>
            <w:r w:rsidRPr="00092331">
              <w:rPr>
                <w:sz w:val="18"/>
                <w:szCs w:val="18"/>
                <w:lang w:eastAsia="en-GB"/>
              </w:rPr>
              <w:t>TMA</w:t>
            </w:r>
            <w:r w:rsidRPr="00092331">
              <w:t xml:space="preserve"> </w:t>
            </w:r>
            <w:r w:rsidRPr="00092331">
              <w:rPr>
                <w:sz w:val="18"/>
                <w:szCs w:val="18"/>
                <w:lang w:eastAsia="en-GB"/>
              </w:rPr>
              <w:fldChar w:fldCharType="begin"/>
            </w:r>
            <w:r>
              <w:rPr>
                <w:sz w:val="18"/>
                <w:szCs w:val="18"/>
                <w:lang w:eastAsia="en-GB"/>
              </w:rPr>
              <w:instrText xml:space="preserve"> ADDIN ZOTERO_ITEM CSL_CITATION {"citationID":"Ipcs9YP4","properties":{"formattedCitation":"[2]","plainCitation":"[2]","noteIndex":0},"citationItems":[{"id":18838,"uris":["http://zotero.org/users/3516901/items/2JS66898"],"uri":["http://zotero.org/users/3516901/items/2JS66898"],"itemData":{"id":18838,"type":"article-journal","title":"Web-based climate information resources for malaria control in Africa","container-title":"Malaria Journal","page":"38","volume":"5","issue":"1","source":"www.malariajournal.com","abstract":"Malaria remains a major public health threat to more than 600 million Africans and its control is recognized as critical to achieving the Millennium Development Goals. The greatest burden of malaria in Africa occurs in the endemic regions where the disease pathogen is continuously present in the community. These regions are characterized by an environment that is conducive to interactions between the Anopheles mosquito, malaria parasites and human hosts, as well as housing of generally poor quality, which offers little protection from mosquito-human contact. Epidemic malaria tends to occur along the geographical margins of endemic regions, when the equilibrium between the human, parasite and mosquito vector populations is occasionally disturbed and a sharp but temporary increase in disease incidence results. When malaria control measures are inadequate, as is the case in much of sub-Saharan Africa, the disease distribution is closely linked with seasonal patterns of the climate and local environment. In the absence of good epidemiological data on malaria distribution in Africa, climate information has long been used to develop malaria risk maps that illustrate the boundaries of 'climatic suitability for endemic transmission.' The best known of these are produced by the Pan-African-based MARA Collaboration. This paper describes the development of additional malaria suitability maps which have been produced in an online, interactive format to enable temporal information (i.e., seasonality of climate conditions) to be queried and displayed along with spatial information. These maps and the seasonal information that they contain should be useful to the malaria control and health service communities for their planning and operational activities.","DOI":"10.1186/1475-2875-5-38","ISSN":"1475-2875","language":"en","author":[{"family":"Grover-Kopec","given":"Emily K."},{"family":"Blumenthal","given":"M. Benno"},{"family":"Ceccato","given":"Pietro"},{"family":"Dinku","given":"Tufa"},{"family":"Omumbo","given":"Judy A."},{"family":"Connor","given":"Stephen J."}],"issued":{"date-parts":[["2006",5,11]]}}}],"schema":"https://github.com/citation-style-language/schema/raw/master/csl-citation.json"} </w:instrText>
            </w:r>
            <w:r w:rsidRPr="00092331">
              <w:rPr>
                <w:sz w:val="18"/>
                <w:szCs w:val="18"/>
                <w:lang w:eastAsia="en-GB"/>
              </w:rPr>
              <w:fldChar w:fldCharType="separate"/>
            </w:r>
            <w:r w:rsidRPr="00AC27AD">
              <w:rPr>
                <w:rFonts w:ascii="Calibri" w:hAnsi="Calibri"/>
                <w:sz w:val="18"/>
              </w:rPr>
              <w:t>[2]</w:t>
            </w:r>
            <w:r w:rsidRPr="00092331">
              <w:rPr>
                <w:sz w:val="18"/>
                <w:szCs w:val="18"/>
                <w:lang w:eastAsia="en-GB"/>
              </w:rPr>
              <w:fldChar w:fldCharType="end"/>
            </w:r>
          </w:p>
          <w:p w14:paraId="2C97F8CE" w14:textId="77777777" w:rsidR="00215A11" w:rsidRPr="00092331" w:rsidRDefault="00B90DEF" w:rsidP="002C3C68">
            <w:pPr>
              <w:keepNext/>
              <w:spacing w:after="0"/>
              <w:rPr>
                <w:rStyle w:val="Hyperlink"/>
                <w:color w:val="auto"/>
                <w:sz w:val="18"/>
                <w:szCs w:val="18"/>
              </w:rPr>
            </w:pPr>
            <w:hyperlink r:id="rId13" w:history="1">
              <w:r w:rsidR="00215A11" w:rsidRPr="00092331">
                <w:rPr>
                  <w:rStyle w:val="Hyperlink"/>
                  <w:color w:val="auto"/>
                  <w:sz w:val="18"/>
                  <w:szCs w:val="18"/>
                  <w:lang w:eastAsia="en-GB"/>
                </w:rPr>
                <w:t xml:space="preserve">http://maproom.meteo.go.tz/ </w:t>
              </w:r>
              <w:proofErr w:type="spellStart"/>
              <w:r w:rsidR="00215A11" w:rsidRPr="00092331">
                <w:rPr>
                  <w:rStyle w:val="Hyperlink"/>
                  <w:color w:val="auto"/>
                  <w:sz w:val="18"/>
                  <w:szCs w:val="18"/>
                  <w:lang w:eastAsia="en-GB"/>
                </w:rPr>
                <w:t>maproom</w:t>
              </w:r>
              <w:proofErr w:type="spellEnd"/>
              <w:r w:rsidR="00215A11" w:rsidRPr="00092331">
                <w:rPr>
                  <w:rStyle w:val="Hyperlink"/>
                  <w:color w:val="auto"/>
                  <w:sz w:val="18"/>
                  <w:szCs w:val="18"/>
                  <w:lang w:eastAsia="en-GB"/>
                </w:rPr>
                <w:t>/index.html</w:t>
              </w:r>
            </w:hyperlink>
            <w:r w:rsidR="00215A11" w:rsidRPr="00092331">
              <w:rPr>
                <w:rStyle w:val="Hyperlink"/>
                <w:color w:val="auto"/>
                <w:sz w:val="18"/>
                <w:szCs w:val="18"/>
              </w:rPr>
              <w:t xml:space="preserve"> </w:t>
            </w:r>
          </w:p>
          <w:p w14:paraId="751861EA" w14:textId="5CDE7C03" w:rsidR="00215A11" w:rsidRPr="00092331" w:rsidRDefault="00215A11" w:rsidP="002C3C68">
            <w:pPr>
              <w:keepNext/>
              <w:spacing w:after="0"/>
              <w:rPr>
                <w:sz w:val="18"/>
                <w:szCs w:val="18"/>
                <w:lang w:eastAsia="en-GB"/>
              </w:rPr>
            </w:pPr>
          </w:p>
        </w:tc>
      </w:tr>
      <w:tr w:rsidR="00215A11" w:rsidRPr="00092331" w14:paraId="6F732B08" w14:textId="77777777" w:rsidTr="00215A11">
        <w:trPr>
          <w:trHeight w:val="284"/>
        </w:trPr>
        <w:tc>
          <w:tcPr>
            <w:tcW w:w="14000" w:type="dxa"/>
            <w:gridSpan w:val="7"/>
            <w:tcBorders>
              <w:top w:val="single" w:sz="4" w:space="0" w:color="auto"/>
              <w:left w:val="nil"/>
              <w:bottom w:val="single" w:sz="4" w:space="0" w:color="auto"/>
              <w:right w:val="nil"/>
            </w:tcBorders>
            <w:shd w:val="clear" w:color="auto" w:fill="auto"/>
            <w:vAlign w:val="center"/>
          </w:tcPr>
          <w:p w14:paraId="66B95808" w14:textId="4E7C5256" w:rsidR="00215A11" w:rsidRPr="00215A11" w:rsidRDefault="00215A11" w:rsidP="00215A11">
            <w:pPr>
              <w:spacing w:after="0"/>
              <w:ind w:right="113"/>
              <w:rPr>
                <w:b/>
                <w:sz w:val="20"/>
                <w:szCs w:val="18"/>
                <w:lang w:eastAsia="en-GB"/>
              </w:rPr>
            </w:pPr>
            <w:r w:rsidRPr="00215A11">
              <w:rPr>
                <w:b/>
                <w:sz w:val="20"/>
                <w:szCs w:val="18"/>
                <w:lang w:eastAsia="en-GB"/>
              </w:rPr>
              <w:t>Case management and control interventions</w:t>
            </w:r>
          </w:p>
        </w:tc>
      </w:tr>
      <w:tr w:rsidR="00215A11" w:rsidRPr="00F25658" w14:paraId="05939FE5"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7483FF12" w14:textId="4A5B6FC8" w:rsidR="00215A11" w:rsidRPr="00092331" w:rsidRDefault="00215A11" w:rsidP="001C4413">
            <w:pPr>
              <w:spacing w:after="0"/>
              <w:rPr>
                <w:sz w:val="18"/>
                <w:szCs w:val="18"/>
                <w:lang w:eastAsia="en-GB"/>
              </w:rPr>
            </w:pPr>
            <w:r w:rsidRPr="00092331">
              <w:rPr>
                <w:sz w:val="18"/>
                <w:szCs w:val="18"/>
                <w:lang w:eastAsia="en-GB"/>
              </w:rPr>
              <w:t>CM</w:t>
            </w:r>
          </w:p>
        </w:tc>
        <w:tc>
          <w:tcPr>
            <w:tcW w:w="3458" w:type="dxa"/>
            <w:tcBorders>
              <w:top w:val="single" w:sz="4" w:space="0" w:color="auto"/>
              <w:left w:val="nil"/>
              <w:bottom w:val="single" w:sz="4" w:space="0" w:color="auto"/>
              <w:right w:val="nil"/>
            </w:tcBorders>
            <w:vAlign w:val="center"/>
          </w:tcPr>
          <w:p w14:paraId="3FDDEF2C" w14:textId="1A1F14BB" w:rsidR="00215A11" w:rsidRPr="00092331" w:rsidRDefault="00215A11" w:rsidP="001C4413">
            <w:pPr>
              <w:spacing w:after="0"/>
              <w:rPr>
                <w:sz w:val="18"/>
                <w:szCs w:val="18"/>
                <w:lang w:eastAsia="en-GB"/>
              </w:rPr>
            </w:pPr>
            <w:r w:rsidRPr="00092331">
              <w:rPr>
                <w:sz w:val="18"/>
                <w:szCs w:val="18"/>
                <w:lang w:eastAsia="en-GB"/>
              </w:rPr>
              <w:t>% of febrile children who were taken to any health facility at any time during the last two weeks out of all febrile children</w:t>
            </w:r>
          </w:p>
        </w:tc>
        <w:tc>
          <w:tcPr>
            <w:tcW w:w="2801" w:type="dxa"/>
            <w:tcBorders>
              <w:top w:val="single" w:sz="4" w:space="0" w:color="auto"/>
              <w:left w:val="nil"/>
              <w:bottom w:val="single" w:sz="4" w:space="0" w:color="auto"/>
              <w:right w:val="nil"/>
            </w:tcBorders>
            <w:shd w:val="clear" w:color="auto" w:fill="auto"/>
            <w:vAlign w:val="center"/>
          </w:tcPr>
          <w:p w14:paraId="06DD476F" w14:textId="733CBBA8" w:rsidR="00215A11" w:rsidRPr="00092331" w:rsidRDefault="00215A11" w:rsidP="00215A11">
            <w:pPr>
              <w:spacing w:after="0"/>
              <w:rPr>
                <w:sz w:val="18"/>
                <w:szCs w:val="18"/>
                <w:lang w:eastAsia="en-GB"/>
              </w:rPr>
            </w:pPr>
            <w:r w:rsidRPr="00092331">
              <w:rPr>
                <w:sz w:val="18"/>
                <w:szCs w:val="18"/>
                <w:lang w:eastAsia="en-GB"/>
              </w:rPr>
              <w:t xml:space="preserve">To approximate the effective treatment coverage </w:t>
            </w:r>
            <w:r>
              <w:rPr>
                <w:sz w:val="18"/>
                <w:szCs w:val="18"/>
                <w:lang w:eastAsia="en-GB"/>
              </w:rPr>
              <w:t>between 2003 and 2016</w:t>
            </w:r>
          </w:p>
        </w:tc>
        <w:tc>
          <w:tcPr>
            <w:tcW w:w="1134" w:type="dxa"/>
            <w:tcBorders>
              <w:top w:val="single" w:sz="4" w:space="0" w:color="auto"/>
              <w:left w:val="nil"/>
              <w:bottom w:val="single" w:sz="4" w:space="0" w:color="auto"/>
              <w:right w:val="nil"/>
            </w:tcBorders>
            <w:shd w:val="clear" w:color="auto" w:fill="auto"/>
            <w:vAlign w:val="center"/>
          </w:tcPr>
          <w:p w14:paraId="720A2465" w14:textId="6537CEED" w:rsidR="00215A11" w:rsidRPr="00092331" w:rsidRDefault="00215A11" w:rsidP="002A5E29">
            <w:pPr>
              <w:spacing w:after="0"/>
              <w:rPr>
                <w:sz w:val="18"/>
                <w:szCs w:val="18"/>
                <w:lang w:eastAsia="en-GB"/>
              </w:rPr>
            </w:pPr>
            <w:r w:rsidRPr="00092331">
              <w:rPr>
                <w:sz w:val="18"/>
                <w:szCs w:val="18"/>
                <w:lang w:eastAsia="en-GB"/>
              </w:rPr>
              <w:t>Region</w:t>
            </w:r>
          </w:p>
        </w:tc>
        <w:tc>
          <w:tcPr>
            <w:tcW w:w="1146" w:type="dxa"/>
            <w:tcBorders>
              <w:top w:val="single" w:sz="4" w:space="0" w:color="auto"/>
              <w:left w:val="nil"/>
              <w:bottom w:val="single" w:sz="4" w:space="0" w:color="auto"/>
              <w:right w:val="nil"/>
            </w:tcBorders>
            <w:shd w:val="clear" w:color="auto" w:fill="auto"/>
            <w:vAlign w:val="center"/>
          </w:tcPr>
          <w:p w14:paraId="0A2323F1" w14:textId="290A44A6" w:rsidR="00215A11" w:rsidRPr="00092331" w:rsidRDefault="00215A11" w:rsidP="002A5E29">
            <w:pPr>
              <w:spacing w:after="0"/>
              <w:rPr>
                <w:sz w:val="18"/>
                <w:szCs w:val="18"/>
                <w:lang w:eastAsia="en-GB"/>
              </w:rPr>
            </w:pPr>
            <w:r w:rsidRPr="00092331">
              <w:rPr>
                <w:sz w:val="18"/>
                <w:szCs w:val="18"/>
                <w:lang w:eastAsia="en-GB"/>
              </w:rPr>
              <w:t>0-5 years</w:t>
            </w:r>
          </w:p>
        </w:tc>
        <w:tc>
          <w:tcPr>
            <w:tcW w:w="1133" w:type="dxa"/>
            <w:tcBorders>
              <w:top w:val="single" w:sz="4" w:space="0" w:color="auto"/>
              <w:left w:val="nil"/>
              <w:bottom w:val="single" w:sz="4" w:space="0" w:color="auto"/>
              <w:right w:val="nil"/>
            </w:tcBorders>
            <w:shd w:val="clear" w:color="auto" w:fill="auto"/>
            <w:vAlign w:val="center"/>
          </w:tcPr>
          <w:p w14:paraId="01268196" w14:textId="09F85306" w:rsidR="00215A11" w:rsidRPr="00092331" w:rsidRDefault="00215A11" w:rsidP="002A5E29">
            <w:pPr>
              <w:spacing w:after="0"/>
              <w:rPr>
                <w:sz w:val="18"/>
                <w:szCs w:val="18"/>
                <w:lang w:eastAsia="en-GB"/>
              </w:rPr>
            </w:pPr>
            <w:r w:rsidRPr="00092331">
              <w:rPr>
                <w:sz w:val="18"/>
                <w:szCs w:val="18"/>
                <w:lang w:eastAsia="en-GB"/>
              </w:rPr>
              <w:t>2008, 2012, 2016</w:t>
            </w:r>
          </w:p>
        </w:tc>
        <w:tc>
          <w:tcPr>
            <w:tcW w:w="2768" w:type="dxa"/>
            <w:tcBorders>
              <w:top w:val="single" w:sz="4" w:space="0" w:color="auto"/>
              <w:left w:val="nil"/>
              <w:bottom w:val="single" w:sz="4" w:space="0" w:color="auto"/>
              <w:right w:val="nil"/>
            </w:tcBorders>
            <w:shd w:val="clear" w:color="auto" w:fill="auto"/>
            <w:vAlign w:val="center"/>
          </w:tcPr>
          <w:p w14:paraId="1695C1EF" w14:textId="38E6A248" w:rsidR="00215A11" w:rsidRPr="006726D9" w:rsidRDefault="00215A11" w:rsidP="002C3C68">
            <w:pPr>
              <w:keepNext/>
              <w:spacing w:after="0"/>
              <w:rPr>
                <w:lang w:val="fr-CH"/>
              </w:rPr>
            </w:pPr>
            <w:r w:rsidRPr="006726D9">
              <w:rPr>
                <w:sz w:val="18"/>
                <w:szCs w:val="18"/>
                <w:lang w:val="fr-CH" w:eastAsia="en-GB"/>
              </w:rPr>
              <w:t>MIS</w:t>
            </w:r>
            <w:r w:rsidRPr="006726D9">
              <w:rPr>
                <w:lang w:val="fr-CH"/>
              </w:rPr>
              <w:t xml:space="preserve"> </w:t>
            </w:r>
            <w:r>
              <w:rPr>
                <w:rStyle w:val="Hyperlink"/>
                <w:color w:val="auto"/>
                <w:sz w:val="18"/>
                <w:szCs w:val="18"/>
                <w:lang w:eastAsia="en-GB"/>
              </w:rPr>
              <w:fldChar w:fldCharType="begin"/>
            </w:r>
            <w:r w:rsidRPr="006726D9">
              <w:rPr>
                <w:rStyle w:val="Hyperlink"/>
                <w:color w:val="auto"/>
                <w:sz w:val="18"/>
                <w:szCs w:val="18"/>
                <w:lang w:val="fr-CH" w:eastAsia="en-GB"/>
              </w:rPr>
              <w:instrText xml:space="preserve"> ADDIN ZOTERO_ITEM CSL_CITATION {"citationID":"J8zqHjZ0","properties":{"formattedCitation":"[9\\uc0\\u8211{}12]","plainCitation":"[9–12]","noteIndex":0},"citationItems":[{"id":16746,"uris":["http://zotero.org/users/3516901/items/NZSSZ2HF"],"uri":["http://zotero.org/users/3516901/items/NZSSZ2HF"],"itemData":{"id":16746,"type":"report","title":"Tanzania HIV/AIDS and Malaria Indicator Survey 2007-08","publisher":"Tanzania Commission for AIDS (TACAIDS)","publisher-place":"Dar Es Salaam,Tanzania","event-place":"Dar Es Salaam,Tanzania","author":[{"family":"TACAIDS","given":""},{"literal":"Zanzibar AIDS Commission (ZAC)"},{"literal":"National Bureau of Statistics (NBS) [Tanzania]"},{"literal":"MEASURE DHS"},{"literal":"Macro International Inc."}],"issued":{"date-parts":[["2008"]]}},"label":"page"},{"id":27636,"uris":["http://zotero.org/users/3516901/items/8NFD3HWY"],"uri":["http://zotero.org/users/3516901/items/8NFD3HWY"],"itemData":{"id":27636,"type":"report","title":"Tanzania Demographic and Health Survey 2010","source":"dhsprogram.com","URL":"http://dhsprogram.com/publications/publication-FR243-DHS-Final-Reports.cfm","language":"en","author":[{"family":"NBS/Tanzania","given":"National Bureau of Statistics-"},{"family":"Macro","given":"I. C. F."}],"issued":{"date-parts":[["2011"]]},"accessed":{"date-parts":[["2018",8,20]]}},"label":"page"},{"id":17358,"uris":["http://zotero.org/users/3516901/items/SG44M9ZT"],"uri":["http://zotero.org/users/3516901/items/SG44M9ZT"],"itemData":{"id":17358,"type":"report","title":"Tanzania HIV/AIDS and Malaria Indicator Survey 2011-12","publisher":"TACAIDS, ZAC,  NBS, OCGS, and ICF International","publisher-place":"Dar Es Salaam, Tanzania","event-place":"Dar Es Salaam, Tanzania","author":[{"literal":"TACAIDS"},{"literal":"Zanzibar AIDS Commission (ZAC)"},{"literal":"National Bureau of Statistics (NBS) [Tanzania]"},{"literal":"Office of the Chief Government Statistician (OCGS)"},{"literal":"ICF International 2013"}],"issued":{"date-parts":[["2013"]]}},"label":"page"},{"id":15907,"uris":["http://zotero.org/users/3516901/items/WWHQCFSW"],"uri":["http://zotero.org/users/3516901/items/WWHQCFSW"],"itemData":{"id":15907,"type":"report","title":"Tanzania Demographic and Health Survey and Malaria Indicator Survey (TDHS-MIS) 2015-2016","publisher":"MoHSW, MoH, NBS, OCGS, and ICF International","publisher-place":"Dar es Salaam, Tanzania and Rockville, Maryland, USA","event-place":"Dar es Salaam, Tanzania and Rockville, Maryland, USA","author":[{"family":"MoHCDGEC","given":""},{"literal":"Ministry of Health (MoH) (Zanzibar)"},{"literal":"National Bureau of Statistics (NBS) [Tanzania]"},{"literal":"Office of Chief Government Statistician (OCGS)"},{"literal":"ICF International"}],"issued":{"date-parts":[["2016"]]}},"label":"page"}],"schema":"https://github.com/citation-style-language/schema/raw/master/csl-citation.json"} </w:instrText>
            </w:r>
            <w:r>
              <w:rPr>
                <w:rStyle w:val="Hyperlink"/>
                <w:color w:val="auto"/>
                <w:sz w:val="18"/>
                <w:szCs w:val="18"/>
                <w:lang w:eastAsia="en-GB"/>
              </w:rPr>
              <w:fldChar w:fldCharType="separate"/>
            </w:r>
            <w:r w:rsidRPr="006726D9">
              <w:rPr>
                <w:rFonts w:ascii="Calibri" w:hAnsi="Calibri" w:cs="Times New Roman"/>
                <w:sz w:val="18"/>
                <w:szCs w:val="24"/>
                <w:lang w:val="fr-CH"/>
              </w:rPr>
              <w:t>[9–12]</w:t>
            </w:r>
            <w:r>
              <w:rPr>
                <w:rStyle w:val="Hyperlink"/>
                <w:color w:val="auto"/>
                <w:sz w:val="18"/>
                <w:szCs w:val="18"/>
                <w:lang w:eastAsia="en-GB"/>
              </w:rPr>
              <w:fldChar w:fldCharType="end"/>
            </w:r>
          </w:p>
          <w:p w14:paraId="0A3D9C82" w14:textId="77777777" w:rsidR="00215A11" w:rsidRPr="006726D9" w:rsidRDefault="00B90DEF" w:rsidP="002C3C68">
            <w:pPr>
              <w:keepNext/>
              <w:spacing w:after="0"/>
              <w:rPr>
                <w:rStyle w:val="Hyperlink"/>
                <w:color w:val="auto"/>
                <w:sz w:val="18"/>
                <w:szCs w:val="18"/>
                <w:lang w:val="fr-CH" w:eastAsia="en-GB"/>
              </w:rPr>
            </w:pPr>
            <w:hyperlink r:id="rId14" w:history="1">
              <w:r w:rsidR="00215A11" w:rsidRPr="006726D9">
                <w:rPr>
                  <w:rStyle w:val="Hyperlink"/>
                  <w:color w:val="auto"/>
                  <w:sz w:val="18"/>
                  <w:szCs w:val="18"/>
                  <w:lang w:val="fr-CH" w:eastAsia="en-GB"/>
                </w:rPr>
                <w:t>https://www.statcompiler.com/</w:t>
              </w:r>
            </w:hyperlink>
          </w:p>
          <w:p w14:paraId="4C5575C3" w14:textId="744FEA91" w:rsidR="00215A11" w:rsidRPr="006726D9" w:rsidRDefault="00215A11" w:rsidP="00042DCE">
            <w:pPr>
              <w:spacing w:after="0"/>
              <w:rPr>
                <w:sz w:val="18"/>
                <w:szCs w:val="18"/>
                <w:lang w:val="fr-CH"/>
              </w:rPr>
            </w:pPr>
          </w:p>
        </w:tc>
      </w:tr>
      <w:tr w:rsidR="00215A11" w:rsidRPr="00092331" w14:paraId="3D6F735C"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0B69D6CE" w14:textId="07EDB271" w:rsidR="00215A11" w:rsidRPr="00092331" w:rsidRDefault="00215A11" w:rsidP="002A5E29">
            <w:pPr>
              <w:spacing w:after="0"/>
              <w:rPr>
                <w:sz w:val="18"/>
                <w:szCs w:val="18"/>
                <w:lang w:eastAsia="en-GB"/>
              </w:rPr>
            </w:pPr>
            <w:r>
              <w:rPr>
                <w:sz w:val="18"/>
                <w:szCs w:val="18"/>
                <w:lang w:eastAsia="en-GB"/>
              </w:rPr>
              <w:t>ITNs</w:t>
            </w:r>
            <w:r w:rsidRPr="00092331">
              <w:rPr>
                <w:sz w:val="18"/>
                <w:szCs w:val="18"/>
                <w:lang w:eastAsia="en-GB"/>
              </w:rPr>
              <w:t xml:space="preserve"> distributed</w:t>
            </w:r>
          </w:p>
        </w:tc>
        <w:tc>
          <w:tcPr>
            <w:tcW w:w="3458" w:type="dxa"/>
            <w:tcBorders>
              <w:top w:val="single" w:sz="4" w:space="0" w:color="auto"/>
              <w:left w:val="nil"/>
              <w:bottom w:val="single" w:sz="4" w:space="0" w:color="auto"/>
              <w:right w:val="nil"/>
            </w:tcBorders>
            <w:vAlign w:val="center"/>
          </w:tcPr>
          <w:p w14:paraId="368B3324" w14:textId="77777777" w:rsidR="00215A11" w:rsidRDefault="00215A11" w:rsidP="001C4413">
            <w:pPr>
              <w:spacing w:after="0"/>
              <w:rPr>
                <w:sz w:val="18"/>
                <w:szCs w:val="18"/>
                <w:lang w:eastAsia="en-GB"/>
              </w:rPr>
            </w:pPr>
            <w:r w:rsidRPr="00092331">
              <w:rPr>
                <w:sz w:val="18"/>
                <w:szCs w:val="18"/>
                <w:lang w:eastAsia="en-GB"/>
              </w:rPr>
              <w:t xml:space="preserve">1) total number of nets distributed </w:t>
            </w:r>
          </w:p>
          <w:p w14:paraId="25067532" w14:textId="1535C8B1" w:rsidR="00215A11" w:rsidRPr="00092331" w:rsidRDefault="00215A11" w:rsidP="001C4413">
            <w:pPr>
              <w:spacing w:after="0"/>
              <w:rPr>
                <w:sz w:val="18"/>
                <w:szCs w:val="18"/>
                <w:lang w:eastAsia="en-GB"/>
              </w:rPr>
            </w:pPr>
            <w:r w:rsidRPr="00092331">
              <w:rPr>
                <w:sz w:val="18"/>
                <w:szCs w:val="18"/>
                <w:lang w:eastAsia="en-GB"/>
              </w:rPr>
              <w:t>2) number of nets distributed per population</w:t>
            </w:r>
          </w:p>
        </w:tc>
        <w:tc>
          <w:tcPr>
            <w:tcW w:w="2801" w:type="dxa"/>
            <w:tcBorders>
              <w:top w:val="single" w:sz="4" w:space="0" w:color="auto"/>
              <w:left w:val="nil"/>
              <w:bottom w:val="single" w:sz="4" w:space="0" w:color="auto"/>
              <w:right w:val="nil"/>
            </w:tcBorders>
            <w:shd w:val="clear" w:color="auto" w:fill="auto"/>
            <w:vAlign w:val="center"/>
          </w:tcPr>
          <w:p w14:paraId="766262AB" w14:textId="7F0E027F" w:rsidR="00215A11" w:rsidRPr="00092331" w:rsidRDefault="00215A11" w:rsidP="002A5E29">
            <w:pPr>
              <w:spacing w:after="0"/>
              <w:rPr>
                <w:sz w:val="18"/>
                <w:szCs w:val="18"/>
                <w:lang w:eastAsia="en-GB"/>
              </w:rPr>
            </w:pPr>
            <w:r>
              <w:rPr>
                <w:sz w:val="18"/>
                <w:szCs w:val="18"/>
                <w:lang w:eastAsia="en-GB"/>
              </w:rPr>
              <w:t>T</w:t>
            </w:r>
            <w:r w:rsidRPr="00092331">
              <w:rPr>
                <w:sz w:val="18"/>
                <w:szCs w:val="18"/>
                <w:lang w:eastAsia="en-GB"/>
              </w:rPr>
              <w:t xml:space="preserve">o inform the timing of </w:t>
            </w:r>
            <w:r>
              <w:rPr>
                <w:sz w:val="18"/>
                <w:szCs w:val="18"/>
                <w:lang w:eastAsia="en-GB"/>
              </w:rPr>
              <w:t>ITN</w:t>
            </w:r>
            <w:r w:rsidRPr="00092331">
              <w:rPr>
                <w:sz w:val="18"/>
                <w:szCs w:val="18"/>
                <w:lang w:eastAsia="en-GB"/>
              </w:rPr>
              <w:t xml:space="preserve"> deployment </w:t>
            </w:r>
          </w:p>
          <w:p w14:paraId="37701F0D" w14:textId="77777777" w:rsidR="00215A11" w:rsidRPr="00092331" w:rsidRDefault="00215A11" w:rsidP="002A5E29">
            <w:pPr>
              <w:spacing w:after="0"/>
              <w:rPr>
                <w:sz w:val="18"/>
                <w:szCs w:val="18"/>
                <w:lang w:eastAsia="en-GB"/>
              </w:rPr>
            </w:pPr>
            <w:r>
              <w:rPr>
                <w:sz w:val="18"/>
                <w:szCs w:val="18"/>
                <w:lang w:eastAsia="en-GB"/>
              </w:rPr>
              <w:t>T</w:t>
            </w:r>
            <w:r w:rsidRPr="00092331">
              <w:rPr>
                <w:sz w:val="18"/>
                <w:szCs w:val="18"/>
                <w:lang w:eastAsia="en-GB"/>
              </w:rPr>
              <w:t xml:space="preserve">o distinguish between </w:t>
            </w:r>
            <w:r w:rsidRPr="00092331">
              <w:rPr>
                <w:noProof/>
                <w:sz w:val="18"/>
                <w:szCs w:val="18"/>
                <w:lang w:eastAsia="en-GB"/>
              </w:rPr>
              <w:t>mass</w:t>
            </w:r>
            <w:r w:rsidRPr="00092331">
              <w:rPr>
                <w:sz w:val="18"/>
                <w:szCs w:val="18"/>
                <w:lang w:eastAsia="en-GB"/>
              </w:rPr>
              <w:t xml:space="preserve"> campaign and cumulative distribution</w:t>
            </w:r>
          </w:p>
        </w:tc>
        <w:tc>
          <w:tcPr>
            <w:tcW w:w="1134" w:type="dxa"/>
            <w:tcBorders>
              <w:top w:val="single" w:sz="4" w:space="0" w:color="auto"/>
              <w:left w:val="nil"/>
              <w:bottom w:val="single" w:sz="4" w:space="0" w:color="auto"/>
              <w:right w:val="nil"/>
            </w:tcBorders>
            <w:shd w:val="clear" w:color="auto" w:fill="auto"/>
            <w:vAlign w:val="center"/>
          </w:tcPr>
          <w:p w14:paraId="636402F9" w14:textId="77777777" w:rsidR="00215A11" w:rsidRPr="00092331" w:rsidRDefault="00215A11" w:rsidP="002A5E29">
            <w:pPr>
              <w:spacing w:after="0"/>
              <w:rPr>
                <w:sz w:val="18"/>
                <w:szCs w:val="18"/>
                <w:lang w:eastAsia="en-GB"/>
              </w:rPr>
            </w:pPr>
            <w:r>
              <w:rPr>
                <w:sz w:val="18"/>
                <w:szCs w:val="18"/>
                <w:lang w:eastAsia="en-GB"/>
              </w:rPr>
              <w:t>Council</w:t>
            </w:r>
          </w:p>
        </w:tc>
        <w:tc>
          <w:tcPr>
            <w:tcW w:w="1146" w:type="dxa"/>
            <w:tcBorders>
              <w:top w:val="single" w:sz="4" w:space="0" w:color="auto"/>
              <w:left w:val="nil"/>
              <w:bottom w:val="single" w:sz="4" w:space="0" w:color="auto"/>
              <w:right w:val="nil"/>
            </w:tcBorders>
            <w:shd w:val="clear" w:color="auto" w:fill="auto"/>
            <w:vAlign w:val="center"/>
          </w:tcPr>
          <w:p w14:paraId="0ED2EEB7" w14:textId="77777777" w:rsidR="00215A11" w:rsidRPr="00092331" w:rsidRDefault="00215A11" w:rsidP="002A5E29">
            <w:pPr>
              <w:spacing w:after="0"/>
              <w:rPr>
                <w:sz w:val="18"/>
                <w:szCs w:val="18"/>
                <w:lang w:eastAsia="en-GB"/>
              </w:rPr>
            </w:pPr>
            <w:r>
              <w:rPr>
                <w:sz w:val="18"/>
                <w:szCs w:val="18"/>
                <w:lang w:eastAsia="en-GB"/>
              </w:rPr>
              <w:t>M</w:t>
            </w:r>
            <w:r w:rsidRPr="00092331">
              <w:rPr>
                <w:sz w:val="18"/>
                <w:szCs w:val="18"/>
                <w:lang w:eastAsia="en-GB"/>
              </w:rPr>
              <w:t xml:space="preserve">ixed </w:t>
            </w:r>
          </w:p>
        </w:tc>
        <w:tc>
          <w:tcPr>
            <w:tcW w:w="1133" w:type="dxa"/>
            <w:tcBorders>
              <w:top w:val="single" w:sz="4" w:space="0" w:color="auto"/>
              <w:left w:val="nil"/>
              <w:bottom w:val="single" w:sz="4" w:space="0" w:color="auto"/>
              <w:right w:val="nil"/>
            </w:tcBorders>
            <w:shd w:val="clear" w:color="auto" w:fill="auto"/>
            <w:vAlign w:val="center"/>
          </w:tcPr>
          <w:p w14:paraId="4D1C974E" w14:textId="77777777" w:rsidR="00215A11" w:rsidRPr="00092331" w:rsidRDefault="00215A11" w:rsidP="002A5E29">
            <w:pPr>
              <w:spacing w:after="0"/>
              <w:rPr>
                <w:sz w:val="18"/>
                <w:szCs w:val="18"/>
                <w:lang w:eastAsia="en-GB"/>
              </w:rPr>
            </w:pPr>
            <w:r w:rsidRPr="00092331">
              <w:rPr>
                <w:sz w:val="18"/>
                <w:szCs w:val="18"/>
                <w:lang w:eastAsia="en-GB"/>
              </w:rPr>
              <w:t>2004-2016</w:t>
            </w:r>
          </w:p>
        </w:tc>
        <w:tc>
          <w:tcPr>
            <w:tcW w:w="2768" w:type="dxa"/>
            <w:tcBorders>
              <w:top w:val="single" w:sz="4" w:space="0" w:color="auto"/>
              <w:left w:val="nil"/>
              <w:bottom w:val="single" w:sz="4" w:space="0" w:color="auto"/>
              <w:right w:val="nil"/>
            </w:tcBorders>
            <w:shd w:val="clear" w:color="auto" w:fill="auto"/>
            <w:vAlign w:val="center"/>
          </w:tcPr>
          <w:p w14:paraId="67BA9D44" w14:textId="77777777" w:rsidR="00215A11" w:rsidRDefault="00215A11" w:rsidP="002A5E29">
            <w:pPr>
              <w:keepNext/>
              <w:spacing w:after="0"/>
              <w:rPr>
                <w:sz w:val="18"/>
                <w:szCs w:val="18"/>
                <w:lang w:eastAsia="en-GB"/>
              </w:rPr>
            </w:pPr>
            <w:r w:rsidRPr="00092331">
              <w:rPr>
                <w:sz w:val="18"/>
                <w:szCs w:val="18"/>
                <w:lang w:eastAsia="en-GB"/>
              </w:rPr>
              <w:t xml:space="preserve">Commodity data </w:t>
            </w:r>
          </w:p>
          <w:p w14:paraId="7D303508" w14:textId="77777777" w:rsidR="00215A11" w:rsidRPr="00092331" w:rsidRDefault="00215A11" w:rsidP="002A5E29">
            <w:pPr>
              <w:keepNext/>
              <w:spacing w:after="0"/>
              <w:rPr>
                <w:sz w:val="18"/>
                <w:szCs w:val="18"/>
                <w:lang w:eastAsia="en-GB"/>
              </w:rPr>
            </w:pPr>
            <w:r>
              <w:rPr>
                <w:sz w:val="18"/>
                <w:szCs w:val="18"/>
              </w:rPr>
              <w:t>[NMCP, unpublished data]</w:t>
            </w:r>
          </w:p>
        </w:tc>
      </w:tr>
      <w:tr w:rsidR="00215A11" w:rsidRPr="00092331" w14:paraId="190474E8" w14:textId="77777777" w:rsidTr="00215A11">
        <w:trPr>
          <w:trHeight w:val="284"/>
        </w:trPr>
        <w:tc>
          <w:tcPr>
            <w:tcW w:w="1560" w:type="dxa"/>
            <w:tcBorders>
              <w:top w:val="single" w:sz="4" w:space="0" w:color="auto"/>
              <w:left w:val="nil"/>
              <w:bottom w:val="single" w:sz="4" w:space="0" w:color="auto"/>
              <w:right w:val="nil"/>
            </w:tcBorders>
            <w:shd w:val="clear" w:color="auto" w:fill="auto"/>
            <w:vAlign w:val="center"/>
          </w:tcPr>
          <w:p w14:paraId="7D19EB7C" w14:textId="60DBB31E" w:rsidR="00215A11" w:rsidRDefault="00215A11" w:rsidP="002A5E29">
            <w:pPr>
              <w:spacing w:after="0"/>
              <w:rPr>
                <w:sz w:val="18"/>
                <w:szCs w:val="18"/>
                <w:lang w:eastAsia="en-GB"/>
              </w:rPr>
            </w:pPr>
            <w:r>
              <w:rPr>
                <w:sz w:val="18"/>
                <w:szCs w:val="18"/>
                <w:lang w:eastAsia="en-GB"/>
              </w:rPr>
              <w:t>ITN</w:t>
            </w:r>
            <w:r w:rsidRPr="00092331">
              <w:rPr>
                <w:sz w:val="18"/>
                <w:szCs w:val="18"/>
                <w:lang w:eastAsia="en-GB"/>
              </w:rPr>
              <w:t xml:space="preserve"> decay</w:t>
            </w:r>
          </w:p>
        </w:tc>
        <w:tc>
          <w:tcPr>
            <w:tcW w:w="3458" w:type="dxa"/>
            <w:tcBorders>
              <w:top w:val="single" w:sz="4" w:space="0" w:color="auto"/>
              <w:left w:val="nil"/>
              <w:bottom w:val="single" w:sz="4" w:space="0" w:color="auto"/>
              <w:right w:val="nil"/>
            </w:tcBorders>
            <w:vAlign w:val="center"/>
          </w:tcPr>
          <w:p w14:paraId="666BDCB8" w14:textId="1E74BC04" w:rsidR="00215A11" w:rsidRPr="00092331" w:rsidRDefault="00215A11" w:rsidP="00581EC7">
            <w:pPr>
              <w:spacing w:after="0"/>
              <w:rPr>
                <w:sz w:val="18"/>
                <w:szCs w:val="18"/>
                <w:lang w:eastAsia="en-GB"/>
              </w:rPr>
            </w:pPr>
            <w:r>
              <w:rPr>
                <w:sz w:val="18"/>
                <w:szCs w:val="18"/>
                <w:lang w:eastAsia="en-GB"/>
              </w:rPr>
              <w:t>% of nets remaining over time</w:t>
            </w:r>
          </w:p>
        </w:tc>
        <w:tc>
          <w:tcPr>
            <w:tcW w:w="2801" w:type="dxa"/>
            <w:tcBorders>
              <w:top w:val="single" w:sz="4" w:space="0" w:color="auto"/>
              <w:left w:val="nil"/>
              <w:bottom w:val="single" w:sz="4" w:space="0" w:color="auto"/>
              <w:right w:val="nil"/>
            </w:tcBorders>
            <w:shd w:val="clear" w:color="auto" w:fill="auto"/>
            <w:vAlign w:val="center"/>
          </w:tcPr>
          <w:p w14:paraId="52FF759B" w14:textId="45F241EF" w:rsidR="00215A11" w:rsidRDefault="00215A11" w:rsidP="00C24AEF">
            <w:pPr>
              <w:spacing w:after="0"/>
              <w:rPr>
                <w:sz w:val="18"/>
                <w:szCs w:val="18"/>
                <w:lang w:eastAsia="en-GB"/>
              </w:rPr>
            </w:pPr>
            <w:r w:rsidRPr="00082071">
              <w:rPr>
                <w:sz w:val="18"/>
                <w:szCs w:val="18"/>
                <w:lang w:eastAsia="en-GB"/>
              </w:rPr>
              <w:t>To determine functions for attrition of nets</w:t>
            </w:r>
            <w:r>
              <w:rPr>
                <w:sz w:val="18"/>
                <w:szCs w:val="18"/>
                <w:lang w:eastAsia="en-GB"/>
              </w:rPr>
              <w:t xml:space="preserve"> 1) for calculating</w:t>
            </w:r>
            <w:r w:rsidRPr="00092331">
              <w:rPr>
                <w:sz w:val="18"/>
                <w:szCs w:val="18"/>
                <w:lang w:eastAsia="en-GB"/>
              </w:rPr>
              <w:t xml:space="preserve"> the </w:t>
            </w:r>
            <w:r>
              <w:rPr>
                <w:sz w:val="18"/>
                <w:szCs w:val="18"/>
                <w:lang w:eastAsia="en-GB"/>
              </w:rPr>
              <w:t>ITN</w:t>
            </w:r>
            <w:r w:rsidRPr="00092331">
              <w:rPr>
                <w:sz w:val="18"/>
                <w:szCs w:val="18"/>
                <w:lang w:eastAsia="en-GB"/>
              </w:rPr>
              <w:t xml:space="preserve"> </w:t>
            </w:r>
            <w:r w:rsidR="00C24AEF">
              <w:rPr>
                <w:sz w:val="18"/>
                <w:szCs w:val="18"/>
                <w:lang w:eastAsia="en-GB"/>
              </w:rPr>
              <w:t>usage</w:t>
            </w:r>
            <w:r>
              <w:rPr>
                <w:sz w:val="18"/>
                <w:szCs w:val="18"/>
                <w:lang w:eastAsia="en-GB"/>
              </w:rPr>
              <w:t xml:space="preserve"> at the time of the </w:t>
            </w:r>
            <w:r w:rsidRPr="00092331">
              <w:rPr>
                <w:sz w:val="18"/>
                <w:szCs w:val="18"/>
                <w:lang w:eastAsia="en-GB"/>
              </w:rPr>
              <w:t>last campaign</w:t>
            </w:r>
            <w:r>
              <w:rPr>
                <w:sz w:val="18"/>
                <w:szCs w:val="18"/>
                <w:lang w:eastAsia="en-GB"/>
              </w:rPr>
              <w:t xml:space="preserve">, and 2) for use as fitting parameter </w:t>
            </w:r>
          </w:p>
        </w:tc>
        <w:tc>
          <w:tcPr>
            <w:tcW w:w="1134" w:type="dxa"/>
            <w:tcBorders>
              <w:top w:val="single" w:sz="4" w:space="0" w:color="auto"/>
              <w:left w:val="nil"/>
              <w:bottom w:val="single" w:sz="4" w:space="0" w:color="auto"/>
              <w:right w:val="nil"/>
            </w:tcBorders>
            <w:shd w:val="clear" w:color="auto" w:fill="auto"/>
            <w:vAlign w:val="center"/>
          </w:tcPr>
          <w:p w14:paraId="2D4F9154" w14:textId="49416046" w:rsidR="00215A11" w:rsidRPr="00092331" w:rsidRDefault="00215A11" w:rsidP="002A5E29">
            <w:pPr>
              <w:spacing w:after="0"/>
              <w:rPr>
                <w:sz w:val="18"/>
                <w:szCs w:val="18"/>
                <w:lang w:eastAsia="en-GB"/>
              </w:rPr>
            </w:pPr>
            <w:r>
              <w:rPr>
                <w:sz w:val="18"/>
                <w:szCs w:val="18"/>
                <w:lang w:eastAsia="en-GB"/>
              </w:rPr>
              <w:t>*)</w:t>
            </w:r>
          </w:p>
        </w:tc>
        <w:tc>
          <w:tcPr>
            <w:tcW w:w="1146" w:type="dxa"/>
            <w:tcBorders>
              <w:top w:val="single" w:sz="4" w:space="0" w:color="auto"/>
              <w:left w:val="nil"/>
              <w:bottom w:val="single" w:sz="4" w:space="0" w:color="auto"/>
              <w:right w:val="nil"/>
            </w:tcBorders>
            <w:shd w:val="clear" w:color="auto" w:fill="auto"/>
            <w:vAlign w:val="center"/>
          </w:tcPr>
          <w:p w14:paraId="60870B12" w14:textId="77777777" w:rsidR="00215A11" w:rsidRPr="00092331" w:rsidRDefault="00215A11" w:rsidP="002A5E29">
            <w:pPr>
              <w:spacing w:after="0"/>
              <w:rPr>
                <w:sz w:val="18"/>
                <w:szCs w:val="18"/>
                <w:lang w:eastAsia="en-GB"/>
              </w:rPr>
            </w:pPr>
          </w:p>
        </w:tc>
        <w:tc>
          <w:tcPr>
            <w:tcW w:w="1133" w:type="dxa"/>
            <w:tcBorders>
              <w:top w:val="single" w:sz="4" w:space="0" w:color="auto"/>
              <w:left w:val="nil"/>
              <w:bottom w:val="single" w:sz="4" w:space="0" w:color="auto"/>
              <w:right w:val="nil"/>
            </w:tcBorders>
            <w:shd w:val="clear" w:color="auto" w:fill="auto"/>
            <w:vAlign w:val="center"/>
          </w:tcPr>
          <w:p w14:paraId="37C09D49" w14:textId="77777777" w:rsidR="00215A11" w:rsidRPr="00092331" w:rsidRDefault="00215A11" w:rsidP="002A5E29">
            <w:pPr>
              <w:spacing w:after="0"/>
              <w:rPr>
                <w:sz w:val="18"/>
                <w:szCs w:val="18"/>
                <w:lang w:eastAsia="en-GB"/>
              </w:rPr>
            </w:pPr>
          </w:p>
        </w:tc>
        <w:tc>
          <w:tcPr>
            <w:tcW w:w="2768" w:type="dxa"/>
            <w:tcBorders>
              <w:top w:val="single" w:sz="4" w:space="0" w:color="auto"/>
              <w:left w:val="nil"/>
              <w:bottom w:val="single" w:sz="4" w:space="0" w:color="auto"/>
              <w:right w:val="nil"/>
            </w:tcBorders>
            <w:shd w:val="clear" w:color="auto" w:fill="auto"/>
            <w:vAlign w:val="center"/>
          </w:tcPr>
          <w:p w14:paraId="5131A96E" w14:textId="0E7E1D3C" w:rsidR="00215A11" w:rsidRPr="00092331" w:rsidRDefault="00215A11" w:rsidP="00215A11">
            <w:pPr>
              <w:spacing w:after="0"/>
              <w:rPr>
                <w:sz w:val="18"/>
                <w:szCs w:val="18"/>
                <w:lang w:eastAsia="en-GB"/>
              </w:rPr>
            </w:pPr>
            <w:proofErr w:type="spellStart"/>
            <w:r w:rsidRPr="00092331">
              <w:rPr>
                <w:sz w:val="18"/>
                <w:szCs w:val="18"/>
                <w:lang w:eastAsia="en-GB"/>
              </w:rPr>
              <w:t>VectorWorks</w:t>
            </w:r>
            <w:proofErr w:type="spellEnd"/>
            <w:r>
              <w:rPr>
                <w:sz w:val="18"/>
                <w:szCs w:val="18"/>
                <w:lang w:eastAsia="en-GB"/>
              </w:rPr>
              <w:t xml:space="preserve"> </w:t>
            </w:r>
            <w:r w:rsidRPr="00092331">
              <w:rPr>
                <w:sz w:val="18"/>
                <w:szCs w:val="18"/>
                <w:lang w:eastAsia="en-GB"/>
              </w:rPr>
              <w:t>(</w:t>
            </w:r>
            <w:proofErr w:type="spellStart"/>
            <w:r w:rsidRPr="00092331">
              <w:rPr>
                <w:sz w:val="18"/>
                <w:szCs w:val="18"/>
                <w:lang w:eastAsia="en-GB"/>
              </w:rPr>
              <w:t>NetCALC</w:t>
            </w:r>
            <w:proofErr w:type="spellEnd"/>
            <w:r w:rsidRPr="00092331">
              <w:rPr>
                <w:sz w:val="18"/>
                <w:szCs w:val="18"/>
                <w:lang w:eastAsia="en-GB"/>
              </w:rPr>
              <w:t>)</w:t>
            </w:r>
          </w:p>
          <w:p w14:paraId="793DAFDB" w14:textId="77777777" w:rsidR="00215A11" w:rsidRPr="00092331" w:rsidRDefault="00B90DEF" w:rsidP="002C3C68">
            <w:pPr>
              <w:keepNext/>
              <w:spacing w:after="0"/>
              <w:rPr>
                <w:rStyle w:val="Hyperlink"/>
                <w:color w:val="auto"/>
                <w:sz w:val="18"/>
                <w:szCs w:val="18"/>
                <w:lang w:eastAsia="en-GB"/>
              </w:rPr>
            </w:pPr>
            <w:hyperlink r:id="rId15" w:history="1">
              <w:r w:rsidR="00215A11" w:rsidRPr="00092331">
                <w:rPr>
                  <w:rStyle w:val="Hyperlink"/>
                  <w:color w:val="auto"/>
                  <w:sz w:val="18"/>
                  <w:szCs w:val="18"/>
                  <w:lang w:eastAsia="en-GB"/>
                </w:rPr>
                <w:t>https://www.vector-works.org/resources/netcalc-planning-tool/</w:t>
              </w:r>
            </w:hyperlink>
            <w:r w:rsidR="00215A11" w:rsidRPr="00092331">
              <w:rPr>
                <w:rStyle w:val="Hyperlink"/>
                <w:color w:val="auto"/>
                <w:sz w:val="18"/>
                <w:szCs w:val="18"/>
                <w:lang w:eastAsia="en-GB"/>
              </w:rPr>
              <w:t xml:space="preserve"> </w:t>
            </w:r>
          </w:p>
          <w:p w14:paraId="735EDB00" w14:textId="17342F90" w:rsidR="00215A11" w:rsidRPr="00042DCE" w:rsidRDefault="00215A11" w:rsidP="002A5E29">
            <w:pPr>
              <w:keepNext/>
              <w:spacing w:after="0"/>
              <w:rPr>
                <w:sz w:val="18"/>
                <w:szCs w:val="18"/>
                <w:lang w:eastAsia="en-GB"/>
              </w:rPr>
            </w:pPr>
            <w:r w:rsidRPr="00092331">
              <w:rPr>
                <w:sz w:val="18"/>
                <w:szCs w:val="18"/>
              </w:rPr>
              <w:fldChar w:fldCharType="begin"/>
            </w:r>
            <w:r>
              <w:rPr>
                <w:sz w:val="18"/>
                <w:szCs w:val="18"/>
              </w:rPr>
              <w:instrText xml:space="preserve"> ADDIN ZOTERO_ITEM CSL_CITATION {"citationID":"G5SFuyo2","properties":{"formattedCitation":"[7]","plainCitation":"[7]","noteIndex":0},"citationItems":[{"id":16707,"uris":["http://zotero.org/users/3516901/items/DGSCVCES"],"uri":["http://zotero.org/users/3516901/items/DGSCVCES"],"itemData":{"id":16707,"type":"article-journal","title":"Analysing and recommending options for maintaining universal coverage with long-lasting insecticidal nets: the case of Tanzania in 2011","container-title":"Malaria Journal","page":"150","volume":"12","issue":"1","source":"www.malariajournal.com","abstract":"Tanzania achieved universal coverage with long-lasting insecticidal nets (LLINs) in October 2011, after three years of free mass net distribution campaigns and is now faced with the challenge of maintaining high coverage as nets wear out and the population grows. A process of exploring options for a continuous or “Keep-Up” distribution system was initiated in early 2011. This paper presents for the first time a comprehensive national process to review the major considerations, findings and recommendations for the implementation of a new strategy.\nPMID: 23641705","DOI":"10.1186/1475-2875-12-150","ISSN":"1475-2875","title-short":"Analysing and recommending options for maintaining universal coverage with long-lasting insecticidal nets","language":"en","author":[{"family":"Koenker","given":"Hannah M."},{"family":"Yukich","given":"Joshua O."},{"family":"Mkindi","given":"Alex"},{"family":"Mandike","given":"Renata"},{"family":"Brown","given":"Nick"},{"family":"Kilian","given":"Albert"},{"family":"Lengeler","given":"Christian"}],"issued":{"date-parts":[["2013"]]}}}],"schema":"https://github.com/citation-style-language/schema/raw/master/csl-citation.json"} </w:instrText>
            </w:r>
            <w:r w:rsidRPr="00092331">
              <w:rPr>
                <w:sz w:val="18"/>
                <w:szCs w:val="18"/>
              </w:rPr>
              <w:fldChar w:fldCharType="separate"/>
            </w:r>
            <w:r w:rsidRPr="00215A11">
              <w:rPr>
                <w:rFonts w:ascii="Calibri" w:hAnsi="Calibri"/>
                <w:sz w:val="18"/>
              </w:rPr>
              <w:t>[7]</w:t>
            </w:r>
            <w:r w:rsidRPr="00092331">
              <w:rPr>
                <w:sz w:val="18"/>
                <w:szCs w:val="18"/>
              </w:rPr>
              <w:fldChar w:fldCharType="end"/>
            </w:r>
            <w:r>
              <w:rPr>
                <w:sz w:val="18"/>
                <w:szCs w:val="18"/>
              </w:rPr>
              <w:t xml:space="preserve">; </w:t>
            </w:r>
            <w:r>
              <w:rPr>
                <w:sz w:val="18"/>
                <w:szCs w:val="18"/>
              </w:rPr>
              <w:fldChar w:fldCharType="begin"/>
            </w:r>
            <w:r>
              <w:rPr>
                <w:sz w:val="18"/>
                <w:szCs w:val="18"/>
              </w:rPr>
              <w:instrText xml:space="preserve"> ADDIN ZOTERO_ITEM CSL_CITATION {"citationID":"SNGlO2B5","properties":{"formattedCitation":"[8]","plainCitation":"[8]","noteIndex":0},"citationItems":[{"id":21573,"uris":["http://zotero.org/users/3516901/items/Q5PSF4MG"],"uri":["http://zotero.org/users/3516901/items/Q5PSF4MG"],"itemData":{"id":21573,"type":"article-journal","title":"Importance of factors determining the effective lifetime of a mass, long-lasting, insecticidal net distribution: a sensitivity analysis","container-title":"Malaria Journal","page":"20","volume":"11","source":"PubMed Central","abstract":"Background\nLong-lasting insecticidal nets (LLINs) reduce malaria transmission by protecting individuals from infectious bites, and by reducing mosquito survival. In recent years, millions of LLINs have been distributed across sub-Saharan Africa (SSA). Over time, LLINs decay physically and chemically and are destroyed, making repeated interventions necessary to prevent a resurgence of malaria. Because its effects on transmission are important (more so than the effects of individual protection), estimates of the lifetime of mass distribution rounds should be based on the effective length of epidemiological protection.\n\nMethods\nSimulation models, parameterised using available field data, were used to analyse how the distribution's effective lifetime depends on the transmission setting and on LLIN characteristics. Factors considered were the pre-intervention transmission level, initial coverage, net attrition, and both physical and chemical decay. An ensemble of 14 stochastic individual-based model variants for malaria in humans was used, combined with a deterministic model for malaria in mosquitoes.\n\nResults\nThe effective lifetime was most sensitive to the pre-intervention transmission level, with a lifetime of almost 10 years at an entomological inoculation rate of two infectious bites per adult per annum (ibpapa), but of little more than 2 years at 256 ibpapa. The LLIN attrition rate and the insecticide decay rate were the next most important parameters. The lifetime was surprisingly insensitive to physical decay parameters, but this could change as physical integrity gains importance with the emergence and spread of pyrethroid resistance.\n\nConclusions\nThe strong dependency of the effective lifetime on the pre-intervention transmission level indicated that the required distribution frequency may vary more with the local entomological situation than with LLIN quality or the characteristics of the distribution system. This highlights the need for malaria monitoring both before and during intervention programmes, particularly since there are likely to be strong variations between years and over short distances. The majority of SSA's population falls into exposure categories where the lifetime is relatively long, but because exposure estimates are highly uncertain, it is necessary to consider subsequent interventions before the end of the expected effective lifetime based on an imprecise transmission measure.","DOI":"10.1186/1475-2875-11-20","ISSN":"1475-2875","title-short":"Importance of factors determining the effective lifetime of a mass, long-lasting, insecticidal net distribution","journalAbbreviation":"Malar J","author":[{"family":"Briët","given":"Olivier JT"},{"family":"Hardy","given":"Diggory"},{"family":"Smith","given":"Thomas A"}],"issued":{"date-parts":[["2012",1,13]]}}}],"schema":"https://github.com/citation-style-language/schema/raw/master/csl-citation.json"} </w:instrText>
            </w:r>
            <w:r>
              <w:rPr>
                <w:sz w:val="18"/>
                <w:szCs w:val="18"/>
              </w:rPr>
              <w:fldChar w:fldCharType="separate"/>
            </w:r>
            <w:r w:rsidRPr="00215A11">
              <w:rPr>
                <w:rFonts w:ascii="Calibri" w:hAnsi="Calibri"/>
                <w:sz w:val="18"/>
              </w:rPr>
              <w:t>[8]</w:t>
            </w:r>
            <w:r>
              <w:rPr>
                <w:sz w:val="18"/>
                <w:szCs w:val="18"/>
              </w:rPr>
              <w:fldChar w:fldCharType="end"/>
            </w:r>
          </w:p>
        </w:tc>
      </w:tr>
      <w:tr w:rsidR="00215A11" w:rsidRPr="00F25658" w14:paraId="6B0AD0BC" w14:textId="77777777" w:rsidTr="00215A11">
        <w:trPr>
          <w:trHeight w:val="284"/>
        </w:trPr>
        <w:tc>
          <w:tcPr>
            <w:tcW w:w="1560" w:type="dxa"/>
            <w:vMerge w:val="restart"/>
            <w:tcBorders>
              <w:top w:val="single" w:sz="4" w:space="0" w:color="auto"/>
              <w:left w:val="nil"/>
              <w:right w:val="nil"/>
            </w:tcBorders>
            <w:shd w:val="clear" w:color="auto" w:fill="auto"/>
            <w:vAlign w:val="center"/>
          </w:tcPr>
          <w:p w14:paraId="4DB025DE" w14:textId="77777777" w:rsidR="00FE5579" w:rsidRDefault="00215A11" w:rsidP="00FE5579">
            <w:pPr>
              <w:spacing w:after="0"/>
              <w:rPr>
                <w:sz w:val="18"/>
                <w:szCs w:val="18"/>
                <w:lang w:eastAsia="en-GB"/>
              </w:rPr>
            </w:pPr>
            <w:r>
              <w:rPr>
                <w:sz w:val="18"/>
                <w:szCs w:val="18"/>
                <w:lang w:eastAsia="en-GB"/>
              </w:rPr>
              <w:t>ITN</w:t>
            </w:r>
            <w:r w:rsidRPr="00092331">
              <w:rPr>
                <w:sz w:val="18"/>
                <w:szCs w:val="18"/>
                <w:lang w:eastAsia="en-GB"/>
              </w:rPr>
              <w:t xml:space="preserve"> </w:t>
            </w:r>
            <w:r w:rsidR="00FE5579">
              <w:rPr>
                <w:sz w:val="18"/>
                <w:szCs w:val="18"/>
                <w:lang w:eastAsia="en-GB"/>
              </w:rPr>
              <w:t xml:space="preserve">coverage </w:t>
            </w:r>
          </w:p>
          <w:p w14:paraId="77A96935" w14:textId="3D893149" w:rsidR="00215A11" w:rsidRPr="00092331" w:rsidRDefault="00FE5579" w:rsidP="00FE5579">
            <w:pPr>
              <w:spacing w:after="0"/>
              <w:rPr>
                <w:sz w:val="18"/>
                <w:szCs w:val="18"/>
                <w:lang w:eastAsia="en-GB"/>
              </w:rPr>
            </w:pPr>
            <w:r>
              <w:rPr>
                <w:sz w:val="18"/>
                <w:szCs w:val="18"/>
                <w:lang w:eastAsia="en-GB"/>
              </w:rPr>
              <w:t>(effective usage)</w:t>
            </w:r>
          </w:p>
        </w:tc>
        <w:tc>
          <w:tcPr>
            <w:tcW w:w="3458" w:type="dxa"/>
            <w:vMerge w:val="restart"/>
            <w:tcBorders>
              <w:top w:val="single" w:sz="4" w:space="0" w:color="auto"/>
              <w:left w:val="nil"/>
              <w:right w:val="nil"/>
            </w:tcBorders>
            <w:vAlign w:val="center"/>
          </w:tcPr>
          <w:p w14:paraId="149E1373" w14:textId="715B3EFD" w:rsidR="00215A11" w:rsidRDefault="00215A11" w:rsidP="00581EC7">
            <w:pPr>
              <w:spacing w:after="0"/>
              <w:rPr>
                <w:sz w:val="18"/>
                <w:szCs w:val="18"/>
                <w:lang w:eastAsia="en-GB"/>
              </w:rPr>
            </w:pPr>
            <w:r w:rsidRPr="00092331">
              <w:rPr>
                <w:sz w:val="18"/>
                <w:szCs w:val="18"/>
                <w:lang w:eastAsia="en-GB"/>
              </w:rPr>
              <w:t>% of the total population who slept under an</w:t>
            </w:r>
            <w:r>
              <w:rPr>
                <w:sz w:val="18"/>
                <w:szCs w:val="18"/>
                <w:lang w:eastAsia="en-GB"/>
              </w:rPr>
              <w:t xml:space="preserve"> ITN</w:t>
            </w:r>
            <w:r w:rsidRPr="00092331">
              <w:rPr>
                <w:sz w:val="18"/>
                <w:szCs w:val="18"/>
                <w:lang w:eastAsia="en-GB"/>
              </w:rPr>
              <w:t xml:space="preserve"> the night previous to survey</w:t>
            </w:r>
          </w:p>
        </w:tc>
        <w:tc>
          <w:tcPr>
            <w:tcW w:w="2801" w:type="dxa"/>
            <w:tcBorders>
              <w:top w:val="single" w:sz="4" w:space="0" w:color="auto"/>
              <w:left w:val="nil"/>
              <w:bottom w:val="single" w:sz="4" w:space="0" w:color="auto"/>
              <w:right w:val="nil"/>
            </w:tcBorders>
            <w:shd w:val="clear" w:color="auto" w:fill="auto"/>
            <w:vAlign w:val="center"/>
          </w:tcPr>
          <w:p w14:paraId="39361FD3" w14:textId="357FD4FC" w:rsidR="00215A11" w:rsidRPr="00092331" w:rsidRDefault="00215A11" w:rsidP="00042DCE">
            <w:pPr>
              <w:spacing w:after="0"/>
              <w:rPr>
                <w:sz w:val="18"/>
                <w:szCs w:val="18"/>
                <w:lang w:eastAsia="en-GB"/>
              </w:rPr>
            </w:pPr>
            <w:r>
              <w:rPr>
                <w:sz w:val="18"/>
                <w:szCs w:val="18"/>
                <w:lang w:eastAsia="en-GB"/>
              </w:rPr>
              <w:t>T</w:t>
            </w:r>
            <w:r w:rsidRPr="00092331">
              <w:rPr>
                <w:sz w:val="18"/>
                <w:szCs w:val="18"/>
                <w:lang w:eastAsia="en-GB"/>
              </w:rPr>
              <w:t xml:space="preserve">o calculate the </w:t>
            </w:r>
            <w:r>
              <w:rPr>
                <w:sz w:val="18"/>
                <w:szCs w:val="18"/>
                <w:lang w:eastAsia="en-GB"/>
              </w:rPr>
              <w:t>ITN</w:t>
            </w:r>
            <w:r w:rsidRPr="00092331">
              <w:rPr>
                <w:sz w:val="18"/>
                <w:szCs w:val="18"/>
                <w:lang w:eastAsia="en-GB"/>
              </w:rPr>
              <w:t xml:space="preserve"> </w:t>
            </w:r>
            <w:r w:rsidR="00C24AEF">
              <w:rPr>
                <w:sz w:val="18"/>
                <w:szCs w:val="18"/>
                <w:lang w:eastAsia="en-GB"/>
              </w:rPr>
              <w:t>usage</w:t>
            </w:r>
            <w:r>
              <w:rPr>
                <w:sz w:val="18"/>
                <w:szCs w:val="18"/>
                <w:lang w:eastAsia="en-GB"/>
              </w:rPr>
              <w:t xml:space="preserve"> at the time of the </w:t>
            </w:r>
            <w:r w:rsidRPr="00092331">
              <w:rPr>
                <w:sz w:val="18"/>
                <w:szCs w:val="18"/>
                <w:lang w:eastAsia="en-GB"/>
              </w:rPr>
              <w:t>last campaign</w:t>
            </w:r>
            <w:r>
              <w:rPr>
                <w:sz w:val="18"/>
                <w:szCs w:val="18"/>
                <w:lang w:eastAsia="en-GB"/>
              </w:rPr>
              <w:t xml:space="preserve"> in 2012 and 2016</w:t>
            </w:r>
          </w:p>
        </w:tc>
        <w:tc>
          <w:tcPr>
            <w:tcW w:w="1134" w:type="dxa"/>
            <w:tcBorders>
              <w:top w:val="single" w:sz="4" w:space="0" w:color="auto"/>
              <w:left w:val="nil"/>
              <w:bottom w:val="single" w:sz="4" w:space="0" w:color="auto"/>
              <w:right w:val="nil"/>
            </w:tcBorders>
            <w:shd w:val="clear" w:color="auto" w:fill="auto"/>
            <w:vAlign w:val="center"/>
          </w:tcPr>
          <w:p w14:paraId="6C6FA802" w14:textId="77777777" w:rsidR="00215A11" w:rsidRPr="00092331" w:rsidRDefault="00215A11" w:rsidP="002A5E29">
            <w:pPr>
              <w:spacing w:after="0"/>
              <w:rPr>
                <w:sz w:val="18"/>
                <w:szCs w:val="18"/>
                <w:lang w:eastAsia="en-GB"/>
              </w:rPr>
            </w:pPr>
            <w:r w:rsidRPr="00092331">
              <w:rPr>
                <w:sz w:val="18"/>
                <w:szCs w:val="18"/>
                <w:lang w:eastAsia="en-GB"/>
              </w:rPr>
              <w:t>Region</w:t>
            </w:r>
          </w:p>
        </w:tc>
        <w:tc>
          <w:tcPr>
            <w:tcW w:w="1146" w:type="dxa"/>
            <w:tcBorders>
              <w:top w:val="single" w:sz="4" w:space="0" w:color="auto"/>
              <w:left w:val="nil"/>
              <w:bottom w:val="single" w:sz="4" w:space="0" w:color="auto"/>
              <w:right w:val="nil"/>
            </w:tcBorders>
            <w:shd w:val="clear" w:color="auto" w:fill="auto"/>
            <w:vAlign w:val="center"/>
          </w:tcPr>
          <w:p w14:paraId="128D4413" w14:textId="77777777" w:rsidR="00215A11" w:rsidRPr="00092331" w:rsidRDefault="00215A11" w:rsidP="002A5E29">
            <w:pPr>
              <w:spacing w:after="0"/>
              <w:rPr>
                <w:sz w:val="18"/>
                <w:szCs w:val="18"/>
                <w:lang w:eastAsia="en-GB"/>
              </w:rPr>
            </w:pPr>
            <w:r w:rsidRPr="00092331">
              <w:rPr>
                <w:sz w:val="18"/>
                <w:szCs w:val="18"/>
                <w:lang w:eastAsia="en-GB"/>
              </w:rPr>
              <w:t>0-5 years</w:t>
            </w:r>
          </w:p>
        </w:tc>
        <w:tc>
          <w:tcPr>
            <w:tcW w:w="1133" w:type="dxa"/>
            <w:tcBorders>
              <w:top w:val="single" w:sz="4" w:space="0" w:color="auto"/>
              <w:left w:val="nil"/>
              <w:bottom w:val="single" w:sz="4" w:space="0" w:color="auto"/>
              <w:right w:val="nil"/>
            </w:tcBorders>
            <w:shd w:val="clear" w:color="auto" w:fill="auto"/>
            <w:vAlign w:val="center"/>
          </w:tcPr>
          <w:p w14:paraId="50793D3B" w14:textId="77777777" w:rsidR="00215A11" w:rsidRPr="00092331" w:rsidRDefault="00215A11" w:rsidP="002A5E29">
            <w:pPr>
              <w:spacing w:after="0"/>
              <w:rPr>
                <w:sz w:val="18"/>
                <w:szCs w:val="18"/>
                <w:lang w:eastAsia="en-GB"/>
              </w:rPr>
            </w:pPr>
            <w:r w:rsidRPr="00092331">
              <w:rPr>
                <w:sz w:val="18"/>
                <w:szCs w:val="18"/>
                <w:lang w:eastAsia="en-GB"/>
              </w:rPr>
              <w:t>2008, 2010, 2012, 2016</w:t>
            </w:r>
          </w:p>
        </w:tc>
        <w:tc>
          <w:tcPr>
            <w:tcW w:w="2768" w:type="dxa"/>
            <w:tcBorders>
              <w:top w:val="single" w:sz="4" w:space="0" w:color="auto"/>
              <w:left w:val="nil"/>
              <w:bottom w:val="single" w:sz="4" w:space="0" w:color="auto"/>
              <w:right w:val="nil"/>
            </w:tcBorders>
            <w:shd w:val="clear" w:color="auto" w:fill="auto"/>
            <w:vAlign w:val="center"/>
          </w:tcPr>
          <w:p w14:paraId="5F6156A0" w14:textId="165C88E8" w:rsidR="00215A11" w:rsidRPr="00366DA2" w:rsidRDefault="00215A11" w:rsidP="002A5E29">
            <w:pPr>
              <w:keepNext/>
              <w:spacing w:after="0"/>
              <w:rPr>
                <w:lang w:val="fr-CH"/>
              </w:rPr>
            </w:pPr>
            <w:r w:rsidRPr="00F25658">
              <w:rPr>
                <w:sz w:val="18"/>
                <w:szCs w:val="18"/>
                <w:lang w:val="en-US" w:eastAsia="en-GB"/>
              </w:rPr>
              <w:t xml:space="preserve">MIS, DHS </w:t>
            </w:r>
            <w:r w:rsidRPr="00F25658">
              <w:rPr>
                <w:lang w:val="en-US"/>
              </w:rPr>
              <w:t xml:space="preserve"> </w:t>
            </w:r>
            <w:r>
              <w:rPr>
                <w:rStyle w:val="Hyperlink"/>
                <w:color w:val="auto"/>
                <w:sz w:val="18"/>
                <w:szCs w:val="18"/>
                <w:lang w:eastAsia="en-GB"/>
              </w:rPr>
              <w:fldChar w:fldCharType="begin"/>
            </w:r>
            <w:r w:rsidRPr="00F25658">
              <w:rPr>
                <w:rStyle w:val="Hyperlink"/>
                <w:color w:val="auto"/>
                <w:sz w:val="18"/>
                <w:szCs w:val="18"/>
                <w:lang w:val="en-US" w:eastAsia="en-GB"/>
              </w:rPr>
              <w:instrText xml:space="preserve"> ADDIN ZOTERO_ITEM CSL_CITATION {"citationID":"a2aln90ivag","properties":{"formattedCitation":"[9\\uc0\\u8211{}12]","plainCitation":"[9–12]","noteIndex":0},"citationItems":[{"id":16746,"uris":["http://zotero.org/users/3516901/items/NZSSZ2HF"],"uri":["http://zotero.org/users/3516901/items/NZSSZ2HF"],"itemData":{"id":16746,"type":"report","title":"Tanzania HIV/AIDS and Malaria Indicator Survey 2007-08","publisher":"Tanzania Commission for AIDS (TACAIDS)","publisher-place":"Dar Es Salaam,Tanzania","event-place":"Dar Es Salaam,Tanzania","author":[{"family":"TACAIDS","given":""},{"literal":"Zanzibar AIDS Commission (ZAC)"},{"literal":"National Bureau of Statistics (NBS) [Tanzania]"},{"literal":"MEASURE DHS"},{"literal":"Macro International Inc."}],"issued":{"date-parts":[["2008"]]}},"label":"page"},{"id":27636,"uris":["http://zotero.org/users/3516901/items/8NFD3HWY"],"uri":["http://zotero.org/users/3516901/items/8NFD3HWY"],"itemData":{"id":27636,"type":"report","title":"Tanzania Demographic and Health Survey 2010","source":"dhsprogram.com","URL":"http://dhsprogram.com/publications/publication-FR243-DHS-Final-Reports.cfm","language":"en","author":[{"family":"NBS/Tanzania","given":"National Bureau of Statistics-"},{"family":"Macro","given":"I. C. F."}],"issue</w:instrText>
            </w:r>
            <w:r w:rsidRPr="00096916">
              <w:rPr>
                <w:rStyle w:val="Hyperlink"/>
                <w:color w:val="auto"/>
                <w:sz w:val="18"/>
                <w:szCs w:val="18"/>
                <w:lang w:val="fr-CH" w:eastAsia="en-GB"/>
              </w:rPr>
              <w:instrText xml:space="preserve">d":{"date-parts":[["2011"]]},"accessed":{"date-parts":[["2018",8,20]]}},"label":"page"},{"id":17358,"uris":["http://zotero.org/users/3516901/items/SG44M9ZT"],"uri":["http://zotero.org/users/3516901/items/SG44M9ZT"],"itemData":{"id":17358,"type":"report","title":"Tanzania HIV/AIDS and Malaria Indicator Survey 2011-12","publisher":"TACAIDS, ZAC,  NBS, OCGS, and ICF International","publisher-place":"Dar Es Salaam, Tanzania","event-place":"Dar Es Salaam, Tanzania","author":[{"literal":"TACAIDS"},{"literal":"Zanzibar AIDS Commission (ZAC)"},{"literal":"National Bureau of Statistics (NBS) [Tanzania]"},{"literal":"Office of the Chief Government Statistician (OCGS)"},{"literal":"ICF International 2013"}],"issued":{"date-parts":[["2013"]]}},"label":"page"},{"id":15907,"uris":["http://zotero.org/users/3516901/items/WWHQCFSW"],"uri":["http://zotero.org/users/3516901/items/WWHQCFSW"],"itemData":{"id":15907,"type":"report","title":"Tanzania Demographic and Health Survey and Malaria Indicator Survey (TDHS-MIS) 2015-2016","publisher":"MoHSW, MoH, NBS, OCGS, and ICF International","publisher-place":"Dar es Salaam, Tanzania and Rockville, Maryland, USA","event-place":"Dar es Salaam, Tanzania and Rockville, Maryland, USA","author":[{"family":"MoHCDGEC","given":""},{"literal":"Ministry of Health (MoH) (Zanzibar)"},{"literal":"National Bureau of Statistics (NBS) [Tanzania]"},{"literal":"Office of Chief Government Statistician (OCGS)"},{"literal":"ICF International"}],"issued":{"date-parts":[["2016"]]}},"label":"page"}],"schema":"https://github.com/citation-style-language/schema/raw/master/csl-citation.json"} </w:instrText>
            </w:r>
            <w:r>
              <w:rPr>
                <w:rStyle w:val="Hyperlink"/>
                <w:color w:val="auto"/>
                <w:sz w:val="18"/>
                <w:szCs w:val="18"/>
                <w:lang w:eastAsia="en-GB"/>
              </w:rPr>
              <w:fldChar w:fldCharType="separate"/>
            </w:r>
            <w:r w:rsidRPr="00096916">
              <w:rPr>
                <w:rFonts w:ascii="Calibri" w:hAnsi="Calibri" w:cs="Times New Roman"/>
                <w:sz w:val="18"/>
                <w:szCs w:val="24"/>
                <w:lang w:val="fr-CH"/>
              </w:rPr>
              <w:t>[9–12]</w:t>
            </w:r>
            <w:r>
              <w:rPr>
                <w:rStyle w:val="Hyperlink"/>
                <w:color w:val="auto"/>
                <w:sz w:val="18"/>
                <w:szCs w:val="18"/>
                <w:lang w:eastAsia="en-GB"/>
              </w:rPr>
              <w:fldChar w:fldCharType="end"/>
            </w:r>
          </w:p>
          <w:p w14:paraId="34451CFB" w14:textId="77777777" w:rsidR="00215A11" w:rsidRPr="00366DA2" w:rsidRDefault="00B90DEF" w:rsidP="002A5E29">
            <w:pPr>
              <w:keepNext/>
              <w:spacing w:after="0"/>
              <w:rPr>
                <w:rStyle w:val="Hyperlink"/>
                <w:color w:val="auto"/>
                <w:sz w:val="18"/>
                <w:szCs w:val="18"/>
                <w:lang w:val="fr-CH" w:eastAsia="en-GB"/>
              </w:rPr>
            </w:pPr>
            <w:hyperlink r:id="rId16" w:history="1">
              <w:r w:rsidR="00215A11" w:rsidRPr="00366DA2">
                <w:rPr>
                  <w:rStyle w:val="Hyperlink"/>
                  <w:color w:val="auto"/>
                  <w:sz w:val="18"/>
                  <w:szCs w:val="18"/>
                  <w:lang w:val="fr-CH" w:eastAsia="en-GB"/>
                </w:rPr>
                <w:t>https://www.statcompiler.com/</w:t>
              </w:r>
            </w:hyperlink>
          </w:p>
          <w:p w14:paraId="5A758F64" w14:textId="5B0B1F6C" w:rsidR="00215A11" w:rsidRPr="00096916" w:rsidRDefault="00215A11" w:rsidP="002A5E29">
            <w:pPr>
              <w:keepNext/>
              <w:spacing w:after="0"/>
              <w:rPr>
                <w:rStyle w:val="Hyperlink"/>
                <w:color w:val="auto"/>
                <w:sz w:val="18"/>
                <w:szCs w:val="18"/>
                <w:lang w:val="fr-CH" w:eastAsia="en-GB"/>
              </w:rPr>
            </w:pPr>
          </w:p>
        </w:tc>
      </w:tr>
      <w:tr w:rsidR="00215A11" w:rsidRPr="00092331" w14:paraId="32E7339D" w14:textId="77777777" w:rsidTr="00215A11">
        <w:trPr>
          <w:trHeight w:val="284"/>
        </w:trPr>
        <w:tc>
          <w:tcPr>
            <w:tcW w:w="1560" w:type="dxa"/>
            <w:vMerge/>
            <w:tcBorders>
              <w:left w:val="nil"/>
              <w:bottom w:val="single" w:sz="4" w:space="0" w:color="auto"/>
              <w:right w:val="nil"/>
            </w:tcBorders>
            <w:shd w:val="clear" w:color="auto" w:fill="auto"/>
            <w:vAlign w:val="center"/>
          </w:tcPr>
          <w:p w14:paraId="72548EE9" w14:textId="1574975D" w:rsidR="00215A11" w:rsidRPr="00096916" w:rsidRDefault="00215A11" w:rsidP="002A5E29">
            <w:pPr>
              <w:spacing w:after="0"/>
              <w:rPr>
                <w:sz w:val="18"/>
                <w:szCs w:val="18"/>
                <w:lang w:val="fr-CH" w:eastAsia="en-GB"/>
              </w:rPr>
            </w:pPr>
          </w:p>
        </w:tc>
        <w:tc>
          <w:tcPr>
            <w:tcW w:w="3458" w:type="dxa"/>
            <w:vMerge/>
            <w:tcBorders>
              <w:left w:val="nil"/>
              <w:bottom w:val="single" w:sz="4" w:space="0" w:color="auto"/>
              <w:right w:val="nil"/>
            </w:tcBorders>
            <w:vAlign w:val="center"/>
          </w:tcPr>
          <w:p w14:paraId="188DF7B8" w14:textId="633692F5" w:rsidR="00215A11" w:rsidRPr="00096916" w:rsidRDefault="00215A11" w:rsidP="00581EC7">
            <w:pPr>
              <w:spacing w:after="0"/>
              <w:rPr>
                <w:sz w:val="18"/>
                <w:szCs w:val="18"/>
                <w:lang w:val="fr-CH" w:eastAsia="en-GB"/>
              </w:rPr>
            </w:pPr>
          </w:p>
        </w:tc>
        <w:tc>
          <w:tcPr>
            <w:tcW w:w="2801" w:type="dxa"/>
            <w:tcBorders>
              <w:top w:val="single" w:sz="4" w:space="0" w:color="auto"/>
              <w:left w:val="nil"/>
              <w:bottom w:val="single" w:sz="4" w:space="0" w:color="auto"/>
              <w:right w:val="nil"/>
            </w:tcBorders>
            <w:shd w:val="clear" w:color="auto" w:fill="auto"/>
            <w:vAlign w:val="center"/>
          </w:tcPr>
          <w:p w14:paraId="30FB741C" w14:textId="08F5F146" w:rsidR="00215A11" w:rsidRPr="00092331" w:rsidRDefault="00215A11" w:rsidP="00FE5579">
            <w:pPr>
              <w:spacing w:after="0"/>
              <w:rPr>
                <w:sz w:val="18"/>
                <w:szCs w:val="18"/>
                <w:lang w:eastAsia="en-GB"/>
              </w:rPr>
            </w:pPr>
            <w:r>
              <w:rPr>
                <w:sz w:val="18"/>
                <w:szCs w:val="18"/>
                <w:lang w:eastAsia="en-GB"/>
              </w:rPr>
              <w:t xml:space="preserve">To inform </w:t>
            </w:r>
            <w:r w:rsidR="00FE5579">
              <w:rPr>
                <w:sz w:val="18"/>
                <w:szCs w:val="18"/>
                <w:lang w:eastAsia="en-GB"/>
              </w:rPr>
              <w:t xml:space="preserve">annual </w:t>
            </w:r>
            <w:r>
              <w:rPr>
                <w:sz w:val="18"/>
                <w:szCs w:val="18"/>
                <w:lang w:eastAsia="en-GB"/>
              </w:rPr>
              <w:t>ITN</w:t>
            </w:r>
            <w:r w:rsidRPr="00092331">
              <w:rPr>
                <w:sz w:val="18"/>
                <w:szCs w:val="18"/>
                <w:lang w:eastAsia="en-GB"/>
              </w:rPr>
              <w:t xml:space="preserve"> </w:t>
            </w:r>
            <w:r w:rsidR="00FE5579">
              <w:rPr>
                <w:sz w:val="18"/>
                <w:szCs w:val="18"/>
                <w:lang w:eastAsia="en-GB"/>
              </w:rPr>
              <w:t xml:space="preserve">coverage </w:t>
            </w:r>
            <w:r>
              <w:rPr>
                <w:sz w:val="18"/>
                <w:szCs w:val="18"/>
                <w:lang w:eastAsia="en-GB"/>
              </w:rPr>
              <w:t>between 2003 and 2011</w:t>
            </w:r>
          </w:p>
        </w:tc>
        <w:tc>
          <w:tcPr>
            <w:tcW w:w="1134" w:type="dxa"/>
            <w:tcBorders>
              <w:top w:val="single" w:sz="4" w:space="0" w:color="auto"/>
              <w:left w:val="nil"/>
              <w:bottom w:val="single" w:sz="4" w:space="0" w:color="auto"/>
              <w:right w:val="nil"/>
            </w:tcBorders>
            <w:shd w:val="clear" w:color="auto" w:fill="auto"/>
            <w:vAlign w:val="center"/>
          </w:tcPr>
          <w:p w14:paraId="39A22C91" w14:textId="77777777" w:rsidR="00215A11" w:rsidRPr="00092331" w:rsidRDefault="00215A11" w:rsidP="002A5E29">
            <w:pPr>
              <w:spacing w:after="0"/>
              <w:rPr>
                <w:sz w:val="18"/>
                <w:szCs w:val="18"/>
                <w:lang w:eastAsia="en-GB"/>
              </w:rPr>
            </w:pPr>
            <w:r w:rsidRPr="00092331">
              <w:rPr>
                <w:sz w:val="18"/>
                <w:szCs w:val="18"/>
                <w:lang w:eastAsia="en-GB"/>
              </w:rPr>
              <w:t xml:space="preserve">5 × 5 </w:t>
            </w:r>
            <w:r w:rsidRPr="00092331">
              <w:rPr>
                <w:noProof/>
                <w:sz w:val="18"/>
                <w:szCs w:val="18"/>
                <w:lang w:eastAsia="en-GB"/>
              </w:rPr>
              <w:t>sq</w:t>
            </w:r>
            <w:r w:rsidRPr="00092331">
              <w:rPr>
                <w:sz w:val="18"/>
                <w:szCs w:val="18"/>
                <w:lang w:eastAsia="en-GB"/>
              </w:rPr>
              <w:t xml:space="preserve"> km pixel raster </w:t>
            </w:r>
          </w:p>
        </w:tc>
        <w:tc>
          <w:tcPr>
            <w:tcW w:w="1146" w:type="dxa"/>
            <w:tcBorders>
              <w:top w:val="single" w:sz="4" w:space="0" w:color="auto"/>
              <w:left w:val="nil"/>
              <w:bottom w:val="single" w:sz="4" w:space="0" w:color="auto"/>
              <w:right w:val="nil"/>
            </w:tcBorders>
            <w:shd w:val="clear" w:color="auto" w:fill="auto"/>
            <w:vAlign w:val="center"/>
          </w:tcPr>
          <w:p w14:paraId="1D947AB7" w14:textId="49839E47" w:rsidR="00215A11" w:rsidRPr="00092331" w:rsidRDefault="00215A11" w:rsidP="002A5E29">
            <w:pPr>
              <w:spacing w:after="0"/>
              <w:rPr>
                <w:sz w:val="18"/>
                <w:szCs w:val="18"/>
                <w:lang w:eastAsia="en-GB"/>
              </w:rPr>
            </w:pPr>
            <w:r>
              <w:rPr>
                <w:sz w:val="18"/>
                <w:szCs w:val="18"/>
                <w:lang w:eastAsia="en-GB"/>
              </w:rPr>
              <w:t>All</w:t>
            </w:r>
          </w:p>
        </w:tc>
        <w:tc>
          <w:tcPr>
            <w:tcW w:w="1133" w:type="dxa"/>
            <w:tcBorders>
              <w:top w:val="single" w:sz="4" w:space="0" w:color="auto"/>
              <w:left w:val="nil"/>
              <w:bottom w:val="single" w:sz="4" w:space="0" w:color="auto"/>
              <w:right w:val="nil"/>
            </w:tcBorders>
            <w:shd w:val="clear" w:color="auto" w:fill="auto"/>
            <w:vAlign w:val="center"/>
          </w:tcPr>
          <w:p w14:paraId="64346F42" w14:textId="16427DC4" w:rsidR="00215A11" w:rsidRPr="00092331" w:rsidRDefault="00215A11" w:rsidP="00042DCE">
            <w:pPr>
              <w:spacing w:after="0"/>
              <w:rPr>
                <w:sz w:val="18"/>
                <w:szCs w:val="18"/>
                <w:lang w:eastAsia="en-GB"/>
              </w:rPr>
            </w:pPr>
            <w:r w:rsidRPr="00092331">
              <w:rPr>
                <w:sz w:val="18"/>
                <w:szCs w:val="18"/>
                <w:lang w:eastAsia="en-GB"/>
              </w:rPr>
              <w:t>200</w:t>
            </w:r>
            <w:r>
              <w:rPr>
                <w:sz w:val="18"/>
                <w:szCs w:val="18"/>
                <w:lang w:eastAsia="en-GB"/>
              </w:rPr>
              <w:t>3</w:t>
            </w:r>
            <w:r w:rsidRPr="00092331">
              <w:rPr>
                <w:sz w:val="18"/>
                <w:szCs w:val="18"/>
                <w:lang w:eastAsia="en-GB"/>
              </w:rPr>
              <w:t xml:space="preserve"> - 2010</w:t>
            </w:r>
          </w:p>
        </w:tc>
        <w:tc>
          <w:tcPr>
            <w:tcW w:w="2768" w:type="dxa"/>
            <w:tcBorders>
              <w:top w:val="single" w:sz="4" w:space="0" w:color="auto"/>
              <w:left w:val="nil"/>
              <w:bottom w:val="single" w:sz="4" w:space="0" w:color="auto"/>
              <w:right w:val="nil"/>
            </w:tcBorders>
            <w:shd w:val="clear" w:color="auto" w:fill="auto"/>
            <w:vAlign w:val="center"/>
          </w:tcPr>
          <w:p w14:paraId="366E9616" w14:textId="38900D82" w:rsidR="00215A11" w:rsidRPr="00092331" w:rsidRDefault="00215A11" w:rsidP="002A5E29">
            <w:pPr>
              <w:keepNext/>
              <w:spacing w:after="0"/>
            </w:pPr>
            <w:r w:rsidRPr="00092331">
              <w:rPr>
                <w:sz w:val="18"/>
                <w:szCs w:val="18"/>
                <w:lang w:eastAsia="en-GB"/>
              </w:rPr>
              <w:t>MAP</w:t>
            </w:r>
            <w:r w:rsidRPr="00092331">
              <w:t xml:space="preserve"> </w:t>
            </w:r>
            <w:r>
              <w:t xml:space="preserve"> </w:t>
            </w:r>
            <w:r w:rsidRPr="00092331">
              <w:rPr>
                <w:rStyle w:val="Hyperlink"/>
                <w:color w:val="auto"/>
                <w:sz w:val="18"/>
                <w:szCs w:val="18"/>
              </w:rPr>
              <w:fldChar w:fldCharType="begin"/>
            </w:r>
            <w:r>
              <w:rPr>
                <w:rStyle w:val="Hyperlink"/>
                <w:color w:val="auto"/>
                <w:sz w:val="18"/>
                <w:szCs w:val="18"/>
              </w:rPr>
              <w:instrText xml:space="preserve"> ADDIN ZOTERO_ITEM CSL_CITATION {"citationID":"o23upIMu","properties":{"formattedCitation":"[13]","plainCitation":"[13]","noteIndex":0},"citationItems":[{"id":21538,"uris":["http://zotero.org/users/3516901/items/ZUPZ7AQ7"],"uri":["http://zotero.org/users/3516901/items/ZUPZ7AQ7"],"itemData":{"id":21538,"type":"article-journal","title":"Coverage and system efficiencies of insecticide-treated nets in Africa from 2000 to 2017","container-title":"eLife","page":"e09672","volume":"4","source":"elifesciences.org","abstract":"Insecticide-treated net requirements for Africa have been underestimated, but mitigating for inefficiencies in net distributions can produce a cost effective path to universal coverage.","DOI":"10.7554/eLife.09672","ISSN":"2050-084X","language":"en","author":[{"family":"Bhatt","given":"Samir"},{"family":"Weiss","given":"Daniel J."},{"family":"Mappin","given":"Bonnie"},{"family":"Dalrymple","given":"Ursula"},{"family":"Cameron","given":"Ewan"},{"family":"Bisanzio","given":"Donal"},{"family":"Smith","given":"David L."},{"family":"Moyes","given":"Catherine L."},{"family":"Tatem","given":"Andrew J."},{"family":"Lynch","given":"Michael"},{"family":"Fergus","given":"Cristin A."},{"family":"Yukich","given":"Joshua"},{"family":"Bennett","given":"Adam"},{"family":"Eisele","given":"Thomas P."},{"family":"Kolaczinski","given":"Jan"},{"family":"Cibulskis","given":"Richard E."},{"family":"Hay","given":"Simon I."},{"family":"Gething","given":"Peter W."}],"issued":{"date-parts":[["2015",12,29]]}}}],"schema":"https://github.com/citation-style-language/schema/raw/master/csl-citation.json"} </w:instrText>
            </w:r>
            <w:r w:rsidRPr="00092331">
              <w:rPr>
                <w:rStyle w:val="Hyperlink"/>
                <w:color w:val="auto"/>
                <w:sz w:val="18"/>
                <w:szCs w:val="18"/>
              </w:rPr>
              <w:fldChar w:fldCharType="separate"/>
            </w:r>
            <w:r w:rsidRPr="00042DCE">
              <w:rPr>
                <w:rFonts w:ascii="Calibri" w:hAnsi="Calibri"/>
                <w:sz w:val="18"/>
              </w:rPr>
              <w:t>[13]</w:t>
            </w:r>
            <w:r w:rsidRPr="00092331">
              <w:rPr>
                <w:rStyle w:val="Hyperlink"/>
                <w:color w:val="auto"/>
                <w:sz w:val="18"/>
                <w:szCs w:val="18"/>
              </w:rPr>
              <w:fldChar w:fldCharType="end"/>
            </w:r>
          </w:p>
          <w:p w14:paraId="4B80A16F" w14:textId="77777777" w:rsidR="00215A11" w:rsidRPr="00092331" w:rsidRDefault="00B90DEF" w:rsidP="002A5E29">
            <w:pPr>
              <w:keepNext/>
              <w:spacing w:after="0"/>
              <w:rPr>
                <w:rStyle w:val="Hyperlink"/>
                <w:color w:val="auto"/>
                <w:sz w:val="18"/>
                <w:szCs w:val="18"/>
                <w:lang w:eastAsia="en-GB"/>
              </w:rPr>
            </w:pPr>
            <w:hyperlink r:id="rId17" w:history="1">
              <w:r w:rsidR="00215A11" w:rsidRPr="00092331">
                <w:rPr>
                  <w:rStyle w:val="Hyperlink"/>
                  <w:color w:val="auto"/>
                  <w:sz w:val="18"/>
                  <w:szCs w:val="18"/>
                  <w:lang w:eastAsia="en-GB"/>
                </w:rPr>
                <w:t>https://map.ox.ac.uk</w:t>
              </w:r>
            </w:hyperlink>
            <w:r w:rsidR="00215A11" w:rsidRPr="00092331">
              <w:rPr>
                <w:rStyle w:val="Hyperlink"/>
                <w:color w:val="auto"/>
                <w:sz w:val="18"/>
                <w:szCs w:val="18"/>
                <w:lang w:eastAsia="en-GB"/>
              </w:rPr>
              <w:t xml:space="preserve"> </w:t>
            </w:r>
          </w:p>
          <w:p w14:paraId="20BDF831" w14:textId="7F9B6895" w:rsidR="00215A11" w:rsidRPr="00092331" w:rsidRDefault="00215A11" w:rsidP="002A5E29">
            <w:pPr>
              <w:keepNext/>
              <w:spacing w:after="0"/>
              <w:rPr>
                <w:rStyle w:val="Hyperlink"/>
                <w:color w:val="auto"/>
                <w:sz w:val="18"/>
                <w:szCs w:val="18"/>
              </w:rPr>
            </w:pPr>
          </w:p>
        </w:tc>
      </w:tr>
      <w:tr w:rsidR="00215A11" w:rsidRPr="00092331" w14:paraId="0C2B5E5E" w14:textId="77777777" w:rsidTr="00215A11">
        <w:trPr>
          <w:trHeight w:val="538"/>
        </w:trPr>
        <w:tc>
          <w:tcPr>
            <w:tcW w:w="1560" w:type="dxa"/>
            <w:tcBorders>
              <w:top w:val="single" w:sz="4" w:space="0" w:color="auto"/>
              <w:left w:val="nil"/>
              <w:bottom w:val="single" w:sz="4" w:space="0" w:color="auto"/>
              <w:right w:val="nil"/>
            </w:tcBorders>
            <w:shd w:val="clear" w:color="auto" w:fill="auto"/>
            <w:vAlign w:val="center"/>
          </w:tcPr>
          <w:p w14:paraId="668D43A7" w14:textId="7EECEBA3" w:rsidR="00215A11" w:rsidRPr="00092331" w:rsidRDefault="00215A11" w:rsidP="002A5E29">
            <w:pPr>
              <w:spacing w:after="0"/>
              <w:rPr>
                <w:sz w:val="18"/>
                <w:szCs w:val="18"/>
                <w:lang w:eastAsia="en-GB"/>
              </w:rPr>
            </w:pPr>
            <w:r>
              <w:rPr>
                <w:sz w:val="18"/>
                <w:szCs w:val="18"/>
                <w:lang w:eastAsia="en-GB"/>
              </w:rPr>
              <w:t>IRS coverage</w:t>
            </w:r>
            <w:r w:rsidRPr="00092331">
              <w:rPr>
                <w:sz w:val="18"/>
                <w:szCs w:val="18"/>
                <w:lang w:eastAsia="en-GB"/>
              </w:rPr>
              <w:t xml:space="preserve"> </w:t>
            </w:r>
          </w:p>
        </w:tc>
        <w:tc>
          <w:tcPr>
            <w:tcW w:w="3458" w:type="dxa"/>
            <w:tcBorders>
              <w:top w:val="single" w:sz="4" w:space="0" w:color="auto"/>
              <w:left w:val="nil"/>
              <w:bottom w:val="single" w:sz="4" w:space="0" w:color="auto"/>
              <w:right w:val="nil"/>
            </w:tcBorders>
            <w:vAlign w:val="center"/>
          </w:tcPr>
          <w:p w14:paraId="54693C87" w14:textId="5F9B986B" w:rsidR="00215A11" w:rsidRPr="00092331" w:rsidRDefault="00215A11" w:rsidP="002A5E29">
            <w:pPr>
              <w:spacing w:after="0"/>
              <w:rPr>
                <w:sz w:val="18"/>
                <w:szCs w:val="18"/>
                <w:lang w:eastAsia="en-GB"/>
              </w:rPr>
            </w:pPr>
            <w:r w:rsidRPr="00092331">
              <w:rPr>
                <w:sz w:val="18"/>
                <w:szCs w:val="18"/>
                <w:lang w:eastAsia="en-GB"/>
              </w:rPr>
              <w:t xml:space="preserve">% of </w:t>
            </w:r>
            <w:r w:rsidRPr="00092331">
              <w:rPr>
                <w:noProof/>
                <w:sz w:val="18"/>
                <w:szCs w:val="18"/>
                <w:lang w:eastAsia="en-GB"/>
              </w:rPr>
              <w:t>population</w:t>
            </w:r>
            <w:r w:rsidRPr="00092331">
              <w:rPr>
                <w:sz w:val="18"/>
                <w:szCs w:val="18"/>
                <w:lang w:eastAsia="en-GB"/>
              </w:rPr>
              <w:t xml:space="preserve"> </w:t>
            </w:r>
            <w:r>
              <w:rPr>
                <w:sz w:val="18"/>
                <w:szCs w:val="18"/>
                <w:lang w:eastAsia="en-GB"/>
              </w:rPr>
              <w:t>protected</w:t>
            </w:r>
            <w:r w:rsidRPr="00092331">
              <w:rPr>
                <w:sz w:val="18"/>
                <w:szCs w:val="18"/>
                <w:lang w:eastAsia="en-GB"/>
              </w:rPr>
              <w:t xml:space="preserve"> by </w:t>
            </w:r>
            <w:r>
              <w:rPr>
                <w:sz w:val="18"/>
                <w:szCs w:val="18"/>
                <w:lang w:eastAsia="en-GB"/>
              </w:rPr>
              <w:t xml:space="preserve">IRS </w:t>
            </w:r>
          </w:p>
        </w:tc>
        <w:tc>
          <w:tcPr>
            <w:tcW w:w="2801" w:type="dxa"/>
            <w:tcBorders>
              <w:top w:val="single" w:sz="4" w:space="0" w:color="auto"/>
              <w:left w:val="nil"/>
              <w:bottom w:val="single" w:sz="4" w:space="0" w:color="auto"/>
              <w:right w:val="nil"/>
            </w:tcBorders>
            <w:shd w:val="clear" w:color="auto" w:fill="auto"/>
            <w:vAlign w:val="center"/>
          </w:tcPr>
          <w:p w14:paraId="6443DF3B" w14:textId="6F331E9B" w:rsidR="00215A11" w:rsidRPr="00092331" w:rsidRDefault="00215A11" w:rsidP="002A5E29">
            <w:pPr>
              <w:spacing w:after="0"/>
              <w:rPr>
                <w:sz w:val="18"/>
                <w:szCs w:val="18"/>
                <w:lang w:eastAsia="en-GB"/>
              </w:rPr>
            </w:pPr>
            <w:r w:rsidRPr="00092331">
              <w:rPr>
                <w:sz w:val="18"/>
                <w:szCs w:val="18"/>
                <w:lang w:eastAsia="en-GB"/>
              </w:rPr>
              <w:t xml:space="preserve">To calculate historical IRS coverage </w:t>
            </w:r>
          </w:p>
        </w:tc>
        <w:tc>
          <w:tcPr>
            <w:tcW w:w="1134" w:type="dxa"/>
            <w:tcBorders>
              <w:top w:val="single" w:sz="4" w:space="0" w:color="auto"/>
              <w:left w:val="nil"/>
              <w:bottom w:val="single" w:sz="4" w:space="0" w:color="auto"/>
              <w:right w:val="nil"/>
            </w:tcBorders>
            <w:shd w:val="clear" w:color="auto" w:fill="auto"/>
            <w:vAlign w:val="center"/>
          </w:tcPr>
          <w:p w14:paraId="1AD7D29F" w14:textId="172A0311" w:rsidR="00215A11" w:rsidRPr="00092331" w:rsidRDefault="00215A11" w:rsidP="002A5E29">
            <w:pPr>
              <w:spacing w:after="0"/>
              <w:rPr>
                <w:sz w:val="18"/>
                <w:szCs w:val="18"/>
                <w:lang w:eastAsia="en-GB"/>
              </w:rPr>
            </w:pPr>
            <w:r>
              <w:rPr>
                <w:sz w:val="18"/>
                <w:szCs w:val="18"/>
                <w:lang w:eastAsia="en-GB"/>
              </w:rPr>
              <w:t>Council</w:t>
            </w:r>
          </w:p>
        </w:tc>
        <w:tc>
          <w:tcPr>
            <w:tcW w:w="1146" w:type="dxa"/>
            <w:tcBorders>
              <w:top w:val="single" w:sz="4" w:space="0" w:color="auto"/>
              <w:left w:val="nil"/>
              <w:bottom w:val="single" w:sz="4" w:space="0" w:color="auto"/>
              <w:right w:val="nil"/>
            </w:tcBorders>
            <w:shd w:val="clear" w:color="auto" w:fill="auto"/>
            <w:vAlign w:val="center"/>
          </w:tcPr>
          <w:p w14:paraId="64B7DEB9" w14:textId="41C46616" w:rsidR="00215A11" w:rsidRPr="00092331" w:rsidRDefault="00215A11" w:rsidP="002A5E29">
            <w:pPr>
              <w:spacing w:after="0"/>
              <w:rPr>
                <w:sz w:val="18"/>
                <w:szCs w:val="18"/>
                <w:lang w:eastAsia="en-GB"/>
              </w:rPr>
            </w:pPr>
            <w:r>
              <w:rPr>
                <w:sz w:val="18"/>
                <w:szCs w:val="18"/>
                <w:lang w:eastAsia="en-GB"/>
              </w:rPr>
              <w:t>All</w:t>
            </w:r>
          </w:p>
        </w:tc>
        <w:tc>
          <w:tcPr>
            <w:tcW w:w="1133" w:type="dxa"/>
            <w:tcBorders>
              <w:top w:val="single" w:sz="4" w:space="0" w:color="auto"/>
              <w:left w:val="nil"/>
              <w:bottom w:val="single" w:sz="4" w:space="0" w:color="auto"/>
              <w:right w:val="nil"/>
            </w:tcBorders>
            <w:shd w:val="clear" w:color="auto" w:fill="auto"/>
            <w:vAlign w:val="center"/>
          </w:tcPr>
          <w:p w14:paraId="7CE84B8D" w14:textId="268D3BB3" w:rsidR="00215A11" w:rsidRPr="00092331" w:rsidRDefault="00215A11" w:rsidP="002A5E29">
            <w:pPr>
              <w:spacing w:after="0"/>
              <w:rPr>
                <w:sz w:val="18"/>
                <w:szCs w:val="18"/>
                <w:lang w:eastAsia="en-GB"/>
              </w:rPr>
            </w:pPr>
            <w:r w:rsidRPr="00092331">
              <w:rPr>
                <w:sz w:val="18"/>
                <w:szCs w:val="18"/>
                <w:lang w:eastAsia="en-GB"/>
              </w:rPr>
              <w:t>2007-2016</w:t>
            </w:r>
          </w:p>
        </w:tc>
        <w:tc>
          <w:tcPr>
            <w:tcW w:w="2768" w:type="dxa"/>
            <w:tcBorders>
              <w:top w:val="single" w:sz="4" w:space="0" w:color="auto"/>
              <w:left w:val="nil"/>
              <w:bottom w:val="single" w:sz="4" w:space="0" w:color="auto"/>
              <w:right w:val="nil"/>
            </w:tcBorders>
            <w:shd w:val="clear" w:color="auto" w:fill="auto"/>
            <w:vAlign w:val="center"/>
          </w:tcPr>
          <w:p w14:paraId="13381679" w14:textId="77777777" w:rsidR="00215A11" w:rsidRDefault="00215A11" w:rsidP="002C3C68">
            <w:pPr>
              <w:spacing w:after="0"/>
              <w:rPr>
                <w:sz w:val="18"/>
                <w:szCs w:val="18"/>
              </w:rPr>
            </w:pPr>
            <w:r>
              <w:rPr>
                <w:sz w:val="18"/>
                <w:szCs w:val="18"/>
                <w:lang w:eastAsia="en-GB"/>
              </w:rPr>
              <w:t xml:space="preserve">Commodity data </w:t>
            </w:r>
            <w:r>
              <w:rPr>
                <w:sz w:val="18"/>
                <w:szCs w:val="18"/>
              </w:rPr>
              <w:t xml:space="preserve">[NMCP, unpublished data], </w:t>
            </w:r>
          </w:p>
          <w:p w14:paraId="76A75316" w14:textId="69C2EEA1" w:rsidR="00215A11" w:rsidRPr="00092331" w:rsidRDefault="00215A11" w:rsidP="002A5E29">
            <w:pPr>
              <w:keepNext/>
              <w:spacing w:after="0"/>
              <w:rPr>
                <w:sz w:val="18"/>
                <w:szCs w:val="18"/>
                <w:lang w:eastAsia="en-GB"/>
              </w:rPr>
            </w:pPr>
            <w:r>
              <w:rPr>
                <w:sz w:val="18"/>
                <w:szCs w:val="18"/>
              </w:rPr>
              <w:t xml:space="preserve">IRS spraying reports </w:t>
            </w:r>
            <w:r w:rsidRPr="00042DCE">
              <w:rPr>
                <w:sz w:val="18"/>
                <w:szCs w:val="18"/>
              </w:rPr>
              <w:fldChar w:fldCharType="begin"/>
            </w:r>
            <w:r>
              <w:rPr>
                <w:sz w:val="18"/>
                <w:szCs w:val="18"/>
              </w:rPr>
              <w:instrText xml:space="preserve"> ADDIN ZOTERO_ITEM CSL_CITATION {"citationID":"PAIfox1r","properties":{"formattedCitation":"[6]","plainCitation":"[6]","noteIndex":0},"citationItems":[{"id":23775,"uris":["http://zotero.org/users/3516901/items/9A26AKHD"],"uri":["http://zotero.org/users/3516901/items/9A26AKHD"],"itemData":{"id":23775,"type":"report","title":"Tanzania end of spray report spray campaign: February 3 – April 4, 2016","publisher":"Abt Associates Inc","publisher-place":"Bethesda, MD","genre":"Residual Spraying (IRS 2) Task Order Six","event-place":"Bethesda, MD","URL":"https://www.pmi.gov/docs/default-source/default-document-library/implementing-partner-reports/tanzania-end-of-spray-report-2016-airs.pdf","author":[{"literal":"PMI | Africa IRS (AIRS) Project"}],"issued":{"date-parts":[["2016"]]}}}],"schema":"https://github.com/citation-style-language/schema/raw/master/csl-citation.json"} </w:instrText>
            </w:r>
            <w:r w:rsidRPr="00042DCE">
              <w:rPr>
                <w:sz w:val="18"/>
                <w:szCs w:val="18"/>
              </w:rPr>
              <w:fldChar w:fldCharType="separate"/>
            </w:r>
            <w:r w:rsidRPr="00042DCE">
              <w:rPr>
                <w:rFonts w:ascii="Calibri" w:hAnsi="Calibri"/>
                <w:sz w:val="18"/>
              </w:rPr>
              <w:t>[6]</w:t>
            </w:r>
            <w:r w:rsidRPr="00042DCE">
              <w:rPr>
                <w:sz w:val="18"/>
                <w:szCs w:val="18"/>
              </w:rPr>
              <w:fldChar w:fldCharType="end"/>
            </w:r>
          </w:p>
        </w:tc>
      </w:tr>
    </w:tbl>
    <w:p w14:paraId="0DDE481B" w14:textId="64F2CE01" w:rsidR="00A24FF7" w:rsidRPr="00DD0FBD" w:rsidRDefault="00A07EC8" w:rsidP="00FB7E5A">
      <w:pPr>
        <w:spacing w:after="0"/>
        <w:jc w:val="both"/>
        <w:rPr>
          <w:sz w:val="20"/>
          <w:lang w:eastAsia="de-DE"/>
        </w:rPr>
      </w:pPr>
      <w:r w:rsidRPr="00DD0FBD">
        <w:rPr>
          <w:sz w:val="20"/>
          <w:lang w:eastAsia="de-DE"/>
        </w:rPr>
        <w:t xml:space="preserve"> </w:t>
      </w:r>
      <w:r w:rsidR="00655B5C" w:rsidRPr="00DD0FBD">
        <w:rPr>
          <w:sz w:val="20"/>
          <w:lang w:eastAsia="de-DE"/>
        </w:rPr>
        <w:t>NA = Not applicable</w:t>
      </w:r>
    </w:p>
    <w:p w14:paraId="2380EB7B" w14:textId="77777777" w:rsidR="00B3644B" w:rsidRPr="00DD0FBD" w:rsidRDefault="00B3644B" w:rsidP="00B3644B">
      <w:pPr>
        <w:spacing w:after="0"/>
        <w:rPr>
          <w:sz w:val="20"/>
          <w:lang w:eastAsia="de-DE"/>
        </w:rPr>
        <w:sectPr w:rsidR="00B3644B" w:rsidRPr="00DD0FBD" w:rsidSect="00A66E2C">
          <w:type w:val="continuous"/>
          <w:pgSz w:w="16838" w:h="11906" w:orient="landscape"/>
          <w:pgMar w:top="1417" w:right="1417" w:bottom="1417" w:left="1134" w:header="708" w:footer="708" w:gutter="0"/>
          <w:cols w:space="708"/>
          <w:docGrid w:linePitch="360"/>
        </w:sectPr>
      </w:pPr>
      <w:r w:rsidRPr="00DD0FBD">
        <w:rPr>
          <w:sz w:val="20"/>
          <w:lang w:eastAsia="de-DE"/>
        </w:rPr>
        <w:t>*) Decay functions have been modelled based on multiple field observations as described in the reference</w:t>
      </w:r>
      <w:r w:rsidR="00082071" w:rsidRPr="00DD0FBD">
        <w:rPr>
          <w:sz w:val="20"/>
          <w:lang w:eastAsia="de-DE"/>
        </w:rPr>
        <w:t>s</w:t>
      </w:r>
      <w:r w:rsidR="00D441A2" w:rsidRPr="00DD0FBD">
        <w:rPr>
          <w:sz w:val="20"/>
          <w:lang w:eastAsia="de-DE"/>
        </w:rPr>
        <w:t xml:space="preserve">. </w:t>
      </w:r>
    </w:p>
    <w:p w14:paraId="23D6A5F3" w14:textId="18363B53" w:rsidR="00731B21" w:rsidRDefault="00AE0C05" w:rsidP="003A65A2">
      <w:pPr>
        <w:pStyle w:val="Heading1"/>
        <w:spacing w:before="0" w:line="360" w:lineRule="auto"/>
        <w:jc w:val="both"/>
      </w:pPr>
      <w:bookmarkStart w:id="7" w:name="_Toc22121184"/>
      <w:bookmarkStart w:id="8" w:name="_Toc22367552"/>
      <w:r>
        <w:lastRenderedPageBreak/>
        <w:t>M</w:t>
      </w:r>
      <w:r w:rsidR="006F30C8" w:rsidRPr="00092331">
        <w:t>odel parameterisation</w:t>
      </w:r>
      <w:bookmarkEnd w:id="7"/>
      <w:bookmarkEnd w:id="8"/>
      <w:r w:rsidR="006F30C8" w:rsidRPr="00092331">
        <w:t xml:space="preserve"> </w:t>
      </w:r>
    </w:p>
    <w:p w14:paraId="180D91A1" w14:textId="71DFD96C" w:rsidR="00494118" w:rsidRDefault="00494118" w:rsidP="00810E50">
      <w:pPr>
        <w:spacing w:after="0" w:line="360" w:lineRule="auto"/>
        <w:jc w:val="both"/>
      </w:pPr>
      <w:r>
        <w:t xml:space="preserve">The </w:t>
      </w:r>
      <w:r w:rsidR="00571E0F">
        <w:t>setting</w:t>
      </w:r>
      <w:r>
        <w:t xml:space="preserve">-specific model parameterisation is separated into four sections 1) vector bionomics, 2) </w:t>
      </w:r>
      <w:r w:rsidR="00571E0F">
        <w:t xml:space="preserve">transmission intensity and </w:t>
      </w:r>
      <w:r>
        <w:t xml:space="preserve">seasonality, </w:t>
      </w:r>
      <w:r w:rsidR="00571E0F">
        <w:t xml:space="preserve">and </w:t>
      </w:r>
      <w:r>
        <w:t>3) historical interventions</w:t>
      </w:r>
      <w:r w:rsidR="00571E0F">
        <w:t>. Each section describes the processes applied to derive model parameters from the available data and information</w:t>
      </w:r>
      <w:r w:rsidR="00810E50">
        <w:t>, or the assumptions made in case of insufficient data</w:t>
      </w:r>
      <w:r w:rsidR="00571E0F">
        <w:t xml:space="preserve">. </w:t>
      </w:r>
    </w:p>
    <w:p w14:paraId="179F3D95" w14:textId="77777777" w:rsidR="00571E0F" w:rsidRDefault="00571E0F" w:rsidP="001C4413">
      <w:pPr>
        <w:spacing w:after="0" w:line="360" w:lineRule="auto"/>
      </w:pPr>
    </w:p>
    <w:p w14:paraId="7CA93410" w14:textId="08E03762" w:rsidR="004D4A81" w:rsidRDefault="004D4A81" w:rsidP="003A65A2">
      <w:pPr>
        <w:pStyle w:val="Heading2"/>
        <w:spacing w:before="0" w:line="360" w:lineRule="auto"/>
        <w:jc w:val="both"/>
      </w:pPr>
      <w:bookmarkStart w:id="9" w:name="_Toc22367553"/>
      <w:r w:rsidRPr="00092331">
        <w:t>Vector bionomics</w:t>
      </w:r>
      <w:bookmarkEnd w:id="9"/>
    </w:p>
    <w:p w14:paraId="094C3FD0" w14:textId="49C870CB" w:rsidR="00810E50" w:rsidRPr="00810E50" w:rsidRDefault="00810E50" w:rsidP="00810E50">
      <w:pPr>
        <w:spacing w:line="360" w:lineRule="auto"/>
        <w:jc w:val="both"/>
      </w:pPr>
      <w:r>
        <w:t>The vector bionomics refers to multiple characteristics attributable to the malaria vector, including the species, the human blood index, gonotrophic cycle, susceptibility to indoor interventions, resistance against insecticides, and contribution to transmission. Below it is briefly summarised for each of the attributes how the parameters were derived and the actual parameters are shown in</w:t>
      </w:r>
      <w:r w:rsidR="009C3D40">
        <w:rPr>
          <w:noProof/>
        </w:rPr>
        <w:t xml:space="preserve"> Table S2.2</w:t>
      </w:r>
      <w:r w:rsidRPr="00092331">
        <w:rPr>
          <w:noProof/>
        </w:rPr>
        <w:t>.</w:t>
      </w:r>
      <w:r>
        <w:rPr>
          <w:noProof/>
        </w:rPr>
        <w:t xml:space="preserve"> </w:t>
      </w:r>
    </w:p>
    <w:p w14:paraId="023F5363" w14:textId="77777777" w:rsidR="00864120" w:rsidRPr="00810E50" w:rsidRDefault="00864120" w:rsidP="00810E50">
      <w:pPr>
        <w:pStyle w:val="Heading3"/>
        <w:spacing w:line="360" w:lineRule="auto"/>
        <w:jc w:val="both"/>
      </w:pPr>
      <w:r w:rsidRPr="00810E50">
        <w:t>Mosquito species</w:t>
      </w:r>
    </w:p>
    <w:p w14:paraId="526E9CF5" w14:textId="0E595AA2" w:rsidR="00864120" w:rsidRPr="00864120" w:rsidRDefault="00864120" w:rsidP="00810E50">
      <w:pPr>
        <w:spacing w:after="0" w:line="360" w:lineRule="auto"/>
        <w:jc w:val="both"/>
      </w:pPr>
      <w:r w:rsidRPr="00864120">
        <w:t xml:space="preserve">The main malaria vectors in Tanzania are </w:t>
      </w:r>
      <w:r w:rsidRPr="001C4413">
        <w:rPr>
          <w:i/>
        </w:rPr>
        <w:t>An. funestus</w:t>
      </w:r>
      <w:r w:rsidRPr="00864120">
        <w:t xml:space="preserve">, </w:t>
      </w:r>
      <w:r w:rsidRPr="001C4413">
        <w:rPr>
          <w:i/>
        </w:rPr>
        <w:t xml:space="preserve">An. gambiae </w:t>
      </w:r>
      <w:proofErr w:type="spellStart"/>
      <w:r w:rsidRPr="001C4413">
        <w:rPr>
          <w:i/>
        </w:rPr>
        <w:t>s.s</w:t>
      </w:r>
      <w:proofErr w:type="spellEnd"/>
      <w:r w:rsidRPr="00864120">
        <w:t xml:space="preserve"> and </w:t>
      </w:r>
      <w:r w:rsidRPr="001C4413">
        <w:rPr>
          <w:i/>
        </w:rPr>
        <w:t>An. arabiensis</w:t>
      </w:r>
      <w:r w:rsidRPr="00864120">
        <w:t xml:space="preserve">. The parameterisations for the different mosquito species were already realised </w:t>
      </w:r>
      <w:r w:rsidRPr="003C269A">
        <w:t xml:space="preserve">elsewhere </w:t>
      </w:r>
      <w:r w:rsidR="003C269A" w:rsidRPr="003C269A">
        <w:rPr>
          <w:noProof/>
        </w:rPr>
        <w:fldChar w:fldCharType="begin"/>
      </w:r>
      <w:r w:rsidR="00042DCE">
        <w:rPr>
          <w:noProof/>
        </w:rPr>
        <w:instrText xml:space="preserve"> ADDIN ZOTERO_ITEM CSL_CITATION {"citationID":"GJArARml","properties":{"formattedCitation":"[14,15]","plainCitation":"[14,15]","noteIndex":0},"citationItems":[{"id":25371,"uris":["http://zotero.org/users/3516901/items/HGGVJZVT"],"uri":["http://zotero.org/users/3516901/items/HGGVJZVT"],"itemData":{"id":25371,"type":"article-journal","title":"Parameter Values for Transmission Model","URL":"https://github.com/SwissTPH/openmalaria/wiki/XmlEntoVector","author":[{"family":"Chitnis","given":"Nakul"},{"family":"Smith","given":"Thomas"},{"family":"Schapira","given":"Allan"}],"issued":{"date-parts":[["2010",6,9]]}},"label":"page"},{"id":24379,"uris":["http://zotero.org/users/3516901/items/TQSESC79"],"uri":["http://zotero.org/users/3516901/items/TQSESC79"],"itemData":{"id":24379,"type":"article-journal","title":"A mathematical model for the dynamics of malaria in mosquitoes feeding on a heterogeneous host population","container-title":"Journal of Biological Dynamics","page":"259-285","volume":"2","issue":"3","source":"Taylor and Francis+NEJM","abstract":"We describe and develop a difference equation model for the dynamics of malaria in a mosquito population feeding on, infecting and getting infected from a heterogeneous population of hosts. Using the force of infection from different classes of humans to mosquitoes as parameters, we evaluate a number of entomological parameters, indicating malaria transmission levels, which can be compared to field data. By assigning different types of vector control interventions to different classes of humans and by evaluating the corresponding levels of malaria transmission, we can compare the effectiveness of these interventions. We show a numerical example of the effects of increasing coverage of insecticide-treated bed nets in a human population where the predominant malaria vector is Anopheles gambiae.","DOI":"10.1080/17513750701769857","ISSN":"1751-3758","note":"PMID: 22876869","author":[{"family":"Chitnis","given":"Nakul"},{"family":"Smith","given":"Thomas"},{"family":"Steketee","given":"Richard"}],"issued":{"date-parts":[["2008",7,1]]}},"label":"page"}],"schema":"https://github.com/citation-style-language/schema/raw/master/csl-citation.json"} </w:instrText>
      </w:r>
      <w:r w:rsidR="003C269A" w:rsidRPr="003C269A">
        <w:rPr>
          <w:noProof/>
        </w:rPr>
        <w:fldChar w:fldCharType="separate"/>
      </w:r>
      <w:r w:rsidR="00042DCE" w:rsidRPr="00042DCE">
        <w:rPr>
          <w:rFonts w:ascii="Calibri" w:hAnsi="Calibri"/>
        </w:rPr>
        <w:t>[14,15]</w:t>
      </w:r>
      <w:r w:rsidR="003C269A" w:rsidRPr="003C269A">
        <w:rPr>
          <w:noProof/>
        </w:rPr>
        <w:fldChar w:fldCharType="end"/>
      </w:r>
      <w:r w:rsidR="003C269A" w:rsidRPr="00092331">
        <w:rPr>
          <w:noProof/>
        </w:rPr>
        <w:t xml:space="preserve">, </w:t>
      </w:r>
      <w:r w:rsidRPr="00864120">
        <w:t xml:space="preserve">and only their contribution to transmission and proportion being affected by indoor interventions were adjusted for the setting specific models. In regions with no information about the vector populations and infectiousness fixed relative contributions were assumed with 80% </w:t>
      </w:r>
      <w:r w:rsidRPr="001C4413">
        <w:rPr>
          <w:i/>
        </w:rPr>
        <w:t>An. funestus</w:t>
      </w:r>
      <w:r w:rsidRPr="00864120">
        <w:t xml:space="preserve">, 10% </w:t>
      </w:r>
      <w:r w:rsidRPr="001C4413">
        <w:rPr>
          <w:i/>
        </w:rPr>
        <w:t xml:space="preserve">An. gambiae </w:t>
      </w:r>
      <w:proofErr w:type="spellStart"/>
      <w:r w:rsidRPr="001C4413">
        <w:rPr>
          <w:i/>
        </w:rPr>
        <w:t>s.s</w:t>
      </w:r>
      <w:proofErr w:type="spellEnd"/>
      <w:r w:rsidRPr="00864120">
        <w:t xml:space="preserve"> and 10% </w:t>
      </w:r>
      <w:r w:rsidRPr="001C4413">
        <w:rPr>
          <w:i/>
        </w:rPr>
        <w:t>An. arabiensis</w:t>
      </w:r>
      <w:r w:rsidRPr="00864120">
        <w:t>.</w:t>
      </w:r>
    </w:p>
    <w:p w14:paraId="78885259" w14:textId="77777777" w:rsidR="00864120" w:rsidRPr="00864120" w:rsidRDefault="00864120" w:rsidP="00810E50">
      <w:pPr>
        <w:spacing w:after="0" w:line="360" w:lineRule="auto"/>
        <w:jc w:val="both"/>
      </w:pPr>
    </w:p>
    <w:p w14:paraId="20CC0E07" w14:textId="77777777" w:rsidR="00646657" w:rsidRPr="00092331" w:rsidRDefault="00646657" w:rsidP="00810E50">
      <w:pPr>
        <w:pStyle w:val="Heading3"/>
        <w:spacing w:line="360" w:lineRule="auto"/>
        <w:jc w:val="both"/>
      </w:pPr>
      <w:r w:rsidRPr="00092331">
        <w:t>Human blood index</w:t>
      </w:r>
    </w:p>
    <w:p w14:paraId="4F42F962" w14:textId="0CB507DD" w:rsidR="00646657" w:rsidRDefault="00646657" w:rsidP="00810E50">
      <w:pPr>
        <w:spacing w:after="0" w:line="360" w:lineRule="auto"/>
        <w:jc w:val="both"/>
        <w:rPr>
          <w:noProof/>
        </w:rPr>
      </w:pPr>
      <w:r w:rsidRPr="00092331">
        <w:t xml:space="preserve">The tendency of mosquitoes to bite on humans </w:t>
      </w:r>
      <w:r w:rsidRPr="00092331">
        <w:rPr>
          <w:noProof/>
        </w:rPr>
        <w:t>vs</w:t>
      </w:r>
      <w:r w:rsidRPr="00092331">
        <w:t xml:space="preserve"> animals also influences the malaria transmission as well as the impact of interventions. The parameterisation of the human blood index for each species was extracted from the literature </w:t>
      </w:r>
      <w:r w:rsidRPr="00092331">
        <w:rPr>
          <w:noProof/>
        </w:rPr>
        <w:fldChar w:fldCharType="begin"/>
      </w:r>
      <w:r w:rsidR="00042DCE">
        <w:rPr>
          <w:noProof/>
        </w:rPr>
        <w:instrText xml:space="preserve"> ADDIN ZOTERO_ITEM CSL_CITATION {"citationID":"FgafI7tX","properties":{"formattedCitation":"[14,15]","plainCitation":"[14,15]","noteIndex":0},"citationItems":[{"id":25371,"uris":["http://zotero.org/users/3516901/items/HGGVJZVT"],"uri":["http://zotero.org/users/3516901/items/HGGVJZVT"],"itemData":{"id":25371,"type":"article-journal","title":"Parameter Values for Transmission Model","URL":"https://github.com/SwissTPH/openmalaria/wiki/XmlEntoVector","author":[{"family":"Chitnis","given":"Nakul"},{"family":"Smith","given":"Thomas"},{"family":"Schapira","given":"Allan"}],"issued":{"date-parts":[["2010",6,9]]}},"label":"page"},{"id":24379,"uris":["http://zotero.org/users/3516901/items/TQSESC79"],"uri":["http://zotero.org/users/3516901/items/TQSESC79"],"itemData":{"id":24379,"type":"article-journal","title":"A mathematical model for the dynamics of malaria in mosquitoes feeding on a heterogeneous host population","container-title":"Journal of Biological Dynamics","page":"259-285","volume":"2","issue":"3","source":"Taylor and Francis+NEJM","abstract":"We describe and develop a difference equation model for the dynamics of malaria in a mosquito population feeding on, infecting and getting infected from a heterogeneous population of hosts. Using the force of infection from different classes of humans to mosquitoes as parameters, we evaluate a number of entomological parameters, indicating malaria transmission levels, which can be compared to field data. By assigning different types of vector control interventions to different classes of humans and by evaluating the corresponding levels of malaria transmission, we can compare the effectiveness of these interventions. We show a numerical example of the effects of increasing coverage of insecticide-treated bed nets in a human population where the predominant malaria vector is Anopheles gambiae.","DOI":"10.1080/17513750701769857","ISSN":"1751-3758","note":"PMID: 22876869","author":[{"family":"Chitnis","given":"Nakul"},{"family":"Smith","given":"Thomas"},{"family":"Steketee","given":"Richard"}],"issued":{"date-parts":[["2008",7,1]]}},"label":"page"}],"schema":"https://github.com/citation-style-language/schema/raw/master/csl-citation.json"} </w:instrText>
      </w:r>
      <w:r w:rsidRPr="00092331">
        <w:rPr>
          <w:noProof/>
        </w:rPr>
        <w:fldChar w:fldCharType="separate"/>
      </w:r>
      <w:r w:rsidR="00042DCE" w:rsidRPr="00042DCE">
        <w:rPr>
          <w:rFonts w:ascii="Calibri" w:hAnsi="Calibri"/>
        </w:rPr>
        <w:t>[14,15]</w:t>
      </w:r>
      <w:r w:rsidRPr="00092331">
        <w:rPr>
          <w:noProof/>
        </w:rPr>
        <w:fldChar w:fldCharType="end"/>
      </w:r>
      <w:r w:rsidRPr="00092331">
        <w:rPr>
          <w:noProof/>
        </w:rPr>
        <w:t xml:space="preserve">, assuming </w:t>
      </w:r>
      <w:r w:rsidR="00E80027" w:rsidRPr="00092331">
        <w:rPr>
          <w:i/>
          <w:noProof/>
        </w:rPr>
        <w:t>An. arabiensis</w:t>
      </w:r>
      <w:r w:rsidRPr="00092331">
        <w:rPr>
          <w:noProof/>
        </w:rPr>
        <w:t xml:space="preserve"> to be more zoophilic than </w:t>
      </w:r>
      <w:r w:rsidR="00E80027" w:rsidRPr="00092331">
        <w:rPr>
          <w:i/>
          <w:noProof/>
        </w:rPr>
        <w:t>An. funestus</w:t>
      </w:r>
      <w:r w:rsidRPr="00092331">
        <w:rPr>
          <w:noProof/>
        </w:rPr>
        <w:t xml:space="preserve"> and </w:t>
      </w:r>
      <w:r w:rsidR="00E80027" w:rsidRPr="00092331">
        <w:rPr>
          <w:i/>
          <w:noProof/>
        </w:rPr>
        <w:t>An. gambiae</w:t>
      </w:r>
      <w:r w:rsidR="00571E0F">
        <w:rPr>
          <w:i/>
          <w:noProof/>
        </w:rPr>
        <w:t xml:space="preserve"> </w:t>
      </w:r>
      <w:proofErr w:type="spellStart"/>
      <w:r w:rsidR="00571E0F" w:rsidRPr="004477D5">
        <w:rPr>
          <w:i/>
        </w:rPr>
        <w:t>s.s</w:t>
      </w:r>
      <w:r w:rsidR="00810E50">
        <w:rPr>
          <w:i/>
        </w:rPr>
        <w:t>.</w:t>
      </w:r>
      <w:proofErr w:type="spellEnd"/>
    </w:p>
    <w:p w14:paraId="57661272" w14:textId="77777777" w:rsidR="00F814AD" w:rsidRPr="00092331" w:rsidRDefault="00F814AD" w:rsidP="00810E50">
      <w:pPr>
        <w:spacing w:after="0" w:line="360" w:lineRule="auto"/>
        <w:jc w:val="both"/>
        <w:rPr>
          <w:noProof/>
        </w:rPr>
      </w:pPr>
    </w:p>
    <w:p w14:paraId="01DE8432" w14:textId="77777777" w:rsidR="00646657" w:rsidRPr="00092331" w:rsidRDefault="00646657" w:rsidP="00810E50">
      <w:pPr>
        <w:pStyle w:val="Heading3"/>
        <w:spacing w:line="360" w:lineRule="auto"/>
      </w:pPr>
      <w:r w:rsidRPr="00092331">
        <w:t>Gonotrophic cycle</w:t>
      </w:r>
    </w:p>
    <w:p w14:paraId="50823167" w14:textId="4BB00CAF" w:rsidR="00646657" w:rsidRDefault="00646657" w:rsidP="00810E50">
      <w:pPr>
        <w:spacing w:after="0" w:line="360" w:lineRule="auto"/>
        <w:jc w:val="both"/>
        <w:rPr>
          <w:noProof/>
        </w:rPr>
      </w:pPr>
      <w:r w:rsidRPr="00092331">
        <w:rPr>
          <w:noProof/>
        </w:rPr>
        <w:t xml:space="preserve">The proportion of mosquitoes host seeking on the same day as ovipositing is also species specific and will influence the timing of the transmission cycle and therefore the impact of the interventions. The values for its parameterisation were selected according to an available parameterisation by Chitnis et al., based on literature </w:t>
      </w:r>
      <w:r w:rsidRPr="00092331">
        <w:rPr>
          <w:noProof/>
        </w:rPr>
        <w:fldChar w:fldCharType="begin"/>
      </w:r>
      <w:r w:rsidR="00042DCE">
        <w:rPr>
          <w:noProof/>
        </w:rPr>
        <w:instrText xml:space="preserve"> ADDIN ZOTERO_ITEM CSL_CITATION {"citationID":"NQ2C0vwc","properties":{"formattedCitation":"[14,15]","plainCitation":"[14,15]","noteIndex":0},"citationItems":[{"id":25371,"uris":["http://zotero.org/users/3516901/items/HGGVJZVT"],"uri":["http://zotero.org/users/3516901/items/HGGVJZVT"],"itemData":{"id":25371,"type":"article-journal","title":"Parameter Values for Transmission Model","URL":"https://github.com/SwissTPH/openmalaria/wiki/XmlEntoVector","author":[{"family":"Chitnis","given":"Nakul"},{"family":"Smith","given":"Thomas"},{"family":"Schapira","given":"Allan"}],"issued":{"date-parts":[["2010",6,9]]}},"label":"page"},{"id":24379,"uris":["http://zotero.org/users/3516901/items/TQSESC79"],"uri":["http://zotero.org/users/3516901/items/TQSESC79"],"itemData":{"id":24379,"type":"article-journal","title":"A mathematical model for the dynamics of malaria in mosquitoes feeding on a heterogeneous host population","container-title":"Journal of Biological Dynamics","page":"259-285","volume":"2","issue":"3","source":"Taylor and Francis+NEJM","abstract":"We describe and develop a difference equation model for the dynamics of malaria in a mosquito population feeding on, infecting and getting infected from a heterogeneous population of hosts. Using the force of infection from different classes of humans to mosquitoes as parameters, we evaluate a number of entomological parameters, indicating malaria transmission levels, which can be compared to field data. By assigning different types of vector control interventions to different classes of humans and by evaluating the corresponding levels of malaria transmission, we can compare the effectiveness of these interventions. We show a numerical example of the effects of increasing coverage of insecticide-treated bed nets in a human population where the predominant malaria vector is Anopheles gambiae.","DOI":"10.1080/17513750701769857","ISSN":"1751-3758","note":"PMID: 22876869","author":[{"family":"Chitnis","given":"Nakul"},{"family":"Smith","given":"Thomas"},{"family":"Steketee","given":"Richard"}],"issued":{"date-parts":[["2008",7,1]]}},"label":"page"}],"schema":"https://github.com/citation-style-language/schema/raw/master/csl-citation.json"} </w:instrText>
      </w:r>
      <w:r w:rsidRPr="00092331">
        <w:rPr>
          <w:noProof/>
        </w:rPr>
        <w:fldChar w:fldCharType="separate"/>
      </w:r>
      <w:r w:rsidR="00042DCE" w:rsidRPr="00042DCE">
        <w:rPr>
          <w:rFonts w:ascii="Calibri" w:hAnsi="Calibri"/>
        </w:rPr>
        <w:t>[14,15]</w:t>
      </w:r>
      <w:r w:rsidRPr="00092331">
        <w:rPr>
          <w:noProof/>
        </w:rPr>
        <w:fldChar w:fldCharType="end"/>
      </w:r>
      <w:r w:rsidR="00810E50">
        <w:rPr>
          <w:noProof/>
        </w:rPr>
        <w:t>.</w:t>
      </w:r>
    </w:p>
    <w:p w14:paraId="2DAE21F3" w14:textId="77777777" w:rsidR="00F814AD" w:rsidRPr="00092331" w:rsidRDefault="00F814AD" w:rsidP="00810E50">
      <w:pPr>
        <w:spacing w:after="0" w:line="360" w:lineRule="auto"/>
        <w:jc w:val="both"/>
        <w:rPr>
          <w:noProof/>
        </w:rPr>
      </w:pPr>
    </w:p>
    <w:p w14:paraId="0C59367B" w14:textId="77777777" w:rsidR="00646657" w:rsidRPr="00092331" w:rsidRDefault="00646657" w:rsidP="00810E50">
      <w:pPr>
        <w:pStyle w:val="Heading3"/>
        <w:spacing w:line="360" w:lineRule="auto"/>
      </w:pPr>
      <w:r w:rsidRPr="00092331">
        <w:t xml:space="preserve">Susceptibility to indoor interventions </w:t>
      </w:r>
    </w:p>
    <w:p w14:paraId="558BBFEF" w14:textId="52D87D40" w:rsidR="00646657" w:rsidRDefault="00646657" w:rsidP="00810E50">
      <w:pPr>
        <w:spacing w:after="0" w:line="360" w:lineRule="auto"/>
        <w:jc w:val="both"/>
      </w:pPr>
      <w:r w:rsidRPr="00092331">
        <w:t xml:space="preserve">The susceptibility of a mosquito to indoor interventions depends on its biting pattern and level of </w:t>
      </w:r>
      <w:r w:rsidRPr="00092331">
        <w:rPr>
          <w:noProof/>
        </w:rPr>
        <w:t>endophily</w:t>
      </w:r>
      <w:r w:rsidRPr="00092331">
        <w:t xml:space="preserve">. The assumptions made in the model </w:t>
      </w:r>
      <w:r w:rsidRPr="00092331">
        <w:rPr>
          <w:noProof/>
        </w:rPr>
        <w:t>were based</w:t>
      </w:r>
      <w:r w:rsidRPr="00092331">
        <w:t xml:space="preserve"> on knowledge from local experts and </w:t>
      </w:r>
      <w:r w:rsidRPr="00092331">
        <w:lastRenderedPageBreak/>
        <w:t xml:space="preserve">published literature </w:t>
      </w:r>
      <w:r w:rsidRPr="00092331">
        <w:fldChar w:fldCharType="begin"/>
      </w:r>
      <w:r w:rsidR="00042DCE">
        <w:instrText xml:space="preserve"> ADDIN ZOTERO_ITEM CSL_CITATION {"citationID":"cXobWJrF","properties":{"formattedCitation":"[16,17]","plainCitation":"[16,17]","noteIndex":0},"citationItems":[{"id":23773,"uris":["http://zotero.org/users/3516901/items/DUDPBUVG"],"uri":["http://zotero.org/users/3516901/items/DUDPBUVG"],"itemData":{"id":23773,"type":"article-journal","title":"Malaria entomological profile in Tanzania from 1950 to 2010: a review of mosquito distribution, vectorial capacity and insecticide resistance","container-title":"Tanzania Journal of Health Research","page":"319-331","volume":"13","issue":"5 Suppl 1","source":"PubMed","abstract":"In Sub Saharan Africa where most of the malaria cases and deaths occur, members of the Anopheles gambiae species complex and Anophelesfunestus species group are the important malaria vectors. Control efforts against these vectors in Tanzania like in most other Sub Saharan countries have failed to achieve the set objectives of eliminating transmission due to scarcity of information about the enormous diversity of Anopheles mosquito species and their susceptibility status to insecticides used for malaria vector control. Understanding the diversity and insecticide susceptibility status of these vectors and other factors relating to their importance as vectors (such as malaria transmission dynamics, vector biology, ecology, behaviour and population genetics) is crucial to developing a better and sound intervention strategies that will reduce man-vector contact and also manage the emergency of insecticide resistance early and hence .a success in malaria control. The objective of this review was therefore to obtain the information from published and unpublished documents on spatial distribution and composition of malaria vectors, key features of their behaviour, transmission indices and susceptibility status to insecticides in Tanzania. All data available were collated into a database. Details recorded for each data source were the locality, latitude/longitude, time/period of study, species, abundance, sampling/collection methods, species identification methods, insecticide resistance status, including evidence of the kdr allele, and Plasmodium falciparum sporozoite rate. This collation resulted in a total of 368 publications, encompassing 806,273 Anopheles mosquitoes from 157 georeferenced locations being collected and identified across Tanzania from 1950s to 2010. Overall, the vector species most often reported included An. gambiae complex (66.8%), An. funestus complex (21.8%), An. gambiae s.s. (2.1%) and An. arabiensis (9%). A variety of sampling/ collection and species identification methods were used with an increase in molecular techniques in recent decades. Only 32.2% and 8.4% of the data sets reported on sporozoite analysis and entomological inoculation rate (EIR), respectively which highlights the paucity of such important information in the country. Studies demonstrated efficacy of all four major classes of insecticides against malaria vectors in Tanzania with focal points showing phenotypic resistance. About 95% of malaria entomological data was obtained from northeastern Tanzania. This shows the disproportionate nature of the available information with the western part of the country having none. Therefore it is important for the country to establish entomological surveillance system with state of the art to capture all vitally important entomological indices including vector bionomics in areas of Tanzania where very few or no studies have been done. This is vital in planning and implementing evidence based malaria vector control programmes as well as in monitoring the current malaria control interventions.","ISSN":"1821-6404","note":"PMID: 26591987","title-short":"Malaria entomological profile in Tanzania from 1950 to 2010","journalAbbreviation":"Tanzan J Health Res","language":"eng","author":[{"family":"Kabula","given":"Bilali"},{"family":"Derua","given":"Yahya A."},{"family":"Tungui","given":"Patrick"},{"family":"Massue","given":"Dennis J."},{"family":"Sambu","given":"Edward"},{"family":"Stanley","given":"Grades"},{"family":"Mosha","given":"Franklin W."},{"family":"Kisinza","given":"William N."}],"issued":{"date-parts":[["2011",12]]}},"label":"page"},{"id":20570,"uris":["http://zotero.org/users/3516901/items/V59IAKM5"],"uri":["http://zotero.org/users/3516901/items/V59IAKM5"],"itemData":{"id":20570,"type":"article-journal","title":"Effective autodissemination of pyriproxyfen to breeding sites by the exophilic malaria vector Anopheles arabiensis in semi-field settings in Tanzania","container-title":"Malaria Journal","page":"161","volume":"13","source":"PubMed Central","abstract":"Background\nMalaria vector control strategies that target adult female mosquitoes are challenged by the emergence of insecticide resistance and behavioural resilience. Conventional larviciding is restricted by high operational costs and inadequate knowledge of mosquito-breeding habitats in rural settings that might be overcome by the juvenile hormone analogue, Pyriproxyfen (PPF). This study assessed the potential for Anopheles arabiensis to pick up and transfer lethal doses of PPF from contamination sites to their breeding habitats (i.e. autodissemination of PPF).\n\nMethods\nA semi-field system (SFS) with four identical separate chambers was used to evaluate PPF-treated clay pots for delivering PPF to resting adult female mosquitoes for subsequent autodissemination to artificial breeding habitats within the chambers. In each chamber, a tethered cow provided blood meals to laboratory-reared, unfed female An. arabiensis released in the SFS. In PPF-treated chambers, clay pot linings were dusted with 0.2 – 0.3 g AI PPF per pot. Pupae were removed from the artificial habitats daily, and emergence rates calculated. Impact of PPF on emergence was determined by comparing treatment with an appropriate control group.\n\nResults\nMean (95% CI) adult emergence rates were (0.21 ± 0.299) and (0.95 ± 0.39) from PPF-treated and controls respectively (p &lt; 0.0001). Laboratory bioassay of water samples from artificial habitats in these experiments resulted in significantly lower emergence rates in treated chambers (0.16 ± 0.23) compared to controls 0.97 ± 0.05) (p &lt; 0.0001). In experiments where no mosquitoes introduced, there were no significant differences between control and treatment, indicating that transfer of PPF to breeding sites only occurred when mosquitoes were present; i.e. that autodissemination had occurred. Treatment of a single clay pot reduced adult emergence in six habitats to (0.34 ± 0.13) compared to (0.98 ± 0.02) in the controls (p &lt; 0.0001), showing a high level of habitats coverage amplification of the autodissemination event.\n\nConclusion\nThe study provides proof of principle for the autodissemination of PPF to breeding habitats by malaria vectors. These findings highlight the potential for this technique for outdoor control of malaria vectors and call for the testing of this technique in field trials.","DOI":"10.1186/1475-2875-13-161","ISSN":"1475-2875","journalAbbreviation":"Malar J","author":[{"family":"Lwetoijera","given":"Dickson"},{"family":"Harris","given":"Caroline"},{"family":"Kiware","given":"Samson"},{"family":"Dongus","given":"Stefan"},{"family":"Devine","given":"Gregor J"},{"family":"McCall","given":"Philip J"},{"family":"Majambere","given":"Silas"}],"issued":{"date-parts":[["2014",4,29]]}},"label":"page"}],"schema":"https://github.com/citation-style-language/schema/raw/master/csl-citation.json"} </w:instrText>
      </w:r>
      <w:r w:rsidRPr="00092331">
        <w:fldChar w:fldCharType="separate"/>
      </w:r>
      <w:r w:rsidR="00042DCE" w:rsidRPr="00042DCE">
        <w:rPr>
          <w:rFonts w:ascii="Calibri" w:hAnsi="Calibri"/>
        </w:rPr>
        <w:t>[16,17]</w:t>
      </w:r>
      <w:r w:rsidRPr="00092331">
        <w:fldChar w:fldCharType="end"/>
      </w:r>
      <w:r w:rsidRPr="00092331">
        <w:t xml:space="preserve">. </w:t>
      </w:r>
      <w:r w:rsidR="00E80027" w:rsidRPr="00092331">
        <w:rPr>
          <w:i/>
        </w:rPr>
        <w:t>An. funestus</w:t>
      </w:r>
      <w:r w:rsidR="005574AD" w:rsidRPr="00092331">
        <w:t xml:space="preserve"> and </w:t>
      </w:r>
      <w:r w:rsidR="00E80027" w:rsidRPr="00092331">
        <w:rPr>
          <w:i/>
        </w:rPr>
        <w:t xml:space="preserve">An. </w:t>
      </w:r>
      <w:r w:rsidR="00571E0F">
        <w:rPr>
          <w:i/>
        </w:rPr>
        <w:t xml:space="preserve">gambiae </w:t>
      </w:r>
      <w:proofErr w:type="spellStart"/>
      <w:r w:rsidR="00571E0F" w:rsidRPr="004477D5">
        <w:rPr>
          <w:i/>
        </w:rPr>
        <w:t>s.s</w:t>
      </w:r>
      <w:proofErr w:type="spellEnd"/>
      <w:r w:rsidR="005574AD" w:rsidRPr="00092331">
        <w:t xml:space="preserve"> are mostly indoor </w:t>
      </w:r>
      <w:r w:rsidR="005574AD" w:rsidRPr="00092331">
        <w:rPr>
          <w:noProof/>
        </w:rPr>
        <w:t>biting</w:t>
      </w:r>
      <w:r w:rsidR="005574AD" w:rsidRPr="00092331">
        <w:t xml:space="preserve"> while </w:t>
      </w:r>
      <w:r w:rsidR="00E80027" w:rsidRPr="00092331">
        <w:rPr>
          <w:i/>
        </w:rPr>
        <w:t>An. arabiensis</w:t>
      </w:r>
      <w:r w:rsidR="005574AD" w:rsidRPr="00092331">
        <w:t xml:space="preserve"> mostly feeds outdoors </w:t>
      </w:r>
      <w:r w:rsidR="005574AD" w:rsidRPr="00092331">
        <w:fldChar w:fldCharType="begin"/>
      </w:r>
      <w:r w:rsidR="00042DCE">
        <w:instrText xml:space="preserve"> ADDIN ZOTERO_ITEM CSL_CITATION {"citationID":"PTofxmlm","properties":{"formattedCitation":"[16,17]","plainCitation":"[16,17]","noteIndex":0},"citationItems":[{"id":23773,"uris":["http://zotero.org/users/3516901/items/DUDPBUVG"],"uri":["http://zotero.org/users/3516901/items/DUDPBUVG"],"itemData":{"id":23773,"type":"article-journal","title":"Malaria entomological profile in Tanzania from 1950 to 2010: a review of mosquito distribution, vectorial capacity and insecticide resistance","container-title":"Tanzania Journal of Health Research","page":"319-331","volume":"13","issue":"5 Suppl 1","source":"PubMed","abstract":"In Sub Saharan Africa where most of the malaria cases and deaths occur, members of the Anopheles gambiae species complex and Anophelesfunestus species group are the important malaria vectors. Control efforts against these vectors in Tanzania like in most other Sub Saharan countries have failed to achieve the set objectives of eliminating transmission due to scarcity of information about the enormous diversity of Anopheles mosquito species and their susceptibility status to insecticides used for malaria vector control. Understanding the diversity and insecticide susceptibility status of these vectors and other factors relating to their importance as vectors (such as malaria transmission dynamics, vector biology, ecology, behaviour and population genetics) is crucial to developing a better and sound intervention strategies that will reduce man-vector contact and also manage the emergency of insecticide resistance early and hence .a success in malaria control. The objective of this review was therefore to obtain the information from published and unpublished documents on spatial distribution and composition of malaria vectors, key features of their behaviour, transmission indices and susceptibility status to insecticides in Tanzania. All data available were collated into a database. Details recorded for each data source were the locality, latitude/longitude, time/period of study, species, abundance, sampling/collection methods, species identification methods, insecticide resistance status, including evidence of the kdr allele, and Plasmodium falciparum sporozoite rate. This collation resulted in a total of 368 publications, encompassing 806,273 Anopheles mosquitoes from 157 georeferenced locations being collected and identified across Tanzania from 1950s to 2010. Overall, the vector species most often reported included An. gambiae complex (66.8%), An. funestus complex (21.8%), An. gambiae s.s. (2.1%) and An. arabiensis (9%). A variety of sampling/ collection and species identification methods were used with an increase in molecular techniques in recent decades. Only 32.2% and 8.4% of the data sets reported on sporozoite analysis and entomological inoculation rate (EIR), respectively which highlights the paucity of such important information in the country. Studies demonstrated efficacy of all four major classes of insecticides against malaria vectors in Tanzania with focal points showing phenotypic resistance. About 95% of malaria entomological data was obtained from northeastern Tanzania. This shows the disproportionate nature of the available information with the western part of the country having none. Therefore it is important for the country to establish entomological surveillance system with state of the art to capture all vitally important entomological indices including vector bionomics in areas of Tanzania where very few or no studies have been done. This is vital in planning and implementing evidence based malaria vector control programmes as well as in monitoring the current malaria control interventions.","ISSN":"1821-6404","note":"PMID: 26591987","title-short":"Malaria entomological profile in Tanzania from 1950 to 2010","journalAbbreviation":"Tanzan J Health Res","language":"eng","author":[{"family":"Kabula","given":"Bilali"},{"family":"Derua","given":"Yahya A."},{"family":"Tungui","given":"Patrick"},{"family":"Massue","given":"Dennis J."},{"family":"Sambu","given":"Edward"},{"family":"Stanley","given":"Grades"},{"family":"Mosha","given":"Franklin W."},{"family":"Kisinza","given":"William N."}],"issued":{"date-parts":[["2011",12]]}},"label":"page"},{"id":20570,"uris":["http://zotero.org/users/3516901/items/V59IAKM5"],"uri":["http://zotero.org/users/3516901/items/V59IAKM5"],"itemData":{"id":20570,"type":"article-journal","title":"Effective autodissemination of pyriproxyfen to breeding sites by the exophilic malaria vector Anopheles arabiensis in semi-field settings in Tanzania","container-title":"Malaria Journal","page":"161","volume":"13","source":"PubMed Central","abstract":"Background\nMalaria vector control strategies that target adult female mosquitoes are challenged by the emergence of insecticide resistance and behavioural resilience. Conventional larviciding is restricted by high operational costs and inadequate knowledge of mosquito-breeding habitats in rural settings that might be overcome by the juvenile hormone analogue, Pyriproxyfen (PPF). This study assessed the potential for Anopheles arabiensis to pick up and transfer lethal doses of PPF from contamination sites to their breeding habitats (i.e. autodissemination of PPF).\n\nMethods\nA semi-field system (SFS) with four identical separate chambers was used to evaluate PPF-treated clay pots for delivering PPF to resting adult female mosquitoes for subsequent autodissemination to artificial breeding habitats within the chambers. In each chamber, a tethered cow provided blood meals to laboratory-reared, unfed female An. arabiensis released in the SFS. In PPF-treated chambers, clay pot linings were dusted with 0.2 – 0.3 g AI PPF per pot. Pupae were removed from the artificial habitats daily, and emergence rates calculated. Impact of PPF on emergence was determined by comparing treatment with an appropriate control group.\n\nResults\nMean (95% CI) adult emergence rates were (0.21 ± 0.299) and (0.95 ± 0.39) from PPF-treated and controls respectively (p &lt; 0.0001). Laboratory bioassay of water samples from artificial habitats in these experiments resulted in significantly lower emergence rates in treated chambers (0.16 ± 0.23) compared to controls 0.97 ± 0.05) (p &lt; 0.0001). In experiments where no mosquitoes introduced, there were no significant differences between control and treatment, indicating that transfer of PPF to breeding sites only occurred when mosquitoes were present; i.e. that autodissemination had occurred. Treatment of a single clay pot reduced adult emergence in six habitats to (0.34 ± 0.13) compared to (0.98 ± 0.02) in the controls (p &lt; 0.0001), showing a high level of habitats coverage amplification of the autodissemination event.\n\nConclusion\nThe study provides proof of principle for the autodissemination of PPF to breeding habitats by malaria vectors. These findings highlight the potential for this technique for outdoor control of malaria vectors and call for the testing of this technique in field trials.","DOI":"10.1186/1475-2875-13-161","ISSN":"1475-2875","journalAbbreviation":"Malar J","author":[{"family":"Lwetoijera","given":"Dickson"},{"family":"Harris","given":"Caroline"},{"family":"Kiware","given":"Samson"},{"family":"Dongus","given":"Stefan"},{"family":"Devine","given":"Gregor J"},{"family":"McCall","given":"Philip J"},{"family":"Majambere","given":"Silas"}],"issued":{"date-parts":[["2014",4,29]]}},"label":"page"}],"schema":"https://github.com/citation-style-language/schema/raw/master/csl-citation.json"} </w:instrText>
      </w:r>
      <w:r w:rsidR="005574AD" w:rsidRPr="00092331">
        <w:fldChar w:fldCharType="separate"/>
      </w:r>
      <w:r w:rsidR="00042DCE" w:rsidRPr="00042DCE">
        <w:rPr>
          <w:rFonts w:ascii="Calibri" w:hAnsi="Calibri"/>
        </w:rPr>
        <w:t>[16,17]</w:t>
      </w:r>
      <w:r w:rsidR="005574AD" w:rsidRPr="00092331">
        <w:fldChar w:fldCharType="end"/>
      </w:r>
      <w:r w:rsidR="005574AD" w:rsidRPr="00092331">
        <w:t xml:space="preserve">. Hence, </w:t>
      </w:r>
      <w:r w:rsidR="003267AF">
        <w:t xml:space="preserve">it </w:t>
      </w:r>
      <w:r w:rsidR="005574AD" w:rsidRPr="00092331">
        <w:t xml:space="preserve">was assumed that indoor interventions would affect 90% of </w:t>
      </w:r>
      <w:r w:rsidR="00E80027" w:rsidRPr="00092331">
        <w:rPr>
          <w:i/>
        </w:rPr>
        <w:t>An. funestus</w:t>
      </w:r>
      <w:r w:rsidR="005574AD" w:rsidRPr="00092331">
        <w:rPr>
          <w:i/>
        </w:rPr>
        <w:t xml:space="preserve">, </w:t>
      </w:r>
      <w:r w:rsidR="005574AD" w:rsidRPr="00092331">
        <w:t xml:space="preserve">80%, of </w:t>
      </w:r>
      <w:r w:rsidR="00E80027" w:rsidRPr="00092331">
        <w:rPr>
          <w:i/>
        </w:rPr>
        <w:t xml:space="preserve">An. </w:t>
      </w:r>
      <w:r w:rsidR="00571E0F">
        <w:rPr>
          <w:i/>
        </w:rPr>
        <w:t xml:space="preserve">gambiae </w:t>
      </w:r>
      <w:proofErr w:type="spellStart"/>
      <w:r w:rsidR="00571E0F" w:rsidRPr="004477D5">
        <w:rPr>
          <w:i/>
        </w:rPr>
        <w:t>s.s</w:t>
      </w:r>
      <w:proofErr w:type="spellEnd"/>
      <w:r w:rsidR="005574AD" w:rsidRPr="00092331">
        <w:rPr>
          <w:i/>
        </w:rPr>
        <w:t xml:space="preserve">, </w:t>
      </w:r>
      <w:r w:rsidR="005574AD" w:rsidRPr="00092331">
        <w:t xml:space="preserve">and 30% of </w:t>
      </w:r>
      <w:r w:rsidR="00E80027" w:rsidRPr="00092331">
        <w:rPr>
          <w:i/>
        </w:rPr>
        <w:t>An. arabiensis</w:t>
      </w:r>
      <w:r w:rsidR="005574AD" w:rsidRPr="00092331">
        <w:rPr>
          <w:i/>
        </w:rPr>
        <w:t xml:space="preserve"> </w:t>
      </w:r>
      <w:r w:rsidR="00046237" w:rsidRPr="00092331">
        <w:t>mosquitoes.</w:t>
      </w:r>
    </w:p>
    <w:p w14:paraId="1BBB1846" w14:textId="77777777" w:rsidR="00494118" w:rsidRPr="00092331" w:rsidRDefault="00494118" w:rsidP="00810E50">
      <w:pPr>
        <w:spacing w:after="0" w:line="360" w:lineRule="auto"/>
        <w:jc w:val="both"/>
      </w:pPr>
    </w:p>
    <w:p w14:paraId="6D4F16F4" w14:textId="77777777" w:rsidR="00646657" w:rsidRPr="00092331" w:rsidRDefault="00646657" w:rsidP="00810E50">
      <w:pPr>
        <w:pStyle w:val="Heading3"/>
        <w:spacing w:line="360" w:lineRule="auto"/>
      </w:pPr>
      <w:r w:rsidRPr="00092331">
        <w:t xml:space="preserve">Insecticide resistance </w:t>
      </w:r>
    </w:p>
    <w:p w14:paraId="0E307466" w14:textId="1EBE5E5B" w:rsidR="003F24E0" w:rsidRDefault="003F24E0" w:rsidP="00810E50">
      <w:pPr>
        <w:spacing w:after="0" w:line="360" w:lineRule="auto"/>
        <w:jc w:val="both"/>
      </w:pPr>
      <w:r w:rsidRPr="00092331">
        <w:t xml:space="preserve">Until 2010 all vectors were assumed to be susceptible against pyrethroids, after that the assumed pyrethroid resistance was 80%. The resistance level was assumed to be the same in all regions and for all vectors </w:t>
      </w:r>
      <w:r w:rsidRPr="00092331">
        <w:fldChar w:fldCharType="begin"/>
      </w:r>
      <w:r w:rsidR="00042DCE">
        <w:instrText xml:space="preserve"> ADDIN ZOTERO_ITEM CSL_CITATION {"citationID":"7nTLWTP5","properties":{"formattedCitation":"[4,18]","plainCitation":"[4,18]","noteIndex":0},"citationItems":[{"id":20564,"uris":["http://zotero.org/users/3516901/items/TEB3NNNC"],"uri":["http://zotero.org/users/3516901/items/TEB3NNNC"],"itemData":{"id":20564,"type":"report","title":"Detection and Monitoring of Insecticide Resistance in Malaria Vectors in Tanzania Mainland","collection-title":"Technical Report of the National Institute for Medical Research","publisher":"National Institute for Medical Research","publisher-place":"Dar es Salaam, Tanzania","genre":"Technical Report","event-place":"Dar es Salaam, Tanzania","author":[{"literal":"Kisinza W"},{"literal":"Nkya T"},{"literal":"Msangi S"},{"literal":"Mbilu T"},{"literal":"Batengana B"},{"literal":"Lyimo E"},{"literal":"Materu G"},{"literal":"Manga C"},{"literal":"Kitau J"},{"literal":"Kabula B"}],"issued":{"date-parts":[["2015"]]}},"label":"page"},{"id":24285,"uris":["http://zotero.org/users/3516901/items/MUEA6DKR"],"uri":["http://zotero.org/users/3516901/items/MUEA6DKR"],"itemData":{"id":24285,"type":"article-journal","title":"Multiple insecticide resistance in Anopheles gambiae from Tanzania: a major concern for malaria vector control","container-title":"Malaria Journal","page":"439","volume":"16","source":"BioMed Central","abstract":"Malaria vector control in Tanzania is based on use of long-lasting insecticide treated nets (LLINs) and indoor residual spraying (IRS), which both rely on the use of chemical insecticides. The effectiveness of these control tools is endangered by the development of insecticide resistance in the major malaria vectors. This study was carried out to monitor the susceptibility status of major malaria vectors to insecticides used for IRS and LLINs in mainland Tanzania.","DOI":"10.1186/s12936-017-2087-2","ISSN":"1475-2875","title-short":"Multiple insecticide resistance in Anopheles gambiae from Tanzania","journalAbbreviation":"Malaria Journal","author":[{"family":"Kisinza","given":"William N."},{"family":"Nkya","given":"Theresia E."},{"family":"Kabula","given":"Bilali"},{"family":"Overgaard","given":"Hans J."},{"family":"Massue","given":"Dennis J."},{"family":"Mageni","given":"Zawadi"},{"family":"Greer","given":"George"},{"family":"Kaspar","given":"Naomi"},{"family":"Mohamed","given":"Mahdi"},{"family":"Reithinger","given":"Richard"},{"family":"Moore","given":"Sarah"},{"family":"Lorenz","given":"Lena M."},{"family":"Magesa","given":"Stephen"}],"issued":{"date-parts":[["2017",10,30]]}},"label":"page"}],"schema":"https://github.com/citation-style-language/schema/raw/master/csl-citation.json"} </w:instrText>
      </w:r>
      <w:r w:rsidRPr="00092331">
        <w:fldChar w:fldCharType="separate"/>
      </w:r>
      <w:r w:rsidR="00042DCE" w:rsidRPr="00042DCE">
        <w:rPr>
          <w:rFonts w:ascii="Calibri" w:hAnsi="Calibri"/>
        </w:rPr>
        <w:t>[4,18]</w:t>
      </w:r>
      <w:r w:rsidRPr="00092331">
        <w:fldChar w:fldCharType="end"/>
      </w:r>
      <w:r w:rsidRPr="00092331">
        <w:t xml:space="preserve">. All species were assumed to be susceptible for </w:t>
      </w:r>
      <w:r w:rsidRPr="00092331">
        <w:rPr>
          <w:noProof/>
        </w:rPr>
        <w:t>insecticides</w:t>
      </w:r>
      <w:r w:rsidRPr="00092331">
        <w:t xml:space="preserve"> used for IRS</w:t>
      </w:r>
      <w:r w:rsidR="00810E50">
        <w:t>.</w:t>
      </w:r>
    </w:p>
    <w:p w14:paraId="73EE13CA" w14:textId="77777777" w:rsidR="00F814AD" w:rsidRPr="00092331" w:rsidRDefault="00F814AD" w:rsidP="00810E50">
      <w:pPr>
        <w:spacing w:after="0" w:line="360" w:lineRule="auto"/>
        <w:jc w:val="both"/>
      </w:pPr>
    </w:p>
    <w:p w14:paraId="0F7A2911" w14:textId="411C7FC5" w:rsidR="00646657" w:rsidRPr="00092331" w:rsidRDefault="00810E50" w:rsidP="00810E50">
      <w:pPr>
        <w:pStyle w:val="Heading3"/>
        <w:spacing w:line="360" w:lineRule="auto"/>
      </w:pPr>
      <w:r>
        <w:t>C</w:t>
      </w:r>
      <w:r w:rsidR="00646657" w:rsidRPr="00092331">
        <w:t>ontribution of vectors to malaria transmission</w:t>
      </w:r>
    </w:p>
    <w:p w14:paraId="5C862E3E" w14:textId="31B33958" w:rsidR="00646657" w:rsidRDefault="00646657" w:rsidP="00810E50">
      <w:pPr>
        <w:pStyle w:val="CommentText"/>
        <w:spacing w:after="0"/>
        <w:jc w:val="both"/>
        <w:rPr>
          <w:sz w:val="22"/>
          <w:szCs w:val="22"/>
        </w:rPr>
      </w:pPr>
      <w:r w:rsidRPr="00092331">
        <w:rPr>
          <w:sz w:val="22"/>
          <w:szCs w:val="22"/>
        </w:rPr>
        <w:t xml:space="preserve">In </w:t>
      </w:r>
      <w:r w:rsidRPr="00092331">
        <w:rPr>
          <w:noProof/>
          <w:sz w:val="22"/>
          <w:szCs w:val="22"/>
        </w:rPr>
        <w:t>Tanzania,</w:t>
      </w:r>
      <w:r w:rsidRPr="00092331">
        <w:rPr>
          <w:sz w:val="22"/>
          <w:szCs w:val="22"/>
        </w:rPr>
        <w:t xml:space="preserve"> entomological surveys were conducted in selected sentinel sites since mainly by the National Institute for Medical Research (NIMR), for insecticide resistance monitoring. In August 2016, the NMCP started entomological surveillance throughout the country [NMCP, personal communication]. The mosquitoes </w:t>
      </w:r>
      <w:r w:rsidRPr="00092331">
        <w:rPr>
          <w:noProof/>
          <w:sz w:val="22"/>
          <w:szCs w:val="22"/>
        </w:rPr>
        <w:t>were caught</w:t>
      </w:r>
      <w:r w:rsidRPr="00092331">
        <w:rPr>
          <w:sz w:val="22"/>
          <w:szCs w:val="22"/>
        </w:rPr>
        <w:t xml:space="preserve"> with light traps. At the time of the analysis, in November 2016, 874 mosquitoes were processed from thirteen </w:t>
      </w:r>
      <w:r w:rsidR="00503CA2">
        <w:rPr>
          <w:sz w:val="22"/>
          <w:szCs w:val="22"/>
        </w:rPr>
        <w:t>council</w:t>
      </w:r>
      <w:r w:rsidRPr="00092331">
        <w:rPr>
          <w:sz w:val="22"/>
          <w:szCs w:val="22"/>
        </w:rPr>
        <w:t xml:space="preserve">s, </w:t>
      </w:r>
      <w:r w:rsidRPr="00092331">
        <w:rPr>
          <w:noProof/>
          <w:sz w:val="22"/>
          <w:szCs w:val="22"/>
        </w:rPr>
        <w:t>and</w:t>
      </w:r>
      <w:r w:rsidRPr="00092331">
        <w:rPr>
          <w:sz w:val="22"/>
          <w:szCs w:val="22"/>
        </w:rPr>
        <w:t xml:space="preserve"> the number of mosquitoes with infectious sporozoites </w:t>
      </w:r>
      <w:r w:rsidRPr="00092331">
        <w:rPr>
          <w:noProof/>
          <w:sz w:val="22"/>
          <w:szCs w:val="22"/>
        </w:rPr>
        <w:t>was reported</w:t>
      </w:r>
      <w:r w:rsidRPr="00092331">
        <w:rPr>
          <w:sz w:val="22"/>
          <w:szCs w:val="22"/>
        </w:rPr>
        <w:t xml:space="preserve"> per </w:t>
      </w:r>
      <w:r w:rsidR="00503CA2">
        <w:rPr>
          <w:sz w:val="22"/>
          <w:szCs w:val="22"/>
        </w:rPr>
        <w:t>council</w:t>
      </w:r>
      <w:r w:rsidRPr="00092331">
        <w:rPr>
          <w:sz w:val="22"/>
          <w:szCs w:val="22"/>
        </w:rPr>
        <w:t xml:space="preserve">, </w:t>
      </w:r>
      <w:r w:rsidRPr="00092331">
        <w:rPr>
          <w:noProof/>
          <w:sz w:val="22"/>
          <w:szCs w:val="22"/>
        </w:rPr>
        <w:t>but</w:t>
      </w:r>
      <w:r w:rsidRPr="00092331">
        <w:rPr>
          <w:sz w:val="22"/>
          <w:szCs w:val="22"/>
        </w:rPr>
        <w:t xml:space="preserve"> no information was available on the total number of mosquitoes caught (NMCP, unpublished data). For those, four mosquito species </w:t>
      </w:r>
      <w:r w:rsidRPr="00092331">
        <w:rPr>
          <w:noProof/>
          <w:sz w:val="22"/>
          <w:szCs w:val="22"/>
        </w:rPr>
        <w:t>were listed</w:t>
      </w:r>
      <w:r w:rsidRPr="00092331">
        <w:rPr>
          <w:sz w:val="22"/>
          <w:szCs w:val="22"/>
        </w:rPr>
        <w:t xml:space="preserve">, namely </w:t>
      </w:r>
      <w:r w:rsidRPr="00092331">
        <w:rPr>
          <w:i/>
          <w:sz w:val="22"/>
          <w:szCs w:val="22"/>
        </w:rPr>
        <w:t xml:space="preserve">An. gambiae </w:t>
      </w:r>
      <w:proofErr w:type="spellStart"/>
      <w:r w:rsidRPr="00092331">
        <w:rPr>
          <w:i/>
          <w:sz w:val="22"/>
          <w:szCs w:val="22"/>
        </w:rPr>
        <w:t>s.s.</w:t>
      </w:r>
      <w:proofErr w:type="spellEnd"/>
      <w:r w:rsidRPr="00092331">
        <w:rPr>
          <w:i/>
          <w:sz w:val="22"/>
          <w:szCs w:val="22"/>
        </w:rPr>
        <w:t>,</w:t>
      </w:r>
      <w:r w:rsidRPr="00092331">
        <w:rPr>
          <w:sz w:val="22"/>
          <w:szCs w:val="22"/>
        </w:rPr>
        <w:t xml:space="preserve"> </w:t>
      </w:r>
      <w:r w:rsidRPr="00092331">
        <w:rPr>
          <w:i/>
          <w:sz w:val="22"/>
          <w:szCs w:val="22"/>
        </w:rPr>
        <w:t>An. arabiensis</w:t>
      </w:r>
      <w:r w:rsidRPr="00092331">
        <w:rPr>
          <w:sz w:val="22"/>
          <w:szCs w:val="22"/>
        </w:rPr>
        <w:t xml:space="preserve">, </w:t>
      </w:r>
      <w:r w:rsidRPr="00092331">
        <w:rPr>
          <w:i/>
          <w:sz w:val="22"/>
          <w:szCs w:val="22"/>
        </w:rPr>
        <w:t xml:space="preserve">An. </w:t>
      </w:r>
      <w:proofErr w:type="spellStart"/>
      <w:r w:rsidRPr="00092331">
        <w:rPr>
          <w:i/>
          <w:sz w:val="22"/>
          <w:szCs w:val="22"/>
        </w:rPr>
        <w:t>funestus</w:t>
      </w:r>
      <w:proofErr w:type="spellEnd"/>
      <w:r w:rsidRPr="00092331">
        <w:rPr>
          <w:i/>
          <w:sz w:val="22"/>
          <w:szCs w:val="22"/>
        </w:rPr>
        <w:t xml:space="preserve"> </w:t>
      </w:r>
      <w:proofErr w:type="spellStart"/>
      <w:r w:rsidRPr="00092331">
        <w:rPr>
          <w:i/>
          <w:sz w:val="22"/>
          <w:szCs w:val="22"/>
        </w:rPr>
        <w:t>s.s</w:t>
      </w:r>
      <w:r w:rsidRPr="00092331">
        <w:rPr>
          <w:sz w:val="22"/>
          <w:szCs w:val="22"/>
        </w:rPr>
        <w:t>.</w:t>
      </w:r>
      <w:proofErr w:type="spellEnd"/>
      <w:r w:rsidRPr="00092331">
        <w:rPr>
          <w:sz w:val="22"/>
          <w:szCs w:val="22"/>
        </w:rPr>
        <w:t xml:space="preserve">, and </w:t>
      </w:r>
      <w:r w:rsidRPr="00092331">
        <w:rPr>
          <w:i/>
          <w:sz w:val="22"/>
          <w:szCs w:val="22"/>
        </w:rPr>
        <w:t xml:space="preserve">An. </w:t>
      </w:r>
      <w:r w:rsidRPr="00092331">
        <w:rPr>
          <w:i/>
          <w:noProof/>
          <w:sz w:val="22"/>
          <w:szCs w:val="22"/>
        </w:rPr>
        <w:t>leesoni</w:t>
      </w:r>
      <w:r w:rsidRPr="00092331">
        <w:rPr>
          <w:sz w:val="22"/>
          <w:szCs w:val="22"/>
        </w:rPr>
        <w:t xml:space="preserve">. The latter two </w:t>
      </w:r>
      <w:r w:rsidRPr="00092331">
        <w:rPr>
          <w:noProof/>
          <w:sz w:val="22"/>
          <w:szCs w:val="22"/>
        </w:rPr>
        <w:t>were combined</w:t>
      </w:r>
      <w:r w:rsidRPr="00092331">
        <w:rPr>
          <w:sz w:val="22"/>
          <w:szCs w:val="22"/>
        </w:rPr>
        <w:t xml:space="preserve"> into one category ‘</w:t>
      </w:r>
      <w:r w:rsidR="00E80027" w:rsidRPr="00092331">
        <w:rPr>
          <w:i/>
          <w:sz w:val="22"/>
          <w:szCs w:val="22"/>
        </w:rPr>
        <w:t>An. funestus</w:t>
      </w:r>
      <w:r w:rsidRPr="00092331">
        <w:rPr>
          <w:i/>
          <w:sz w:val="22"/>
          <w:szCs w:val="22"/>
        </w:rPr>
        <w:t>’</w:t>
      </w:r>
      <w:r w:rsidRPr="00092331">
        <w:rPr>
          <w:sz w:val="22"/>
          <w:szCs w:val="22"/>
        </w:rPr>
        <w:t xml:space="preserve">, due to low numbers for </w:t>
      </w:r>
      <w:r w:rsidRPr="00092331">
        <w:rPr>
          <w:i/>
          <w:sz w:val="22"/>
          <w:szCs w:val="22"/>
        </w:rPr>
        <w:t>An.</w:t>
      </w:r>
      <w:r w:rsidR="00571E0F">
        <w:rPr>
          <w:i/>
          <w:sz w:val="22"/>
          <w:szCs w:val="22"/>
        </w:rPr>
        <w:t xml:space="preserve"> </w:t>
      </w:r>
      <w:proofErr w:type="spellStart"/>
      <w:r w:rsidRPr="00092331">
        <w:rPr>
          <w:i/>
          <w:sz w:val="22"/>
          <w:szCs w:val="22"/>
        </w:rPr>
        <w:t>leesoni</w:t>
      </w:r>
      <w:proofErr w:type="spellEnd"/>
      <w:r w:rsidRPr="00092331">
        <w:rPr>
          <w:sz w:val="22"/>
          <w:szCs w:val="22"/>
        </w:rPr>
        <w:t xml:space="preserve">. Reports on insecticide resistance were accessed from NIMR </w:t>
      </w:r>
      <w:r w:rsidRPr="00092331">
        <w:rPr>
          <w:sz w:val="22"/>
          <w:szCs w:val="22"/>
        </w:rPr>
        <w:fldChar w:fldCharType="begin"/>
      </w:r>
      <w:r w:rsidR="00AC27AD">
        <w:rPr>
          <w:sz w:val="22"/>
          <w:szCs w:val="22"/>
        </w:rPr>
        <w:instrText xml:space="preserve"> ADDIN ZOTERO_ITEM CSL_CITATION {"citationID":"OpAef5Wi","properties":{"formattedCitation":"[4]","plainCitation":"[4]","noteIndex":0},"citationItems":[{"id":20564,"uris":["http://zotero.org/users/3516901/items/TEB3NNNC"],"uri":["http://zotero.org/users/3516901/items/TEB3NNNC"],"itemData":{"id":20564,"type":"report","title":"Detection and Monitoring of Insecticide Resistance in Malaria Vectors in Tanzania Mainland","collection-title":"Technical Report of the National Institute for Medical Research","publisher":"National Institute for Medical Research","publisher-place":"Dar es Salaam, Tanzania","genre":"Technical Report","event-place":"Dar es Salaam, Tanzania","author":[{"literal":"Kisinza W"},{"literal":"Nkya T"},{"literal":"Msangi S"},{"literal":"Mbilu T"},{"literal":"Batengana B"},{"literal":"Lyimo E"},{"literal":"Materu G"},{"literal":"Manga C"},{"literal":"Kitau J"},{"literal":"Kabula B"}],"issued":{"date-parts":[["2015"]]}}}],"schema":"https://github.com/citation-style-language/schema/raw/master/csl-citation.json"} </w:instrText>
      </w:r>
      <w:r w:rsidRPr="00092331">
        <w:rPr>
          <w:sz w:val="22"/>
          <w:szCs w:val="22"/>
        </w:rPr>
        <w:fldChar w:fldCharType="separate"/>
      </w:r>
      <w:r w:rsidR="00AC27AD" w:rsidRPr="00AC27AD">
        <w:rPr>
          <w:rFonts w:ascii="Calibri" w:hAnsi="Calibri"/>
          <w:sz w:val="22"/>
        </w:rPr>
        <w:t>[4]</w:t>
      </w:r>
      <w:r w:rsidRPr="00092331">
        <w:rPr>
          <w:sz w:val="22"/>
          <w:szCs w:val="22"/>
        </w:rPr>
        <w:fldChar w:fldCharType="end"/>
      </w:r>
      <w:r w:rsidRPr="00092331">
        <w:rPr>
          <w:sz w:val="22"/>
          <w:szCs w:val="22"/>
        </w:rPr>
        <w:t xml:space="preserve"> to complete the collation of information on </w:t>
      </w:r>
      <w:r w:rsidRPr="00092331">
        <w:rPr>
          <w:noProof/>
          <w:sz w:val="22"/>
          <w:szCs w:val="22"/>
        </w:rPr>
        <w:t>occurrence</w:t>
      </w:r>
      <w:r w:rsidRPr="00092331">
        <w:rPr>
          <w:sz w:val="22"/>
          <w:szCs w:val="22"/>
        </w:rPr>
        <w:t xml:space="preserve"> and vector composition for each </w:t>
      </w:r>
      <w:r w:rsidR="00503CA2">
        <w:rPr>
          <w:sz w:val="22"/>
          <w:szCs w:val="22"/>
        </w:rPr>
        <w:t>council</w:t>
      </w:r>
      <w:r w:rsidRPr="00092331">
        <w:rPr>
          <w:sz w:val="22"/>
          <w:szCs w:val="22"/>
        </w:rPr>
        <w:t xml:space="preserve"> in Tanzania, which also included a comprehensive extraction of entomological data from the </w:t>
      </w:r>
      <w:r w:rsidRPr="00092331">
        <w:rPr>
          <w:noProof/>
          <w:sz w:val="22"/>
          <w:szCs w:val="22"/>
        </w:rPr>
        <w:t>literature</w:t>
      </w:r>
      <w:r w:rsidRPr="00092331">
        <w:rPr>
          <w:sz w:val="22"/>
          <w:szCs w:val="22"/>
        </w:rPr>
        <w:t xml:space="preserve"> (</w:t>
      </w:r>
      <w:r w:rsidR="009F0A31">
        <w:rPr>
          <w:sz w:val="22"/>
          <w:szCs w:val="22"/>
        </w:rPr>
        <w:t xml:space="preserve">Dr </w:t>
      </w:r>
      <w:proofErr w:type="spellStart"/>
      <w:r w:rsidRPr="00092331">
        <w:rPr>
          <w:sz w:val="22"/>
          <w:szCs w:val="22"/>
        </w:rPr>
        <w:t>Fredros</w:t>
      </w:r>
      <w:proofErr w:type="spellEnd"/>
      <w:r w:rsidRPr="00092331">
        <w:rPr>
          <w:sz w:val="22"/>
          <w:szCs w:val="22"/>
        </w:rPr>
        <w:t xml:space="preserve"> Okumu</w:t>
      </w:r>
      <w:r w:rsidR="00E40467">
        <w:rPr>
          <w:sz w:val="22"/>
          <w:szCs w:val="22"/>
        </w:rPr>
        <w:t xml:space="preserve">, </w:t>
      </w:r>
      <w:proofErr w:type="spellStart"/>
      <w:r w:rsidR="00E40467">
        <w:rPr>
          <w:sz w:val="22"/>
          <w:szCs w:val="22"/>
        </w:rPr>
        <w:t>Ifakara</w:t>
      </w:r>
      <w:proofErr w:type="spellEnd"/>
      <w:r w:rsidR="00E40467">
        <w:rPr>
          <w:sz w:val="22"/>
          <w:szCs w:val="22"/>
        </w:rPr>
        <w:t xml:space="preserve"> health Institute</w:t>
      </w:r>
      <w:r w:rsidRPr="00092331">
        <w:rPr>
          <w:sz w:val="22"/>
          <w:szCs w:val="22"/>
        </w:rPr>
        <w:t xml:space="preserve">, personal communication) </w:t>
      </w:r>
      <w:r w:rsidRPr="00092331">
        <w:rPr>
          <w:sz w:val="22"/>
          <w:szCs w:val="22"/>
        </w:rPr>
        <w:fldChar w:fldCharType="begin"/>
      </w:r>
      <w:r w:rsidR="00042DCE">
        <w:rPr>
          <w:sz w:val="22"/>
          <w:szCs w:val="22"/>
        </w:rPr>
        <w:instrText xml:space="preserve"> ADDIN ZOTERO_ITEM CSL_CITATION {"citationID":"Y2P63xNv","properties":{"formattedCitation":"[3,4,16,18\\uc0\\u8211{}27]","plainCitation":"[3,4,16,18–27]","noteIndex":0},"citationItems":[{"id":20564,"uris":["http://zotero.org/users/3516901/items/TEB3NNNC"],"uri":["http://zotero.org/users/3516901/items/TEB3NNNC"],"itemData":{"id":20564,"type":"report","title":"Detection and Monitoring of Insecticide Resistance in Malaria Vectors in Tanzania Mainland","collection-title":"Technical Report of the National Institute for Medical Research","publisher":"National Institute for Medical Research","publisher-place":"Dar es Salaam, Tanzania","genre":"Technical Report","event-place":"Dar es Salaam, Tanzania","author":[{"literal":"Kisinza W"},{"literal":"Nkya T"},{"literal":"Msangi S"},{"literal":"Mbilu T"},{"literal":"Batengana B"},{"literal":"Lyimo E"},{"literal":"Materu G"},{"literal":"Manga C"},{"literal":"Kitau J"},{"literal":"Kabula B"}],"issued":{"date-parts":[["2015"]]}},"label":"page"},{"id":23773,"uris":["http://zotero.org/users/3516901/items/DUDPBUVG"],"uri":["http://zotero.org/users/3516901/items/DUDPBUVG"],"itemData":{"id":23773,"type":"article-journal","title":"Malaria entomological profile in Tanzania from 1950 to 2010: a review of mosquito distribution, vectorial capacity and insecticide resistance","container-title":"Tanzania Journal of Health Research","page":"319-331","volume":"13","issue":"5 Suppl 1","source":"PubMed","abstract":"In Sub Saharan Africa where most of the malaria cases and deaths occur, members of the Anopheles gambiae species complex and Anophelesfunestus species group are the important malaria vectors. Control efforts against these vectors in Tanzania like in most other Sub Saharan countries have failed to achieve the set objectives of eliminating transmission due to scarcity of information about the enormous diversity of Anopheles mosquito species and their susceptibility status to insecticides used for malaria vector control. Understanding the diversity and insecticide susceptibility status of these vectors and other factors relating to their importance as vectors (such as malaria transmission dynamics, vector biology, ecology, behaviour and population genetics) is crucial to developing a better and sound intervention strategies that will reduce man-vector contact and also manage the emergency of insecticide resistance early and hence .a success in malaria control. The objective of this review was therefore to obtain the information from published and unpublished documents on spatial distribution and composition of malaria vectors, key features of their behaviour, transmission indices and susceptibility status to insecticides in Tanzania. All data available were collated into a database. Details recorded for each data source were the locality, latitude/longitude, time/period of study, species, abundance, sampling/collection methods, species identification methods, insecticide resistance status, including evidence of the kdr allele, and Plasmodium falciparum sporozoite rate. This collation resulted in a total of 368 publications, encompassing 806,273 Anopheles mosquitoes from 157 georeferenced locations being collected and identified across Tanzania from 1950s to 2010. Overall, the vector species most often reported included An. gambiae complex (66.8%), An. funestus complex (21.8%), An. gambiae s.s. (2.1%) and An. arabiensis (9%). A variety of sampling/ collection and species identification methods were used with an increase in molecular techniques in recent decades. Only 32.2% and 8.4% of the data sets reported on sporozoite analysis and entomological inoculation rate (EIR), respectively which highlights the paucity of such important information in the country. Studies demonstrated efficacy of all four major classes of insecticides against malaria vectors in Tanzania with focal points showing phenotypic resistance. About 95% of malaria entomological data was obtained from northeastern Tanzania. This shows the disproportionate nature of the available information with the western part of the country having none. Therefore it is important for the country to establish entomological surveillance system with state of the art to capture all vitally important entomological indices including vector bionomics in areas of Tanzania where very few or no studies have been done. This is vital in planning and implementing evidence based malaria vector control programmes as well as in monitoring the current malaria control interventions.","ISSN":"1821-6404","note":"PMID: 26591987","title-short":"Malaria entomological profile in Tanzania from 1950 to 2010","journalAbbreviation":"Tanzan J Health Res","language":"eng","author":[{"family":"Kabula","given":"Bilali"},{"family":"Derua","given":"Yahya A."},{"family":"Tungui","given":"Patrick"},{"family":"Massue","given":"Dennis J."},{"family":"Sambu","given":"Edward"},{"family":"Stanley","given":"Grades"},{"family":"Mosha","given":"Franklin W."},{"family":"Kisinza","given":"William N."}],"issued":{"date-parts":[["2011",12]]}},"label":"page"},{"id":21739,"uris":["http://zotero.org/users/3516901/items/HGRUWA8A"],"uri":["http://zotero.org/users/3516901/items/HGRUWA8A"],"itemData":{"id":21739,"type":"article-journal","title":"Susceptibility status of malaria vectors to insecticides commonly used for malaria control in Tanzania","container-title":"Tropical Medicine &amp; International Health","page":"742-750","volume":"17","issue":"6","source":"Wiley Online Library","abstract":"Objective  The aim of the study was to monitor the insecticide susceptibility status of malaria vectors in 12 sentinel districts of Tanzania. Methods  WHO standard methods were used to detect knock-down and mortality in the wild female Anopheles mosquitoes collected in sentinel districts. The WHO diagnostic doses of 0.05% deltamethrin, 0.05% lambdacyhalothrin, 0.75% permethrin and 4% DDT were used. Results  The major malaria vectors in Tanzania, Anopheles gambiae s.l., were susceptible (mortality rate of 98–100%) to permethrin, deltamethrin, lambdacyhalothrin and DDT in most of the surveyed sites. However, some sites recorded marginal susceptibility (mortality rate of 80–97%); Ilala showed resistance to DDT (mortality rate of 65% [95% CI, 54–74]), and Moshi showed resistance to lambdacyhalothrin (mortality rate of 73% [95% CI, 69–76]) and permethrin (mortality rate of 77% [95% CI, 73–80]). Conclusions  The sustained susceptibility of malaria vectors to pyrethroid in Tanzania is encouraging for successful malaria control with Insecticide-treated nets and IRS. However, the emergency of focal points with insecticide resistance is alarming. Continued monitoring is essential to ensure early containment of resistance, particularly in areas that recorded resistance or marginal susceptibility and those with heavy agricultural and public health use of insecticides.","DOI":"10.1111/j.1365-3156.2012.02986.x","ISSN":"1365-3156","language":"en","author":[{"family":"Kabula","given":"Bilali"},{"family":"Tungu","given":"Patrick"},{"family":"Matowo","given":"Johnson"},{"family":"Kitau","given":"Jovin"},{"family":"Mweya","given":"Clement"},{"family":"Emidi","given":"Basiliana"},{"family":"Masue","given":"Denis"},{"family":"Sindato","given":"Calvin"},{"family":"Malima","given":"Robert"},{"family":"Minja","given":"Jubilate"},{"family":"Msangi","given":"Shandala"},{"family":"Njau","given":"Ritha"},{"family":"Mosha","given":"Franklin"},{"family":"Magesa","given":"Stephen"},{"family":"Kisinza","given":"William"}],"issued":{"date-parts":[["2012",6,1]]}},"label":"page"},{"id":24285,"uris":["http://zotero.org/users/3516901/items/MUEA6DKR"],"uri":["http://zotero.org/users/3516901/items/MUEA6DKR"],"itemData":{"id":24285,"type":"article-journal","title":"Multiple insecticide resistance in Anopheles gambiae from Tanzania: a major concern for malaria vector control","container-title":"Malaria Journal","page":"439","volume":"16","source":"BioMed Central","abstract":"Malaria vector control in Tanzania is based on use of long-lasting insecticide treated nets (LLINs) and indoor residual spraying (IRS), which both rely on the use of chemical insecticides. The effectiveness of these control tools is endangered by the development of insecticide resistance in the major malaria vectors. This study was carried out to monitor the susceptibility status of major malaria vectors to insecticides used for IRS and LLINs in mainland Tanzania.","DOI":"10.1186/s12936-017-2087-2","ISSN":"1475-2875","title-short":"Multiple insecticide resistance in Anopheles gambiae from Tanzania","journalAbbreviation":"Malaria Journal","author":[{"family":"Kisinza","given":"William N."},{"family":"Nkya","given":"Theresia E."},{"family":"Kabula","given":"Bilali"},{"family":"Overgaard","given":"Hans J."},{"family":"Massue","given":"Dennis J."},{"family":"Mageni","given":"Zawadi"},{"family":"Greer","given":"George"},{"family":"Kaspar","given":"Naomi"},{"family":"Mohamed","given":"Mahdi"},{"family":"Reithinger","given":"Richard"},{"family":"Moore","given":"Sarah"},{"family":"Lorenz","given":"Lena M."},{"family":"Magesa","given":"Stephen"}],"issued":{"date-parts":[["2017",10,30]]}},"label":"page"},{"id":21745,"uris":["http://zotero.org/users/3516901/items/26BNUN2U"],"uri":["http://zotero.org/users/3516901/items/26BNUN2U"],"itemData":{"id":21745,"type":"article-journal","title":"Transmission intensity and malaria vector population structure in Magugu, Babati District in northern Tanzania","container-title":"Tanzania Journal of Health Research","page":"54-61","volume":"13","issue":"1","source":"PubMed","abstract":"A 1-year longitudinal study was conducted in Magugu in Babati district, northern Tanzania to determine malaria vector population structure and malaria transmission indices. Mosquitoes were sampled using the Centre for Disease Control (CDC) light traps. A total of 110,357 adult female mosquitoes were collected. Anopheles gambiae s.1. accounted 25% of the total female mosquito collected. Relatively fewer An. funestus were collected. Other mosquito species collected were An. pharoensis, An. coustani, An. maculipalpis, An. marshallii, Culex quinquefasciatus, Cx unnivittatus, Mansonia uniformis and Ma. africana. An analysis by Polymerase Chain Reaction revealed that An. arabiensis was the only member of the An. gambiae complex in the collected samples. The number of mosquito collected correlated with the increasing mean rainfall. Blood meal analysis showed a higher human enzymatic reaction among An. gambiae s.1. (63.5%) followed by An. funestus (42.9%). Bovine enzymatic reaction was higher among An. coustani (73.7%) followed by the An. pharoensis (66.7%). The Enzyme Linked Immunosorbent Assay (ELISA) was used to detect Plasmodium falciparum circumsporozoites proteins in 10,000 female Anopheles mosquitoes. Only two An. arabiensis were found to be infected. The entomological inoculation rate (EIR) was estimated at 0.51 infectious bites per person per year. This EIR was considered to be relatively low, indicating that malaria transmission in this area is low. Variability in mosquito blood meal shows availability of variety of preferred blood meal choices and impact of other factors inhibiting mosquito-human host contact. The study has provided information considered useful in the mapping of the vector distribution and population structure in the country. Such information is considered to be among the essential tools for planning malaria control interventions.","ISSN":"1821-6404","journalAbbreviation":"Tanzan J Health Res","language":"eng","author":[{"family":"Mwanziva","given":"Charles E."},{"family":"Kitau","given":"Jovin"},{"family":"Tungu","given":"Patrick K."},{"family":"Mweya","given":"Clement N."},{"family":"Mkali","given":"Humphrey"},{"family":"Ndege","given":"Chacha M."},{"family":"Sangas","given":"Alex"},{"family":"Mtabho","given":"Charles"},{"family":"Lukwaro","given":"Charles"},{"family":"Azizi","given":"Salum"},{"family":"Myamba","given":"Joseph"},{"family":"Chilongola","given":"Jaffu"},{"family":"Magesa","given":"Stephen M."},{"family":"Shekalaghe","given":"Seif"},{"family":"Mosha","given":"Franklin W."}],"issued":{"date-parts":[["2011",1]]}},"label":"page"},{"id":17394,"uris":["http://zotero.org/users/3516901/items/WSEXUF2I"],"uri":["http://zotero.org/users/3516901/items/WSEXUF2I"],"itemData":{"id":17394,"type":"article-journal","title":"Preventing Childhood Malaria in Africa by Protecting Adults from Mosquitoes with Insecticide-Treated Nets","container-title":"PLoS Medicine","volume":"4","issue":"7","source":"PubMed Central","abstract":"Based on malaria transmission models, Gerry Killeen and colleagues suggest that, while coverage of pregnant women and children should still be prioritized, wide-scale communal use of insecticide-treated bed nets would provide considerable benefit to vulnerable groups and should be promoted and evaluated in the field.","URL":"http://www.ncbi.nlm.nih.gov/pmc/articles/PMC1904465/","DOI":"10.1371/journal.pmed.0040229","ISSN":"1549-1277","journalAbbreviation":"PLoS Med","author":[{"family":"Killeen","given":"Gerry F"},{"family":"Smith","given":"Tom A"},{"family":"Ferguson","given":"Heather M"},{"family":"Mshinda","given":"Hassan"},{"family":"Abdulla","given":"Salim"},{"family":"Lengeler","given":"Christian"},{"family":"Kachur","given":"Steven P"}],"issued":{"date-parts":[["2007",7]]},"accessed":{"date-parts":[["2016",6,27]]}},"label":"page"},{"id":28843,"uris":["http://zotero.org/users/3516901/items/8V3FJKAT"],"uri":["http://zotero.org/users/3516901/items/8V3FJKAT"],"itemData":{"id":28843,"type":"article-journal","title":"Incidence of Plasmodium falciparum infection in infants in relation to exposure to sporozoite-infected anophelines","container-title":"The American Journal of Tropical Medicine and Hygiene","page":"243-251","volume":"59","issue":"2","source":"PubMed","abstract":"The relationship of the incidence of Plasmodium falciparum infection to entomologic inoculation rates (EIRs) was studied in 163 children less than one year of age in a Tanzanian village to determine likely effects of transmission-reducing interventions on infection incidence. A total of 66,727 Anopheles gambiae s.l. and 17,620 An. funestus mosquitoes were caught in 1,056 light trap collections from 139 houses over a period of more than two years. Time period-specific human biting rates were estimated for 11 village neighborhoods. Sporozoites were detected by ELISA in 4.4% of the An. funestus and 2.5% of the An. gambiae s.l. Eight hundred seventeen pairs of blood slides with approximately two-week intervals between slides were used to estimate incidence of parasitemia by fitting reversible catalytic models to parasite positivity data. Estimated EIRs during the four weeks preceding each intersurvey interval averaged 1.6 (SD = 2.1) per adult per night. Parasites were present at the end of 31% of the 443 intervals that commenced with a parasite-negative slide. Attack rates were comparable with those in western Kenya, and the proportion of bites resulting in human infections was strongly dependent on mosquito density. Incidence of infection increased with the EIR up to approximately one bite from a sporozoite-carrying mosquito per adult per night. However, higher levels of transmission observed locally in the wet season did not result in a correspondingly higher incidence. These data suggest that transmission-reducing measures cannot be expected to reduce incidence of infection at the highest levels of EIR.","ISSN":"0002-9637","note":"PMID: 9715940","journalAbbreviation":"Am. J. Trop. Med. Hyg.","language":"eng","author":[{"family":"Charlwood","given":"J. D."},{"family":"Smith","given":"T."},{"family":"Lyimo","given":"E."},{"family":"Kitua","given":"A. Y."},{"family":"Masanja","given":"H."},{"family":"Booth","given":"M."},{"family":"Alonso","given":"P. L."},{"family":"Tanner","given":"M."}],"issued":{"date-parts":[["1998",8]]}},"label":"page"},{"id":28845,"uris":["http://zotero.org/users/3516901/items/DZTMWXQZ"],"uri":["http://zotero.org/users/3516901/items/DZTMWXQZ"],"itemData":{"id":28845,"type":"thesis","title":"Investigations on the Bionomics of Anopheline Vectors in the Ifakara Area (Kilombero District, Tanzania)","publisher":"BSBS, Basler Schnelldr. Schlattmann","number-of-pages":"134","source":"Google Books","note":"Google-Books-ID: cCliHAAACAAJ","language":"en","author":[{"family":"Biro","given":"Stephan"}],"issued":{"date-parts":[["1987"]]}},"label":"page"},{"id":24003,"uris":["http://zotero.org/users/3516901/items/8B793MBZ"],"uri":["http://zotero.org/users/3516901/items/8B793MBZ"],"itemData":{"id":24003,"type":"article-journal","title":"Interventions that effectively target Anopheles funestus mosquitoes could significantly improve control of persistent malaria transmission in south–eastern Tanzania","container-title":"PLoS ONE","volume":"12","issue":"5","source":"PubMed Central","abstract":"Malaria is transmitted by many Anopheles species whose proportionate contributions vary across settings. We re-assessed the roles of Anopheles arabiensis and Anopheles funestus, and examined potential benefits of species-specific interventions in an area in south-eastern Tanzania, where malaria transmission persists, four years after mass distribution of long-lasting insecticide-treated nets (LLINs). Monthly mosquito sampling was done in randomly selected households in three villages using CDC light traps and back-pack aspirators, between January-2015 and January-2016, four years after the last mass distribution of LLINs in 2011. Multiplex polymerase chain reaction (PCR) was used to identify members of An. funestus and Anopheles gambiae complexes. Enzyme-linked immunosorbent assay (ELISA) was used to detect Plasmodium sporozoites in mosquito salivary glands, and to identify sources of mosquito blood meals. WHO susceptibility assays were done on wild caught female An. funestus s.l, and physiological ages approximated by examining mosquito ovaries for parity. A total of 20,135 An. arabiensis and 4,759 An. funestus were collected. The An. funestus group consisted of 76.6% An. funestus s.s, 2.9% An. rivulorum, 7.1% An. leesoni, and 13.4% unamplified samples. Of all mosquitoes positive for Plasmodium, 82.6% were An. funestus s.s, 14.0% were An. arabiensis and 3.4% were An. rivulorum. An. funestus and An. arabiensis contributed 86.21% and 13.79% respectively, of annual entomological inoculation rate (EIR). An. arabiensis fed on humans (73.4%), cattle (22.0%), dogs (3.1%) and chicken (1.5%), but An. funestus fed exclusively on humans. The An. funestus populations were 100% susceptible to organophosphates, pirimiphos methyl and malathion, but resistant to permethrin (10.5% mortality), deltamethrin (18.7%), lambda-cyhalothrin (18.7%) and DDT (26.2%), and had reduced susceptibility to bendiocarb (95%) and propoxur (90.1%). Parity rate was higher in An. funestus (65.8%) than An. arabiensis (44.1%). Though An. arabiensis is still the most abundant vector species here, the remaining malaria transmission is predominantly mediated by An. funestus, possibly due to high insecticide resistance and high survival probabilities. Interventions that effectively target An. funestus mosquitoes could therefore significantly improve control of persistent malaria transmission in south–eastern Tanzania.","URL":"https://www.ncbi.nlm.nih.gov/pmc/articles/PMC5436825/","DOI":"10.1371/journal.pone.0177807","ISSN":"1932-6203","note":"PMID: 28542335\nPMCID: PMC5436825","journalAbbreviation":"PLoS One","author":[{"family":"Kaindoa","given":"Emmanuel W."},{"family":"Matowo","given":"Nancy S."},{"family":"Ngowo","given":"Halfan S."},{"family":"Mkandawile","given":"Gustav"},{"family":"Mmbando","given":"Arnold"},{"family":"Finda","given":"Marcelina"},{"family":"Okumu","given":"Fredros O."}],"issued":{"date-parts":[["2017",5,18]]},"accessed":{"date-parts":[["2017",9,30]]}},"label":"page"},{"id":24286,"uris":["http://zotero.org/users/3516901/items/3ENA9EKZ"],"uri":["http://zotero.org/users/3516901/items/3ENA9EKZ"],"itemData":{"id":24286,"type":"article-journal","title":"Variations in household microclimate affect outdoor-biting behaviour of malaria vectors","container-title":"Wellcome Open Research","page":"102","volume":"2","source":"CrossRef","DOI":"10.12688/wellcomeopenres.12928.1","ISSN":"2398-502X","language":"en","author":[{"family":"Ngowo","given":"Halfan Said"},{"family":"Kaindoa","given":"Emmanuel Wilson"},{"family":"Matthiopoulos","given":"Jason"},{"family":"Ferguson","given":"Heather M."},{"family":"Okumu","given":"Fredros Oketch"}],"issued":{"date-parts":[["2017",10,24]]}},"label":"page"},{"id":20273,"uris":["http://zotero.org/users/3516901/items/W8V3U9M3"],"uri":["http://zotero.org/users/3516901/items/W8V3U9M3"],"itemData":{"id":20273,"type":"article-journal","title":"Absence of seasonal variation in malaria parasitaemia in an area of intense seasonal transmission","container-title":"Acta Tropica","page":"55-72","volume":"54","issue":"1","source":"ScienceDirect","abstract":"Parasitological surveys carried out in two villages of the Kilombero district of Tanzania indicated a very high prevalence of Plasmodium falciparum parasitaemia throughout the year (all ages mean prevalence = 69.2%) and a low, unstable prevalence of P. malariae (all ages mean prevalence = 4.5%). Fevers (temperature ≥ 37.5°C) in both children and adults showed irregular changes in prevalence over time, but there was no seasonal pattern. Neither was there seasonal variation in either P. falciparum parasite prevalence or parasite densities. This was despite marked seasonality in vectors caught in CDC light-traps and in estimated sporozoite inoculations determined by ELISA. The estimated mean annual inoculation rate was extremely high, over 300 infectious bites per person per year, the main vectors being members of the A. gambiae complex and Anopheles funestus. There was considerable variation between houses but even in houses with relatively low mosquito numbers the inoculation rate was sufficient to maintain a maximal P. falciparum prevalence. Heterogeneities in exposure cannot explain why the parasite prevalence is not always 100%. In areas of such high transmission, parasitaemias are likely to be determined mainly by the interaction of schizogony and anti-blood stage immunity, since parasites arising from new inoculations generally comprise only a small proportion of the total in the circulation. In any one individual, this will lead to periodic fluctuations in levels of parasitaemia. These are unlikely to show a close relationship to either seasonal variation in inoculations or to differences between households in the local inoculation rate.","DOI":"10.1016/0001-706X(93)90068-M","ISSN":"0001-706X","journalAbbreviation":"Acta Tropica","author":[{"family":"Smith","given":"T."},{"family":"Charlwood","given":"J. D."},{"family":"Kihonda","given":"J."},{"family":"Mwankusye","given":"S."},{"family":"Billingsley","given":"P."},{"family":"Meuwissen","given":"J."},{"family":"Lyimo","given":"E."},{"family":"Takken","given":"W."},{"family":"Teuscher","given":"T."},{"family":"Tanner","given":"M."}],"issued":{"date-parts":[["1993",6,1]]}},"label":"page"},{"id":28852,"uris":["http://zotero.org/users/3516901/items/GMVGP63J"],"uri":["http://zotero.org/users/3516901/items/GMVGP63J"],"itemData":{"id":28852,"type":"article-journal","title":"The role of four anopheline species (Diptera: Culicidae) in malaria transmission in coastal Tanzania","container-title":"Transactions of the Royal Society of Tropical Medicine and Hygiene","page":"152-158","volume":"92","issue":"2","source":"PubMed","abstract":"Malaria is holoendemic in coastal Tanzania with Anopheles funestus and members of the A. gambiae complex being mainly responsible for transmission. Over a 4 months' sampling period 2222 anopheline mosquitoes were collected using light-traps and indoor resting catches, of which 58.6% were A. gambiae, 7.6% A. arabiensis, 6.9% A. merus and 26.9% A. funestus. Plasmodium falciparum circumsporozoite antigen (CSA) rates were: A. funestus 6.05% (n = 479), A. gambiae 8.4% (n = 1042), A. arabiensis 7.3% (n = 136) and A. merus 9.8% (n = 122). The P. malariae CSA rate for all anophelines was 0.07% (n = 1862). Estimated sporozoite densities were less than 2000 for at least 50% of all the positive mosquitoes. Along the coast the abundance of A. merus (41.3%) and A. gambiae (46.1%) was similar, and their CSA rates were comparable (11.6% and 12.5%, respectively) and higher than those for A. arabiensis (7.7%) and A. funestus (4.6%). These results indicate that A. merus plays an unexpectedly important role in malaria transmission in coastal Tanzania.","ISSN":"0035-9203","note":"PMID: 9764318","title-short":"The role of four anopheline species (Diptera","journalAbbreviation":"Trans. R. Soc. Trop. Med. Hyg.","language":"eng","author":[{"family":"Temu","given":"E. A."},{"family":"Minjas","given":"J. N."},{"family":"Coetzee","given":"M."},{"family":"Hunt","given":"R. H."},{"family":"Shift","given":"C. J."}],"issued":{"date-parts":[["1998",4]]}},"label":"page"},{"id":20591,"uris":["http://zotero.org/users/3516901/items/A28D87XX"],"uri":["http://zotero.org/users/3516901/items/A28D87XX"],"itemData":{"id":20591,"type":"article-journal","title":"Consistently high estimates for the proportion of human exposure to malaria vector populations occurring indoors in rural Africa","container-title":"International Journal of Epidemiology","page":"dys214","source":"ije.oxfordjournals.org","abstract":"Background Insecticide-treated nets (ITNs) and indoor residual spraying (IRS) are highly effective tools for controlling malaria transmission in Africa because the most important vectors, from the Anopheles gambiae complex and the A. funestus group, usually prefer biting humans indoors at night.\nMethods Matched surveys of mosquito and human behaviour from six rural sites in Burkina Faso, Tanzania, Zambia, and Kenya, with ITN use ranging from 0.2% to 82.5%, were used to calculate the proportion of human exposure to An. gambiae sensu lato and An. funestus s.l. that occurs indoors (πi), as an indicator of the upper limit of personal protection that indoor vector control measures can provide. This quantity was also estimated through use of a simplified binary analysis (πiB) so that the proportions of mosquitoes caught indoors (Pi), and between the first and last hours at which most people are indoors (Pfl) could also be calculated as underlying indicators of feeding by mosquitoes indoors or at night, respectively.\nResults The vast majority of human exposure to Anopheles bites occurred indoors ( = 0.79–1.00). Neither An. gambiae s.l. nor An. funestus s.l. strongly preferred feeding indoors (Pi = 0.40–0.63 and 0.22–0.69, respectively), but they overwhelmingly preferred feeding at times when most humans were indoors (Pfl = 0.78–1.00 and 0.86–1.00, respectively).\nConclusions These quantitative summaries of behavioural interactions between humans and mosquitoes constitute a remarkably consistent benchmark with which future observations of vector behaviour can be compared. Longitudinal monitoring of these quantities is vital to evaluate the effectiveness of ITNs and IRS and the need for complementary measures that target vectors outdoors.","DOI":"10.1093/ije/dys214","ISSN":"0300-5771, 1464-3685","journalAbbreviation":"Int. J. Epidemiol.","language":"en","author":[{"family":"Huho","given":"Bernadette"},{"family":"Briët","given":"Olivier"},{"family":"Seyoum","given":"Aklilu"},{"family":"Sikaala","given":"Chadwick"},{"family":"Bayoh","given":"Nabie"},{"family":"Gimnig","given":"John"},{"family":"Okumu","given":"Fredros"},{"family":"Diallo","given":"Diadier"},{"family":"Abdulla","given":"Salim"},{"family":"Smith","given":"Thomas"},{"family":"Killeen","given":"Gerry"}],"issued":{"date-parts":[["2013",2,9]]}},"label":"page"}],"schema":"https://github.com/citation-style-language/schema/raw/master/csl-citation.json"} </w:instrText>
      </w:r>
      <w:r w:rsidRPr="00092331">
        <w:rPr>
          <w:sz w:val="22"/>
          <w:szCs w:val="22"/>
        </w:rPr>
        <w:fldChar w:fldCharType="separate"/>
      </w:r>
      <w:r w:rsidR="00042DCE" w:rsidRPr="00042DCE">
        <w:rPr>
          <w:rFonts w:ascii="Calibri" w:hAnsi="Calibri" w:cs="Times New Roman"/>
          <w:sz w:val="22"/>
          <w:szCs w:val="24"/>
        </w:rPr>
        <w:t>[3,4,16,18–27]</w:t>
      </w:r>
      <w:r w:rsidRPr="00092331">
        <w:rPr>
          <w:sz w:val="22"/>
          <w:szCs w:val="22"/>
        </w:rPr>
        <w:fldChar w:fldCharType="end"/>
      </w:r>
      <w:r w:rsidRPr="00092331">
        <w:rPr>
          <w:sz w:val="22"/>
          <w:szCs w:val="22"/>
        </w:rPr>
        <w:t xml:space="preserve">. </w:t>
      </w:r>
    </w:p>
    <w:p w14:paraId="22A8DBCA" w14:textId="77777777" w:rsidR="00F814AD" w:rsidRPr="00092331" w:rsidRDefault="00F814AD" w:rsidP="00810E50">
      <w:pPr>
        <w:pStyle w:val="CommentText"/>
        <w:spacing w:after="0"/>
        <w:jc w:val="both"/>
        <w:rPr>
          <w:sz w:val="22"/>
          <w:szCs w:val="22"/>
        </w:rPr>
      </w:pPr>
    </w:p>
    <w:p w14:paraId="001B8198" w14:textId="3028743A" w:rsidR="00AC27AD" w:rsidRDefault="00581EC7" w:rsidP="00810E50">
      <w:pPr>
        <w:spacing w:after="0" w:line="360" w:lineRule="auto"/>
        <w:jc w:val="both"/>
      </w:pPr>
      <w:r>
        <w:t>When</w:t>
      </w:r>
      <w:r w:rsidR="00646657" w:rsidRPr="00092331">
        <w:t xml:space="preserve"> available, the entomological surveillance data </w:t>
      </w:r>
      <w:r w:rsidR="00646657" w:rsidRPr="00092331">
        <w:rPr>
          <w:noProof/>
        </w:rPr>
        <w:t>were</w:t>
      </w:r>
      <w:r w:rsidR="00646657" w:rsidRPr="00092331">
        <w:t xml:space="preserve"> used to estimate the contribution to transmission per vector species. The relative contribution of a vector species to the annual EIR </w:t>
      </w:r>
      <w:r w:rsidR="00646657" w:rsidRPr="00092331">
        <w:rPr>
          <w:noProof/>
        </w:rPr>
        <w:t>was defined</w:t>
      </w:r>
      <w:r w:rsidR="00646657" w:rsidRPr="00092331">
        <w:t xml:space="preserve"> as the product of the relative infectiousness and occurrence of a mosquito species. For that, the relative occurrence of each vector species was assumed to be reflected by the relative frequency of the analysed mosquitoes included in the preliminary results report. Moreover, the same </w:t>
      </w:r>
      <w:r w:rsidR="00646657" w:rsidRPr="00092331">
        <w:rPr>
          <w:noProof/>
        </w:rPr>
        <w:t>mosquito-specific</w:t>
      </w:r>
      <w:r w:rsidR="00646657" w:rsidRPr="00092331">
        <w:t xml:space="preserve"> infectiousness was assumed across all </w:t>
      </w:r>
      <w:r w:rsidR="00503CA2">
        <w:t>council</w:t>
      </w:r>
      <w:r w:rsidR="00646657" w:rsidRPr="00092331">
        <w:t xml:space="preserve">s and calculated as the proportion of infectious mosquitoes per species (Table </w:t>
      </w:r>
      <w:r w:rsidR="00E40467">
        <w:t>S2.</w:t>
      </w:r>
      <w:r w:rsidR="00646657" w:rsidRPr="00092331">
        <w:t xml:space="preserve">2). </w:t>
      </w:r>
      <w:r w:rsidR="00646657" w:rsidRPr="00092331">
        <w:rPr>
          <w:noProof/>
        </w:rPr>
        <w:t>In the absence of</w:t>
      </w:r>
      <w:r w:rsidR="00646657" w:rsidRPr="00092331">
        <w:t xml:space="preserve"> available entomological surveillance data, the collated </w:t>
      </w:r>
      <w:r w:rsidR="00646657" w:rsidRPr="00092331">
        <w:rPr>
          <w:noProof/>
        </w:rPr>
        <w:t>database</w:t>
      </w:r>
      <w:r w:rsidR="00646657" w:rsidRPr="00092331">
        <w:t xml:space="preserve"> </w:t>
      </w:r>
      <w:r w:rsidR="00646657" w:rsidRPr="00092331">
        <w:rPr>
          <w:noProof/>
        </w:rPr>
        <w:t>was screened</w:t>
      </w:r>
      <w:r w:rsidR="00646657" w:rsidRPr="00092331">
        <w:t xml:space="preserve"> for the </w:t>
      </w:r>
      <w:r w:rsidR="00646657" w:rsidRPr="00092331">
        <w:rPr>
          <w:noProof/>
        </w:rPr>
        <w:t>occurrence</w:t>
      </w:r>
      <w:r w:rsidR="00646657" w:rsidRPr="00092331">
        <w:t xml:space="preserve"> of vector species</w:t>
      </w:r>
      <w:r w:rsidR="00646657" w:rsidRPr="00092331">
        <w:rPr>
          <w:i/>
        </w:rPr>
        <w:t xml:space="preserve">. </w:t>
      </w:r>
      <w:r w:rsidR="00646657" w:rsidRPr="00092331">
        <w:t xml:space="preserve">If all three vectors were known to be present, their contribution to EIR </w:t>
      </w:r>
      <w:r w:rsidR="00646657" w:rsidRPr="00092331">
        <w:rPr>
          <w:noProof/>
        </w:rPr>
        <w:t>was distributed</w:t>
      </w:r>
      <w:r w:rsidR="00646657" w:rsidRPr="00092331">
        <w:t xml:space="preserve"> as 45% for</w:t>
      </w:r>
      <w:r w:rsidR="00646657" w:rsidRPr="00092331">
        <w:rPr>
          <w:i/>
        </w:rPr>
        <w:t xml:space="preserve"> </w:t>
      </w:r>
      <w:r w:rsidR="00E80027" w:rsidRPr="00092331">
        <w:rPr>
          <w:i/>
        </w:rPr>
        <w:t>An. funestus</w:t>
      </w:r>
      <w:r w:rsidR="00646657" w:rsidRPr="00092331">
        <w:rPr>
          <w:i/>
        </w:rPr>
        <w:t>,</w:t>
      </w:r>
      <w:r w:rsidR="00646657" w:rsidRPr="00092331">
        <w:t xml:space="preserve"> 45% for </w:t>
      </w:r>
      <w:r w:rsidR="00E80027" w:rsidRPr="00092331">
        <w:rPr>
          <w:i/>
        </w:rPr>
        <w:t>An. gambiae</w:t>
      </w:r>
      <w:r w:rsidR="00646657" w:rsidRPr="00092331">
        <w:rPr>
          <w:i/>
        </w:rPr>
        <w:t xml:space="preserve"> </w:t>
      </w:r>
      <w:proofErr w:type="spellStart"/>
      <w:r w:rsidR="00646657" w:rsidRPr="00092331">
        <w:rPr>
          <w:i/>
        </w:rPr>
        <w:t>s.s</w:t>
      </w:r>
      <w:r w:rsidR="00646657" w:rsidRPr="00092331">
        <w:t>.</w:t>
      </w:r>
      <w:proofErr w:type="spellEnd"/>
      <w:r w:rsidR="00646657" w:rsidRPr="00092331">
        <w:t xml:space="preserve"> and 10% for </w:t>
      </w:r>
      <w:r w:rsidR="00E80027" w:rsidRPr="00092331">
        <w:rPr>
          <w:i/>
        </w:rPr>
        <w:t>An. arabiensis</w:t>
      </w:r>
      <w:r w:rsidR="00646657" w:rsidRPr="00092331">
        <w:rPr>
          <w:i/>
        </w:rPr>
        <w:t xml:space="preserve">, </w:t>
      </w:r>
      <w:r w:rsidR="00646657" w:rsidRPr="00092331">
        <w:t xml:space="preserve">otherwise 80% for </w:t>
      </w:r>
      <w:r w:rsidR="00E80027" w:rsidRPr="00092331">
        <w:rPr>
          <w:i/>
        </w:rPr>
        <w:t>An. funestus</w:t>
      </w:r>
      <w:r w:rsidR="00646657" w:rsidRPr="00092331">
        <w:t xml:space="preserve">, 10% for </w:t>
      </w:r>
      <w:r w:rsidR="00E80027" w:rsidRPr="00092331">
        <w:rPr>
          <w:i/>
        </w:rPr>
        <w:t>An. gambiae</w:t>
      </w:r>
      <w:r w:rsidR="00646657" w:rsidRPr="00092331">
        <w:rPr>
          <w:i/>
        </w:rPr>
        <w:t xml:space="preserve"> </w:t>
      </w:r>
      <w:proofErr w:type="spellStart"/>
      <w:r w:rsidR="00646657" w:rsidRPr="00092331">
        <w:rPr>
          <w:i/>
        </w:rPr>
        <w:t>s.s.</w:t>
      </w:r>
      <w:proofErr w:type="spellEnd"/>
      <w:r w:rsidR="00646657" w:rsidRPr="00092331">
        <w:rPr>
          <w:i/>
        </w:rPr>
        <w:t xml:space="preserve"> </w:t>
      </w:r>
      <w:r w:rsidR="00646657" w:rsidRPr="00092331">
        <w:t xml:space="preserve">and 10% for </w:t>
      </w:r>
      <w:r w:rsidR="00E80027" w:rsidRPr="00092331">
        <w:rPr>
          <w:i/>
        </w:rPr>
        <w:t>An. arabiensis</w:t>
      </w:r>
      <w:r w:rsidR="00646657" w:rsidRPr="00092331">
        <w:rPr>
          <w:i/>
        </w:rPr>
        <w:t xml:space="preserve"> </w:t>
      </w:r>
      <w:r w:rsidR="00646657" w:rsidRPr="00092331">
        <w:t>(</w:t>
      </w:r>
      <w:r w:rsidR="009C3D40">
        <w:t xml:space="preserve">Fig </w:t>
      </w:r>
      <w:r w:rsidR="009C3D40" w:rsidRPr="009C3D40">
        <w:t>S2.1</w:t>
      </w:r>
      <w:r w:rsidR="00646657" w:rsidRPr="009C3D40">
        <w:t>)</w:t>
      </w:r>
      <w:r w:rsidR="00646657" w:rsidRPr="00092331">
        <w:t xml:space="preserve">. </w:t>
      </w:r>
      <w:bookmarkStart w:id="10" w:name="_Ref532899644"/>
      <w:bookmarkStart w:id="11" w:name="_Toc533358409"/>
    </w:p>
    <w:p w14:paraId="56FE97CE" w14:textId="77777777" w:rsidR="00810E50" w:rsidRDefault="00810E50" w:rsidP="00810E50">
      <w:pPr>
        <w:spacing w:after="0" w:line="360" w:lineRule="auto"/>
        <w:jc w:val="both"/>
        <w:rPr>
          <w:rFonts w:eastAsia="Times New Roman" w:cs="Times New Roman"/>
          <w:b/>
          <w:bCs/>
          <w:sz w:val="20"/>
          <w:szCs w:val="20"/>
          <w:lang w:eastAsia="de-DE"/>
        </w:rPr>
      </w:pPr>
    </w:p>
    <w:p w14:paraId="03631B46" w14:textId="7DBA8823" w:rsidR="00646657" w:rsidRPr="00092331" w:rsidRDefault="00646657" w:rsidP="001C4413">
      <w:pPr>
        <w:pStyle w:val="Caption"/>
        <w:spacing w:before="0" w:after="0" w:line="360" w:lineRule="auto"/>
        <w:rPr>
          <w:rFonts w:asciiTheme="minorHAnsi" w:hAnsiTheme="minorHAnsi"/>
          <w:b/>
        </w:rPr>
      </w:pPr>
      <w:r w:rsidRPr="00092331">
        <w:rPr>
          <w:rFonts w:asciiTheme="minorHAnsi" w:hAnsiTheme="minorHAnsi"/>
          <w:b/>
        </w:rPr>
        <w:t xml:space="preserve">Table </w:t>
      </w:r>
      <w:r w:rsidR="009C3D40">
        <w:rPr>
          <w:rFonts w:asciiTheme="minorHAnsi" w:hAnsiTheme="minorHAnsi"/>
          <w:b/>
        </w:rPr>
        <w:t>S2.</w:t>
      </w:r>
      <w:r w:rsidRPr="00092331">
        <w:rPr>
          <w:rFonts w:asciiTheme="minorHAnsi" w:hAnsiTheme="minorHAnsi"/>
          <w:b/>
        </w:rPr>
        <w:fldChar w:fldCharType="begin"/>
      </w:r>
      <w:r w:rsidRPr="00092331">
        <w:rPr>
          <w:rFonts w:asciiTheme="minorHAnsi" w:hAnsiTheme="minorHAnsi"/>
          <w:b/>
        </w:rPr>
        <w:instrText xml:space="preserve"> SEQ Table \* ARABIC </w:instrText>
      </w:r>
      <w:r w:rsidRPr="00092331">
        <w:rPr>
          <w:rFonts w:asciiTheme="minorHAnsi" w:hAnsiTheme="minorHAnsi"/>
          <w:b/>
        </w:rPr>
        <w:fldChar w:fldCharType="separate"/>
      </w:r>
      <w:r w:rsidR="00B51A34">
        <w:rPr>
          <w:rFonts w:asciiTheme="minorHAnsi" w:hAnsiTheme="minorHAnsi"/>
          <w:b/>
          <w:noProof/>
        </w:rPr>
        <w:t>2</w:t>
      </w:r>
      <w:r w:rsidRPr="00092331">
        <w:rPr>
          <w:rFonts w:asciiTheme="minorHAnsi" w:hAnsiTheme="minorHAnsi"/>
          <w:b/>
        </w:rPr>
        <w:fldChar w:fldCharType="end"/>
      </w:r>
      <w:bookmarkEnd w:id="10"/>
      <w:r w:rsidRPr="00092331">
        <w:rPr>
          <w:rFonts w:asciiTheme="minorHAnsi" w:hAnsiTheme="minorHAnsi"/>
          <w:b/>
        </w:rPr>
        <w:t xml:space="preserve">: </w:t>
      </w:r>
      <w:r w:rsidRPr="00E40467">
        <w:rPr>
          <w:rFonts w:asciiTheme="minorHAnsi" w:hAnsiTheme="minorHAnsi"/>
          <w:b/>
        </w:rPr>
        <w:t>Malaria vector characteristics</w:t>
      </w:r>
      <w:r w:rsidR="00D87D36" w:rsidRPr="00092331">
        <w:rPr>
          <w:rFonts w:asciiTheme="minorHAnsi" w:hAnsiTheme="minorHAnsi"/>
          <w:b/>
        </w:rPr>
        <w:t>.</w:t>
      </w:r>
      <w:r w:rsidRPr="00092331">
        <w:rPr>
          <w:rFonts w:asciiTheme="minorHAnsi" w:hAnsiTheme="minorHAnsi"/>
          <w:b/>
        </w:rPr>
        <w:t xml:space="preserve"> </w:t>
      </w:r>
      <w:bookmarkEnd w:id="11"/>
    </w:p>
    <w:tbl>
      <w:tblPr>
        <w:tblW w:w="9513" w:type="dxa"/>
        <w:tblInd w:w="93" w:type="dxa"/>
        <w:tblLook w:val="04A0" w:firstRow="1" w:lastRow="0" w:firstColumn="1" w:lastColumn="0" w:noHBand="0" w:noVBand="1"/>
      </w:tblPr>
      <w:tblGrid>
        <w:gridCol w:w="4410"/>
        <w:gridCol w:w="1701"/>
        <w:gridCol w:w="1717"/>
        <w:gridCol w:w="1685"/>
      </w:tblGrid>
      <w:tr w:rsidR="00646657" w:rsidRPr="00AC27AD" w14:paraId="2EB49F26" w14:textId="77777777" w:rsidTr="00D60EDE">
        <w:trPr>
          <w:trHeight w:val="284"/>
        </w:trPr>
        <w:tc>
          <w:tcPr>
            <w:tcW w:w="4410" w:type="dxa"/>
            <w:tcBorders>
              <w:top w:val="single" w:sz="4" w:space="0" w:color="auto"/>
              <w:left w:val="nil"/>
              <w:bottom w:val="single" w:sz="4" w:space="0" w:color="auto"/>
              <w:right w:val="single" w:sz="4" w:space="0" w:color="auto"/>
            </w:tcBorders>
            <w:vAlign w:val="center"/>
            <w:hideMark/>
          </w:tcPr>
          <w:p w14:paraId="0C19FBA3" w14:textId="77777777" w:rsidR="00646657" w:rsidRPr="00AC27AD" w:rsidRDefault="00B967ED" w:rsidP="004E4070">
            <w:pPr>
              <w:spacing w:after="0" w:line="240" w:lineRule="auto"/>
              <w:rPr>
                <w:sz w:val="20"/>
                <w:szCs w:val="20"/>
              </w:rPr>
            </w:pPr>
            <w:r w:rsidRPr="00AC27AD">
              <w:rPr>
                <w:rFonts w:cs="Arial"/>
                <w:b/>
                <w:sz w:val="20"/>
                <w:szCs w:val="20"/>
                <w:lang w:eastAsia="en-GB"/>
              </w:rPr>
              <w:t>Species specific parameter</w:t>
            </w:r>
          </w:p>
        </w:tc>
        <w:tc>
          <w:tcPr>
            <w:tcW w:w="1701" w:type="dxa"/>
            <w:tcBorders>
              <w:top w:val="single" w:sz="4" w:space="0" w:color="auto"/>
              <w:left w:val="single" w:sz="4" w:space="0" w:color="auto"/>
              <w:bottom w:val="single" w:sz="4" w:space="0" w:color="auto"/>
              <w:right w:val="nil"/>
            </w:tcBorders>
            <w:vAlign w:val="center"/>
            <w:hideMark/>
          </w:tcPr>
          <w:p w14:paraId="5BD76053" w14:textId="77777777" w:rsidR="00646657" w:rsidRPr="00AC27AD" w:rsidRDefault="00646657" w:rsidP="00B967ED">
            <w:pPr>
              <w:tabs>
                <w:tab w:val="left" w:pos="851"/>
              </w:tabs>
              <w:spacing w:after="0" w:line="240" w:lineRule="auto"/>
              <w:jc w:val="center"/>
              <w:rPr>
                <w:rFonts w:eastAsia="Times New Roman" w:cs="Arial"/>
                <w:b/>
                <w:bCs/>
                <w:i/>
                <w:iCs/>
                <w:sz w:val="20"/>
                <w:szCs w:val="20"/>
                <w:lang w:eastAsia="en-GB"/>
              </w:rPr>
            </w:pPr>
            <w:r w:rsidRPr="00AC27AD">
              <w:rPr>
                <w:rFonts w:cs="Arial"/>
                <w:b/>
                <w:bCs/>
                <w:i/>
                <w:iCs/>
                <w:sz w:val="20"/>
                <w:szCs w:val="20"/>
                <w:lang w:eastAsia="en-GB"/>
              </w:rPr>
              <w:t xml:space="preserve">An. </w:t>
            </w:r>
            <w:proofErr w:type="spellStart"/>
            <w:r w:rsidRPr="00AC27AD">
              <w:rPr>
                <w:rFonts w:cs="Arial"/>
                <w:b/>
                <w:bCs/>
                <w:i/>
                <w:iCs/>
                <w:sz w:val="20"/>
                <w:szCs w:val="20"/>
                <w:lang w:eastAsia="en-GB"/>
              </w:rPr>
              <w:t>funestus</w:t>
            </w:r>
            <w:proofErr w:type="spellEnd"/>
            <w:r w:rsidRPr="00AC27AD">
              <w:rPr>
                <w:rFonts w:cs="Arial"/>
                <w:b/>
                <w:bCs/>
                <w:i/>
                <w:iCs/>
                <w:sz w:val="20"/>
                <w:szCs w:val="20"/>
                <w:lang w:eastAsia="en-GB"/>
              </w:rPr>
              <w:t xml:space="preserve"> </w:t>
            </w:r>
            <w:proofErr w:type="spellStart"/>
            <w:r w:rsidRPr="00AC27AD">
              <w:rPr>
                <w:rFonts w:cs="Arial"/>
                <w:b/>
                <w:bCs/>
                <w:i/>
                <w:iCs/>
                <w:sz w:val="20"/>
                <w:szCs w:val="20"/>
                <w:lang w:eastAsia="en-GB"/>
              </w:rPr>
              <w:t>s.l</w:t>
            </w:r>
            <w:proofErr w:type="spellEnd"/>
          </w:p>
        </w:tc>
        <w:tc>
          <w:tcPr>
            <w:tcW w:w="1717" w:type="dxa"/>
            <w:tcBorders>
              <w:top w:val="single" w:sz="4" w:space="0" w:color="auto"/>
              <w:left w:val="nil"/>
              <w:bottom w:val="single" w:sz="4" w:space="0" w:color="auto"/>
              <w:right w:val="nil"/>
            </w:tcBorders>
            <w:vAlign w:val="center"/>
            <w:hideMark/>
          </w:tcPr>
          <w:p w14:paraId="70972E42" w14:textId="77777777" w:rsidR="00646657" w:rsidRPr="00AC27AD" w:rsidRDefault="00646657" w:rsidP="00B967ED">
            <w:pPr>
              <w:tabs>
                <w:tab w:val="left" w:pos="851"/>
              </w:tabs>
              <w:spacing w:after="0" w:line="240" w:lineRule="auto"/>
              <w:jc w:val="center"/>
              <w:rPr>
                <w:rFonts w:eastAsia="Times New Roman" w:cs="Arial"/>
                <w:b/>
                <w:bCs/>
                <w:i/>
                <w:iCs/>
                <w:sz w:val="20"/>
                <w:szCs w:val="20"/>
                <w:lang w:eastAsia="en-GB"/>
              </w:rPr>
            </w:pPr>
            <w:r w:rsidRPr="00AC27AD">
              <w:rPr>
                <w:rFonts w:cs="Arial"/>
                <w:b/>
                <w:bCs/>
                <w:i/>
                <w:iCs/>
                <w:sz w:val="20"/>
                <w:szCs w:val="20"/>
                <w:lang w:eastAsia="en-GB"/>
              </w:rPr>
              <w:t xml:space="preserve">An. </w:t>
            </w:r>
            <w:r w:rsidRPr="00AC27AD">
              <w:rPr>
                <w:rFonts w:cs="Arial"/>
                <w:b/>
                <w:bCs/>
                <w:i/>
                <w:iCs/>
                <w:noProof/>
                <w:sz w:val="20"/>
                <w:szCs w:val="20"/>
                <w:lang w:eastAsia="en-GB"/>
              </w:rPr>
              <w:t>gambiae</w:t>
            </w:r>
            <w:r w:rsidRPr="00AC27AD">
              <w:rPr>
                <w:rFonts w:cs="Arial"/>
                <w:b/>
                <w:bCs/>
                <w:i/>
                <w:iCs/>
                <w:sz w:val="20"/>
                <w:szCs w:val="20"/>
                <w:lang w:eastAsia="en-GB"/>
              </w:rPr>
              <w:t xml:space="preserve"> </w:t>
            </w:r>
            <w:proofErr w:type="spellStart"/>
            <w:r w:rsidRPr="00AC27AD">
              <w:rPr>
                <w:rFonts w:cs="Arial"/>
                <w:b/>
                <w:bCs/>
                <w:i/>
                <w:iCs/>
                <w:sz w:val="20"/>
                <w:szCs w:val="20"/>
                <w:lang w:eastAsia="en-GB"/>
              </w:rPr>
              <w:t>s.s.</w:t>
            </w:r>
            <w:proofErr w:type="spellEnd"/>
          </w:p>
        </w:tc>
        <w:tc>
          <w:tcPr>
            <w:tcW w:w="1685" w:type="dxa"/>
            <w:tcBorders>
              <w:top w:val="single" w:sz="4" w:space="0" w:color="auto"/>
              <w:left w:val="nil"/>
              <w:bottom w:val="single" w:sz="4" w:space="0" w:color="auto"/>
              <w:right w:val="nil"/>
            </w:tcBorders>
            <w:vAlign w:val="center"/>
            <w:hideMark/>
          </w:tcPr>
          <w:p w14:paraId="72D69F92" w14:textId="77777777" w:rsidR="00646657" w:rsidRPr="00AC27AD" w:rsidRDefault="00646657" w:rsidP="00B967ED">
            <w:pPr>
              <w:tabs>
                <w:tab w:val="left" w:pos="851"/>
              </w:tabs>
              <w:spacing w:after="0" w:line="240" w:lineRule="auto"/>
              <w:jc w:val="center"/>
              <w:rPr>
                <w:rFonts w:eastAsia="Times New Roman" w:cs="Arial"/>
                <w:b/>
                <w:bCs/>
                <w:i/>
                <w:iCs/>
                <w:sz w:val="20"/>
                <w:szCs w:val="20"/>
                <w:lang w:eastAsia="en-GB"/>
              </w:rPr>
            </w:pPr>
            <w:r w:rsidRPr="00AC27AD">
              <w:rPr>
                <w:rFonts w:cs="Arial"/>
                <w:b/>
                <w:bCs/>
                <w:i/>
                <w:iCs/>
                <w:sz w:val="20"/>
                <w:szCs w:val="20"/>
                <w:lang w:eastAsia="en-GB"/>
              </w:rPr>
              <w:t>An. arabiensis</w:t>
            </w:r>
          </w:p>
        </w:tc>
      </w:tr>
      <w:tr w:rsidR="00646657" w:rsidRPr="00AC27AD" w14:paraId="351FFCEA" w14:textId="77777777" w:rsidTr="00D60EDE">
        <w:trPr>
          <w:trHeight w:val="284"/>
        </w:trPr>
        <w:tc>
          <w:tcPr>
            <w:tcW w:w="4410" w:type="dxa"/>
            <w:tcBorders>
              <w:top w:val="nil"/>
              <w:left w:val="nil"/>
              <w:bottom w:val="single" w:sz="4" w:space="0" w:color="auto"/>
              <w:right w:val="single" w:sz="4" w:space="0" w:color="auto"/>
            </w:tcBorders>
            <w:vAlign w:val="center"/>
            <w:hideMark/>
          </w:tcPr>
          <w:p w14:paraId="624A3910" w14:textId="77777777" w:rsidR="00646657" w:rsidRPr="00AC27AD" w:rsidRDefault="00646657" w:rsidP="004E4070">
            <w:pPr>
              <w:tabs>
                <w:tab w:val="left" w:pos="851"/>
              </w:tabs>
              <w:spacing w:after="0" w:line="240" w:lineRule="auto"/>
              <w:rPr>
                <w:rFonts w:eastAsia="Times New Roman" w:cs="Arial"/>
                <w:b/>
                <w:bCs/>
                <w:sz w:val="20"/>
                <w:szCs w:val="20"/>
                <w:lang w:eastAsia="en-GB"/>
              </w:rPr>
            </w:pPr>
            <w:r w:rsidRPr="00AC27AD">
              <w:rPr>
                <w:rFonts w:cs="Arial"/>
                <w:b/>
                <w:bCs/>
                <w:sz w:val="20"/>
                <w:szCs w:val="20"/>
                <w:lang w:eastAsia="en-GB"/>
              </w:rPr>
              <w:t>Seasonality</w:t>
            </w:r>
          </w:p>
        </w:tc>
        <w:tc>
          <w:tcPr>
            <w:tcW w:w="5103" w:type="dxa"/>
            <w:gridSpan w:val="3"/>
            <w:tcBorders>
              <w:top w:val="nil"/>
              <w:left w:val="single" w:sz="4" w:space="0" w:color="auto"/>
              <w:bottom w:val="single" w:sz="4" w:space="0" w:color="auto"/>
              <w:right w:val="nil"/>
            </w:tcBorders>
            <w:vAlign w:val="center"/>
            <w:hideMark/>
          </w:tcPr>
          <w:p w14:paraId="547C06DC" w14:textId="77777777" w:rsidR="00646657" w:rsidRPr="00AE0C05" w:rsidRDefault="00646657" w:rsidP="00B967ED">
            <w:pPr>
              <w:tabs>
                <w:tab w:val="left" w:pos="851"/>
              </w:tabs>
              <w:spacing w:after="0" w:line="240" w:lineRule="auto"/>
              <w:jc w:val="center"/>
              <w:rPr>
                <w:rFonts w:eastAsia="Times New Roman" w:cs="Arial"/>
                <w:iCs/>
                <w:sz w:val="20"/>
                <w:szCs w:val="20"/>
                <w:lang w:eastAsia="en-GB"/>
              </w:rPr>
            </w:pPr>
            <w:r w:rsidRPr="00AE0C05">
              <w:rPr>
                <w:rFonts w:cs="Arial"/>
                <w:iCs/>
                <w:sz w:val="20"/>
                <w:szCs w:val="20"/>
                <w:lang w:eastAsia="en-GB"/>
              </w:rPr>
              <w:t xml:space="preserve">Same for all species following </w:t>
            </w:r>
            <w:r w:rsidR="00503CA2" w:rsidRPr="00AE0C05">
              <w:rPr>
                <w:rFonts w:cs="Arial"/>
                <w:iCs/>
                <w:sz w:val="20"/>
                <w:szCs w:val="20"/>
                <w:lang w:eastAsia="en-GB"/>
              </w:rPr>
              <w:t>council</w:t>
            </w:r>
            <w:r w:rsidRPr="00AE0C05">
              <w:rPr>
                <w:rFonts w:cs="Arial"/>
                <w:iCs/>
                <w:sz w:val="20"/>
                <w:szCs w:val="20"/>
                <w:lang w:eastAsia="en-GB"/>
              </w:rPr>
              <w:t xml:space="preserve"> specific climate suitability trends</w:t>
            </w:r>
          </w:p>
        </w:tc>
      </w:tr>
      <w:tr w:rsidR="00646657" w:rsidRPr="00AC27AD" w14:paraId="055B99E1" w14:textId="77777777" w:rsidTr="00D60EDE">
        <w:trPr>
          <w:trHeight w:val="284"/>
        </w:trPr>
        <w:tc>
          <w:tcPr>
            <w:tcW w:w="4410" w:type="dxa"/>
            <w:tcBorders>
              <w:top w:val="single" w:sz="4" w:space="0" w:color="auto"/>
              <w:left w:val="nil"/>
              <w:bottom w:val="single" w:sz="4" w:space="0" w:color="auto"/>
              <w:right w:val="single" w:sz="4" w:space="0" w:color="auto"/>
            </w:tcBorders>
            <w:vAlign w:val="center"/>
            <w:hideMark/>
          </w:tcPr>
          <w:p w14:paraId="2736726E" w14:textId="4FAC01FC" w:rsidR="00646657" w:rsidRPr="00AC27AD" w:rsidRDefault="00D60EDE" w:rsidP="004E4070">
            <w:pPr>
              <w:tabs>
                <w:tab w:val="left" w:pos="851"/>
              </w:tabs>
              <w:spacing w:after="0" w:line="240" w:lineRule="auto"/>
              <w:rPr>
                <w:rFonts w:eastAsia="Times New Roman" w:cs="Arial"/>
                <w:b/>
                <w:bCs/>
                <w:sz w:val="20"/>
                <w:szCs w:val="20"/>
                <w:lang w:eastAsia="en-GB"/>
              </w:rPr>
            </w:pPr>
            <w:r>
              <w:rPr>
                <w:rFonts w:cs="Arial"/>
                <w:b/>
                <w:bCs/>
                <w:sz w:val="20"/>
                <w:szCs w:val="20"/>
                <w:lang w:eastAsia="en-GB"/>
              </w:rPr>
              <w:t>Pyrethroid</w:t>
            </w:r>
            <w:r w:rsidR="00646657" w:rsidRPr="00AC27AD">
              <w:rPr>
                <w:rFonts w:cs="Arial"/>
                <w:b/>
                <w:bCs/>
                <w:sz w:val="20"/>
                <w:szCs w:val="20"/>
                <w:lang w:eastAsia="en-GB"/>
              </w:rPr>
              <w:t xml:space="preserve"> resistance</w:t>
            </w:r>
          </w:p>
        </w:tc>
        <w:tc>
          <w:tcPr>
            <w:tcW w:w="5103" w:type="dxa"/>
            <w:gridSpan w:val="3"/>
            <w:tcBorders>
              <w:top w:val="single" w:sz="4" w:space="0" w:color="auto"/>
              <w:left w:val="single" w:sz="4" w:space="0" w:color="auto"/>
              <w:bottom w:val="single" w:sz="4" w:space="0" w:color="auto"/>
              <w:right w:val="nil"/>
            </w:tcBorders>
            <w:vAlign w:val="center"/>
            <w:hideMark/>
          </w:tcPr>
          <w:p w14:paraId="6ED09C22" w14:textId="090053E4" w:rsidR="00646657" w:rsidRPr="00AE0C05" w:rsidRDefault="00D60EDE" w:rsidP="00B967ED">
            <w:pPr>
              <w:spacing w:after="0" w:line="240" w:lineRule="auto"/>
              <w:jc w:val="center"/>
              <w:rPr>
                <w:rFonts w:eastAsia="Times New Roman" w:cs="Arial"/>
                <w:bCs/>
                <w:sz w:val="20"/>
                <w:szCs w:val="20"/>
                <w:lang w:eastAsia="en-GB"/>
              </w:rPr>
            </w:pPr>
            <w:r w:rsidRPr="00AE0C05">
              <w:rPr>
                <w:rFonts w:cs="Arial"/>
                <w:bCs/>
                <w:sz w:val="20"/>
                <w:szCs w:val="20"/>
                <w:lang w:eastAsia="en-GB"/>
              </w:rPr>
              <w:t xml:space="preserve">before </w:t>
            </w:r>
            <w:r w:rsidR="00646657" w:rsidRPr="00AE0C05">
              <w:rPr>
                <w:rFonts w:cs="Arial"/>
                <w:bCs/>
                <w:sz w:val="20"/>
                <w:szCs w:val="20"/>
                <w:lang w:eastAsia="en-GB"/>
              </w:rPr>
              <w:t>2011: 0%</w:t>
            </w:r>
          </w:p>
          <w:p w14:paraId="5402AAB4" w14:textId="77777777" w:rsidR="00646657" w:rsidRPr="00AE0C05" w:rsidRDefault="00646657" w:rsidP="00B967ED">
            <w:pPr>
              <w:tabs>
                <w:tab w:val="left" w:pos="851"/>
              </w:tabs>
              <w:spacing w:after="0" w:line="240" w:lineRule="auto"/>
              <w:jc w:val="center"/>
              <w:rPr>
                <w:rFonts w:eastAsia="Times New Roman" w:cs="Arial"/>
                <w:bCs/>
                <w:sz w:val="20"/>
                <w:szCs w:val="20"/>
                <w:lang w:eastAsia="en-GB"/>
              </w:rPr>
            </w:pPr>
            <w:r w:rsidRPr="00AE0C05">
              <w:rPr>
                <w:rFonts w:cs="Arial"/>
                <w:bCs/>
                <w:sz w:val="20"/>
                <w:szCs w:val="20"/>
                <w:lang w:eastAsia="en-GB"/>
              </w:rPr>
              <w:t>after 2011: 80%</w:t>
            </w:r>
          </w:p>
        </w:tc>
      </w:tr>
      <w:tr w:rsidR="00646657" w:rsidRPr="00AC27AD" w14:paraId="069AA4D4" w14:textId="77777777" w:rsidTr="00D60EDE">
        <w:trPr>
          <w:trHeight w:val="284"/>
        </w:trPr>
        <w:tc>
          <w:tcPr>
            <w:tcW w:w="4410" w:type="dxa"/>
            <w:tcBorders>
              <w:top w:val="single" w:sz="4" w:space="0" w:color="auto"/>
              <w:left w:val="nil"/>
              <w:bottom w:val="single" w:sz="4" w:space="0" w:color="auto"/>
              <w:right w:val="single" w:sz="4" w:space="0" w:color="auto"/>
            </w:tcBorders>
            <w:vAlign w:val="center"/>
            <w:hideMark/>
          </w:tcPr>
          <w:p w14:paraId="262B0217" w14:textId="77777777" w:rsidR="00646657" w:rsidRPr="00AC27AD" w:rsidRDefault="00646657" w:rsidP="004E4070">
            <w:pPr>
              <w:tabs>
                <w:tab w:val="left" w:pos="851"/>
              </w:tabs>
              <w:spacing w:after="0" w:line="240" w:lineRule="auto"/>
              <w:rPr>
                <w:rFonts w:cs="Arial"/>
                <w:b/>
                <w:bCs/>
                <w:sz w:val="20"/>
                <w:szCs w:val="20"/>
                <w:lang w:eastAsia="en-GB"/>
              </w:rPr>
            </w:pPr>
            <w:r w:rsidRPr="00AC27AD">
              <w:rPr>
                <w:rFonts w:cs="Arial"/>
                <w:b/>
                <w:bCs/>
                <w:sz w:val="20"/>
                <w:szCs w:val="20"/>
                <w:lang w:eastAsia="en-GB"/>
              </w:rPr>
              <w:t xml:space="preserve">Affected by indoor intervention </w:t>
            </w:r>
          </w:p>
        </w:tc>
        <w:tc>
          <w:tcPr>
            <w:tcW w:w="1701" w:type="dxa"/>
            <w:tcBorders>
              <w:top w:val="single" w:sz="4" w:space="0" w:color="auto"/>
              <w:left w:val="single" w:sz="4" w:space="0" w:color="auto"/>
              <w:bottom w:val="single" w:sz="4" w:space="0" w:color="auto"/>
              <w:right w:val="nil"/>
            </w:tcBorders>
            <w:vAlign w:val="center"/>
            <w:hideMark/>
          </w:tcPr>
          <w:p w14:paraId="5AFBEC6B"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90%</w:t>
            </w:r>
          </w:p>
        </w:tc>
        <w:tc>
          <w:tcPr>
            <w:tcW w:w="1717" w:type="dxa"/>
            <w:tcBorders>
              <w:top w:val="single" w:sz="4" w:space="0" w:color="auto"/>
              <w:bottom w:val="single" w:sz="4" w:space="0" w:color="auto"/>
            </w:tcBorders>
            <w:vAlign w:val="center"/>
            <w:hideMark/>
          </w:tcPr>
          <w:p w14:paraId="0DA9AA54"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80%</w:t>
            </w:r>
          </w:p>
        </w:tc>
        <w:tc>
          <w:tcPr>
            <w:tcW w:w="1685" w:type="dxa"/>
            <w:tcBorders>
              <w:top w:val="single" w:sz="4" w:space="0" w:color="auto"/>
              <w:bottom w:val="single" w:sz="4" w:space="0" w:color="auto"/>
            </w:tcBorders>
            <w:vAlign w:val="center"/>
            <w:hideMark/>
          </w:tcPr>
          <w:p w14:paraId="40F809BE"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30%</w:t>
            </w:r>
          </w:p>
        </w:tc>
      </w:tr>
      <w:tr w:rsidR="00646657" w:rsidRPr="00AC27AD" w14:paraId="44520F6B" w14:textId="77777777" w:rsidTr="00D60EDE">
        <w:trPr>
          <w:trHeight w:val="284"/>
        </w:trPr>
        <w:tc>
          <w:tcPr>
            <w:tcW w:w="4410" w:type="dxa"/>
            <w:tcBorders>
              <w:top w:val="single" w:sz="4" w:space="0" w:color="auto"/>
              <w:left w:val="nil"/>
              <w:bottom w:val="single" w:sz="4" w:space="0" w:color="auto"/>
              <w:right w:val="single" w:sz="4" w:space="0" w:color="auto"/>
            </w:tcBorders>
            <w:vAlign w:val="center"/>
            <w:hideMark/>
          </w:tcPr>
          <w:p w14:paraId="75B21495" w14:textId="190080DF" w:rsidR="00646657" w:rsidRPr="00AC27AD" w:rsidRDefault="00646657" w:rsidP="00AC27AD">
            <w:pPr>
              <w:tabs>
                <w:tab w:val="left" w:pos="851"/>
              </w:tabs>
              <w:spacing w:after="0" w:line="240" w:lineRule="auto"/>
              <w:rPr>
                <w:rFonts w:eastAsia="Times New Roman" w:cs="Arial"/>
                <w:b/>
                <w:bCs/>
                <w:sz w:val="20"/>
                <w:szCs w:val="20"/>
                <w:lang w:eastAsia="en-GB"/>
              </w:rPr>
            </w:pPr>
            <w:r w:rsidRPr="00AC27AD">
              <w:rPr>
                <w:rFonts w:cs="Arial"/>
                <w:b/>
                <w:bCs/>
                <w:sz w:val="20"/>
                <w:szCs w:val="20"/>
                <w:lang w:eastAsia="en-GB"/>
              </w:rPr>
              <w:t xml:space="preserve">Human </w:t>
            </w:r>
            <w:r w:rsidR="00AC27AD" w:rsidRPr="00AC27AD">
              <w:rPr>
                <w:rFonts w:cs="Arial"/>
                <w:b/>
                <w:bCs/>
                <w:sz w:val="20"/>
                <w:szCs w:val="20"/>
                <w:lang w:eastAsia="en-GB"/>
              </w:rPr>
              <w:t>b</w:t>
            </w:r>
            <w:r w:rsidRPr="00AC27AD">
              <w:rPr>
                <w:rFonts w:cs="Arial"/>
                <w:b/>
                <w:bCs/>
                <w:sz w:val="20"/>
                <w:szCs w:val="20"/>
                <w:lang w:eastAsia="en-GB"/>
              </w:rPr>
              <w:t xml:space="preserve">lood </w:t>
            </w:r>
            <w:r w:rsidR="00AC27AD" w:rsidRPr="00AC27AD">
              <w:rPr>
                <w:rFonts w:cs="Arial"/>
                <w:b/>
                <w:bCs/>
                <w:sz w:val="20"/>
                <w:szCs w:val="20"/>
                <w:lang w:eastAsia="en-GB"/>
              </w:rPr>
              <w:t>i</w:t>
            </w:r>
            <w:r w:rsidRPr="00AC27AD">
              <w:rPr>
                <w:rFonts w:cs="Arial"/>
                <w:b/>
                <w:bCs/>
                <w:sz w:val="20"/>
                <w:szCs w:val="20"/>
                <w:lang w:eastAsia="en-GB"/>
              </w:rPr>
              <w:t>ndex</w:t>
            </w:r>
          </w:p>
        </w:tc>
        <w:tc>
          <w:tcPr>
            <w:tcW w:w="1701" w:type="dxa"/>
            <w:tcBorders>
              <w:top w:val="single" w:sz="4" w:space="0" w:color="auto"/>
              <w:left w:val="single" w:sz="4" w:space="0" w:color="auto"/>
              <w:bottom w:val="single" w:sz="4" w:space="0" w:color="auto"/>
              <w:right w:val="nil"/>
            </w:tcBorders>
            <w:vAlign w:val="center"/>
            <w:hideMark/>
          </w:tcPr>
          <w:p w14:paraId="4BCC817A" w14:textId="1AFFA1E0"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0.98</w:t>
            </w:r>
            <w:r w:rsidR="00E40467">
              <w:rPr>
                <w:rFonts w:cs="Arial"/>
                <w:sz w:val="20"/>
                <w:szCs w:val="20"/>
                <w:lang w:eastAsia="en-GB"/>
              </w:rPr>
              <w:t>0</w:t>
            </w:r>
          </w:p>
        </w:tc>
        <w:tc>
          <w:tcPr>
            <w:tcW w:w="1717" w:type="dxa"/>
            <w:tcBorders>
              <w:top w:val="single" w:sz="4" w:space="0" w:color="auto"/>
              <w:bottom w:val="single" w:sz="4" w:space="0" w:color="auto"/>
            </w:tcBorders>
            <w:vAlign w:val="center"/>
            <w:hideMark/>
          </w:tcPr>
          <w:p w14:paraId="7F900DFE"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0.939</w:t>
            </w:r>
          </w:p>
        </w:tc>
        <w:tc>
          <w:tcPr>
            <w:tcW w:w="1685" w:type="dxa"/>
            <w:tcBorders>
              <w:top w:val="single" w:sz="4" w:space="0" w:color="auto"/>
              <w:bottom w:val="single" w:sz="4" w:space="0" w:color="auto"/>
            </w:tcBorders>
            <w:vAlign w:val="center"/>
            <w:hideMark/>
          </w:tcPr>
          <w:p w14:paraId="5475BFF5"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0.871</w:t>
            </w:r>
          </w:p>
        </w:tc>
      </w:tr>
      <w:tr w:rsidR="00646657" w:rsidRPr="00AC27AD" w14:paraId="741D818A" w14:textId="77777777" w:rsidTr="00D60EDE">
        <w:trPr>
          <w:trHeight w:val="284"/>
        </w:trPr>
        <w:tc>
          <w:tcPr>
            <w:tcW w:w="4410" w:type="dxa"/>
            <w:tcBorders>
              <w:top w:val="single" w:sz="4" w:space="0" w:color="auto"/>
              <w:left w:val="nil"/>
              <w:bottom w:val="single" w:sz="4" w:space="0" w:color="auto"/>
              <w:right w:val="single" w:sz="4" w:space="0" w:color="auto"/>
            </w:tcBorders>
            <w:vAlign w:val="center"/>
            <w:hideMark/>
          </w:tcPr>
          <w:p w14:paraId="1B26478D" w14:textId="77777777" w:rsidR="00646657" w:rsidRPr="00AC27AD" w:rsidRDefault="00646657" w:rsidP="004E4070">
            <w:pPr>
              <w:tabs>
                <w:tab w:val="left" w:pos="851"/>
              </w:tabs>
              <w:spacing w:after="0" w:line="240" w:lineRule="auto"/>
              <w:rPr>
                <w:rFonts w:eastAsia="Times New Roman" w:cs="Arial"/>
                <w:b/>
                <w:bCs/>
                <w:sz w:val="20"/>
                <w:szCs w:val="20"/>
                <w:lang w:eastAsia="en-GB"/>
              </w:rPr>
            </w:pPr>
            <w:r w:rsidRPr="00AC27AD">
              <w:rPr>
                <w:rFonts w:cs="Arial"/>
                <w:b/>
                <w:bCs/>
                <w:noProof/>
                <w:sz w:val="20"/>
                <w:szCs w:val="20"/>
                <w:lang w:eastAsia="en-GB"/>
              </w:rPr>
              <w:t>Proportion</w:t>
            </w:r>
            <w:r w:rsidRPr="00AC27AD">
              <w:rPr>
                <w:rFonts w:cs="Arial"/>
                <w:b/>
                <w:bCs/>
                <w:sz w:val="20"/>
                <w:szCs w:val="20"/>
                <w:lang w:eastAsia="en-GB"/>
              </w:rPr>
              <w:t xml:space="preserve"> of mosquitoes host seeking on </w:t>
            </w:r>
            <w:r w:rsidRPr="00AC27AD">
              <w:rPr>
                <w:rFonts w:cs="Arial"/>
                <w:b/>
                <w:bCs/>
                <w:noProof/>
                <w:sz w:val="20"/>
                <w:szCs w:val="20"/>
                <w:lang w:eastAsia="en-GB"/>
              </w:rPr>
              <w:t>same</w:t>
            </w:r>
            <w:r w:rsidRPr="00AC27AD">
              <w:rPr>
                <w:rFonts w:cs="Arial"/>
                <w:b/>
                <w:bCs/>
                <w:sz w:val="20"/>
                <w:szCs w:val="20"/>
                <w:lang w:eastAsia="en-GB"/>
              </w:rPr>
              <w:t xml:space="preserve"> day as </w:t>
            </w:r>
            <w:proofErr w:type="spellStart"/>
            <w:r w:rsidRPr="00AC27AD">
              <w:rPr>
                <w:rFonts w:cs="Arial"/>
                <w:b/>
                <w:bCs/>
                <w:sz w:val="20"/>
                <w:szCs w:val="20"/>
                <w:lang w:eastAsia="en-GB"/>
              </w:rPr>
              <w:t>ovipositing</w:t>
            </w:r>
            <w:proofErr w:type="spellEnd"/>
          </w:p>
        </w:tc>
        <w:tc>
          <w:tcPr>
            <w:tcW w:w="1701" w:type="dxa"/>
            <w:tcBorders>
              <w:top w:val="single" w:sz="4" w:space="0" w:color="auto"/>
              <w:left w:val="single" w:sz="4" w:space="0" w:color="auto"/>
              <w:bottom w:val="single" w:sz="4" w:space="0" w:color="auto"/>
              <w:right w:val="nil"/>
            </w:tcBorders>
            <w:vAlign w:val="center"/>
            <w:hideMark/>
          </w:tcPr>
          <w:p w14:paraId="2693B13C"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0.616</w:t>
            </w:r>
          </w:p>
        </w:tc>
        <w:tc>
          <w:tcPr>
            <w:tcW w:w="1717" w:type="dxa"/>
            <w:tcBorders>
              <w:top w:val="single" w:sz="4" w:space="0" w:color="auto"/>
              <w:bottom w:val="single" w:sz="4" w:space="0" w:color="auto"/>
            </w:tcBorders>
            <w:vAlign w:val="center"/>
            <w:hideMark/>
          </w:tcPr>
          <w:p w14:paraId="0B030971"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0.313</w:t>
            </w:r>
          </w:p>
        </w:tc>
        <w:tc>
          <w:tcPr>
            <w:tcW w:w="1685" w:type="dxa"/>
            <w:tcBorders>
              <w:top w:val="single" w:sz="4" w:space="0" w:color="auto"/>
              <w:bottom w:val="single" w:sz="4" w:space="0" w:color="auto"/>
            </w:tcBorders>
            <w:vAlign w:val="center"/>
            <w:hideMark/>
          </w:tcPr>
          <w:p w14:paraId="0E8DE1D6"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0.313</w:t>
            </w:r>
          </w:p>
        </w:tc>
      </w:tr>
      <w:tr w:rsidR="00646657" w:rsidRPr="00AC27AD" w14:paraId="3A1298F8" w14:textId="77777777" w:rsidTr="00D60EDE">
        <w:trPr>
          <w:trHeight w:val="284"/>
        </w:trPr>
        <w:tc>
          <w:tcPr>
            <w:tcW w:w="4410" w:type="dxa"/>
            <w:tcBorders>
              <w:top w:val="single" w:sz="4" w:space="0" w:color="auto"/>
              <w:left w:val="nil"/>
              <w:right w:val="single" w:sz="4" w:space="0" w:color="auto"/>
            </w:tcBorders>
            <w:vAlign w:val="center"/>
            <w:hideMark/>
          </w:tcPr>
          <w:p w14:paraId="2AFF912E" w14:textId="77777777" w:rsidR="00646657" w:rsidRPr="00AC27AD" w:rsidRDefault="00646657" w:rsidP="004E4070">
            <w:pPr>
              <w:tabs>
                <w:tab w:val="left" w:pos="851"/>
              </w:tabs>
              <w:spacing w:after="0" w:line="240" w:lineRule="auto"/>
              <w:rPr>
                <w:rFonts w:eastAsia="Times New Roman" w:cs="Arial"/>
                <w:b/>
                <w:bCs/>
                <w:sz w:val="20"/>
                <w:szCs w:val="20"/>
                <w:lang w:eastAsia="en-GB"/>
              </w:rPr>
            </w:pPr>
            <w:r w:rsidRPr="00AC27AD">
              <w:rPr>
                <w:rFonts w:cs="Arial"/>
                <w:b/>
                <w:bCs/>
                <w:sz w:val="20"/>
                <w:szCs w:val="20"/>
                <w:lang w:eastAsia="en-GB"/>
              </w:rPr>
              <w:t>Sporozoites rate</w:t>
            </w:r>
          </w:p>
        </w:tc>
        <w:tc>
          <w:tcPr>
            <w:tcW w:w="1701" w:type="dxa"/>
            <w:tcBorders>
              <w:top w:val="single" w:sz="4" w:space="0" w:color="auto"/>
              <w:left w:val="single" w:sz="4" w:space="0" w:color="auto"/>
              <w:right w:val="nil"/>
            </w:tcBorders>
            <w:vAlign w:val="center"/>
            <w:hideMark/>
          </w:tcPr>
          <w:p w14:paraId="297169E7"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0.694</w:t>
            </w:r>
          </w:p>
        </w:tc>
        <w:tc>
          <w:tcPr>
            <w:tcW w:w="1717" w:type="dxa"/>
            <w:tcBorders>
              <w:top w:val="single" w:sz="4" w:space="0" w:color="auto"/>
            </w:tcBorders>
            <w:vAlign w:val="center"/>
            <w:hideMark/>
          </w:tcPr>
          <w:p w14:paraId="7EF894BC"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0.264</w:t>
            </w:r>
          </w:p>
        </w:tc>
        <w:tc>
          <w:tcPr>
            <w:tcW w:w="1685" w:type="dxa"/>
            <w:tcBorders>
              <w:top w:val="single" w:sz="4" w:space="0" w:color="auto"/>
            </w:tcBorders>
            <w:vAlign w:val="center"/>
            <w:hideMark/>
          </w:tcPr>
          <w:p w14:paraId="216EFDFD"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0.042</w:t>
            </w:r>
          </w:p>
        </w:tc>
      </w:tr>
      <w:tr w:rsidR="00646657" w:rsidRPr="00AC27AD" w14:paraId="14E0A473" w14:textId="77777777" w:rsidTr="00D60EDE">
        <w:trPr>
          <w:trHeight w:val="284"/>
        </w:trPr>
        <w:tc>
          <w:tcPr>
            <w:tcW w:w="4410" w:type="dxa"/>
            <w:tcBorders>
              <w:top w:val="nil"/>
              <w:left w:val="nil"/>
              <w:bottom w:val="single" w:sz="4" w:space="0" w:color="auto"/>
              <w:right w:val="single" w:sz="4" w:space="0" w:color="auto"/>
            </w:tcBorders>
            <w:vAlign w:val="center"/>
            <w:hideMark/>
          </w:tcPr>
          <w:p w14:paraId="22AABC7E" w14:textId="4A9FE7AF" w:rsidR="00646657" w:rsidRPr="00D60EDE" w:rsidRDefault="00092331" w:rsidP="004E4070">
            <w:pPr>
              <w:spacing w:after="0" w:line="240" w:lineRule="auto"/>
              <w:rPr>
                <w:rFonts w:eastAsia="Times New Roman" w:cs="Arial"/>
                <w:b/>
                <w:bCs/>
                <w:sz w:val="18"/>
                <w:szCs w:val="20"/>
                <w:lang w:eastAsia="en-GB"/>
              </w:rPr>
            </w:pPr>
            <w:r w:rsidRPr="00AC27AD">
              <w:rPr>
                <w:rFonts w:cs="Arial"/>
                <w:b/>
                <w:bCs/>
                <w:sz w:val="20"/>
                <w:szCs w:val="20"/>
                <w:lang w:eastAsia="en-GB"/>
              </w:rPr>
              <w:t>Contribution to EIR</w:t>
            </w:r>
            <w:r w:rsidR="00D60EDE">
              <w:rPr>
                <w:rFonts w:cs="Arial"/>
                <w:b/>
                <w:bCs/>
                <w:sz w:val="20"/>
                <w:szCs w:val="20"/>
                <w:lang w:eastAsia="en-GB"/>
              </w:rPr>
              <w:t xml:space="preserve"> </w:t>
            </w:r>
            <w:r w:rsidR="00646657" w:rsidRPr="00D60EDE">
              <w:rPr>
                <w:rFonts w:cs="Arial"/>
                <w:b/>
                <w:bCs/>
                <w:sz w:val="18"/>
                <w:szCs w:val="20"/>
                <w:u w:val="single"/>
                <w:lang w:eastAsia="en-GB"/>
              </w:rPr>
              <w:t>(</w:t>
            </w:r>
            <w:r w:rsidR="00380545" w:rsidRPr="00D60EDE">
              <w:rPr>
                <w:rFonts w:cs="Arial"/>
                <w:b/>
                <w:bCs/>
                <w:sz w:val="18"/>
                <w:szCs w:val="20"/>
                <w:u w:val="single"/>
                <w:lang w:eastAsia="en-GB"/>
              </w:rPr>
              <w:t xml:space="preserve">assumed </w:t>
            </w:r>
            <w:r w:rsidR="00646657" w:rsidRPr="00D60EDE">
              <w:rPr>
                <w:rFonts w:cs="Arial"/>
                <w:b/>
                <w:bCs/>
                <w:noProof/>
                <w:sz w:val="18"/>
                <w:szCs w:val="20"/>
                <w:u w:val="single"/>
                <w:lang w:eastAsia="en-GB"/>
              </w:rPr>
              <w:t>in</w:t>
            </w:r>
            <w:r w:rsidR="003267AF" w:rsidRPr="00D60EDE">
              <w:rPr>
                <w:rFonts w:cs="Arial"/>
                <w:b/>
                <w:bCs/>
                <w:noProof/>
                <w:sz w:val="18"/>
                <w:szCs w:val="20"/>
                <w:u w:val="single"/>
                <w:lang w:eastAsia="en-GB"/>
              </w:rPr>
              <w:t xml:space="preserve"> the</w:t>
            </w:r>
            <w:r w:rsidR="00646657" w:rsidRPr="00D60EDE">
              <w:rPr>
                <w:rFonts w:cs="Arial"/>
                <w:b/>
                <w:bCs/>
                <w:noProof/>
                <w:sz w:val="18"/>
                <w:szCs w:val="20"/>
                <w:u w:val="single"/>
                <w:lang w:eastAsia="en-GB"/>
              </w:rPr>
              <w:t xml:space="preserve"> absence of</w:t>
            </w:r>
            <w:r w:rsidR="00646657" w:rsidRPr="00D60EDE">
              <w:rPr>
                <w:rFonts w:cs="Arial"/>
                <w:b/>
                <w:bCs/>
                <w:sz w:val="18"/>
                <w:szCs w:val="20"/>
                <w:u w:val="single"/>
                <w:lang w:eastAsia="en-GB"/>
              </w:rPr>
              <w:t xml:space="preserve"> data)</w:t>
            </w:r>
            <w:r w:rsidR="00380545" w:rsidRPr="00D60EDE">
              <w:rPr>
                <w:rFonts w:cs="Arial"/>
                <w:b/>
                <w:bCs/>
                <w:sz w:val="18"/>
                <w:szCs w:val="20"/>
                <w:lang w:eastAsia="en-GB"/>
              </w:rPr>
              <w:t xml:space="preserve"> </w:t>
            </w:r>
          </w:p>
          <w:p w14:paraId="0B0DE5E6" w14:textId="77777777" w:rsidR="00646657" w:rsidRPr="00AC27AD" w:rsidRDefault="00380545" w:rsidP="004E4070">
            <w:pPr>
              <w:spacing w:after="0" w:line="240" w:lineRule="auto"/>
              <w:rPr>
                <w:rFonts w:cs="Arial"/>
                <w:bCs/>
                <w:sz w:val="20"/>
                <w:szCs w:val="20"/>
                <w:lang w:eastAsia="en-GB"/>
              </w:rPr>
            </w:pPr>
            <w:r w:rsidRPr="00AC27AD">
              <w:rPr>
                <w:rFonts w:cs="Arial"/>
                <w:bCs/>
                <w:sz w:val="20"/>
                <w:szCs w:val="20"/>
                <w:lang w:eastAsia="en-GB"/>
              </w:rPr>
              <w:t>If n</w:t>
            </w:r>
            <w:r w:rsidR="00646657" w:rsidRPr="00AC27AD">
              <w:rPr>
                <w:rFonts w:cs="Arial"/>
                <w:bCs/>
                <w:sz w:val="20"/>
                <w:szCs w:val="20"/>
                <w:lang w:eastAsia="en-GB"/>
              </w:rPr>
              <w:t xml:space="preserve">o information on </w:t>
            </w:r>
            <w:r w:rsidRPr="00AC27AD">
              <w:rPr>
                <w:rFonts w:cs="Arial"/>
                <w:bCs/>
                <w:noProof/>
                <w:sz w:val="20"/>
                <w:szCs w:val="20"/>
                <w:lang w:eastAsia="en-GB"/>
              </w:rPr>
              <w:t>vector occurence</w:t>
            </w:r>
          </w:p>
          <w:p w14:paraId="2F395DE8" w14:textId="77777777" w:rsidR="00646657" w:rsidRPr="00AC27AD" w:rsidRDefault="00380545" w:rsidP="004E4070">
            <w:pPr>
              <w:tabs>
                <w:tab w:val="left" w:pos="851"/>
              </w:tabs>
              <w:spacing w:after="0" w:line="240" w:lineRule="auto"/>
              <w:rPr>
                <w:rFonts w:eastAsia="Times New Roman" w:cs="Arial"/>
                <w:bCs/>
                <w:sz w:val="20"/>
                <w:szCs w:val="20"/>
                <w:lang w:eastAsia="en-GB"/>
              </w:rPr>
            </w:pPr>
            <w:r w:rsidRPr="00AC27AD">
              <w:rPr>
                <w:rFonts w:cs="Arial"/>
                <w:bCs/>
                <w:sz w:val="20"/>
                <w:szCs w:val="20"/>
                <w:lang w:eastAsia="en-GB"/>
              </w:rPr>
              <w:t>If p</w:t>
            </w:r>
            <w:r w:rsidR="00646657" w:rsidRPr="00AC27AD">
              <w:rPr>
                <w:rFonts w:cs="Arial"/>
                <w:bCs/>
                <w:sz w:val="20"/>
                <w:szCs w:val="20"/>
                <w:lang w:eastAsia="en-GB"/>
              </w:rPr>
              <w:t xml:space="preserve">resence of </w:t>
            </w:r>
            <w:r w:rsidRPr="00AC27AD">
              <w:rPr>
                <w:rFonts w:cs="Arial"/>
                <w:bCs/>
                <w:sz w:val="20"/>
                <w:szCs w:val="20"/>
                <w:lang w:eastAsia="en-GB"/>
              </w:rPr>
              <w:t>all three vectors</w:t>
            </w:r>
          </w:p>
        </w:tc>
        <w:tc>
          <w:tcPr>
            <w:tcW w:w="1701" w:type="dxa"/>
            <w:tcBorders>
              <w:top w:val="nil"/>
              <w:left w:val="single" w:sz="4" w:space="0" w:color="auto"/>
              <w:bottom w:val="single" w:sz="4" w:space="0" w:color="auto"/>
              <w:right w:val="nil"/>
            </w:tcBorders>
            <w:vAlign w:val="center"/>
            <w:hideMark/>
          </w:tcPr>
          <w:p w14:paraId="46D44D58" w14:textId="77777777" w:rsidR="00092331" w:rsidRPr="00AC27AD" w:rsidRDefault="00092331" w:rsidP="00B967ED">
            <w:pPr>
              <w:spacing w:after="0" w:line="240" w:lineRule="auto"/>
              <w:jc w:val="center"/>
              <w:rPr>
                <w:rFonts w:cs="Arial"/>
                <w:sz w:val="20"/>
                <w:szCs w:val="20"/>
                <w:lang w:eastAsia="en-GB"/>
              </w:rPr>
            </w:pPr>
          </w:p>
          <w:p w14:paraId="59A80E6C" w14:textId="77777777" w:rsidR="00092331" w:rsidRPr="00AC27AD" w:rsidRDefault="00092331" w:rsidP="00B967ED">
            <w:pPr>
              <w:spacing w:after="0" w:line="240" w:lineRule="auto"/>
              <w:jc w:val="center"/>
              <w:rPr>
                <w:rFonts w:cs="Arial"/>
                <w:sz w:val="20"/>
                <w:szCs w:val="20"/>
                <w:lang w:eastAsia="en-GB"/>
              </w:rPr>
            </w:pPr>
          </w:p>
          <w:p w14:paraId="1F3E1CD4" w14:textId="77777777" w:rsidR="00646657" w:rsidRPr="00AC27AD" w:rsidRDefault="00646657" w:rsidP="00B967ED">
            <w:pPr>
              <w:spacing w:after="0" w:line="240" w:lineRule="auto"/>
              <w:jc w:val="center"/>
              <w:rPr>
                <w:rFonts w:eastAsia="Times New Roman" w:cs="Arial"/>
                <w:sz w:val="20"/>
                <w:szCs w:val="20"/>
                <w:lang w:eastAsia="en-GB"/>
              </w:rPr>
            </w:pPr>
            <w:r w:rsidRPr="00AC27AD">
              <w:rPr>
                <w:rFonts w:cs="Arial"/>
                <w:sz w:val="20"/>
                <w:szCs w:val="20"/>
                <w:lang w:eastAsia="en-GB"/>
              </w:rPr>
              <w:t>80%</w:t>
            </w:r>
          </w:p>
          <w:p w14:paraId="2CE4B175"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45%</w:t>
            </w:r>
          </w:p>
        </w:tc>
        <w:tc>
          <w:tcPr>
            <w:tcW w:w="1717" w:type="dxa"/>
            <w:tcBorders>
              <w:top w:val="nil"/>
              <w:left w:val="nil"/>
              <w:bottom w:val="single" w:sz="4" w:space="0" w:color="auto"/>
              <w:right w:val="nil"/>
            </w:tcBorders>
            <w:vAlign w:val="center"/>
            <w:hideMark/>
          </w:tcPr>
          <w:p w14:paraId="5C789112" w14:textId="77777777" w:rsidR="00092331" w:rsidRPr="00AC27AD" w:rsidRDefault="00092331" w:rsidP="00B967ED">
            <w:pPr>
              <w:spacing w:after="0" w:line="240" w:lineRule="auto"/>
              <w:jc w:val="center"/>
              <w:rPr>
                <w:rFonts w:cs="Arial"/>
                <w:sz w:val="20"/>
                <w:szCs w:val="20"/>
                <w:lang w:eastAsia="en-GB"/>
              </w:rPr>
            </w:pPr>
          </w:p>
          <w:p w14:paraId="186248E4" w14:textId="77777777" w:rsidR="00092331" w:rsidRPr="00AC27AD" w:rsidRDefault="00092331" w:rsidP="00B967ED">
            <w:pPr>
              <w:spacing w:after="0" w:line="240" w:lineRule="auto"/>
              <w:jc w:val="center"/>
              <w:rPr>
                <w:rFonts w:cs="Arial"/>
                <w:sz w:val="20"/>
                <w:szCs w:val="20"/>
                <w:lang w:eastAsia="en-GB"/>
              </w:rPr>
            </w:pPr>
          </w:p>
          <w:p w14:paraId="0D931525" w14:textId="77777777" w:rsidR="00646657" w:rsidRPr="00AC27AD" w:rsidRDefault="00646657" w:rsidP="00B967ED">
            <w:pPr>
              <w:spacing w:after="0" w:line="240" w:lineRule="auto"/>
              <w:jc w:val="center"/>
              <w:rPr>
                <w:rFonts w:eastAsia="Times New Roman" w:cs="Arial"/>
                <w:sz w:val="20"/>
                <w:szCs w:val="20"/>
                <w:lang w:eastAsia="en-GB"/>
              </w:rPr>
            </w:pPr>
            <w:r w:rsidRPr="00AC27AD">
              <w:rPr>
                <w:rFonts w:cs="Arial"/>
                <w:sz w:val="20"/>
                <w:szCs w:val="20"/>
                <w:lang w:eastAsia="en-GB"/>
              </w:rPr>
              <w:t>10%</w:t>
            </w:r>
          </w:p>
          <w:p w14:paraId="5E9ED666"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45%</w:t>
            </w:r>
          </w:p>
        </w:tc>
        <w:tc>
          <w:tcPr>
            <w:tcW w:w="1685" w:type="dxa"/>
            <w:tcBorders>
              <w:top w:val="nil"/>
              <w:left w:val="nil"/>
              <w:bottom w:val="single" w:sz="4" w:space="0" w:color="auto"/>
              <w:right w:val="nil"/>
            </w:tcBorders>
            <w:vAlign w:val="center"/>
            <w:hideMark/>
          </w:tcPr>
          <w:p w14:paraId="0E93FC78" w14:textId="77777777" w:rsidR="00092331" w:rsidRPr="00AC27AD" w:rsidRDefault="00092331" w:rsidP="00B967ED">
            <w:pPr>
              <w:spacing w:after="0" w:line="240" w:lineRule="auto"/>
              <w:jc w:val="center"/>
              <w:rPr>
                <w:rFonts w:cs="Arial"/>
                <w:sz w:val="20"/>
                <w:szCs w:val="20"/>
                <w:lang w:eastAsia="en-GB"/>
              </w:rPr>
            </w:pPr>
          </w:p>
          <w:p w14:paraId="5E495345" w14:textId="77777777" w:rsidR="00092331" w:rsidRPr="00AC27AD" w:rsidRDefault="00092331" w:rsidP="00B967ED">
            <w:pPr>
              <w:spacing w:after="0" w:line="240" w:lineRule="auto"/>
              <w:jc w:val="center"/>
              <w:rPr>
                <w:rFonts w:cs="Arial"/>
                <w:sz w:val="20"/>
                <w:szCs w:val="20"/>
                <w:lang w:eastAsia="en-GB"/>
              </w:rPr>
            </w:pPr>
          </w:p>
          <w:p w14:paraId="3E0C6970" w14:textId="77777777" w:rsidR="00646657" w:rsidRPr="00AC27AD" w:rsidRDefault="00646657" w:rsidP="00B967ED">
            <w:pPr>
              <w:spacing w:after="0" w:line="240" w:lineRule="auto"/>
              <w:jc w:val="center"/>
              <w:rPr>
                <w:rFonts w:eastAsia="Times New Roman" w:cs="Arial"/>
                <w:sz w:val="20"/>
                <w:szCs w:val="20"/>
                <w:lang w:eastAsia="en-GB"/>
              </w:rPr>
            </w:pPr>
            <w:r w:rsidRPr="00AC27AD">
              <w:rPr>
                <w:rFonts w:cs="Arial"/>
                <w:sz w:val="20"/>
                <w:szCs w:val="20"/>
                <w:lang w:eastAsia="en-GB"/>
              </w:rPr>
              <w:t>10%</w:t>
            </w:r>
          </w:p>
          <w:p w14:paraId="7D35D2B0" w14:textId="77777777" w:rsidR="00646657" w:rsidRPr="00AC27AD" w:rsidRDefault="00646657" w:rsidP="00B967ED">
            <w:pPr>
              <w:tabs>
                <w:tab w:val="left" w:pos="851"/>
              </w:tabs>
              <w:spacing w:after="0" w:line="240" w:lineRule="auto"/>
              <w:jc w:val="center"/>
              <w:rPr>
                <w:rFonts w:eastAsia="Times New Roman" w:cs="Arial"/>
                <w:sz w:val="20"/>
                <w:szCs w:val="20"/>
                <w:lang w:eastAsia="en-GB"/>
              </w:rPr>
            </w:pPr>
            <w:r w:rsidRPr="00AC27AD">
              <w:rPr>
                <w:rFonts w:cs="Arial"/>
                <w:sz w:val="20"/>
                <w:szCs w:val="20"/>
                <w:lang w:eastAsia="en-GB"/>
              </w:rPr>
              <w:t>10%</w:t>
            </w:r>
          </w:p>
        </w:tc>
      </w:tr>
      <w:tr w:rsidR="00AE2114" w:rsidRPr="00AC27AD" w14:paraId="22C748C9" w14:textId="77777777" w:rsidTr="00D60EDE">
        <w:trPr>
          <w:trHeight w:val="284"/>
        </w:trPr>
        <w:tc>
          <w:tcPr>
            <w:tcW w:w="9513" w:type="dxa"/>
            <w:gridSpan w:val="4"/>
            <w:tcBorders>
              <w:top w:val="single" w:sz="4" w:space="0" w:color="auto"/>
              <w:left w:val="nil"/>
              <w:bottom w:val="single" w:sz="4" w:space="0" w:color="auto"/>
            </w:tcBorders>
            <w:vAlign w:val="center"/>
          </w:tcPr>
          <w:p w14:paraId="7FCE2751" w14:textId="5EBF56BD" w:rsidR="00AE2114" w:rsidRPr="00AC27AD" w:rsidRDefault="00AE2114" w:rsidP="00AC27AD">
            <w:pPr>
              <w:keepNext/>
              <w:spacing w:after="0"/>
              <w:rPr>
                <w:rFonts w:cs="Arial"/>
                <w:b/>
                <w:bCs/>
                <w:sz w:val="20"/>
                <w:szCs w:val="20"/>
                <w:lang w:eastAsia="en-GB"/>
              </w:rPr>
            </w:pPr>
            <w:r w:rsidRPr="00AC27AD">
              <w:rPr>
                <w:rFonts w:cs="Arial"/>
                <w:b/>
                <w:bCs/>
                <w:sz w:val="20"/>
                <w:szCs w:val="20"/>
                <w:lang w:eastAsia="en-GB"/>
              </w:rPr>
              <w:t xml:space="preserve">Previously determined base parameters as described by </w:t>
            </w:r>
            <w:proofErr w:type="spellStart"/>
            <w:r w:rsidRPr="00AC27AD">
              <w:rPr>
                <w:rFonts w:cs="Arial"/>
                <w:b/>
                <w:bCs/>
                <w:sz w:val="20"/>
                <w:szCs w:val="20"/>
                <w:lang w:eastAsia="en-GB"/>
              </w:rPr>
              <w:t>Chitnis</w:t>
            </w:r>
            <w:proofErr w:type="spellEnd"/>
            <w:r w:rsidRPr="00AC27AD">
              <w:rPr>
                <w:rFonts w:cs="Arial"/>
                <w:b/>
                <w:bCs/>
                <w:sz w:val="20"/>
                <w:szCs w:val="20"/>
                <w:lang w:eastAsia="en-GB"/>
              </w:rPr>
              <w:t xml:space="preserve"> et al.</w:t>
            </w:r>
            <w:r w:rsidR="006C511E" w:rsidRPr="00AC27AD">
              <w:rPr>
                <w:rFonts w:cs="Arial"/>
                <w:b/>
                <w:bCs/>
                <w:sz w:val="20"/>
                <w:szCs w:val="20"/>
                <w:lang w:eastAsia="en-GB"/>
              </w:rPr>
              <w:t xml:space="preserve"> </w:t>
            </w:r>
            <w:r w:rsidR="00BB3463" w:rsidRPr="00AC27AD">
              <w:rPr>
                <w:rFonts w:cs="Arial"/>
                <w:b/>
                <w:bCs/>
                <w:sz w:val="20"/>
                <w:szCs w:val="20"/>
                <w:lang w:eastAsia="en-GB"/>
              </w:rPr>
              <w:fldChar w:fldCharType="begin"/>
            </w:r>
            <w:r w:rsidR="00042DCE">
              <w:rPr>
                <w:rFonts w:cs="Arial"/>
                <w:b/>
                <w:bCs/>
                <w:sz w:val="20"/>
                <w:szCs w:val="20"/>
                <w:lang w:eastAsia="en-GB"/>
              </w:rPr>
              <w:instrText xml:space="preserve"> ADDIN ZOTERO_ITEM CSL_CITATION {"citationID":"CZSsGjd3","properties":{"formattedCitation":"[28]","plainCitation":"[28]","noteIndex":0},"citationItems":[{"id":19632,"uris":["http://zotero.org/users/3516901/items/7KUE7PSS"],"uri":["http://zotero.org/users/3516901/items/7KUE7PSS"],"itemData":{"id":19632,"type":"article-journal","title":"A Periodically-Forced Mathematical Model for the Seasonal Dynamics of Malaria in Mosquitoes","container-title":"Bulletin of Mathematical Biology","page":"1098-1124","volume":"74","issue":"5","source":"link.springer.com","abstract":"We describe and analyze a periodically-forced difference equation model for malaria in mosquitoes that captures the effects of seasonality and allows the mosquitoes to feed on a heterogeneous population of hosts. We numerically show the existence of a unique globally asymptotically stable periodic orbit and calculate periodic orbits of field-measurable quantities that measure malaria transmission. We integrate this model with an individual-based stochastic simulation model for malaria in humans to compare the effects of insecticide-treated nets (ITNs) and indoor residual spraying (IRS) in reducing malaria transmission, prevalence, and incidence. We show that ITNs are more effective than IRS in reducing transmission and prevalence though IRS would achieve its maximal effects within 2 years while ITNs would need two mass distribution campaigns over several years to do so. Furthermore, the combination of both interventions is more effective than either intervention alone. However, although these interventions reduce transmission and prevalence, they can lead to increased clinical malaria; and all three malaria indicators return to preintervention levels within 3 years after the interventions are withdrawn.","DOI":"10.1007/s11538-011-9710-0","ISSN":"0092-8240, 1522-9602","journalAbbreviation":"Bull Math Biol","language":"en","author":[{"family":"Chitnis","given":"Nakul"},{"family":"Hardy","given":"Diggory"},{"family":"Smith","given":"Thomas"}],"issued":{"date-parts":[["2012",1,5]]}}}],"schema":"https://github.com/citation-style-language/schema/raw/master/csl-citation.json"} </w:instrText>
            </w:r>
            <w:r w:rsidR="00BB3463" w:rsidRPr="00AC27AD">
              <w:rPr>
                <w:rFonts w:cs="Arial"/>
                <w:b/>
                <w:bCs/>
                <w:sz w:val="20"/>
                <w:szCs w:val="20"/>
                <w:lang w:eastAsia="en-GB"/>
              </w:rPr>
              <w:fldChar w:fldCharType="separate"/>
            </w:r>
            <w:r w:rsidR="00042DCE" w:rsidRPr="00042DCE">
              <w:rPr>
                <w:rFonts w:cs="Arial"/>
                <w:b/>
                <w:bCs/>
                <w:sz w:val="20"/>
                <w:szCs w:val="20"/>
                <w:lang w:eastAsia="en-GB"/>
              </w:rPr>
              <w:t>[28]</w:t>
            </w:r>
            <w:r w:rsidR="00BB3463" w:rsidRPr="00AC27AD">
              <w:rPr>
                <w:rFonts w:cs="Arial"/>
                <w:b/>
                <w:bCs/>
                <w:sz w:val="20"/>
                <w:szCs w:val="20"/>
                <w:lang w:eastAsia="en-GB"/>
              </w:rPr>
              <w:fldChar w:fldCharType="end"/>
            </w:r>
            <w:r w:rsidRPr="00AC27AD">
              <w:rPr>
                <w:rFonts w:cs="Arial"/>
                <w:b/>
                <w:bCs/>
                <w:sz w:val="20"/>
                <w:szCs w:val="20"/>
                <w:lang w:eastAsia="en-GB"/>
              </w:rPr>
              <w:t xml:space="preserve"> with values</w:t>
            </w:r>
            <w:r w:rsidR="00BB3463" w:rsidRPr="00AC27AD">
              <w:rPr>
                <w:rFonts w:cs="Arial"/>
                <w:b/>
                <w:bCs/>
                <w:sz w:val="20"/>
                <w:szCs w:val="20"/>
                <w:lang w:eastAsia="en-GB"/>
              </w:rPr>
              <w:t xml:space="preserve">, accessible on the OpenMalaria wiki </w:t>
            </w:r>
            <w:r w:rsidR="00BB3463" w:rsidRPr="00AC27AD">
              <w:rPr>
                <w:rFonts w:cs="Arial"/>
                <w:b/>
                <w:bCs/>
                <w:sz w:val="20"/>
                <w:szCs w:val="20"/>
                <w:lang w:eastAsia="en-GB"/>
              </w:rPr>
              <w:fldChar w:fldCharType="begin"/>
            </w:r>
            <w:r w:rsidR="00042DCE">
              <w:rPr>
                <w:rFonts w:cs="Arial"/>
                <w:b/>
                <w:bCs/>
                <w:sz w:val="20"/>
                <w:szCs w:val="20"/>
                <w:lang w:eastAsia="en-GB"/>
              </w:rPr>
              <w:instrText xml:space="preserve"> ADDIN ZOTERO_ITEM CSL_CITATION {"citationID":"CPxArZDf","properties":{"formattedCitation":"[14]","plainCitation":"[14]","noteIndex":0},"citationItems":[{"id":25371,"uris":["http://zotero.org/users/3516901/items/HGGVJZVT"],"uri":["http://zotero.org/users/3516901/items/HGGVJZVT"],"itemData":{"id":25371,"type":"article-journal","title":"Parameter Values for Transmission Model","URL":"https://github.com/SwissTPH/openmalaria/wiki/XmlEntoVector","author":[{"family":"Chitnis","given":"Nakul"},{"family":"Smith","given":"Thomas"},{"family":"Schapira","given":"Allan"}],"issued":{"date-parts":[["2010",6,9]]}}}],"schema":"https://github.com/citation-style-language/schema/raw/master/csl-citation.json"} </w:instrText>
            </w:r>
            <w:r w:rsidR="00BB3463" w:rsidRPr="00AC27AD">
              <w:rPr>
                <w:rFonts w:cs="Arial"/>
                <w:b/>
                <w:bCs/>
                <w:sz w:val="20"/>
                <w:szCs w:val="20"/>
                <w:lang w:eastAsia="en-GB"/>
              </w:rPr>
              <w:fldChar w:fldCharType="separate"/>
            </w:r>
            <w:r w:rsidR="00042DCE" w:rsidRPr="00042DCE">
              <w:rPr>
                <w:rFonts w:cs="Arial"/>
                <w:b/>
                <w:bCs/>
                <w:sz w:val="20"/>
                <w:szCs w:val="20"/>
                <w:lang w:eastAsia="en-GB"/>
              </w:rPr>
              <w:t>[14]</w:t>
            </w:r>
            <w:r w:rsidR="00BB3463" w:rsidRPr="00AC27AD">
              <w:rPr>
                <w:rFonts w:cs="Arial"/>
                <w:b/>
                <w:bCs/>
                <w:sz w:val="20"/>
                <w:szCs w:val="20"/>
                <w:lang w:eastAsia="en-GB"/>
              </w:rPr>
              <w:fldChar w:fldCharType="end"/>
            </w:r>
            <w:r w:rsidR="00BB3463" w:rsidRPr="00AC27AD">
              <w:rPr>
                <w:rFonts w:cs="Arial"/>
                <w:b/>
                <w:bCs/>
                <w:sz w:val="20"/>
                <w:szCs w:val="20"/>
                <w:lang w:eastAsia="en-GB"/>
              </w:rPr>
              <w:t xml:space="preserve">. </w:t>
            </w:r>
          </w:p>
        </w:tc>
      </w:tr>
      <w:tr w:rsidR="00AE2114" w:rsidRPr="00AC27AD" w14:paraId="70625C0D" w14:textId="77777777" w:rsidTr="00D60EDE">
        <w:trPr>
          <w:trHeight w:val="284"/>
        </w:trPr>
        <w:tc>
          <w:tcPr>
            <w:tcW w:w="4410" w:type="dxa"/>
            <w:tcBorders>
              <w:top w:val="nil"/>
              <w:left w:val="nil"/>
              <w:bottom w:val="single" w:sz="4" w:space="0" w:color="auto"/>
              <w:right w:val="single" w:sz="4" w:space="0" w:color="auto"/>
            </w:tcBorders>
            <w:vAlign w:val="center"/>
          </w:tcPr>
          <w:p w14:paraId="52401252" w14:textId="77777777" w:rsidR="00AE2114" w:rsidRPr="00AC27AD" w:rsidRDefault="00BB3463" w:rsidP="00D60EDE">
            <w:pPr>
              <w:spacing w:after="0" w:line="240" w:lineRule="auto"/>
              <w:rPr>
                <w:rFonts w:cs="Arial"/>
                <w:b/>
                <w:bCs/>
                <w:sz w:val="20"/>
                <w:szCs w:val="20"/>
                <w:lang w:eastAsia="en-GB"/>
              </w:rPr>
            </w:pPr>
            <w:r w:rsidRPr="00AC27AD">
              <w:rPr>
                <w:rFonts w:cs="Arial"/>
                <w:b/>
                <w:bCs/>
                <w:sz w:val="20"/>
                <w:szCs w:val="20"/>
                <w:lang w:eastAsia="en-GB"/>
              </w:rPr>
              <w:t>Duration of resting stage</w:t>
            </w:r>
          </w:p>
          <w:p w14:paraId="7F0BC2AE" w14:textId="77777777" w:rsidR="00BB3463" w:rsidRPr="00AC27AD" w:rsidRDefault="00BB3463" w:rsidP="00D60EDE">
            <w:pPr>
              <w:spacing w:after="0" w:line="240" w:lineRule="auto"/>
              <w:rPr>
                <w:rFonts w:cs="CMR10"/>
                <w:sz w:val="20"/>
                <w:szCs w:val="20"/>
              </w:rPr>
            </w:pPr>
            <w:r w:rsidRPr="00AC27AD">
              <w:rPr>
                <w:rFonts w:cs="CMR10"/>
                <w:sz w:val="20"/>
                <w:szCs w:val="20"/>
              </w:rPr>
              <w:t>“Time required for a mosquito that has encountered a host to return to host-</w:t>
            </w:r>
          </w:p>
          <w:p w14:paraId="013886D3" w14:textId="77777777" w:rsidR="00BB3463" w:rsidRPr="00AC27AD" w:rsidRDefault="00BB3463" w:rsidP="00D60EDE">
            <w:pPr>
              <w:spacing w:after="0" w:line="240" w:lineRule="auto"/>
              <w:rPr>
                <w:rFonts w:cs="Arial"/>
                <w:b/>
                <w:bCs/>
                <w:sz w:val="20"/>
                <w:szCs w:val="20"/>
                <w:lang w:eastAsia="en-GB"/>
              </w:rPr>
            </w:pPr>
            <w:r w:rsidRPr="00AC27AD">
              <w:rPr>
                <w:rFonts w:cs="CMR10"/>
                <w:sz w:val="20"/>
                <w:szCs w:val="20"/>
              </w:rPr>
              <w:t>seeking”</w:t>
            </w:r>
          </w:p>
        </w:tc>
        <w:tc>
          <w:tcPr>
            <w:tcW w:w="1701" w:type="dxa"/>
            <w:tcBorders>
              <w:top w:val="nil"/>
              <w:left w:val="single" w:sz="4" w:space="0" w:color="auto"/>
              <w:bottom w:val="single" w:sz="4" w:space="0" w:color="auto"/>
              <w:right w:val="nil"/>
            </w:tcBorders>
            <w:vAlign w:val="center"/>
          </w:tcPr>
          <w:p w14:paraId="7098F8A2" w14:textId="77777777" w:rsidR="00AE2114" w:rsidRPr="00AC27AD" w:rsidRDefault="00AE2114" w:rsidP="00D60EDE">
            <w:pPr>
              <w:spacing w:after="0" w:line="240" w:lineRule="auto"/>
              <w:jc w:val="center"/>
              <w:rPr>
                <w:rFonts w:cs="Arial"/>
                <w:sz w:val="20"/>
                <w:szCs w:val="20"/>
                <w:lang w:eastAsia="en-GB"/>
              </w:rPr>
            </w:pPr>
            <w:r w:rsidRPr="00AC27AD">
              <w:rPr>
                <w:rFonts w:cs="Arial"/>
                <w:sz w:val="20"/>
                <w:szCs w:val="20"/>
                <w:lang w:eastAsia="en-GB"/>
              </w:rPr>
              <w:t>3</w:t>
            </w:r>
          </w:p>
        </w:tc>
        <w:tc>
          <w:tcPr>
            <w:tcW w:w="1717" w:type="dxa"/>
            <w:tcBorders>
              <w:top w:val="nil"/>
              <w:left w:val="nil"/>
              <w:bottom w:val="single" w:sz="4" w:space="0" w:color="auto"/>
              <w:right w:val="nil"/>
            </w:tcBorders>
            <w:vAlign w:val="center"/>
          </w:tcPr>
          <w:p w14:paraId="37875098" w14:textId="77777777" w:rsidR="00AE2114" w:rsidRPr="00AC27AD" w:rsidRDefault="00AE2114" w:rsidP="00D60EDE">
            <w:pPr>
              <w:spacing w:after="0" w:line="240" w:lineRule="auto"/>
              <w:jc w:val="center"/>
              <w:rPr>
                <w:rFonts w:cs="Arial"/>
                <w:sz w:val="20"/>
                <w:szCs w:val="20"/>
                <w:lang w:eastAsia="en-GB"/>
              </w:rPr>
            </w:pPr>
            <w:r w:rsidRPr="00AC27AD">
              <w:rPr>
                <w:rFonts w:cs="Arial"/>
                <w:sz w:val="20"/>
                <w:szCs w:val="20"/>
                <w:lang w:eastAsia="en-GB"/>
              </w:rPr>
              <w:t>3</w:t>
            </w:r>
          </w:p>
        </w:tc>
        <w:tc>
          <w:tcPr>
            <w:tcW w:w="1685" w:type="dxa"/>
            <w:tcBorders>
              <w:top w:val="nil"/>
              <w:left w:val="nil"/>
              <w:bottom w:val="single" w:sz="4" w:space="0" w:color="auto"/>
              <w:right w:val="nil"/>
            </w:tcBorders>
            <w:vAlign w:val="center"/>
          </w:tcPr>
          <w:p w14:paraId="5D2BB241" w14:textId="77777777" w:rsidR="00AE2114" w:rsidRPr="00AC27AD" w:rsidRDefault="00AE2114" w:rsidP="00D60EDE">
            <w:pPr>
              <w:spacing w:after="0" w:line="240" w:lineRule="auto"/>
              <w:jc w:val="center"/>
              <w:rPr>
                <w:rFonts w:cs="Arial"/>
                <w:sz w:val="20"/>
                <w:szCs w:val="20"/>
                <w:lang w:eastAsia="en-GB"/>
              </w:rPr>
            </w:pPr>
            <w:r w:rsidRPr="00AC27AD">
              <w:rPr>
                <w:rFonts w:cs="Arial"/>
                <w:sz w:val="20"/>
                <w:szCs w:val="20"/>
                <w:lang w:eastAsia="en-GB"/>
              </w:rPr>
              <w:t>3</w:t>
            </w:r>
          </w:p>
        </w:tc>
      </w:tr>
      <w:tr w:rsidR="00AE2114" w:rsidRPr="00AC27AD" w14:paraId="2044FAC7" w14:textId="77777777" w:rsidTr="00D60EDE">
        <w:trPr>
          <w:trHeight w:val="284"/>
        </w:trPr>
        <w:tc>
          <w:tcPr>
            <w:tcW w:w="4410" w:type="dxa"/>
            <w:tcBorders>
              <w:top w:val="nil"/>
              <w:left w:val="nil"/>
              <w:bottom w:val="single" w:sz="4" w:space="0" w:color="auto"/>
              <w:right w:val="single" w:sz="4" w:space="0" w:color="auto"/>
            </w:tcBorders>
            <w:vAlign w:val="center"/>
          </w:tcPr>
          <w:p w14:paraId="087242E8" w14:textId="77777777" w:rsidR="00AE2114" w:rsidRPr="00AC27AD" w:rsidRDefault="00BB3463" w:rsidP="00D60EDE">
            <w:pPr>
              <w:spacing w:after="0" w:line="240" w:lineRule="auto"/>
              <w:rPr>
                <w:rFonts w:cs="Arial"/>
                <w:b/>
                <w:bCs/>
                <w:sz w:val="20"/>
                <w:szCs w:val="20"/>
                <w:lang w:eastAsia="en-GB"/>
              </w:rPr>
            </w:pPr>
            <w:r w:rsidRPr="00AC27AD">
              <w:rPr>
                <w:rFonts w:cs="Arial"/>
                <w:b/>
                <w:bCs/>
                <w:sz w:val="20"/>
                <w:szCs w:val="20"/>
                <w:lang w:eastAsia="en-GB"/>
              </w:rPr>
              <w:t>E</w:t>
            </w:r>
            <w:r w:rsidR="00AE2114" w:rsidRPr="00AC27AD">
              <w:rPr>
                <w:rFonts w:cs="Arial"/>
                <w:b/>
                <w:bCs/>
                <w:sz w:val="20"/>
                <w:szCs w:val="20"/>
                <w:lang w:eastAsia="en-GB"/>
              </w:rPr>
              <w:t>xtrinsic</w:t>
            </w:r>
            <w:r w:rsidRPr="00AC27AD">
              <w:rPr>
                <w:rFonts w:cs="Arial"/>
                <w:b/>
                <w:bCs/>
                <w:sz w:val="20"/>
                <w:szCs w:val="20"/>
                <w:lang w:eastAsia="en-GB"/>
              </w:rPr>
              <w:t xml:space="preserve"> i</w:t>
            </w:r>
            <w:r w:rsidR="00AE2114" w:rsidRPr="00AC27AD">
              <w:rPr>
                <w:rFonts w:cs="Arial"/>
                <w:b/>
                <w:bCs/>
                <w:sz w:val="20"/>
                <w:szCs w:val="20"/>
                <w:lang w:eastAsia="en-GB"/>
              </w:rPr>
              <w:t>ncubation</w:t>
            </w:r>
            <w:r w:rsidRPr="00AC27AD">
              <w:rPr>
                <w:rFonts w:cs="Arial"/>
                <w:b/>
                <w:bCs/>
                <w:sz w:val="20"/>
                <w:szCs w:val="20"/>
                <w:lang w:eastAsia="en-GB"/>
              </w:rPr>
              <w:t xml:space="preserve"> p</w:t>
            </w:r>
            <w:r w:rsidR="00AE2114" w:rsidRPr="00AC27AD">
              <w:rPr>
                <w:rFonts w:cs="Arial"/>
                <w:b/>
                <w:bCs/>
                <w:sz w:val="20"/>
                <w:szCs w:val="20"/>
                <w:lang w:eastAsia="en-GB"/>
              </w:rPr>
              <w:t>eriod</w:t>
            </w:r>
          </w:p>
          <w:p w14:paraId="227D6C37" w14:textId="77777777" w:rsidR="00BB3463" w:rsidRPr="00AC27AD" w:rsidRDefault="00BB3463" w:rsidP="00D60EDE">
            <w:pPr>
              <w:autoSpaceDE w:val="0"/>
              <w:autoSpaceDN w:val="0"/>
              <w:adjustRightInd w:val="0"/>
              <w:spacing w:after="0" w:line="240" w:lineRule="auto"/>
              <w:rPr>
                <w:rFonts w:cs="Arial"/>
                <w:b/>
                <w:bCs/>
                <w:sz w:val="20"/>
                <w:szCs w:val="20"/>
                <w:lang w:eastAsia="en-GB"/>
              </w:rPr>
            </w:pPr>
            <w:r w:rsidRPr="00AC27AD">
              <w:rPr>
                <w:rFonts w:cs="CMR10"/>
                <w:sz w:val="20"/>
                <w:szCs w:val="20"/>
              </w:rPr>
              <w:t>“The time required for sporozoites to develop in the mosquito”</w:t>
            </w:r>
          </w:p>
        </w:tc>
        <w:tc>
          <w:tcPr>
            <w:tcW w:w="1701" w:type="dxa"/>
            <w:tcBorders>
              <w:top w:val="nil"/>
              <w:left w:val="single" w:sz="4" w:space="0" w:color="auto"/>
              <w:bottom w:val="single" w:sz="4" w:space="0" w:color="auto"/>
              <w:right w:val="nil"/>
            </w:tcBorders>
            <w:vAlign w:val="center"/>
          </w:tcPr>
          <w:p w14:paraId="40AD3AB8" w14:textId="77777777" w:rsidR="00AE2114" w:rsidRPr="00AC27AD" w:rsidRDefault="00AE2114" w:rsidP="00D60EDE">
            <w:pPr>
              <w:spacing w:after="0" w:line="240" w:lineRule="auto"/>
              <w:jc w:val="center"/>
              <w:rPr>
                <w:rFonts w:cs="Arial"/>
                <w:sz w:val="20"/>
                <w:szCs w:val="20"/>
                <w:lang w:eastAsia="en-GB"/>
              </w:rPr>
            </w:pPr>
            <w:r w:rsidRPr="00AC27AD">
              <w:rPr>
                <w:rFonts w:cs="Arial"/>
                <w:sz w:val="20"/>
                <w:szCs w:val="20"/>
                <w:lang w:eastAsia="en-GB"/>
              </w:rPr>
              <w:t>11</w:t>
            </w:r>
          </w:p>
        </w:tc>
        <w:tc>
          <w:tcPr>
            <w:tcW w:w="1717" w:type="dxa"/>
            <w:tcBorders>
              <w:top w:val="nil"/>
              <w:left w:val="nil"/>
              <w:bottom w:val="single" w:sz="4" w:space="0" w:color="auto"/>
              <w:right w:val="nil"/>
            </w:tcBorders>
            <w:vAlign w:val="center"/>
          </w:tcPr>
          <w:p w14:paraId="50B27C49" w14:textId="77777777" w:rsidR="00AE2114" w:rsidRPr="00AC27AD" w:rsidRDefault="00AE2114" w:rsidP="00D60EDE">
            <w:pPr>
              <w:spacing w:after="0" w:line="240" w:lineRule="auto"/>
              <w:jc w:val="center"/>
              <w:rPr>
                <w:rFonts w:cs="Arial"/>
                <w:sz w:val="20"/>
                <w:szCs w:val="20"/>
                <w:lang w:eastAsia="en-GB"/>
              </w:rPr>
            </w:pPr>
            <w:r w:rsidRPr="00AC27AD">
              <w:rPr>
                <w:rFonts w:cs="Arial"/>
                <w:sz w:val="20"/>
                <w:szCs w:val="20"/>
                <w:lang w:eastAsia="en-GB"/>
              </w:rPr>
              <w:t>11</w:t>
            </w:r>
          </w:p>
        </w:tc>
        <w:tc>
          <w:tcPr>
            <w:tcW w:w="1685" w:type="dxa"/>
            <w:tcBorders>
              <w:top w:val="nil"/>
              <w:left w:val="nil"/>
              <w:bottom w:val="single" w:sz="4" w:space="0" w:color="auto"/>
              <w:right w:val="nil"/>
            </w:tcBorders>
            <w:vAlign w:val="center"/>
          </w:tcPr>
          <w:p w14:paraId="6A56D562" w14:textId="77777777" w:rsidR="00AE2114" w:rsidRPr="00AC27AD" w:rsidRDefault="00AE2114" w:rsidP="00D60EDE">
            <w:pPr>
              <w:spacing w:after="0" w:line="240" w:lineRule="auto"/>
              <w:jc w:val="center"/>
              <w:rPr>
                <w:rFonts w:cs="Arial"/>
                <w:sz w:val="20"/>
                <w:szCs w:val="20"/>
                <w:lang w:eastAsia="en-GB"/>
              </w:rPr>
            </w:pPr>
            <w:r w:rsidRPr="00AC27AD">
              <w:rPr>
                <w:rFonts w:cs="Arial"/>
                <w:sz w:val="20"/>
                <w:szCs w:val="20"/>
                <w:lang w:eastAsia="en-GB"/>
              </w:rPr>
              <w:t>11</w:t>
            </w:r>
          </w:p>
        </w:tc>
      </w:tr>
      <w:tr w:rsidR="00AE2114" w:rsidRPr="00AC27AD" w14:paraId="796A5EF3" w14:textId="77777777" w:rsidTr="00D60EDE">
        <w:trPr>
          <w:trHeight w:val="284"/>
        </w:trPr>
        <w:tc>
          <w:tcPr>
            <w:tcW w:w="4410" w:type="dxa"/>
            <w:tcBorders>
              <w:top w:val="nil"/>
              <w:left w:val="nil"/>
              <w:bottom w:val="single" w:sz="4" w:space="0" w:color="auto"/>
              <w:right w:val="single" w:sz="4" w:space="0" w:color="auto"/>
            </w:tcBorders>
            <w:vAlign w:val="center"/>
          </w:tcPr>
          <w:p w14:paraId="11556688" w14:textId="77777777" w:rsidR="00AE2114" w:rsidRPr="00AC27AD" w:rsidRDefault="00FF2152" w:rsidP="00D60EDE">
            <w:pPr>
              <w:spacing w:after="0" w:line="240" w:lineRule="auto"/>
              <w:rPr>
                <w:b/>
                <w:sz w:val="20"/>
                <w:szCs w:val="20"/>
              </w:rPr>
            </w:pPr>
            <w:r w:rsidRPr="00AC27AD">
              <w:rPr>
                <w:b/>
                <w:sz w:val="20"/>
                <w:szCs w:val="20"/>
              </w:rPr>
              <w:t>Proportion of e</w:t>
            </w:r>
            <w:r w:rsidR="00AE2114" w:rsidRPr="00AC27AD">
              <w:rPr>
                <w:b/>
                <w:sz w:val="20"/>
                <w:szCs w:val="20"/>
              </w:rPr>
              <w:t>ggs</w:t>
            </w:r>
            <w:r w:rsidRPr="00AC27AD">
              <w:rPr>
                <w:b/>
                <w:sz w:val="20"/>
                <w:szCs w:val="20"/>
              </w:rPr>
              <w:t xml:space="preserve"> laid same d</w:t>
            </w:r>
            <w:r w:rsidR="00AE2114" w:rsidRPr="00AC27AD">
              <w:rPr>
                <w:b/>
                <w:sz w:val="20"/>
                <w:szCs w:val="20"/>
              </w:rPr>
              <w:t>ay</w:t>
            </w:r>
            <w:r w:rsidRPr="00AC27AD">
              <w:rPr>
                <w:b/>
                <w:sz w:val="20"/>
                <w:szCs w:val="20"/>
              </w:rPr>
              <w:t xml:space="preserve"> </w:t>
            </w:r>
          </w:p>
          <w:p w14:paraId="144B38C4" w14:textId="77777777" w:rsidR="00FF2152" w:rsidRPr="00AC27AD" w:rsidRDefault="00FF2152" w:rsidP="00D60EDE">
            <w:pPr>
              <w:spacing w:after="0" w:line="240" w:lineRule="auto"/>
              <w:rPr>
                <w:b/>
                <w:sz w:val="20"/>
                <w:szCs w:val="20"/>
              </w:rPr>
            </w:pPr>
            <w:r w:rsidRPr="00AC27AD">
              <w:rPr>
                <w:rFonts w:cs="CMR10"/>
                <w:sz w:val="20"/>
                <w:szCs w:val="20"/>
              </w:rPr>
              <w:t>“Proportion of host-seeking parous mosquitoes that have laid eggs that day.”</w:t>
            </w:r>
          </w:p>
        </w:tc>
        <w:tc>
          <w:tcPr>
            <w:tcW w:w="1701" w:type="dxa"/>
            <w:tcBorders>
              <w:top w:val="nil"/>
              <w:left w:val="single" w:sz="4" w:space="0" w:color="auto"/>
              <w:bottom w:val="single" w:sz="4" w:space="0" w:color="auto"/>
              <w:right w:val="nil"/>
            </w:tcBorders>
            <w:vAlign w:val="center"/>
          </w:tcPr>
          <w:p w14:paraId="24CD6403" w14:textId="77777777" w:rsidR="00AE2114" w:rsidRPr="00AC27AD" w:rsidRDefault="00AE2114" w:rsidP="00D60EDE">
            <w:pPr>
              <w:spacing w:after="0" w:line="240" w:lineRule="auto"/>
              <w:jc w:val="center"/>
              <w:rPr>
                <w:sz w:val="20"/>
                <w:szCs w:val="20"/>
              </w:rPr>
            </w:pPr>
            <w:r w:rsidRPr="00AC27AD">
              <w:rPr>
                <w:sz w:val="20"/>
                <w:szCs w:val="20"/>
              </w:rPr>
              <w:t>0.616</w:t>
            </w:r>
          </w:p>
        </w:tc>
        <w:tc>
          <w:tcPr>
            <w:tcW w:w="1717" w:type="dxa"/>
            <w:tcBorders>
              <w:top w:val="nil"/>
              <w:left w:val="nil"/>
              <w:bottom w:val="single" w:sz="4" w:space="0" w:color="auto"/>
              <w:right w:val="nil"/>
            </w:tcBorders>
            <w:vAlign w:val="center"/>
          </w:tcPr>
          <w:p w14:paraId="76829264" w14:textId="77777777" w:rsidR="00AE2114" w:rsidRPr="00AC27AD" w:rsidRDefault="00FF2152" w:rsidP="00D60EDE">
            <w:pPr>
              <w:spacing w:after="0" w:line="240" w:lineRule="auto"/>
              <w:jc w:val="center"/>
              <w:rPr>
                <w:sz w:val="20"/>
                <w:szCs w:val="20"/>
              </w:rPr>
            </w:pPr>
            <w:r w:rsidRPr="00AC27AD">
              <w:rPr>
                <w:sz w:val="20"/>
                <w:szCs w:val="20"/>
              </w:rPr>
              <w:t>0.313</w:t>
            </w:r>
          </w:p>
        </w:tc>
        <w:tc>
          <w:tcPr>
            <w:tcW w:w="1685" w:type="dxa"/>
            <w:tcBorders>
              <w:top w:val="nil"/>
              <w:left w:val="nil"/>
              <w:bottom w:val="single" w:sz="4" w:space="0" w:color="auto"/>
              <w:right w:val="nil"/>
            </w:tcBorders>
            <w:vAlign w:val="center"/>
          </w:tcPr>
          <w:p w14:paraId="0A36F53A" w14:textId="77777777" w:rsidR="00AE2114" w:rsidRPr="00AC27AD" w:rsidRDefault="00FF2152" w:rsidP="00D60EDE">
            <w:pPr>
              <w:spacing w:after="0" w:line="240" w:lineRule="auto"/>
              <w:jc w:val="center"/>
              <w:rPr>
                <w:sz w:val="20"/>
                <w:szCs w:val="20"/>
              </w:rPr>
            </w:pPr>
            <w:r w:rsidRPr="00AC27AD">
              <w:rPr>
                <w:sz w:val="20"/>
                <w:szCs w:val="20"/>
              </w:rPr>
              <w:t>0.313</w:t>
            </w:r>
          </w:p>
        </w:tc>
      </w:tr>
      <w:tr w:rsidR="00AE2114" w:rsidRPr="00AC27AD" w14:paraId="6467EE98" w14:textId="77777777" w:rsidTr="00D60EDE">
        <w:trPr>
          <w:trHeight w:val="284"/>
        </w:trPr>
        <w:tc>
          <w:tcPr>
            <w:tcW w:w="4410" w:type="dxa"/>
            <w:tcBorders>
              <w:top w:val="nil"/>
              <w:left w:val="nil"/>
              <w:bottom w:val="single" w:sz="4" w:space="0" w:color="auto"/>
              <w:right w:val="single" w:sz="4" w:space="0" w:color="auto"/>
            </w:tcBorders>
            <w:vAlign w:val="center"/>
          </w:tcPr>
          <w:p w14:paraId="00C988EB" w14:textId="77777777" w:rsidR="00AE2114" w:rsidRPr="00AC27AD" w:rsidRDefault="00BB3463" w:rsidP="00D60EDE">
            <w:pPr>
              <w:spacing w:after="0" w:line="240" w:lineRule="auto"/>
              <w:rPr>
                <w:b/>
                <w:sz w:val="20"/>
                <w:szCs w:val="20"/>
              </w:rPr>
            </w:pPr>
            <w:r w:rsidRPr="00AC27AD">
              <w:rPr>
                <w:b/>
                <w:sz w:val="20"/>
                <w:szCs w:val="20"/>
              </w:rPr>
              <w:t>Duration of host seeking</w:t>
            </w:r>
          </w:p>
          <w:p w14:paraId="4E963D6B" w14:textId="77777777" w:rsidR="00AE2114" w:rsidRPr="00AC27AD" w:rsidRDefault="00AE2114" w:rsidP="00D60EDE">
            <w:pPr>
              <w:autoSpaceDE w:val="0"/>
              <w:autoSpaceDN w:val="0"/>
              <w:adjustRightInd w:val="0"/>
              <w:spacing w:after="0" w:line="240" w:lineRule="auto"/>
              <w:rPr>
                <w:sz w:val="20"/>
                <w:szCs w:val="20"/>
              </w:rPr>
            </w:pPr>
            <w:r w:rsidRPr="00AC27AD">
              <w:rPr>
                <w:rFonts w:cs="CMR10"/>
                <w:sz w:val="20"/>
                <w:szCs w:val="20"/>
              </w:rPr>
              <w:t>“Maximum length of time that a mosquito searches for a host in one day if it is unsuccessful.”</w:t>
            </w:r>
          </w:p>
        </w:tc>
        <w:tc>
          <w:tcPr>
            <w:tcW w:w="1701" w:type="dxa"/>
            <w:tcBorders>
              <w:top w:val="nil"/>
              <w:left w:val="single" w:sz="4" w:space="0" w:color="auto"/>
              <w:bottom w:val="single" w:sz="4" w:space="0" w:color="auto"/>
              <w:right w:val="nil"/>
            </w:tcBorders>
            <w:vAlign w:val="center"/>
          </w:tcPr>
          <w:p w14:paraId="74BF057D" w14:textId="77777777" w:rsidR="00AE2114" w:rsidRPr="00AC27AD" w:rsidRDefault="00AE2114" w:rsidP="00D60EDE">
            <w:pPr>
              <w:spacing w:after="0" w:line="240" w:lineRule="auto"/>
              <w:jc w:val="center"/>
              <w:rPr>
                <w:sz w:val="20"/>
                <w:szCs w:val="20"/>
              </w:rPr>
            </w:pPr>
            <w:r w:rsidRPr="00AC27AD">
              <w:rPr>
                <w:sz w:val="20"/>
                <w:szCs w:val="20"/>
              </w:rPr>
              <w:t>0.33</w:t>
            </w:r>
          </w:p>
        </w:tc>
        <w:tc>
          <w:tcPr>
            <w:tcW w:w="1717" w:type="dxa"/>
            <w:tcBorders>
              <w:top w:val="nil"/>
              <w:left w:val="nil"/>
              <w:bottom w:val="single" w:sz="4" w:space="0" w:color="auto"/>
              <w:right w:val="nil"/>
            </w:tcBorders>
            <w:vAlign w:val="center"/>
          </w:tcPr>
          <w:p w14:paraId="5F428CFC" w14:textId="77777777" w:rsidR="00AE2114" w:rsidRPr="00AC27AD" w:rsidRDefault="00AE2114" w:rsidP="00D60EDE">
            <w:pPr>
              <w:spacing w:after="0" w:line="240" w:lineRule="auto"/>
              <w:jc w:val="center"/>
              <w:rPr>
                <w:sz w:val="20"/>
                <w:szCs w:val="20"/>
              </w:rPr>
            </w:pPr>
            <w:r w:rsidRPr="00AC27AD">
              <w:rPr>
                <w:sz w:val="20"/>
                <w:szCs w:val="20"/>
              </w:rPr>
              <w:t>0.33</w:t>
            </w:r>
          </w:p>
        </w:tc>
        <w:tc>
          <w:tcPr>
            <w:tcW w:w="1685" w:type="dxa"/>
            <w:tcBorders>
              <w:top w:val="nil"/>
              <w:left w:val="nil"/>
              <w:bottom w:val="single" w:sz="4" w:space="0" w:color="auto"/>
              <w:right w:val="nil"/>
            </w:tcBorders>
            <w:vAlign w:val="center"/>
          </w:tcPr>
          <w:p w14:paraId="17279410" w14:textId="77777777" w:rsidR="00AE2114" w:rsidRPr="00AC27AD" w:rsidRDefault="00AE2114" w:rsidP="00D60EDE">
            <w:pPr>
              <w:spacing w:after="0" w:line="240" w:lineRule="auto"/>
              <w:jc w:val="center"/>
              <w:rPr>
                <w:sz w:val="20"/>
                <w:szCs w:val="20"/>
              </w:rPr>
            </w:pPr>
            <w:r w:rsidRPr="00AC27AD">
              <w:rPr>
                <w:sz w:val="20"/>
                <w:szCs w:val="20"/>
              </w:rPr>
              <w:t>0.33</w:t>
            </w:r>
          </w:p>
        </w:tc>
      </w:tr>
      <w:tr w:rsidR="00AE2114" w:rsidRPr="00AC27AD" w14:paraId="1B602496" w14:textId="77777777" w:rsidTr="00D60EDE">
        <w:trPr>
          <w:trHeight w:val="284"/>
        </w:trPr>
        <w:tc>
          <w:tcPr>
            <w:tcW w:w="4410" w:type="dxa"/>
            <w:tcBorders>
              <w:top w:val="nil"/>
              <w:left w:val="nil"/>
              <w:bottom w:val="single" w:sz="4" w:space="0" w:color="auto"/>
              <w:right w:val="single" w:sz="4" w:space="0" w:color="auto"/>
            </w:tcBorders>
            <w:vAlign w:val="center"/>
          </w:tcPr>
          <w:p w14:paraId="023933AF" w14:textId="77777777" w:rsidR="00AE2114" w:rsidRPr="00AC27AD" w:rsidRDefault="00D9661B" w:rsidP="00D60EDE">
            <w:pPr>
              <w:spacing w:after="0" w:line="240" w:lineRule="auto"/>
              <w:rPr>
                <w:b/>
                <w:sz w:val="20"/>
                <w:szCs w:val="20"/>
              </w:rPr>
            </w:pPr>
            <w:r w:rsidRPr="00AC27AD">
              <w:rPr>
                <w:b/>
                <w:sz w:val="20"/>
                <w:szCs w:val="20"/>
              </w:rPr>
              <w:t>Parous rate</w:t>
            </w:r>
          </w:p>
          <w:p w14:paraId="67807AB7" w14:textId="77777777" w:rsidR="00FF2152" w:rsidRPr="00AC27AD" w:rsidRDefault="00FF2152" w:rsidP="00D60EDE">
            <w:pPr>
              <w:spacing w:after="0" w:line="240" w:lineRule="auto"/>
              <w:rPr>
                <w:b/>
                <w:sz w:val="20"/>
                <w:szCs w:val="20"/>
              </w:rPr>
            </w:pPr>
            <w:r w:rsidRPr="00AC27AD">
              <w:rPr>
                <w:rFonts w:cs="CMR10"/>
                <w:sz w:val="20"/>
                <w:szCs w:val="20"/>
              </w:rPr>
              <w:t>“Proportion of host-seeking mosquitoes that have laid eggs at least once.”</w:t>
            </w:r>
          </w:p>
        </w:tc>
        <w:tc>
          <w:tcPr>
            <w:tcW w:w="1701" w:type="dxa"/>
            <w:tcBorders>
              <w:top w:val="nil"/>
              <w:left w:val="single" w:sz="4" w:space="0" w:color="auto"/>
              <w:bottom w:val="single" w:sz="4" w:space="0" w:color="auto"/>
              <w:right w:val="nil"/>
            </w:tcBorders>
            <w:vAlign w:val="center"/>
          </w:tcPr>
          <w:p w14:paraId="46F0BCE3" w14:textId="77777777" w:rsidR="00AE2114" w:rsidRPr="00AC27AD" w:rsidRDefault="00FF2152" w:rsidP="00D60EDE">
            <w:pPr>
              <w:spacing w:after="0" w:line="240" w:lineRule="auto"/>
              <w:jc w:val="center"/>
              <w:rPr>
                <w:sz w:val="20"/>
                <w:szCs w:val="20"/>
              </w:rPr>
            </w:pPr>
            <w:r w:rsidRPr="00AC27AD">
              <w:rPr>
                <w:sz w:val="20"/>
                <w:szCs w:val="20"/>
              </w:rPr>
              <w:t>0.611</w:t>
            </w:r>
          </w:p>
        </w:tc>
        <w:tc>
          <w:tcPr>
            <w:tcW w:w="1717" w:type="dxa"/>
            <w:tcBorders>
              <w:top w:val="nil"/>
              <w:left w:val="nil"/>
              <w:bottom w:val="single" w:sz="4" w:space="0" w:color="auto"/>
              <w:right w:val="nil"/>
            </w:tcBorders>
            <w:vAlign w:val="center"/>
          </w:tcPr>
          <w:p w14:paraId="1C8B2B5B" w14:textId="77777777" w:rsidR="00AE2114" w:rsidRPr="00AC27AD" w:rsidRDefault="00AE2114" w:rsidP="00D60EDE">
            <w:pPr>
              <w:spacing w:after="0" w:line="240" w:lineRule="auto"/>
              <w:jc w:val="center"/>
              <w:rPr>
                <w:sz w:val="20"/>
                <w:szCs w:val="20"/>
              </w:rPr>
            </w:pPr>
            <w:r w:rsidRPr="00AC27AD">
              <w:rPr>
                <w:sz w:val="20"/>
                <w:szCs w:val="20"/>
              </w:rPr>
              <w:t>0.623</w:t>
            </w:r>
          </w:p>
        </w:tc>
        <w:tc>
          <w:tcPr>
            <w:tcW w:w="1685" w:type="dxa"/>
            <w:tcBorders>
              <w:top w:val="nil"/>
              <w:left w:val="nil"/>
              <w:bottom w:val="single" w:sz="4" w:space="0" w:color="auto"/>
              <w:right w:val="nil"/>
            </w:tcBorders>
            <w:vAlign w:val="center"/>
          </w:tcPr>
          <w:p w14:paraId="220B0233" w14:textId="77777777" w:rsidR="00AE2114" w:rsidRPr="00AC27AD" w:rsidRDefault="00AE2114" w:rsidP="00D60EDE">
            <w:pPr>
              <w:spacing w:after="0" w:line="240" w:lineRule="auto"/>
              <w:jc w:val="center"/>
              <w:rPr>
                <w:sz w:val="20"/>
                <w:szCs w:val="20"/>
              </w:rPr>
            </w:pPr>
            <w:r w:rsidRPr="00AC27AD">
              <w:rPr>
                <w:sz w:val="20"/>
                <w:szCs w:val="20"/>
              </w:rPr>
              <w:t>0.623</w:t>
            </w:r>
          </w:p>
        </w:tc>
      </w:tr>
      <w:tr w:rsidR="00AE2114" w:rsidRPr="00AC27AD" w14:paraId="4974D7A7" w14:textId="77777777" w:rsidTr="00D60EDE">
        <w:trPr>
          <w:trHeight w:hRule="exact" w:val="737"/>
        </w:trPr>
        <w:tc>
          <w:tcPr>
            <w:tcW w:w="4410" w:type="dxa"/>
            <w:tcBorders>
              <w:top w:val="nil"/>
              <w:left w:val="nil"/>
              <w:bottom w:val="single" w:sz="4" w:space="0" w:color="auto"/>
              <w:right w:val="single" w:sz="4" w:space="0" w:color="auto"/>
            </w:tcBorders>
            <w:vAlign w:val="center"/>
          </w:tcPr>
          <w:p w14:paraId="526861F6" w14:textId="77777777" w:rsidR="00AE2114" w:rsidRPr="00AC27AD" w:rsidRDefault="00AE2114" w:rsidP="00D60EDE">
            <w:pPr>
              <w:spacing w:after="0" w:line="240" w:lineRule="auto"/>
              <w:rPr>
                <w:b/>
                <w:sz w:val="20"/>
                <w:szCs w:val="20"/>
              </w:rPr>
            </w:pPr>
            <w:r w:rsidRPr="00AC27AD">
              <w:rPr>
                <w:b/>
                <w:sz w:val="20"/>
                <w:szCs w:val="20"/>
              </w:rPr>
              <w:t xml:space="preserve">Availability </w:t>
            </w:r>
            <w:r w:rsidR="00B00961" w:rsidRPr="00AC27AD">
              <w:rPr>
                <w:b/>
                <w:sz w:val="20"/>
                <w:szCs w:val="20"/>
              </w:rPr>
              <w:t>v</w:t>
            </w:r>
            <w:r w:rsidRPr="00AC27AD">
              <w:rPr>
                <w:b/>
                <w:sz w:val="20"/>
                <w:szCs w:val="20"/>
              </w:rPr>
              <w:t>ariance</w:t>
            </w:r>
          </w:p>
          <w:p w14:paraId="0983018C" w14:textId="77777777" w:rsidR="00D9661B" w:rsidRPr="00AC27AD" w:rsidRDefault="00D9661B" w:rsidP="00D60EDE">
            <w:pPr>
              <w:spacing w:after="0" w:line="240" w:lineRule="auto"/>
              <w:rPr>
                <w:b/>
                <w:sz w:val="20"/>
                <w:szCs w:val="20"/>
              </w:rPr>
            </w:pPr>
            <w:r w:rsidRPr="00AC27AD">
              <w:rPr>
                <w:rFonts w:cs="CMR10"/>
                <w:sz w:val="20"/>
                <w:szCs w:val="20"/>
              </w:rPr>
              <w:t>“Total availability rate of all nonhuman hosts”</w:t>
            </w:r>
          </w:p>
        </w:tc>
        <w:tc>
          <w:tcPr>
            <w:tcW w:w="1701" w:type="dxa"/>
            <w:tcBorders>
              <w:top w:val="nil"/>
              <w:left w:val="single" w:sz="4" w:space="0" w:color="auto"/>
              <w:bottom w:val="single" w:sz="4" w:space="0" w:color="auto"/>
              <w:right w:val="nil"/>
            </w:tcBorders>
            <w:vAlign w:val="center"/>
          </w:tcPr>
          <w:p w14:paraId="01DF0FE9" w14:textId="77777777" w:rsidR="00AE2114" w:rsidRPr="00AC27AD" w:rsidRDefault="00AE2114" w:rsidP="00D60EDE">
            <w:pPr>
              <w:spacing w:after="0" w:line="240" w:lineRule="auto"/>
              <w:jc w:val="center"/>
              <w:rPr>
                <w:sz w:val="20"/>
                <w:szCs w:val="20"/>
              </w:rPr>
            </w:pPr>
            <w:r w:rsidRPr="00AC27AD">
              <w:rPr>
                <w:sz w:val="20"/>
                <w:szCs w:val="20"/>
              </w:rPr>
              <w:t>0</w:t>
            </w:r>
          </w:p>
        </w:tc>
        <w:tc>
          <w:tcPr>
            <w:tcW w:w="1717" w:type="dxa"/>
            <w:tcBorders>
              <w:top w:val="nil"/>
              <w:left w:val="nil"/>
              <w:bottom w:val="single" w:sz="4" w:space="0" w:color="auto"/>
              <w:right w:val="nil"/>
            </w:tcBorders>
            <w:vAlign w:val="center"/>
          </w:tcPr>
          <w:p w14:paraId="65720C06" w14:textId="77777777" w:rsidR="00AE2114" w:rsidRPr="00AC27AD" w:rsidRDefault="00AE2114" w:rsidP="00D60EDE">
            <w:pPr>
              <w:spacing w:after="0" w:line="240" w:lineRule="auto"/>
              <w:jc w:val="center"/>
              <w:rPr>
                <w:sz w:val="20"/>
                <w:szCs w:val="20"/>
              </w:rPr>
            </w:pPr>
            <w:r w:rsidRPr="00AC27AD">
              <w:rPr>
                <w:sz w:val="20"/>
                <w:szCs w:val="20"/>
              </w:rPr>
              <w:t>0</w:t>
            </w:r>
          </w:p>
        </w:tc>
        <w:tc>
          <w:tcPr>
            <w:tcW w:w="1685" w:type="dxa"/>
            <w:tcBorders>
              <w:top w:val="nil"/>
              <w:left w:val="nil"/>
              <w:bottom w:val="single" w:sz="4" w:space="0" w:color="auto"/>
              <w:right w:val="nil"/>
            </w:tcBorders>
            <w:vAlign w:val="center"/>
          </w:tcPr>
          <w:p w14:paraId="63442CBA" w14:textId="77777777" w:rsidR="00AE2114" w:rsidRPr="00AC27AD" w:rsidRDefault="00AE2114" w:rsidP="00D60EDE">
            <w:pPr>
              <w:spacing w:after="0" w:line="240" w:lineRule="auto"/>
              <w:jc w:val="center"/>
              <w:rPr>
                <w:sz w:val="20"/>
                <w:szCs w:val="20"/>
              </w:rPr>
            </w:pPr>
            <w:r w:rsidRPr="00AC27AD">
              <w:rPr>
                <w:sz w:val="20"/>
                <w:szCs w:val="20"/>
              </w:rPr>
              <w:t>0</w:t>
            </w:r>
          </w:p>
        </w:tc>
      </w:tr>
      <w:tr w:rsidR="00AE2114" w:rsidRPr="00AC27AD" w14:paraId="3D7C7FFA" w14:textId="77777777" w:rsidTr="00D60EDE">
        <w:trPr>
          <w:trHeight w:hRule="exact" w:val="737"/>
        </w:trPr>
        <w:tc>
          <w:tcPr>
            <w:tcW w:w="4410" w:type="dxa"/>
            <w:tcBorders>
              <w:top w:val="nil"/>
              <w:left w:val="nil"/>
              <w:bottom w:val="single" w:sz="4" w:space="0" w:color="auto"/>
              <w:right w:val="single" w:sz="4" w:space="0" w:color="auto"/>
            </w:tcBorders>
            <w:vAlign w:val="center"/>
          </w:tcPr>
          <w:p w14:paraId="2281F3B7" w14:textId="77777777" w:rsidR="00AE2114" w:rsidRPr="00AC27AD" w:rsidRDefault="00B00961" w:rsidP="00D60EDE">
            <w:pPr>
              <w:spacing w:after="0" w:line="240" w:lineRule="auto"/>
              <w:rPr>
                <w:b/>
                <w:sz w:val="20"/>
                <w:szCs w:val="20"/>
              </w:rPr>
            </w:pPr>
            <w:r w:rsidRPr="00AC27AD">
              <w:rPr>
                <w:b/>
                <w:sz w:val="20"/>
                <w:szCs w:val="20"/>
              </w:rPr>
              <w:t>Biting probability</w:t>
            </w:r>
          </w:p>
          <w:p w14:paraId="6E6F8959" w14:textId="77777777" w:rsidR="00BC384C" w:rsidRPr="00AC27AD" w:rsidRDefault="00BC384C" w:rsidP="00D60EDE">
            <w:pPr>
              <w:spacing w:after="0" w:line="240" w:lineRule="auto"/>
              <w:rPr>
                <w:b/>
                <w:sz w:val="20"/>
                <w:szCs w:val="20"/>
              </w:rPr>
            </w:pPr>
            <w:r w:rsidRPr="00AC27AD">
              <w:rPr>
                <w:rFonts w:cs="CMR10"/>
                <w:sz w:val="20"/>
                <w:szCs w:val="20"/>
              </w:rPr>
              <w:t>“Probability that a mosquito bites a human after encountering one.”</w:t>
            </w:r>
          </w:p>
        </w:tc>
        <w:tc>
          <w:tcPr>
            <w:tcW w:w="1701" w:type="dxa"/>
            <w:tcBorders>
              <w:top w:val="nil"/>
              <w:left w:val="single" w:sz="4" w:space="0" w:color="auto"/>
              <w:bottom w:val="single" w:sz="4" w:space="0" w:color="auto"/>
              <w:right w:val="nil"/>
            </w:tcBorders>
            <w:vAlign w:val="center"/>
          </w:tcPr>
          <w:p w14:paraId="47F4FB51" w14:textId="77777777" w:rsidR="00AE2114" w:rsidRPr="00AC27AD" w:rsidRDefault="00AE2114" w:rsidP="00D60EDE">
            <w:pPr>
              <w:spacing w:after="0" w:line="240" w:lineRule="auto"/>
              <w:jc w:val="center"/>
              <w:rPr>
                <w:sz w:val="20"/>
                <w:szCs w:val="20"/>
              </w:rPr>
            </w:pPr>
            <w:r w:rsidRPr="00AC27AD">
              <w:rPr>
                <w:sz w:val="20"/>
                <w:szCs w:val="20"/>
              </w:rPr>
              <w:t>0.95</w:t>
            </w:r>
          </w:p>
        </w:tc>
        <w:tc>
          <w:tcPr>
            <w:tcW w:w="1717" w:type="dxa"/>
            <w:tcBorders>
              <w:top w:val="nil"/>
              <w:left w:val="nil"/>
              <w:bottom w:val="single" w:sz="4" w:space="0" w:color="auto"/>
              <w:right w:val="nil"/>
            </w:tcBorders>
            <w:vAlign w:val="center"/>
          </w:tcPr>
          <w:p w14:paraId="1C5A2021" w14:textId="77777777" w:rsidR="00AE2114" w:rsidRPr="00AC27AD" w:rsidRDefault="00AE2114" w:rsidP="00D60EDE">
            <w:pPr>
              <w:spacing w:after="0" w:line="240" w:lineRule="auto"/>
              <w:jc w:val="center"/>
              <w:rPr>
                <w:sz w:val="20"/>
                <w:szCs w:val="20"/>
              </w:rPr>
            </w:pPr>
            <w:r w:rsidRPr="00AC27AD">
              <w:rPr>
                <w:sz w:val="20"/>
                <w:szCs w:val="20"/>
              </w:rPr>
              <w:t>0.95</w:t>
            </w:r>
          </w:p>
        </w:tc>
        <w:tc>
          <w:tcPr>
            <w:tcW w:w="1685" w:type="dxa"/>
            <w:tcBorders>
              <w:top w:val="nil"/>
              <w:left w:val="nil"/>
              <w:bottom w:val="single" w:sz="4" w:space="0" w:color="auto"/>
              <w:right w:val="nil"/>
            </w:tcBorders>
            <w:vAlign w:val="center"/>
          </w:tcPr>
          <w:p w14:paraId="488F5353" w14:textId="77777777" w:rsidR="00AE2114" w:rsidRPr="00AC27AD" w:rsidRDefault="00AE2114" w:rsidP="00D60EDE">
            <w:pPr>
              <w:spacing w:after="0" w:line="240" w:lineRule="auto"/>
              <w:jc w:val="center"/>
              <w:rPr>
                <w:sz w:val="20"/>
                <w:szCs w:val="20"/>
              </w:rPr>
            </w:pPr>
            <w:r w:rsidRPr="00AC27AD">
              <w:rPr>
                <w:sz w:val="20"/>
                <w:szCs w:val="20"/>
              </w:rPr>
              <w:t>0.95</w:t>
            </w:r>
          </w:p>
        </w:tc>
      </w:tr>
      <w:tr w:rsidR="00AE2114" w:rsidRPr="00AC27AD" w14:paraId="1040E026" w14:textId="77777777" w:rsidTr="00D60EDE">
        <w:trPr>
          <w:trHeight w:hRule="exact" w:val="737"/>
        </w:trPr>
        <w:tc>
          <w:tcPr>
            <w:tcW w:w="4410" w:type="dxa"/>
            <w:tcBorders>
              <w:top w:val="nil"/>
              <w:left w:val="nil"/>
              <w:bottom w:val="single" w:sz="4" w:space="0" w:color="auto"/>
              <w:right w:val="single" w:sz="4" w:space="0" w:color="auto"/>
            </w:tcBorders>
            <w:vAlign w:val="center"/>
          </w:tcPr>
          <w:p w14:paraId="6C467814" w14:textId="77777777" w:rsidR="00AE2114" w:rsidRPr="00AC27AD" w:rsidRDefault="00B00961" w:rsidP="00D60EDE">
            <w:pPr>
              <w:spacing w:after="0" w:line="240" w:lineRule="auto"/>
              <w:rPr>
                <w:b/>
                <w:sz w:val="20"/>
                <w:szCs w:val="20"/>
              </w:rPr>
            </w:pPr>
            <w:r w:rsidRPr="00AC27AD">
              <w:rPr>
                <w:b/>
                <w:sz w:val="20"/>
                <w:szCs w:val="20"/>
              </w:rPr>
              <w:t>Probability finding resting site</w:t>
            </w:r>
          </w:p>
          <w:p w14:paraId="6679846F" w14:textId="77777777" w:rsidR="00B00961" w:rsidRPr="00AC27AD" w:rsidRDefault="00B00961" w:rsidP="00D60EDE">
            <w:pPr>
              <w:spacing w:after="0" w:line="240" w:lineRule="auto"/>
              <w:rPr>
                <w:b/>
                <w:sz w:val="20"/>
                <w:szCs w:val="20"/>
              </w:rPr>
            </w:pPr>
            <w:r w:rsidRPr="00AC27AD">
              <w:rPr>
                <w:rFonts w:cs="CMR10"/>
                <w:sz w:val="20"/>
                <w:szCs w:val="20"/>
              </w:rPr>
              <w:t>“Probability that a mosquito finds a resting place after biting a human.”</w:t>
            </w:r>
          </w:p>
        </w:tc>
        <w:tc>
          <w:tcPr>
            <w:tcW w:w="1701" w:type="dxa"/>
            <w:tcBorders>
              <w:top w:val="nil"/>
              <w:left w:val="single" w:sz="4" w:space="0" w:color="auto"/>
              <w:bottom w:val="single" w:sz="4" w:space="0" w:color="auto"/>
              <w:right w:val="nil"/>
            </w:tcBorders>
            <w:vAlign w:val="center"/>
          </w:tcPr>
          <w:p w14:paraId="5EDA8930" w14:textId="77777777" w:rsidR="00AE2114" w:rsidRPr="00AC27AD" w:rsidRDefault="00AE2114" w:rsidP="00D60EDE">
            <w:pPr>
              <w:spacing w:after="0" w:line="240" w:lineRule="auto"/>
              <w:jc w:val="center"/>
              <w:rPr>
                <w:sz w:val="20"/>
                <w:szCs w:val="20"/>
              </w:rPr>
            </w:pPr>
            <w:r w:rsidRPr="00AC27AD">
              <w:rPr>
                <w:sz w:val="20"/>
                <w:szCs w:val="20"/>
              </w:rPr>
              <w:t>0.95</w:t>
            </w:r>
          </w:p>
        </w:tc>
        <w:tc>
          <w:tcPr>
            <w:tcW w:w="1717" w:type="dxa"/>
            <w:tcBorders>
              <w:top w:val="nil"/>
              <w:left w:val="nil"/>
              <w:bottom w:val="single" w:sz="4" w:space="0" w:color="auto"/>
              <w:right w:val="nil"/>
            </w:tcBorders>
            <w:vAlign w:val="center"/>
          </w:tcPr>
          <w:p w14:paraId="00CDE1BD" w14:textId="77777777" w:rsidR="00AE2114" w:rsidRPr="00AC27AD" w:rsidRDefault="00AE2114" w:rsidP="00D60EDE">
            <w:pPr>
              <w:spacing w:after="0" w:line="240" w:lineRule="auto"/>
              <w:jc w:val="center"/>
              <w:rPr>
                <w:sz w:val="20"/>
                <w:szCs w:val="20"/>
              </w:rPr>
            </w:pPr>
            <w:r w:rsidRPr="00AC27AD">
              <w:rPr>
                <w:sz w:val="20"/>
                <w:szCs w:val="20"/>
              </w:rPr>
              <w:t>0.95</w:t>
            </w:r>
          </w:p>
        </w:tc>
        <w:tc>
          <w:tcPr>
            <w:tcW w:w="1685" w:type="dxa"/>
            <w:tcBorders>
              <w:top w:val="nil"/>
              <w:left w:val="nil"/>
              <w:bottom w:val="single" w:sz="4" w:space="0" w:color="auto"/>
              <w:right w:val="nil"/>
            </w:tcBorders>
            <w:vAlign w:val="center"/>
          </w:tcPr>
          <w:p w14:paraId="7559C754" w14:textId="77777777" w:rsidR="00AE2114" w:rsidRPr="00AC27AD" w:rsidRDefault="00AE2114" w:rsidP="00D60EDE">
            <w:pPr>
              <w:spacing w:after="0" w:line="240" w:lineRule="auto"/>
              <w:jc w:val="center"/>
              <w:rPr>
                <w:sz w:val="20"/>
                <w:szCs w:val="20"/>
              </w:rPr>
            </w:pPr>
            <w:r w:rsidRPr="00AC27AD">
              <w:rPr>
                <w:sz w:val="20"/>
                <w:szCs w:val="20"/>
              </w:rPr>
              <w:t>0.95</w:t>
            </w:r>
          </w:p>
        </w:tc>
      </w:tr>
      <w:tr w:rsidR="00AE2114" w:rsidRPr="00AC27AD" w14:paraId="54B3FCEA" w14:textId="77777777" w:rsidTr="00D60EDE">
        <w:trPr>
          <w:trHeight w:hRule="exact" w:val="737"/>
        </w:trPr>
        <w:tc>
          <w:tcPr>
            <w:tcW w:w="4410" w:type="dxa"/>
            <w:tcBorders>
              <w:top w:val="nil"/>
              <w:left w:val="nil"/>
              <w:bottom w:val="single" w:sz="4" w:space="0" w:color="auto"/>
              <w:right w:val="single" w:sz="4" w:space="0" w:color="auto"/>
            </w:tcBorders>
            <w:vAlign w:val="center"/>
          </w:tcPr>
          <w:p w14:paraId="23E3CFC6" w14:textId="77777777" w:rsidR="00AE2114" w:rsidRPr="00AC27AD" w:rsidRDefault="00AE2114" w:rsidP="00D60EDE">
            <w:pPr>
              <w:spacing w:after="0" w:line="240" w:lineRule="auto"/>
              <w:rPr>
                <w:b/>
                <w:sz w:val="20"/>
                <w:szCs w:val="20"/>
              </w:rPr>
            </w:pPr>
            <w:r w:rsidRPr="00AC27AD">
              <w:rPr>
                <w:b/>
                <w:sz w:val="20"/>
                <w:szCs w:val="20"/>
              </w:rPr>
              <w:t>Prob</w:t>
            </w:r>
            <w:r w:rsidR="00B00961" w:rsidRPr="00AC27AD">
              <w:rPr>
                <w:b/>
                <w:sz w:val="20"/>
                <w:szCs w:val="20"/>
              </w:rPr>
              <w:t>ability of surviving r</w:t>
            </w:r>
            <w:r w:rsidRPr="00AC27AD">
              <w:rPr>
                <w:b/>
                <w:sz w:val="20"/>
                <w:szCs w:val="20"/>
              </w:rPr>
              <w:t>esting</w:t>
            </w:r>
            <w:r w:rsidR="00B00961" w:rsidRPr="00AC27AD">
              <w:rPr>
                <w:b/>
                <w:sz w:val="20"/>
                <w:szCs w:val="20"/>
              </w:rPr>
              <w:t xml:space="preserve"> stage</w:t>
            </w:r>
          </w:p>
          <w:p w14:paraId="43D43278" w14:textId="5D5560D6" w:rsidR="00B00961" w:rsidRPr="00AC27AD" w:rsidRDefault="00B00961" w:rsidP="00D60EDE">
            <w:pPr>
              <w:spacing w:after="0" w:line="240" w:lineRule="auto"/>
              <w:rPr>
                <w:rFonts w:cs="CMR10"/>
                <w:sz w:val="20"/>
                <w:szCs w:val="20"/>
              </w:rPr>
            </w:pPr>
            <w:r w:rsidRPr="00AC27AD">
              <w:rPr>
                <w:rFonts w:cs="CMR10"/>
                <w:sz w:val="20"/>
                <w:szCs w:val="20"/>
              </w:rPr>
              <w:t>“Probability that a mosquito survives the resting phase after biting a human.”</w:t>
            </w:r>
          </w:p>
        </w:tc>
        <w:tc>
          <w:tcPr>
            <w:tcW w:w="1701" w:type="dxa"/>
            <w:tcBorders>
              <w:top w:val="nil"/>
              <w:left w:val="single" w:sz="4" w:space="0" w:color="auto"/>
              <w:bottom w:val="single" w:sz="4" w:space="0" w:color="auto"/>
              <w:right w:val="nil"/>
            </w:tcBorders>
            <w:vAlign w:val="center"/>
          </w:tcPr>
          <w:p w14:paraId="3EA0FE02" w14:textId="77777777" w:rsidR="00AE2114" w:rsidRPr="00AC27AD" w:rsidRDefault="00AE2114" w:rsidP="00D60EDE">
            <w:pPr>
              <w:spacing w:after="0" w:line="240" w:lineRule="auto"/>
              <w:jc w:val="center"/>
              <w:rPr>
                <w:sz w:val="20"/>
                <w:szCs w:val="20"/>
              </w:rPr>
            </w:pPr>
            <w:r w:rsidRPr="00AC27AD">
              <w:rPr>
                <w:sz w:val="20"/>
                <w:szCs w:val="20"/>
              </w:rPr>
              <w:t>0.99</w:t>
            </w:r>
          </w:p>
        </w:tc>
        <w:tc>
          <w:tcPr>
            <w:tcW w:w="1717" w:type="dxa"/>
            <w:tcBorders>
              <w:top w:val="nil"/>
              <w:left w:val="nil"/>
              <w:bottom w:val="single" w:sz="4" w:space="0" w:color="auto"/>
              <w:right w:val="nil"/>
            </w:tcBorders>
            <w:vAlign w:val="center"/>
          </w:tcPr>
          <w:p w14:paraId="413D7974" w14:textId="77777777" w:rsidR="00AE2114" w:rsidRPr="00AC27AD" w:rsidRDefault="00AE2114" w:rsidP="00D60EDE">
            <w:pPr>
              <w:spacing w:after="0" w:line="240" w:lineRule="auto"/>
              <w:jc w:val="center"/>
              <w:rPr>
                <w:sz w:val="20"/>
                <w:szCs w:val="20"/>
              </w:rPr>
            </w:pPr>
            <w:r w:rsidRPr="00AC27AD">
              <w:rPr>
                <w:sz w:val="20"/>
                <w:szCs w:val="20"/>
              </w:rPr>
              <w:t>0.99</w:t>
            </w:r>
          </w:p>
        </w:tc>
        <w:tc>
          <w:tcPr>
            <w:tcW w:w="1685" w:type="dxa"/>
            <w:tcBorders>
              <w:top w:val="nil"/>
              <w:left w:val="nil"/>
              <w:bottom w:val="single" w:sz="4" w:space="0" w:color="auto"/>
              <w:right w:val="nil"/>
            </w:tcBorders>
            <w:vAlign w:val="center"/>
          </w:tcPr>
          <w:p w14:paraId="6E69321A" w14:textId="77777777" w:rsidR="00AE2114" w:rsidRPr="00AC27AD" w:rsidRDefault="00AE2114" w:rsidP="00D60EDE">
            <w:pPr>
              <w:spacing w:after="0" w:line="240" w:lineRule="auto"/>
              <w:jc w:val="center"/>
              <w:rPr>
                <w:sz w:val="20"/>
                <w:szCs w:val="20"/>
              </w:rPr>
            </w:pPr>
            <w:r w:rsidRPr="00AC27AD">
              <w:rPr>
                <w:sz w:val="20"/>
                <w:szCs w:val="20"/>
              </w:rPr>
              <w:t>0.99</w:t>
            </w:r>
          </w:p>
        </w:tc>
      </w:tr>
      <w:tr w:rsidR="00AE2114" w:rsidRPr="00AC27AD" w14:paraId="13880F9F" w14:textId="77777777" w:rsidTr="00D60EDE">
        <w:trPr>
          <w:trHeight w:hRule="exact" w:val="737"/>
        </w:trPr>
        <w:tc>
          <w:tcPr>
            <w:tcW w:w="4410" w:type="dxa"/>
            <w:tcBorders>
              <w:top w:val="nil"/>
              <w:left w:val="nil"/>
              <w:bottom w:val="single" w:sz="4" w:space="0" w:color="auto"/>
              <w:right w:val="single" w:sz="4" w:space="0" w:color="auto"/>
            </w:tcBorders>
            <w:vAlign w:val="center"/>
          </w:tcPr>
          <w:p w14:paraId="17FA8563" w14:textId="77777777" w:rsidR="00AE2114" w:rsidRPr="00AC27AD" w:rsidRDefault="00AE2114" w:rsidP="00D60EDE">
            <w:pPr>
              <w:spacing w:after="0" w:line="240" w:lineRule="auto"/>
              <w:rPr>
                <w:b/>
                <w:sz w:val="20"/>
                <w:szCs w:val="20"/>
              </w:rPr>
            </w:pPr>
            <w:proofErr w:type="spellStart"/>
            <w:r w:rsidRPr="00AC27AD">
              <w:rPr>
                <w:b/>
                <w:sz w:val="20"/>
                <w:szCs w:val="20"/>
              </w:rPr>
              <w:t>Ovipositing</w:t>
            </w:r>
            <w:proofErr w:type="spellEnd"/>
            <w:r w:rsidR="00BC384C" w:rsidRPr="00AC27AD">
              <w:rPr>
                <w:b/>
                <w:sz w:val="20"/>
                <w:szCs w:val="20"/>
              </w:rPr>
              <w:t xml:space="preserve"> probability</w:t>
            </w:r>
          </w:p>
          <w:p w14:paraId="0D7D510B" w14:textId="35429D21" w:rsidR="00BC384C" w:rsidRPr="00AC27AD" w:rsidRDefault="00BC384C" w:rsidP="00D60EDE">
            <w:pPr>
              <w:spacing w:after="0" w:line="240" w:lineRule="auto"/>
              <w:rPr>
                <w:rFonts w:cs="CMR10"/>
                <w:sz w:val="20"/>
                <w:szCs w:val="20"/>
              </w:rPr>
            </w:pPr>
            <w:r w:rsidRPr="00AC27AD">
              <w:rPr>
                <w:rFonts w:cs="CMR10"/>
                <w:sz w:val="20"/>
                <w:szCs w:val="20"/>
              </w:rPr>
              <w:t>“Probability that a mosquito lays eggs and returns to host-seeking after biting</w:t>
            </w:r>
            <w:r w:rsidR="00D60EDE">
              <w:rPr>
                <w:rFonts w:cs="CMR10"/>
                <w:sz w:val="20"/>
                <w:szCs w:val="20"/>
              </w:rPr>
              <w:t xml:space="preserve"> </w:t>
            </w:r>
            <w:r w:rsidRPr="00AC27AD">
              <w:rPr>
                <w:rFonts w:cs="CMR10"/>
                <w:sz w:val="20"/>
                <w:szCs w:val="20"/>
              </w:rPr>
              <w:t>a human”</w:t>
            </w:r>
          </w:p>
        </w:tc>
        <w:tc>
          <w:tcPr>
            <w:tcW w:w="1701" w:type="dxa"/>
            <w:tcBorders>
              <w:top w:val="nil"/>
              <w:left w:val="single" w:sz="4" w:space="0" w:color="auto"/>
              <w:bottom w:val="single" w:sz="4" w:space="0" w:color="auto"/>
              <w:right w:val="nil"/>
            </w:tcBorders>
            <w:vAlign w:val="center"/>
          </w:tcPr>
          <w:p w14:paraId="1B9ADD2E" w14:textId="77777777" w:rsidR="00AE2114" w:rsidRPr="00AC27AD" w:rsidRDefault="00AE2114" w:rsidP="00D60EDE">
            <w:pPr>
              <w:spacing w:after="0" w:line="240" w:lineRule="auto"/>
              <w:jc w:val="center"/>
              <w:rPr>
                <w:sz w:val="20"/>
                <w:szCs w:val="20"/>
              </w:rPr>
            </w:pPr>
            <w:r w:rsidRPr="00AC27AD">
              <w:rPr>
                <w:sz w:val="20"/>
                <w:szCs w:val="20"/>
              </w:rPr>
              <w:t>0.88</w:t>
            </w:r>
          </w:p>
        </w:tc>
        <w:tc>
          <w:tcPr>
            <w:tcW w:w="1717" w:type="dxa"/>
            <w:tcBorders>
              <w:top w:val="nil"/>
              <w:left w:val="nil"/>
              <w:bottom w:val="single" w:sz="4" w:space="0" w:color="auto"/>
              <w:right w:val="nil"/>
            </w:tcBorders>
            <w:vAlign w:val="center"/>
          </w:tcPr>
          <w:p w14:paraId="1F23E5F2" w14:textId="77777777" w:rsidR="00AE2114" w:rsidRPr="00AC27AD" w:rsidRDefault="00AE2114" w:rsidP="00D60EDE">
            <w:pPr>
              <w:spacing w:after="0" w:line="240" w:lineRule="auto"/>
              <w:jc w:val="center"/>
              <w:rPr>
                <w:sz w:val="20"/>
                <w:szCs w:val="20"/>
              </w:rPr>
            </w:pPr>
            <w:r w:rsidRPr="00AC27AD">
              <w:rPr>
                <w:sz w:val="20"/>
                <w:szCs w:val="20"/>
              </w:rPr>
              <w:t>0.88</w:t>
            </w:r>
          </w:p>
        </w:tc>
        <w:tc>
          <w:tcPr>
            <w:tcW w:w="1685" w:type="dxa"/>
            <w:tcBorders>
              <w:top w:val="nil"/>
              <w:left w:val="nil"/>
              <w:bottom w:val="single" w:sz="4" w:space="0" w:color="auto"/>
              <w:right w:val="nil"/>
            </w:tcBorders>
            <w:vAlign w:val="center"/>
          </w:tcPr>
          <w:p w14:paraId="3F3947E6" w14:textId="77777777" w:rsidR="00AE2114" w:rsidRPr="00AC27AD" w:rsidRDefault="00AE2114" w:rsidP="00D60EDE">
            <w:pPr>
              <w:spacing w:after="0" w:line="240" w:lineRule="auto"/>
              <w:jc w:val="center"/>
              <w:rPr>
                <w:sz w:val="20"/>
                <w:szCs w:val="20"/>
              </w:rPr>
            </w:pPr>
            <w:r w:rsidRPr="00AC27AD">
              <w:rPr>
                <w:sz w:val="20"/>
                <w:szCs w:val="20"/>
              </w:rPr>
              <w:t>0.88</w:t>
            </w:r>
          </w:p>
        </w:tc>
      </w:tr>
    </w:tbl>
    <w:p w14:paraId="5FAE7EFD" w14:textId="77777777" w:rsidR="00810E50" w:rsidRDefault="00810E50" w:rsidP="00FB7E5A">
      <w:pPr>
        <w:keepNext/>
        <w:spacing w:after="0"/>
        <w:jc w:val="both"/>
      </w:pPr>
    </w:p>
    <w:p w14:paraId="5F2052C0" w14:textId="77777777" w:rsidR="00646657" w:rsidRPr="00092331" w:rsidRDefault="00531B08" w:rsidP="00FB7E5A">
      <w:pPr>
        <w:keepNext/>
        <w:spacing w:after="0"/>
        <w:jc w:val="both"/>
      </w:pPr>
      <w:r w:rsidRPr="00092331">
        <w:rPr>
          <w:noProof/>
          <w:lang w:val="en-US"/>
        </w:rPr>
        <w:drawing>
          <wp:inline distT="0" distB="0" distL="0" distR="0" wp14:anchorId="2FFA3DDF" wp14:editId="6E1BE783">
            <wp:extent cx="5600700" cy="3390900"/>
            <wp:effectExtent l="19050" t="19050" r="19050" b="19050"/>
            <wp:docPr id="7" name="Picture 7" descr="C:\Users\rungma\Projects\OM_TZA\Figures\DataDescription_and_Preparation\contributionVectors\vector_3_for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ngma\Projects\OM_TZA\Figures\DataDescription_and_Preparation\contributionVectors\vector_3_for paper.pn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598849" cy="338977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76137BF2" w14:textId="3EB01583" w:rsidR="00646657" w:rsidRPr="00092331" w:rsidRDefault="009C3D40" w:rsidP="00FB7E5A">
      <w:pPr>
        <w:pStyle w:val="Caption"/>
        <w:spacing w:before="0" w:after="0" w:line="276" w:lineRule="auto"/>
        <w:rPr>
          <w:rFonts w:asciiTheme="minorHAnsi" w:hAnsiTheme="minorHAnsi"/>
          <w:b/>
        </w:rPr>
      </w:pPr>
      <w:bookmarkStart w:id="12" w:name="_Ref532899061"/>
      <w:bookmarkStart w:id="13" w:name="_Toc533358415"/>
      <w:r>
        <w:rPr>
          <w:rFonts w:asciiTheme="minorHAnsi" w:hAnsiTheme="minorHAnsi"/>
          <w:b/>
        </w:rPr>
        <w:t>Fig</w:t>
      </w:r>
      <w:r w:rsidR="00646657" w:rsidRPr="00092331">
        <w:rPr>
          <w:rFonts w:asciiTheme="minorHAnsi" w:hAnsiTheme="minorHAnsi"/>
          <w:b/>
        </w:rPr>
        <w:t xml:space="preserve"> </w:t>
      </w:r>
      <w:r>
        <w:rPr>
          <w:rFonts w:asciiTheme="minorHAnsi" w:hAnsiTheme="minorHAnsi"/>
          <w:b/>
        </w:rPr>
        <w:t>S2.</w:t>
      </w:r>
      <w:r w:rsidR="00646657" w:rsidRPr="00092331">
        <w:rPr>
          <w:rFonts w:asciiTheme="minorHAnsi" w:hAnsiTheme="minorHAnsi"/>
          <w:b/>
        </w:rPr>
        <w:fldChar w:fldCharType="begin"/>
      </w:r>
      <w:r w:rsidR="00646657" w:rsidRPr="00092331">
        <w:rPr>
          <w:rFonts w:asciiTheme="minorHAnsi" w:hAnsiTheme="minorHAnsi"/>
          <w:b/>
        </w:rPr>
        <w:instrText xml:space="preserve"> SEQ Figure \* ARABIC </w:instrText>
      </w:r>
      <w:r w:rsidR="00646657" w:rsidRPr="00092331">
        <w:rPr>
          <w:rFonts w:asciiTheme="minorHAnsi" w:hAnsiTheme="minorHAnsi"/>
          <w:b/>
        </w:rPr>
        <w:fldChar w:fldCharType="separate"/>
      </w:r>
      <w:r w:rsidR="00B51A34">
        <w:rPr>
          <w:rFonts w:asciiTheme="minorHAnsi" w:hAnsiTheme="minorHAnsi"/>
          <w:b/>
          <w:noProof/>
        </w:rPr>
        <w:t>1</w:t>
      </w:r>
      <w:r w:rsidR="00646657" w:rsidRPr="00092331">
        <w:rPr>
          <w:rFonts w:asciiTheme="minorHAnsi" w:hAnsiTheme="minorHAnsi"/>
          <w:b/>
        </w:rPr>
        <w:fldChar w:fldCharType="end"/>
      </w:r>
      <w:bookmarkEnd w:id="12"/>
      <w:r w:rsidR="00646657" w:rsidRPr="00092331">
        <w:rPr>
          <w:rFonts w:asciiTheme="minorHAnsi" w:hAnsiTheme="minorHAnsi"/>
          <w:b/>
        </w:rPr>
        <w:t xml:space="preserve">: </w:t>
      </w:r>
      <w:r w:rsidR="00646657" w:rsidRPr="00E40467">
        <w:rPr>
          <w:rFonts w:asciiTheme="minorHAnsi" w:hAnsiTheme="minorHAnsi"/>
          <w:b/>
        </w:rPr>
        <w:t>Assumed geographic distribution of the contribution to malaria transmission per vector species.</w:t>
      </w:r>
      <w:bookmarkEnd w:id="13"/>
    </w:p>
    <w:p w14:paraId="6486D7D7" w14:textId="58B32400" w:rsidR="00646657" w:rsidRDefault="00380545" w:rsidP="00FB7E5A">
      <w:pPr>
        <w:spacing w:after="0"/>
        <w:jc w:val="both"/>
        <w:rPr>
          <w:sz w:val="20"/>
          <w:szCs w:val="20"/>
          <w:lang w:eastAsia="de-DE"/>
        </w:rPr>
      </w:pPr>
      <w:r>
        <w:rPr>
          <w:sz w:val="20"/>
          <w:szCs w:val="20"/>
          <w:lang w:eastAsia="de-DE"/>
        </w:rPr>
        <w:t>Dark grey areas show e</w:t>
      </w:r>
      <w:r w:rsidR="00E91114" w:rsidRPr="00092331">
        <w:rPr>
          <w:sz w:val="20"/>
          <w:szCs w:val="20"/>
          <w:lang w:eastAsia="de-DE"/>
        </w:rPr>
        <w:t>stimated</w:t>
      </w:r>
      <w:r w:rsidR="00646657" w:rsidRPr="00092331">
        <w:rPr>
          <w:sz w:val="20"/>
          <w:szCs w:val="20"/>
          <w:lang w:eastAsia="de-DE"/>
        </w:rPr>
        <w:t xml:space="preserve"> contribution</w:t>
      </w:r>
      <w:r w:rsidR="00E91114" w:rsidRPr="00092331">
        <w:rPr>
          <w:sz w:val="20"/>
          <w:szCs w:val="20"/>
          <w:lang w:eastAsia="de-DE"/>
        </w:rPr>
        <w:t xml:space="preserve"> of different vectors</w:t>
      </w:r>
      <w:r w:rsidR="00646657" w:rsidRPr="00092331">
        <w:rPr>
          <w:sz w:val="20"/>
          <w:szCs w:val="20"/>
          <w:lang w:eastAsia="de-DE"/>
        </w:rPr>
        <w:t xml:space="preserve"> to EIR, based on </w:t>
      </w:r>
      <w:r w:rsidR="00646657" w:rsidRPr="00092331">
        <w:rPr>
          <w:noProof/>
          <w:sz w:val="20"/>
          <w:szCs w:val="20"/>
          <w:lang w:eastAsia="de-DE"/>
        </w:rPr>
        <w:t>preliminary</w:t>
      </w:r>
      <w:r w:rsidR="00646657" w:rsidRPr="00092331">
        <w:rPr>
          <w:sz w:val="20"/>
          <w:szCs w:val="20"/>
          <w:lang w:eastAsia="de-DE"/>
        </w:rPr>
        <w:t xml:space="preserve"> entomological data send by NMCP</w:t>
      </w:r>
      <w:r>
        <w:rPr>
          <w:sz w:val="20"/>
          <w:szCs w:val="20"/>
          <w:lang w:eastAsia="de-DE"/>
        </w:rPr>
        <w:t xml:space="preserve"> (NMCP unpublished data). Light grey areas show </w:t>
      </w:r>
      <w:r w:rsidR="00AC5FF4">
        <w:rPr>
          <w:sz w:val="20"/>
          <w:szCs w:val="20"/>
        </w:rPr>
        <w:t>estimates derived based on a collated occurrence database</w:t>
      </w:r>
      <w:r>
        <w:rPr>
          <w:sz w:val="20"/>
          <w:szCs w:val="20"/>
          <w:lang w:eastAsia="de-DE"/>
        </w:rPr>
        <w:t>. White areas show a</w:t>
      </w:r>
      <w:r w:rsidR="00646657" w:rsidRPr="00092331">
        <w:rPr>
          <w:sz w:val="20"/>
          <w:szCs w:val="20"/>
          <w:lang w:eastAsia="de-DE"/>
        </w:rPr>
        <w:t>ssumed vector contribution</w:t>
      </w:r>
      <w:r w:rsidR="00E91114" w:rsidRPr="00092331">
        <w:rPr>
          <w:sz w:val="20"/>
          <w:szCs w:val="20"/>
          <w:lang w:eastAsia="de-DE"/>
        </w:rPr>
        <w:t>s</w:t>
      </w:r>
      <w:r w:rsidR="00646657" w:rsidRPr="00092331">
        <w:rPr>
          <w:sz w:val="20"/>
          <w:szCs w:val="20"/>
          <w:lang w:eastAsia="de-DE"/>
        </w:rPr>
        <w:t xml:space="preserve"> to EIR, based on a defined default distribution after discussions with experts, for those regions with missing data.</w:t>
      </w:r>
    </w:p>
    <w:p w14:paraId="241346B9" w14:textId="77777777" w:rsidR="00092331" w:rsidRPr="00092331" w:rsidRDefault="00092331" w:rsidP="00FB7E5A">
      <w:pPr>
        <w:spacing w:after="0"/>
        <w:jc w:val="both"/>
        <w:rPr>
          <w:sz w:val="20"/>
          <w:szCs w:val="20"/>
          <w:lang w:eastAsia="de-DE"/>
        </w:rPr>
      </w:pPr>
    </w:p>
    <w:p w14:paraId="579318E7" w14:textId="77777777" w:rsidR="00571E0F" w:rsidRDefault="00571E0F" w:rsidP="001C4413">
      <w:pPr>
        <w:pStyle w:val="Heading2"/>
      </w:pPr>
      <w:bookmarkStart w:id="14" w:name="_Toc22367554"/>
      <w:r>
        <w:t>Transmission intensity and seasonality</w:t>
      </w:r>
      <w:bookmarkEnd w:id="14"/>
    </w:p>
    <w:p w14:paraId="17991C6D" w14:textId="77777777" w:rsidR="00810E50" w:rsidRPr="00810E50" w:rsidRDefault="00810E50" w:rsidP="00810E50">
      <w:pPr>
        <w:spacing w:after="0"/>
      </w:pPr>
    </w:p>
    <w:p w14:paraId="3A25DDFC" w14:textId="77777777" w:rsidR="00571E0F" w:rsidRPr="00092331" w:rsidRDefault="00571E0F" w:rsidP="00810E50">
      <w:pPr>
        <w:pStyle w:val="Heading3"/>
        <w:spacing w:line="360" w:lineRule="auto"/>
        <w:rPr>
          <w:noProof/>
        </w:rPr>
      </w:pPr>
      <w:r w:rsidRPr="00092331">
        <w:rPr>
          <w:noProof/>
        </w:rPr>
        <w:t>Pre-intervention transmission intensity</w:t>
      </w:r>
    </w:p>
    <w:p w14:paraId="59C1E363" w14:textId="3AF01951" w:rsidR="00571E0F" w:rsidRDefault="00571E0F" w:rsidP="00571E0F">
      <w:pPr>
        <w:spacing w:after="0" w:line="360" w:lineRule="auto"/>
        <w:jc w:val="both"/>
        <w:rPr>
          <w:noProof/>
        </w:rPr>
      </w:pPr>
      <w:r w:rsidRPr="00092331">
        <w:rPr>
          <w:noProof/>
        </w:rPr>
        <w:t>The entomological inoculation rate (EIR) determines the prevalence and intervention impact and resurgence</w:t>
      </w:r>
      <w:r>
        <w:rPr>
          <w:noProof/>
        </w:rPr>
        <w:t>,</w:t>
      </w:r>
      <w:r w:rsidRPr="00092331">
        <w:rPr>
          <w:noProof/>
        </w:rPr>
        <w:t xml:space="preserve"> and historically EIRs from less than zero up to 500 </w:t>
      </w:r>
      <w:r w:rsidRPr="00092331">
        <w:rPr>
          <w:noProof/>
        </w:rPr>
        <w:fldChar w:fldCharType="begin"/>
      </w:r>
      <w:r w:rsidR="00042DCE">
        <w:rPr>
          <w:noProof/>
        </w:rPr>
        <w:instrText xml:space="preserve"> ADDIN ZOTERO_ITEM CSL_CITATION {"citationID":"WdDyQY2J","properties":{"formattedCitation":"[29]","plainCitation":"[29]","noteIndex":0},"citationItems":[{"id":30380,"uris":["http://zotero.org/users/3516901/items/EJZSPW86"],"uri":["http://zotero.org/users/3516901/items/EJZSPW86"],"itemData":{"id":30380,"type":"article-journal","title":"Relative versus absolute risk of dying reduction after using insecticide-treated nets for malaria control in Africa","container-title":"Tropical Medicine &amp; International Health","page":"286-290","volume":"3","issue":"4","source":"Wiley Online Library","abstract":"Four recently completed large-scale randomized controlled trials have assessed the impact of insecticide-treated bednets and curtains on overall child mortality in Africa. These results have sparked numerous discussions among implementing agency representatives and researchers about the public health significance of the results. For the interpretation of impact, most of the arguments have been based on the observed decrease in protective efficacy (a relative measure of impact) with increasing malaria transmission (range: 14–29%, regression for trend: F = 245 on 1,2 DF, P &lt; 0.003). However, an analysis of the absolute measure of impact (the risk difference) showed a different pattern. The impact ranges from 3.8 to 6.9 lives saved per 1000 children protected per year, without a significant trend (F = 2.8 on 1,2 DF, P = 0.2) and with equally high values in both low and high transmission sites. When assessing the public health importance of an intervention, both relative and absolute decrease in risk should be considered.","DOI":"10.1046/j.1365-3156.1998.00236.x","ISSN":"1365-3156","language":"en","author":[{"family":"Lengeler","given":"Christian"},{"family":"Armstrong‐Schellenberg","given":"Joanna"},{"family":"D'Alessandro","given":"Umberto"},{"family":"Binka","given":"Fred"},{"family":"Cattani","given":"Jacqueline"}],"issued":{"date-parts":[["1998"]]}}}],"schema":"https://github.com/citation-style-language/schema/raw/master/csl-citation.json"} </w:instrText>
      </w:r>
      <w:r w:rsidRPr="00092331">
        <w:rPr>
          <w:noProof/>
        </w:rPr>
        <w:fldChar w:fldCharType="separate"/>
      </w:r>
      <w:r w:rsidR="00042DCE" w:rsidRPr="00042DCE">
        <w:rPr>
          <w:rFonts w:ascii="Calibri" w:hAnsi="Calibri"/>
        </w:rPr>
        <w:t>[29]</w:t>
      </w:r>
      <w:r w:rsidRPr="00092331">
        <w:rPr>
          <w:noProof/>
        </w:rPr>
        <w:fldChar w:fldCharType="end"/>
      </w:r>
      <w:r w:rsidRPr="00092331">
        <w:rPr>
          <w:noProof/>
        </w:rPr>
        <w:t xml:space="preserve"> or 1000 </w:t>
      </w:r>
      <w:r w:rsidRPr="00092331">
        <w:rPr>
          <w:noProof/>
        </w:rPr>
        <w:fldChar w:fldCharType="begin"/>
      </w:r>
      <w:r w:rsidR="00042DCE">
        <w:rPr>
          <w:noProof/>
        </w:rPr>
        <w:instrText xml:space="preserve"> ADDIN ZOTERO_ITEM CSL_CITATION {"citationID":"XtO7upcB","properties":{"formattedCitation":"[30]","plainCitation":"[30]","noteIndex":0},"citationItems":[{"id":28021,"uris":["http://zotero.org/users/3516901/items/2EUV68DE"],"uri":["http://zotero.org/users/3516901/items/2EUV68DE"],"itemData":{"id":28021,"type":"article-journal","title":"Short report: entomologic inoculation rates and Plasmodium falciparum malaria prevalence in Africa","container-title":"The American Journal of Tropical Medicine and Hygiene","page":"109-113","volume":"61","issue":"1","source":"PubMed","abstract":"Epidemiologic patterns of malaria infection are governed by environmental parameters that regulate vector populations of Anopheles mosquitoes. The intensity of malaria parasite transmission is normally expressed as the entomologic inoculation rate (EIR), the product of the vector biting rate times the proportion of mosquitoes infected with sporozoite-stage malaria parasites. Malaria transmission intensity in Africa is highly variable with annual EIRs ranging from &lt; 1 to &gt; 1,000 infective bites per person per year. Malaria control programs often seek to reduce morbidity and mortality due to malaria by reducing or eliminating malaria parasite transmission by mosquitoes. This report evaluates data from 31 sites throughout Africa to establish fundamental relationships between annual EIRs and the prevalence of Plasmodium falciparum malaria infection. The majority of sites fitted a linear relationship (r2 = 0.71) between malaria prevalence and the logarithm of the annual EIR. Some sites with EIRs &lt; 5 infective bites per year had levels of P. falciparum prevalence exceeding 40%. When transmission exceeded 15 infective bites per year, there were no sites with prevalence rates &lt; 50%. Annual EIRs of 200 or greater were consistently associated with prevalence rates &gt; 80%. The basic relationship between EIR and P. falciparum prevalence, which likely holds in east and west Africa, and across different ecologic zones, shows convincingly that substantial reductions in malaria prevalence are likely to be achieved only when EIRs are reduced to levels less than 1 infective bite per person per year. The analysis also highlights that the EIR is a more direct measure of transmission intensity than traditional measures of malaria prevalence or hospital-based measures of infection or disease incidence. As such, malaria field programs need to consider both entomologic and clinical assessments of the efficacy of transmission control measures.","ISSN":"0002-9637","note":"PMID: 10432066","title-short":"Short report","journalAbbreviation":"Am. J. Trop. Med. Hyg.","language":"eng","author":[{"family":"Beier","given":"J. C."},{"family":"Killeen","given":"G. F."},{"family":"Githure","given":"J. I."}],"issued":{"date-parts":[["1999",7]]}}}],"schema":"https://github.com/citation-style-language/schema/raw/master/csl-citation.json"} </w:instrText>
      </w:r>
      <w:r w:rsidRPr="00092331">
        <w:rPr>
          <w:noProof/>
        </w:rPr>
        <w:fldChar w:fldCharType="separate"/>
      </w:r>
      <w:r w:rsidR="00042DCE" w:rsidRPr="00042DCE">
        <w:rPr>
          <w:rFonts w:ascii="Calibri" w:hAnsi="Calibri"/>
        </w:rPr>
        <w:t>[30]</w:t>
      </w:r>
      <w:r w:rsidRPr="00092331">
        <w:rPr>
          <w:noProof/>
        </w:rPr>
        <w:fldChar w:fldCharType="end"/>
      </w:r>
      <w:r w:rsidRPr="00092331">
        <w:rPr>
          <w:noProof/>
        </w:rPr>
        <w:t xml:space="preserve"> were reported. The relationship between prevalence and EIR is log-linear, starting to saturate at an EIR around 100 and is mediated depending on case management, seasonality and other factors </w:t>
      </w:r>
      <w:r w:rsidRPr="00092331">
        <w:rPr>
          <w:noProof/>
        </w:rPr>
        <w:fldChar w:fldCharType="begin"/>
      </w:r>
      <w:r w:rsidR="00042DCE">
        <w:rPr>
          <w:noProof/>
        </w:rPr>
        <w:instrText xml:space="preserve"> ADDIN ZOTERO_ITEM CSL_CITATION {"citationID":"qecMjODo","properties":{"formattedCitation":"[30\\uc0\\u8211{}32]","plainCitation":"[30–32]","noteIndex":0},"citationItems":[{"id":28021,"uris":["http://zotero.org/users/3516901/items/2EUV68DE"],"uri":["http://zotero.org/users/3516901/items/2EUV68DE"],"itemData":{"id":28021,"type":"article-journal","title":"Short report: entomologic inoculation rates and Plasmodium falciparum malaria prevalence in Africa","container-title":"The American Journal of Tropical Medicine and Hygiene","page":"109-113","volume":"61","issue":"1","source":"PubMed","abstract":"Epidemiologic patterns of malaria infection are governed by environmental parameters that regulate vector populations of Anopheles mosquitoes. The intensity of malaria parasite transmission is normally expressed as the entomologic inoculation rate (EIR), the product of the vector biting rate times the proportion of mosquitoes infected with sporozoite-stage malaria parasites. Malaria transmission intensity in Africa is highly variable with annual EIRs ranging from &lt; 1 to &gt; 1,000 infective bites per person per year. Malaria control programs often seek to reduce morbidity and mortality due to malaria by reducing or eliminating malaria parasite transmission by mosquitoes. This report evaluates data from 31 sites throughout Africa to establish fundamental relationships between annual EIRs and the prevalence of Plasmodium falciparum malaria infection. The majority of sites fitted a linear relationship (r2 = 0.71) between malaria prevalence and the logarithm of the annual EIR. Some sites with EIRs &lt; 5 infective bites per year had levels of P. falciparum prevalence exceeding 40%. When transmission exceeded 15 infective bites per year, there were no sites with prevalence rates &lt; 50%. Annual EIRs of 200 or greater were consistently associated with prevalence rates &gt; 80%. The basic relationship between EIR and P. falciparum prevalence, which likely holds in east and west Africa, and across different ecologic zones, shows convincingly that substantial reductions in malaria prevalence are likely to be achieved only when EIRs are reduced to levels less than 1 infective bite per person per year. The analysis also highlights that the EIR is a more direct measure of transmission intensity than traditional measures of malaria prevalence or hospital-based measures of infection or disease incidence. As such, malaria field programs need to consider both entomologic and clinical assessments of the efficacy of transmission control measures.","ISSN":"0002-9637","note":"PMID: 10432066","title-short":"Short report","journalAbbreviation":"Am. J. Trop. Med. Hyg.","language":"eng","author":[{"family":"Beier","given":"J. C."},{"family":"Killeen","given":"G. F."},{"family":"Githure","given":"J. I."}],"issued":{"date-parts":[["1999",7]]}},"label":"page"},{"id":24419,"uris":["http://zotero.org/users/3516901/items/6NTCUSIW"],"uri":["http://zotero.org/users/3516901/items/6NTCUSIW"],"itemData":{"id":24419,"type":"article-journal","title":"Distribution of malaria exposure in endemic countries in Africa considering country levels of effective treatment","container-title":"Malaria Journal","page":"384","volume":"14","source":"BioMed Central","abstract":"Malaria prevalence, clinical incidence, treatment, and transmission rates are dynamically interrelated. Prevalence is often considered a measure of malaria transmission, but treatment of clinical malaria reduces prevalence, and consequently also infectiousness to the mosquito vector and onward transmission. The impact of the frequency of treatment on prevalence in a population is generally not considered. This can lead to potential underestimation of malaria exposure in settings with good health systems. Furthermore, these dynamical relationships between prevalence, treatment, and transmission have not generally been taken into account in estimates of burden.","DOI":"10.1186/s12936-015-0864-3","ISSN":"1475-2875","journalAbbreviation":"Malaria Journal","author":[{"family":"Penny","given":"Melissa A."},{"family":"Maire","given":"Nicolas"},{"family":"Bever","given":"Caitlin A."},{"family":"Pemberton-Ross","given":"Peter"},{"family":"Briët","given":"Olivier J. T."},{"family":"Smith","given":"David L."},{"family":"Gething","given":"Peter W."},{"family":"Smith","given":"Thomas A."}],"issued":{"date-parts":[["2015",10,5]]}},"label":"page"},{"id":15874,"uris":["http://zotero.org/users/3516901/items/GSND47XN"],"uri":["http://zotero.org/users/3516901/items/GSND47XN"],"itemData":{"id":15874,"type":"article-journal","title":"Estimating malaria transmission through mathematical models","container-title":"Trends in Parasitology","page":"477-482","volume":"29","issue":"10","source":"ScienceDirect","abstract":"Evaluating the effectiveness of malaria control interventions on the basis of their impact on transmission is increasingly important as countries move from malaria control to pre-elimination programs. Mathematical modeling can examine relationships between malaria indicators, allowing translation of easily measured data into measures of transmission, and addressing key concerns with traditional methods for quantifying transmission. Simulations show these indicators are statistically correlated, allowing direct comparisons of malaria transmission using data collected using different methods across a range of transmission intensities and seasonal patterns. Results from such models can provide public health officials with accurate estimates of transmission, by seasonal pattern, that are necessary for assessing and tailoring malaria control and elimination programs to specific settings.","DOI":"10.1016/j.pt.2013.08.001","ISSN":"1471-4922","journalAbbreviation":"Trends in Parasitology","author":[{"family":"Stuckey","given":"Erin M."},{"family":"Smith","given":"Thomas A."},{"family":"Chitnis","given":"Nakul"}],"issued":{"date-parts":[["2013"]],"season":"Oktober"}},"label":"page"}],"schema":"https://github.com/citation-style-language/schema/raw/master/csl-citation.json"} </w:instrText>
      </w:r>
      <w:r w:rsidRPr="00092331">
        <w:rPr>
          <w:noProof/>
        </w:rPr>
        <w:fldChar w:fldCharType="separate"/>
      </w:r>
      <w:r w:rsidR="00042DCE" w:rsidRPr="00042DCE">
        <w:rPr>
          <w:rFonts w:ascii="Calibri" w:hAnsi="Calibri" w:cs="Times New Roman"/>
          <w:szCs w:val="24"/>
        </w:rPr>
        <w:t>[30–32]</w:t>
      </w:r>
      <w:r w:rsidRPr="00092331">
        <w:rPr>
          <w:noProof/>
        </w:rPr>
        <w:fldChar w:fldCharType="end"/>
      </w:r>
      <w:r w:rsidRPr="00092331">
        <w:rPr>
          <w:noProof/>
        </w:rPr>
        <w:t>. Therefore, six EIR levels were selected, ranging from 0 to 5</w:t>
      </w:r>
      <w:r w:rsidR="00D60EDE">
        <w:rPr>
          <w:noProof/>
        </w:rPr>
        <w:t>5</w:t>
      </w:r>
      <w:r w:rsidRPr="00092331">
        <w:rPr>
          <w:noProof/>
        </w:rPr>
        <w:t>0 (0, 4, 16, 54, 120, 5</w:t>
      </w:r>
      <w:r w:rsidR="003958CE">
        <w:rPr>
          <w:noProof/>
        </w:rPr>
        <w:t>5</w:t>
      </w:r>
      <w:r w:rsidRPr="00092331">
        <w:rPr>
          <w:noProof/>
        </w:rPr>
        <w:t>0).</w:t>
      </w:r>
    </w:p>
    <w:p w14:paraId="7E3D3ACE" w14:textId="77777777" w:rsidR="00571E0F" w:rsidRPr="00092331" w:rsidRDefault="00571E0F" w:rsidP="00571E0F">
      <w:pPr>
        <w:spacing w:after="0" w:line="360" w:lineRule="auto"/>
        <w:jc w:val="both"/>
        <w:rPr>
          <w:noProof/>
        </w:rPr>
      </w:pPr>
    </w:p>
    <w:p w14:paraId="128CE51A" w14:textId="412F2950" w:rsidR="00646657" w:rsidRPr="001C4413" w:rsidRDefault="00646657" w:rsidP="00810E50">
      <w:pPr>
        <w:pStyle w:val="Heading3"/>
        <w:spacing w:line="360" w:lineRule="auto"/>
      </w:pPr>
      <w:r w:rsidRPr="003A65A2">
        <w:t>Sea</w:t>
      </w:r>
      <w:r w:rsidRPr="00AC27AD">
        <w:t>so</w:t>
      </w:r>
      <w:r w:rsidRPr="003A65A2">
        <w:t>nality</w:t>
      </w:r>
      <w:r w:rsidR="00DE2D83" w:rsidRPr="001C4413">
        <w:t xml:space="preserve"> </w:t>
      </w:r>
    </w:p>
    <w:p w14:paraId="423DCB45" w14:textId="630BAE0A" w:rsidR="00646657" w:rsidRPr="00092331" w:rsidRDefault="00C64F2E" w:rsidP="001F7549">
      <w:pPr>
        <w:spacing w:after="0" w:line="360" w:lineRule="auto"/>
        <w:jc w:val="both"/>
      </w:pPr>
      <w:r w:rsidRPr="00092331">
        <w:t xml:space="preserve">The vector abundance was assumed to follow the same trend as the monthly climate suitability for malaria transmission </w:t>
      </w:r>
      <w:r w:rsidRPr="00092331">
        <w:fldChar w:fldCharType="begin"/>
      </w:r>
      <w:r w:rsidR="00042DCE">
        <w:instrText xml:space="preserve"> ADDIN ZOTERO_ITEM CSL_CITATION {"citationID":"r6ZBEPj3","properties":{"formattedCitation":"[2,33]","plainCitation":"[2,33]","noteIndex":0},"citationItems":[{"id":25655,"uris":["http://zotero.org/users/3516901/items/HHCCXKF8"],"uri":["http://zotero.org/users/3516901/items/HHCCXKF8"],"itemData":{"id":25655,"type":"webpage","title":"Seasonal Climatic Suitability for Malaria Transmission","URL":"http://maproom.meteo.go.tz/maproom/Health/CSMT/index.html?resolution=.0375","author":[{"literal":"Tanzania Meteorological Agency"}],"accessed":{"date-parts":[["2018",3,9]]}},"label":"page"},{"id":18838,"uris":["http://zotero.org/users/3516901/items/2JS66898"],"uri":["http://zotero.org/users/3516901/items/2JS66898"],"itemData":{"id":18838,"type":"article-journal","title":"Web-based climate information resources for malaria control in Africa","container-title":"Malaria Journal","page":"38","volume":"5","issue":"1","source":"www.malariajournal.com","abstract":"Malaria remains a major public health threat to more than 600 million Africans and its control is recognized as critical to achieving the Millennium Development Goals. The greatest burden of malaria in Africa occurs in the endemic regions where the disease pathogen is continuously present in the community. These regions are characterized by an environment that is conducive to interactions between the Anopheles mosquito, malaria parasites and human hosts, as well as housing of generally poor quality, which offers little protection from mosquito-human contact. Epidemic malaria tends to occur along the geographical margins of endemic regions, when the equilibrium between the human, parasite and mosquito vector populations is occasionally disturbed and a sharp but temporary increase in disease incidence results. When malaria control measures are inadequate, as is the case in much of sub-Saharan Africa, the disease distribution is closely linked with seasonal patterns of the climate and local environment. In the absence of good epidemiological data on malaria distribution in Africa, climate information has long been used to develop malaria risk maps that illustrate the boundaries of 'climatic suitability for endemic transmission.' The best known of these are produced by the Pan-African-based MARA Collaboration. This paper describes the development of additional malaria suitability maps which have been produced in an online, interactive format to enable temporal information (i.e., seasonality of climate conditions) to be queried and displayed along with spatial information. These maps and the seasonal information that they contain should be useful to the malaria control and health service communities for their planning and operational activities.","DOI":"10.1186/1475-2875-5-38","ISSN":"1475-2875","language":"en","author":[{"family":"Grover-Kopec","given":"Emily K."},{"family":"Blumenthal","given":"M. Benno"},{"family":"Ceccato","given":"Pietro"},{"family":"Dinku","given":"Tufa"},{"family":"Omumbo","given":"Judy A."},{"family":"Connor","given":"Stephen J."}],"issued":{"date-parts":[["2006",5,11]]}},"label":"page"}],"schema":"https://github.com/citation-style-language/schema/raw/master/csl-citation.json"} </w:instrText>
      </w:r>
      <w:r w:rsidRPr="00092331">
        <w:fldChar w:fldCharType="separate"/>
      </w:r>
      <w:r w:rsidR="00042DCE" w:rsidRPr="00042DCE">
        <w:rPr>
          <w:rFonts w:ascii="Calibri" w:hAnsi="Calibri"/>
        </w:rPr>
        <w:t>[2,33]</w:t>
      </w:r>
      <w:r w:rsidRPr="00092331">
        <w:fldChar w:fldCharType="end"/>
      </w:r>
      <w:r w:rsidRPr="00092331">
        <w:t xml:space="preserve"> and to be the same for all mosquito species included in the model. </w:t>
      </w:r>
      <w:r w:rsidRPr="00092331">
        <w:rPr>
          <w:rFonts w:eastAsia="Times New Roman" w:cs="Times New Roman"/>
          <w:lang w:eastAsia="de-DE"/>
        </w:rPr>
        <w:t xml:space="preserve">The </w:t>
      </w:r>
      <w:r w:rsidRPr="00092331">
        <w:t xml:space="preserve">climate suitability </w:t>
      </w:r>
      <w:r w:rsidRPr="00092331">
        <w:rPr>
          <w:rFonts w:eastAsia="Times New Roman" w:cs="Times New Roman"/>
          <w:lang w:eastAsia="de-DE"/>
        </w:rPr>
        <w:t>indicator combines temperature</w:t>
      </w:r>
      <w:r w:rsidRPr="00092331">
        <w:t xml:space="preserve"> (mean temperature between 18°C and 32°C)</w:t>
      </w:r>
      <w:r w:rsidRPr="00092331">
        <w:rPr>
          <w:rFonts w:eastAsia="Times New Roman" w:cs="Times New Roman"/>
          <w:lang w:eastAsia="de-DE"/>
        </w:rPr>
        <w:t>, rainfall (“</w:t>
      </w:r>
      <w:r w:rsidRPr="00092331">
        <w:t>precipitation accumulation &gt; 80 mm”)</w:t>
      </w:r>
      <w:r w:rsidRPr="00092331">
        <w:rPr>
          <w:rFonts w:eastAsia="Times New Roman" w:cs="Times New Roman"/>
          <w:lang w:eastAsia="de-DE"/>
        </w:rPr>
        <w:t xml:space="preserve"> and humidity (</w:t>
      </w:r>
      <w:r w:rsidRPr="00092331">
        <w:t>&gt; 60%)</w:t>
      </w:r>
      <w:r w:rsidRPr="00092331">
        <w:rPr>
          <w:rFonts w:eastAsia="Times New Roman" w:cs="Times New Roman"/>
          <w:lang w:eastAsia="de-DE"/>
        </w:rPr>
        <w:t xml:space="preserve"> per month </w:t>
      </w:r>
      <w:r w:rsidRPr="00092331">
        <w:rPr>
          <w:rFonts w:eastAsia="Times New Roman" w:cs="Times New Roman"/>
          <w:lang w:eastAsia="de-DE"/>
        </w:rPr>
        <w:fldChar w:fldCharType="begin"/>
      </w:r>
      <w:r w:rsidR="00042DCE">
        <w:rPr>
          <w:rFonts w:eastAsia="Times New Roman" w:cs="Times New Roman"/>
          <w:lang w:eastAsia="de-DE"/>
        </w:rPr>
        <w:instrText xml:space="preserve"> ADDIN ZOTERO_ITEM CSL_CITATION {"citationID":"vlEVONtZ","properties":{"formattedCitation":"[2,33]","plainCitation":"[2,33]","noteIndex":0},"citationItems":[{"id":18838,"uris":["http://zotero.org/users/3516901/items/2JS66898"],"uri":["http://zotero.org/users/3516901/items/2JS66898"],"itemData":{"id":18838,"type":"article-journal","title":"Web-based climate information resources for malaria control in Africa","container-title":"Malaria Journal","page":"38","volume":"5","issue":"1","source":"www.malariajournal.com","abstract":"Malaria remains a major public health threat to more than 600 million Africans and its control is recognized as critical to achieving the Millennium Development Goals. The greatest burden of malaria in Africa occurs in the endemic regions where the disease pathogen is continuously present in the community. These regions are characterized by an environment that is conducive to interactions between the Anopheles mosquito, malaria parasites and human hosts, as well as housing of generally poor quality, which offers little protection from mosquito-human contact. Epidemic malaria tends to occur along the geographical margins of endemic regions, when the equilibrium between the human, parasite and mosquito vector populations is occasionally disturbed and a sharp but temporary increase in disease incidence results. When malaria control measures are inadequate, as is the case in much of sub-Saharan Africa, the disease distribution is closely linked with seasonal patterns of the climate and local environment. In the absence of good epidemiological data on malaria distribution in Africa, climate information has long been used to develop malaria risk maps that illustrate the boundaries of 'climatic suitability for endemic transmission.' The best known of these are produced by the Pan-African-based MARA Collaboration. This paper describes the development of additional malaria suitability maps which have been produced in an online, interactive format to enable temporal information (i.e., seasonality of climate conditions) to be queried and displayed along with spatial information. These maps and the seasonal information that they contain should be useful to the malaria control and health service communities for their planning and operational activities.","DOI":"10.1186/1475-2875-5-38","ISSN":"1475-2875","language":"en","author":[{"family":"Grover-Kopec","given":"Emily K."},{"family":"Blumenthal","given":"M. Benno"},{"family":"Ceccato","given":"Pietro"},{"family":"Dinku","given":"Tufa"},{"family":"Omumbo","given":"Judy A."},{"family":"Connor","given":"Stephen J."}],"issued":{"date-parts":[["2006",5,11]]}},"label":"page"},{"id":25655,"uris":["http://zotero.org/users/3516901/items/HHCCXKF8"],"uri":["http://zotero.org/users/3516901/items/HHCCXKF8"],"itemData":{"id":25655,"type":"webpage","title":"Seasonal Climatic Suitability for Malaria Transmission","URL":"http://maproom.meteo.go.tz/maproom/Health/CSMT/index.html?resolution=.0375","author":[{"literal":"Tanzania Meteorological Agency"}],"accessed":{"date-parts":[["2018",3,9]]}},"label":"page"}],"schema":"https://github.com/citation-style-language/schema/raw/master/csl-citation.json"} </w:instrText>
      </w:r>
      <w:r w:rsidRPr="00092331">
        <w:rPr>
          <w:rFonts w:eastAsia="Times New Roman" w:cs="Times New Roman"/>
          <w:lang w:eastAsia="de-DE"/>
        </w:rPr>
        <w:fldChar w:fldCharType="separate"/>
      </w:r>
      <w:r w:rsidR="00042DCE" w:rsidRPr="00042DCE">
        <w:rPr>
          <w:rFonts w:ascii="Calibri" w:hAnsi="Calibri"/>
        </w:rPr>
        <w:t>[2,33]</w:t>
      </w:r>
      <w:r w:rsidRPr="00092331">
        <w:rPr>
          <w:rFonts w:eastAsia="Times New Roman" w:cs="Times New Roman"/>
          <w:lang w:eastAsia="de-DE"/>
        </w:rPr>
        <w:fldChar w:fldCharType="end"/>
      </w:r>
      <w:r w:rsidR="00646657" w:rsidRPr="00092331">
        <w:t>(</w:t>
      </w:r>
      <w:r w:rsidR="00366DA2">
        <w:t>Fig S2.2</w:t>
      </w:r>
      <w:r w:rsidR="00646657" w:rsidRPr="00092331">
        <w:t>)</w:t>
      </w:r>
      <w:r w:rsidRPr="00092331">
        <w:t>.</w:t>
      </w:r>
      <w:r w:rsidR="00646657" w:rsidRPr="00092331">
        <w:t xml:space="preserve"> </w:t>
      </w:r>
    </w:p>
    <w:p w14:paraId="57ABF214" w14:textId="77777777" w:rsidR="00646657" w:rsidRPr="00092331" w:rsidRDefault="004B6D67" w:rsidP="00FB7E5A">
      <w:pPr>
        <w:keepNext/>
        <w:spacing w:after="0"/>
        <w:jc w:val="both"/>
      </w:pPr>
      <w:r w:rsidRPr="00092331">
        <w:rPr>
          <w:noProof/>
          <w:lang w:val="en-US"/>
        </w:rPr>
        <w:lastRenderedPageBreak/>
        <w:drawing>
          <wp:inline distT="0" distB="0" distL="0" distR="0" wp14:anchorId="544A01AC" wp14:editId="6C80B4DF">
            <wp:extent cx="5225570" cy="2813769"/>
            <wp:effectExtent l="19050" t="19050" r="1333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ngma\Projects\OM_TZA\Figures\DataDescription_and_Preparation\Seasonality\pNewSeason_TMA_RegionByZone_noLag_adjustedXAxis_2018_new.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25570" cy="2813769"/>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8D6A60" w14:textId="58A3A729" w:rsidR="009C3D40" w:rsidRDefault="00646657" w:rsidP="00FB7E5A">
      <w:pPr>
        <w:pStyle w:val="Caption"/>
        <w:spacing w:before="0" w:after="0" w:line="276" w:lineRule="auto"/>
        <w:rPr>
          <w:rFonts w:asciiTheme="minorHAnsi" w:hAnsiTheme="minorHAnsi"/>
          <w:bCs w:val="0"/>
          <w:szCs w:val="22"/>
        </w:rPr>
      </w:pPr>
      <w:bookmarkStart w:id="15" w:name="_Ref531022717"/>
      <w:bookmarkStart w:id="16" w:name="_Toc533358416"/>
      <w:r w:rsidRPr="009C3D40">
        <w:rPr>
          <w:rFonts w:asciiTheme="minorHAnsi" w:hAnsiTheme="minorHAnsi"/>
          <w:b/>
          <w:bCs w:val="0"/>
          <w:szCs w:val="22"/>
        </w:rPr>
        <w:t>Fig</w:t>
      </w:r>
      <w:r w:rsidR="009C3D40" w:rsidRPr="009C3D40">
        <w:rPr>
          <w:rFonts w:asciiTheme="minorHAnsi" w:hAnsiTheme="minorHAnsi"/>
          <w:b/>
          <w:bCs w:val="0"/>
          <w:szCs w:val="22"/>
        </w:rPr>
        <w:t xml:space="preserve"> S2.</w:t>
      </w:r>
      <w:r w:rsidRPr="009C3D40">
        <w:rPr>
          <w:rFonts w:asciiTheme="minorHAnsi" w:hAnsiTheme="minorHAnsi"/>
          <w:b/>
          <w:szCs w:val="22"/>
        </w:rPr>
        <w:fldChar w:fldCharType="begin"/>
      </w:r>
      <w:r w:rsidRPr="009C3D40">
        <w:rPr>
          <w:rFonts w:asciiTheme="minorHAnsi" w:hAnsiTheme="minorHAnsi"/>
          <w:b/>
          <w:bCs w:val="0"/>
          <w:szCs w:val="22"/>
        </w:rPr>
        <w:instrText xml:space="preserve"> SEQ Figure \* ARABIC </w:instrText>
      </w:r>
      <w:r w:rsidRPr="009C3D40">
        <w:rPr>
          <w:rFonts w:asciiTheme="minorHAnsi" w:hAnsiTheme="minorHAnsi"/>
          <w:b/>
          <w:szCs w:val="22"/>
        </w:rPr>
        <w:fldChar w:fldCharType="separate"/>
      </w:r>
      <w:r w:rsidR="00434C40">
        <w:rPr>
          <w:rFonts w:asciiTheme="minorHAnsi" w:hAnsiTheme="minorHAnsi"/>
          <w:b/>
          <w:bCs w:val="0"/>
          <w:noProof/>
          <w:szCs w:val="22"/>
        </w:rPr>
        <w:t>2</w:t>
      </w:r>
      <w:r w:rsidRPr="009C3D40">
        <w:rPr>
          <w:rFonts w:asciiTheme="minorHAnsi" w:hAnsiTheme="minorHAnsi"/>
          <w:b/>
          <w:szCs w:val="22"/>
        </w:rPr>
        <w:fldChar w:fldCharType="end"/>
      </w:r>
      <w:bookmarkEnd w:id="15"/>
      <w:r w:rsidRPr="009C3D40">
        <w:rPr>
          <w:rFonts w:asciiTheme="minorHAnsi" w:hAnsiTheme="minorHAnsi"/>
          <w:b/>
          <w:bCs w:val="0"/>
          <w:szCs w:val="22"/>
        </w:rPr>
        <w:t xml:space="preserve">: </w:t>
      </w:r>
      <w:r w:rsidR="00096916">
        <w:rPr>
          <w:rFonts w:asciiTheme="minorHAnsi" w:hAnsiTheme="minorHAnsi"/>
          <w:b/>
          <w:bCs w:val="0"/>
          <w:szCs w:val="22"/>
        </w:rPr>
        <w:t>Monthly c</w:t>
      </w:r>
      <w:r w:rsidRPr="009C3D40">
        <w:rPr>
          <w:rFonts w:asciiTheme="minorHAnsi" w:hAnsiTheme="minorHAnsi"/>
          <w:b/>
          <w:bCs w:val="0"/>
          <w:szCs w:val="22"/>
        </w:rPr>
        <w:t xml:space="preserve">limate </w:t>
      </w:r>
      <w:r w:rsidR="00096916">
        <w:rPr>
          <w:rFonts w:asciiTheme="minorHAnsi" w:hAnsiTheme="minorHAnsi"/>
          <w:b/>
          <w:bCs w:val="0"/>
          <w:szCs w:val="22"/>
        </w:rPr>
        <w:t xml:space="preserve">suitability </w:t>
      </w:r>
      <w:r w:rsidRPr="009C3D40">
        <w:rPr>
          <w:rFonts w:asciiTheme="minorHAnsi" w:hAnsiTheme="minorHAnsi"/>
          <w:b/>
          <w:bCs w:val="0"/>
          <w:szCs w:val="22"/>
        </w:rPr>
        <w:t xml:space="preserve">for malaria transmission </w:t>
      </w:r>
      <w:r w:rsidR="00CD0113" w:rsidRPr="009C3D40">
        <w:rPr>
          <w:rFonts w:asciiTheme="minorHAnsi" w:hAnsiTheme="minorHAnsi"/>
          <w:b/>
          <w:bCs w:val="0"/>
          <w:szCs w:val="22"/>
        </w:rPr>
        <w:t>grouped by geographical zones</w:t>
      </w:r>
      <w:r w:rsidRPr="009C3D40">
        <w:rPr>
          <w:rFonts w:asciiTheme="minorHAnsi" w:hAnsiTheme="minorHAnsi"/>
          <w:b/>
          <w:bCs w:val="0"/>
          <w:szCs w:val="22"/>
        </w:rPr>
        <w:t>.</w:t>
      </w:r>
      <w:bookmarkEnd w:id="16"/>
      <w:r w:rsidR="00CD0113" w:rsidRPr="009C3D40">
        <w:rPr>
          <w:rFonts w:asciiTheme="minorHAnsi" w:hAnsiTheme="minorHAnsi"/>
          <w:bCs w:val="0"/>
          <w:szCs w:val="22"/>
        </w:rPr>
        <w:t xml:space="preserve"> </w:t>
      </w:r>
    </w:p>
    <w:p w14:paraId="7A72C533" w14:textId="448934DB" w:rsidR="00646657" w:rsidRDefault="00096916" w:rsidP="00FB7E5A">
      <w:pPr>
        <w:pStyle w:val="Caption"/>
        <w:spacing w:before="0" w:after="0" w:line="276" w:lineRule="auto"/>
        <w:rPr>
          <w:rFonts w:asciiTheme="minorHAnsi" w:hAnsiTheme="minorHAnsi"/>
        </w:rPr>
      </w:pPr>
      <w:r>
        <w:rPr>
          <w:rFonts w:asciiTheme="minorHAnsi" w:hAnsiTheme="minorHAnsi"/>
        </w:rPr>
        <w:t xml:space="preserve">The grey lines show the councils and the blue line aggregated mean per region. </w:t>
      </w:r>
      <w:r w:rsidR="00646657" w:rsidRPr="00092331">
        <w:rPr>
          <w:rFonts w:asciiTheme="minorHAnsi" w:hAnsiTheme="minorHAnsi"/>
        </w:rPr>
        <w:t xml:space="preserve">Data source: Tanzania Meteorological Agency </w:t>
      </w:r>
      <w:r w:rsidR="00646657" w:rsidRPr="00092331">
        <w:rPr>
          <w:rFonts w:asciiTheme="minorHAnsi" w:hAnsiTheme="minorHAnsi"/>
        </w:rPr>
        <w:fldChar w:fldCharType="begin"/>
      </w:r>
      <w:r w:rsidR="00042DCE">
        <w:rPr>
          <w:rFonts w:asciiTheme="minorHAnsi" w:hAnsiTheme="minorHAnsi"/>
        </w:rPr>
        <w:instrText xml:space="preserve"> ADDIN ZOTERO_ITEM CSL_CITATION {"citationID":"LMPLwrwf","properties":{"formattedCitation":"[2,33]","plainCitation":"[2,33]","noteIndex":0},"citationItems":[{"id":25655,"uris":["http://zotero.org/users/3516901/items/HHCCXKF8"],"uri":["http://zotero.org/users/3516901/items/HHCCXKF8"],"itemData":{"id":25655,"type":"webpage","title":"Seasonal Climatic Suitability for Malaria Transmission","URL":"http://maproom.meteo.go.tz/maproom/Health/CSMT/index.html?resolution=.0375","author":[{"literal":"Tanzania Meteorological Agency"}],"accessed":{"date-parts":[["2018",3,9]]}},"label":"page"},{"id":18838,"uris":["http://zotero.org/users/3516901/items/2JS66898"],"uri":["http://zotero.org/users/3516901/items/2JS66898"],"itemData":{"id":18838,"type":"article-journal","title":"Web-based climate information resources for malaria control in Africa","container-title":"Malaria Journal","page":"38","volume":"5","issue":"1","source":"www.malariajournal.com","abstract":"Malaria remains a major public health threat to more than 600 million Africans and its control is recognized as critical to achieving the Millennium Development Goals. The greatest burden of malaria in Africa occurs in the endemic regions where the disease pathogen is continuously present in the community. These regions are characterized by an environment that is conducive to interactions between the Anopheles mosquito, malaria parasites and human hosts, as well as housing of generally poor quality, which offers little protection from mosquito-human contact. Epidemic malaria tends to occur along the geographical margins of endemic regions, when the equilibrium between the human, parasite and mosquito vector populations is occasionally disturbed and a sharp but temporary increase in disease incidence results. When malaria control measures are inadequate, as is the case in much of sub-Saharan Africa, the disease distribution is closely linked with seasonal patterns of the climate and local environment. In the absence of good epidemiological data on malaria distribution in Africa, climate information has long been used to develop malaria risk maps that illustrate the boundaries of 'climatic suitability for endemic transmission.' The best known of these are produced by the Pan-African-based MARA Collaboration. This paper describes the development of additional malaria suitability maps which have been produced in an online, interactive format to enable temporal information (i.e., seasonality of climate conditions) to be queried and displayed along with spatial information. These maps and the seasonal information that they contain should be useful to the malaria control and health service communities for their planning and operational activities.","DOI":"10.1186/1475-2875-5-38","ISSN":"1475-2875","language":"en","author":[{"family":"Grover-Kopec","given":"Emily K."},{"family":"Blumenthal","given":"M. Benno"},{"family":"Ceccato","given":"Pietro"},{"family":"Dinku","given":"Tufa"},{"family":"Omumbo","given":"Judy A."},{"family":"Connor","given":"Stephen J."}],"issued":{"date-parts":[["2006",5,11]]}},"label":"page"}],"schema":"https://github.com/citation-style-language/schema/raw/master/csl-citation.json"} </w:instrText>
      </w:r>
      <w:r w:rsidR="00646657" w:rsidRPr="00092331">
        <w:rPr>
          <w:rFonts w:asciiTheme="minorHAnsi" w:hAnsiTheme="minorHAnsi"/>
        </w:rPr>
        <w:fldChar w:fldCharType="separate"/>
      </w:r>
      <w:r w:rsidR="00042DCE" w:rsidRPr="00042DCE">
        <w:rPr>
          <w:rFonts w:ascii="Calibri" w:hAnsi="Calibri"/>
        </w:rPr>
        <w:t>[2,33]</w:t>
      </w:r>
      <w:r w:rsidR="00646657" w:rsidRPr="00092331">
        <w:rPr>
          <w:rFonts w:asciiTheme="minorHAnsi" w:hAnsiTheme="minorHAnsi"/>
        </w:rPr>
        <w:fldChar w:fldCharType="end"/>
      </w:r>
      <w:r w:rsidR="00646657" w:rsidRPr="00092331">
        <w:rPr>
          <w:rFonts w:asciiTheme="minorHAnsi" w:hAnsiTheme="minorHAnsi"/>
        </w:rPr>
        <w:t>.</w:t>
      </w:r>
    </w:p>
    <w:p w14:paraId="200430DD" w14:textId="77777777" w:rsidR="00092331" w:rsidRPr="00092331" w:rsidRDefault="00092331" w:rsidP="00C926F5">
      <w:pPr>
        <w:spacing w:after="0"/>
        <w:jc w:val="both"/>
        <w:rPr>
          <w:lang w:eastAsia="de-DE"/>
        </w:rPr>
      </w:pPr>
    </w:p>
    <w:p w14:paraId="5BD34103" w14:textId="56DB0635" w:rsidR="004D4A81" w:rsidRDefault="00215A11" w:rsidP="001C4413">
      <w:pPr>
        <w:pStyle w:val="Heading2"/>
        <w:spacing w:before="0"/>
      </w:pPr>
      <w:bookmarkStart w:id="17" w:name="_Toc22367555"/>
      <w:r>
        <w:t>Case management and control interventions</w:t>
      </w:r>
      <w:bookmarkEnd w:id="17"/>
    </w:p>
    <w:p w14:paraId="48B3E66C" w14:textId="77777777" w:rsidR="00AC27AD" w:rsidRPr="001C4413" w:rsidRDefault="00AC27AD" w:rsidP="00810E50">
      <w:pPr>
        <w:spacing w:after="0"/>
      </w:pPr>
    </w:p>
    <w:p w14:paraId="5271E8CE" w14:textId="77777777" w:rsidR="00C967BA" w:rsidRPr="00092331" w:rsidRDefault="00C967BA" w:rsidP="00810E50">
      <w:pPr>
        <w:pStyle w:val="Heading3"/>
        <w:spacing w:line="360" w:lineRule="auto"/>
      </w:pPr>
      <w:r w:rsidRPr="00092331">
        <w:t>Case management</w:t>
      </w:r>
    </w:p>
    <w:p w14:paraId="76FD0312" w14:textId="544545C0" w:rsidR="006F30C8" w:rsidRPr="00092331" w:rsidRDefault="006F30C8" w:rsidP="001F7549">
      <w:pPr>
        <w:spacing w:after="0" w:line="360" w:lineRule="auto"/>
        <w:jc w:val="both"/>
      </w:pPr>
      <w:r w:rsidRPr="00092331">
        <w:t xml:space="preserve">According to the national MIS survey results from 2016, around </w:t>
      </w:r>
      <w:r w:rsidR="00EA0B07">
        <w:t>66</w:t>
      </w:r>
      <w:r w:rsidRPr="00092331">
        <w:t>% of febrile children under the age of five years sought treatment (</w:t>
      </w:r>
      <w:r w:rsidR="00913F32">
        <w:t>Fig S2.3</w:t>
      </w:r>
      <w:r w:rsidRPr="00092331">
        <w:rPr>
          <w:noProof/>
        </w:rPr>
        <w:t>),</w:t>
      </w:r>
      <w:r w:rsidRPr="00092331">
        <w:t xml:space="preserve"> 36% </w:t>
      </w:r>
      <w:r w:rsidRPr="00092331">
        <w:rPr>
          <w:noProof/>
        </w:rPr>
        <w:t>were tested</w:t>
      </w:r>
      <w:r w:rsidRPr="00092331">
        <w:t xml:space="preserve"> for malaria</w:t>
      </w:r>
      <w:r w:rsidR="00B17480" w:rsidRPr="00092331">
        <w:t>,</w:t>
      </w:r>
      <w:r w:rsidRPr="00092331">
        <w:t xml:space="preserve"> </w:t>
      </w:r>
      <w:r w:rsidRPr="00092331">
        <w:rPr>
          <w:noProof/>
        </w:rPr>
        <w:t>and</w:t>
      </w:r>
      <w:r w:rsidRPr="00092331">
        <w:t xml:space="preserve"> </w:t>
      </w:r>
      <w:r w:rsidR="004F6D8F" w:rsidRPr="00092331">
        <w:t>43.4</w:t>
      </w:r>
      <w:r w:rsidRPr="00092331">
        <w:t xml:space="preserve">% received any antimalarial, of which 85% were ACTs </w:t>
      </w:r>
      <w:r w:rsidRPr="00092331">
        <w:fldChar w:fldCharType="begin"/>
      </w:r>
      <w:r w:rsidR="00042DCE">
        <w:instrText xml:space="preserve"> ADDIN ZOTERO_ITEM CSL_CITATION {"citationID":"fG1HDCDv","properties":{"formattedCitation":"[34]","plainCitation":"[34]","noteIndex":0},"citationItems":[{"id":"gwfeXbiP/zgxIjCNb","uris":["http://zotero.org/users/1234689/items/ZADEB8IQ"],"uri":["http://zotero.org/users/1234689/items/ZADEB8IQ"],"itemData":{"id":89,"type":"report","title":"Tanzania Demographic and Health Survey and Malaria Indicator Survey (TDHS-MIS) 2015-2016","publisher":"MoHSW, MoH, NBS, OCGS, and ICF International","publisher-place":"Dar es Salaam, Tanzania and Rockville, Maryland, USA","event-place":"Dar es Salaam, Tanzania and Rockville, Maryland, USA","author":[{"literal":"Ministry of Health, Community Development, Gender, Elderly and Children (MoHCDGEC)"},{"literal":"Ministry of Health (MoH) (Zanzibar)"},{"literal":"National Bureau of Statistics (NBS) [Tanzania]"},{"literal":"Office of Chief Government Statistician (OCGS)"},{"literal":"ICF International"}],"issued":{"date-parts":[["2016"]]}}}],"schema":"https://github.com/citation-style-language/schema/raw/master/csl-citation.json"} </w:instrText>
      </w:r>
      <w:r w:rsidRPr="00092331">
        <w:fldChar w:fldCharType="separate"/>
      </w:r>
      <w:r w:rsidR="00042DCE" w:rsidRPr="00042DCE">
        <w:rPr>
          <w:rFonts w:ascii="Calibri" w:hAnsi="Calibri"/>
        </w:rPr>
        <w:t>[34]</w:t>
      </w:r>
      <w:r w:rsidRPr="00092331">
        <w:fldChar w:fldCharType="end"/>
      </w:r>
      <w:r w:rsidRPr="00092331">
        <w:t xml:space="preserve">. For simplicity only the </w:t>
      </w:r>
      <w:r w:rsidRPr="00092331">
        <w:rPr>
          <w:noProof/>
        </w:rPr>
        <w:t>care-seeking</w:t>
      </w:r>
      <w:r w:rsidRPr="00092331">
        <w:t xml:space="preserve"> estimates </w:t>
      </w:r>
      <w:r w:rsidRPr="00092331">
        <w:rPr>
          <w:noProof/>
        </w:rPr>
        <w:t>w</w:t>
      </w:r>
      <w:r w:rsidR="004E292F">
        <w:rPr>
          <w:noProof/>
        </w:rPr>
        <w:t>as</w:t>
      </w:r>
      <w:r w:rsidRPr="00092331">
        <w:t xml:space="preserve"> used, assuming that out of all febrile children accessing care 59.7% are effectively treated, based on a previous study assessing effective treatment in Sub Saharan Africa </w:t>
      </w:r>
      <w:r w:rsidRPr="00092331">
        <w:fldChar w:fldCharType="begin"/>
      </w:r>
      <w:r w:rsidR="00042DCE">
        <w:instrText xml:space="preserve"> ADDIN ZOTERO_ITEM CSL_CITATION {"citationID":"8L4qE0wP","properties":{"formattedCitation":"[35]","plainCitation":"[35]","noteIndex":0},"citationItems":[{"id":18161,"uris":["http://zotero.org/users/3516901/items/5W8CI7M7"],"uri":["http://zotero.org/users/3516901/items/5W8CI7M7"],"itemData":{"id":18161,"type":"article-journal","title":"Effective Coverage and Systems Effectiveness for Malaria Case Management in Sub-Saharan African Countries","container-title":"PLOS ONE","page":"e0127818","volume":"10","issue":"5","source":"PLoS Journals","abstract":"Scale-up of malaria preventive and control interventions over the last decade resulted in substantial declines in mortality and morbidity from the disease in sub-Saharan Africa and many other parts of the world. Sustaining these gains will depend on the health system performance. Treatment provides individual benefits by curing infection and preventing progression to severe disease as well as community-level benefits by reducing the infectious reservoir and averting emergence and spread of drug resistance. However many patients with malaria do not access care, providers do not comply with treatment guidelines, and hence, patients do not necessarily receive the correct regimen. Even when the correct regimen is administered some patients will not adhere and others will be treated with counterfeit or substandard medication leading to treatment failures and spread of drug resistance. We apply systems effectiveness concepts that explicitly consider implications of health system factors such as treatment seeking, provider compliance, adherence, and quality of medication to estimate treatment outcomes for malaria case management. We compile data for these indicators to derive estimates of effective coverage for 43 high-burden Sub-Saharan African countries. Parameters are populated from the Demographic and Health Surveys and other published sources. We assess the relative importance of these factors on the level of effective coverage and consider variation in these health systems indicators across countries. Our findings suggest that effective coverage for malaria case management ranges from 8% to 72% in the region. Different factors account for health system inefficiencies in different countries. Significant losses in effectiveness of treatment are estimated in all countries. The patterns of inter-country variation suggest that these are system failures that are amenable to change. Identifying the reasons for the poor health system performance and intervening to tackle them become key priority areas for malaria control and elimination policies in the region.","DOI":"10.1371/journal.pone.0127818","ISSN":"1932-6203","journalAbbreviation":"PLOS ONE","author":[{"family":"Galactionova","given":"Katya"},{"family":"Tediosi","given":"Fabrizio"},{"family":"Savigny","given":"Don","dropping-particle":"de"},{"family":"Smith","given":"Thomas"},{"family":"Tanner","given":"Marcel"}],"issued":{"date-parts":[["2015",5,22]]}}}],"schema":"https://github.com/citation-style-language/schema/raw/master/csl-citation.json"} </w:instrText>
      </w:r>
      <w:r w:rsidRPr="00092331">
        <w:fldChar w:fldCharType="separate"/>
      </w:r>
      <w:r w:rsidR="00042DCE" w:rsidRPr="00042DCE">
        <w:rPr>
          <w:rFonts w:ascii="Calibri" w:hAnsi="Calibri"/>
        </w:rPr>
        <w:t>[35]</w:t>
      </w:r>
      <w:r w:rsidRPr="00092331">
        <w:fldChar w:fldCharType="end"/>
      </w:r>
      <w:r w:rsidRPr="00092331">
        <w:t xml:space="preserve">. Hence, the effective treatment coverage </w:t>
      </w:r>
      <w:r w:rsidRPr="00092331">
        <w:rPr>
          <w:noProof/>
        </w:rPr>
        <w:t>was calculated</w:t>
      </w:r>
      <w:r w:rsidRPr="00092331">
        <w:t xml:space="preserve"> by multiplying the proportion of children accessing care per region with the scaling factor of 0.6, estimated at </w:t>
      </w:r>
      <w:r w:rsidRPr="00092331">
        <w:rPr>
          <w:noProof/>
        </w:rPr>
        <w:t>national</w:t>
      </w:r>
      <w:r w:rsidRPr="00092331">
        <w:t xml:space="preserve"> level for Tanzania </w:t>
      </w:r>
      <w:r w:rsidRPr="00092331">
        <w:fldChar w:fldCharType="begin"/>
      </w:r>
      <w:r w:rsidR="00042DCE">
        <w:instrText xml:space="preserve"> ADDIN ZOTERO_ITEM CSL_CITATION {"citationID":"nsaAgQUp","properties":{"formattedCitation":"[35]","plainCitation":"[35]","noteIndex":0},"citationItems":[{"id":18161,"uris":["http://zotero.org/users/3516901/items/5W8CI7M7"],"uri":["http://zotero.org/users/3516901/items/5W8CI7M7"],"itemData":{"id":18161,"type":"article-journal","title":"Effective Coverage and Systems Effectiveness for Malaria Case Management in Sub-Saharan African Countries","container-title":"PLOS ONE","page":"e0127818","volume":"10","issue":"5","source":"PLoS Journals","abstract":"Scale-up of malaria preventive and control interventions over the last decade resulted in substantial declines in mortality and morbidity from the disease in sub-Saharan Africa and many other parts of the world. Sustaining these gains will depend on the health system performance. Treatment provides individual benefits by curing infection and preventing progression to severe disease as well as community-level benefits by reducing the infectious reservoir and averting emergence and spread of drug resistance. However many patients with malaria do not access care, providers do not comply with treatment guidelines, and hence, patients do not necessarily receive the correct regimen. Even when the correct regimen is administered some patients will not adhere and others will be treated with counterfeit or substandard medication leading to treatment failures and spread of drug resistance. We apply systems effectiveness concepts that explicitly consider implications of health system factors such as treatment seeking, provider compliance, adherence, and quality of medication to estimate treatment outcomes for malaria case management. We compile data for these indicators to derive estimates of effective coverage for 43 high-burden Sub-Saharan African countries. Parameters are populated from the Demographic and Health Surveys and other published sources. We assess the relative importance of these factors on the level of effective coverage and consider variation in these health systems indicators across countries. Our findings suggest that effective coverage for malaria case management ranges from 8% to 72% in the region. Different factors account for health system inefficiencies in different countries. Significant losses in effectiveness of treatment are estimated in all countries. The patterns of inter-country variation suggest that these are system failures that are amenable to change. Identifying the reasons for the poor health system performance and intervening to tackle them become key priority areas for malaria control and elimination policies in the region.","DOI":"10.1371/journal.pone.0127818","ISSN":"1932-6203","journalAbbreviation":"PLOS ONE","author":[{"family":"Galactionova","given":"Katya"},{"family":"Tediosi","given":"Fabrizio"},{"family":"Savigny","given":"Don","dropping-particle":"de"},{"family":"Smith","given":"Thomas"},{"family":"Tanner","given":"Marcel"}],"issued":{"date-parts":[["2015",5,22]]}}}],"schema":"https://github.com/citation-style-language/schema/raw/master/csl-citation.json"} </w:instrText>
      </w:r>
      <w:r w:rsidRPr="00092331">
        <w:fldChar w:fldCharType="separate"/>
      </w:r>
      <w:r w:rsidR="00042DCE" w:rsidRPr="00042DCE">
        <w:rPr>
          <w:rFonts w:ascii="Calibri" w:hAnsi="Calibri"/>
        </w:rPr>
        <w:t>[35]</w:t>
      </w:r>
      <w:r w:rsidRPr="00092331">
        <w:fldChar w:fldCharType="end"/>
      </w:r>
      <w:r w:rsidRPr="00092331">
        <w:t xml:space="preserve">. </w:t>
      </w:r>
    </w:p>
    <w:p w14:paraId="36DA0A35" w14:textId="77777777" w:rsidR="006F30C8" w:rsidRPr="00092331" w:rsidRDefault="006F30C8" w:rsidP="00FB7E5A">
      <w:pPr>
        <w:autoSpaceDE w:val="0"/>
        <w:autoSpaceDN w:val="0"/>
        <w:adjustRightInd w:val="0"/>
        <w:spacing w:after="0"/>
        <w:jc w:val="both"/>
      </w:pPr>
      <w:r w:rsidRPr="00092331">
        <w:rPr>
          <w:noProof/>
          <w:lang w:val="en-US"/>
        </w:rPr>
        <w:drawing>
          <wp:inline distT="0" distB="0" distL="0" distR="0" wp14:anchorId="280C5315" wp14:editId="684AD84A">
            <wp:extent cx="5760720" cy="2087880"/>
            <wp:effectExtent l="19050" t="19050" r="1143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60720" cy="2087880"/>
                    </a:xfrm>
                    <a:prstGeom prst="rect">
                      <a:avLst/>
                    </a:prstGeom>
                    <a:noFill/>
                    <a:ln w="6350" cmpd="sng">
                      <a:solidFill>
                        <a:srgbClr val="000000"/>
                      </a:solidFill>
                      <a:miter lim="800000"/>
                      <a:headEnd/>
                      <a:tailEnd/>
                    </a:ln>
                    <a:effectLst/>
                  </pic:spPr>
                </pic:pic>
              </a:graphicData>
            </a:graphic>
          </wp:inline>
        </w:drawing>
      </w:r>
    </w:p>
    <w:p w14:paraId="5647A152" w14:textId="4E24275F" w:rsidR="009C3D40" w:rsidRDefault="006F30C8" w:rsidP="00FB7E5A">
      <w:pPr>
        <w:pStyle w:val="Caption"/>
        <w:spacing w:before="0" w:after="0" w:line="276" w:lineRule="auto"/>
        <w:rPr>
          <w:rFonts w:asciiTheme="minorHAnsi" w:hAnsiTheme="minorHAnsi"/>
          <w:bCs w:val="0"/>
        </w:rPr>
      </w:pPr>
      <w:bookmarkStart w:id="18" w:name="_Ref530997324"/>
      <w:bookmarkStart w:id="19" w:name="_Toc533358417"/>
      <w:r w:rsidRPr="00092331">
        <w:rPr>
          <w:rFonts w:asciiTheme="minorHAnsi" w:hAnsiTheme="minorHAnsi"/>
          <w:b/>
          <w:bCs w:val="0"/>
        </w:rPr>
        <w:t>Fig</w:t>
      </w:r>
      <w:r w:rsidR="009C3D40">
        <w:rPr>
          <w:rFonts w:asciiTheme="minorHAnsi" w:hAnsiTheme="minorHAnsi"/>
          <w:b/>
          <w:bCs w:val="0"/>
        </w:rPr>
        <w:t xml:space="preserve"> S2.</w:t>
      </w:r>
      <w:r w:rsidRPr="00092331">
        <w:rPr>
          <w:rFonts w:asciiTheme="minorHAnsi" w:hAnsiTheme="minorHAnsi"/>
        </w:rPr>
        <w:fldChar w:fldCharType="begin"/>
      </w:r>
      <w:r w:rsidRPr="00092331">
        <w:rPr>
          <w:rFonts w:asciiTheme="minorHAnsi" w:hAnsiTheme="minorHAnsi"/>
          <w:b/>
          <w:bCs w:val="0"/>
        </w:rPr>
        <w:instrText xml:space="preserve"> SEQ Figure \* ARABIC </w:instrText>
      </w:r>
      <w:r w:rsidRPr="00092331">
        <w:rPr>
          <w:rFonts w:asciiTheme="minorHAnsi" w:hAnsiTheme="minorHAnsi"/>
        </w:rPr>
        <w:fldChar w:fldCharType="separate"/>
      </w:r>
      <w:r w:rsidR="00B51A34">
        <w:rPr>
          <w:rFonts w:asciiTheme="minorHAnsi" w:hAnsiTheme="minorHAnsi"/>
          <w:b/>
          <w:bCs w:val="0"/>
          <w:noProof/>
        </w:rPr>
        <w:t>3</w:t>
      </w:r>
      <w:r w:rsidRPr="00092331">
        <w:rPr>
          <w:rFonts w:asciiTheme="minorHAnsi" w:hAnsiTheme="minorHAnsi"/>
        </w:rPr>
        <w:fldChar w:fldCharType="end"/>
      </w:r>
      <w:bookmarkEnd w:id="18"/>
      <w:r w:rsidRPr="00092331">
        <w:rPr>
          <w:rFonts w:asciiTheme="minorHAnsi" w:hAnsiTheme="minorHAnsi"/>
          <w:b/>
          <w:bCs w:val="0"/>
        </w:rPr>
        <w:t>:</w:t>
      </w:r>
      <w:r w:rsidR="00D87D36" w:rsidRPr="00092331">
        <w:rPr>
          <w:rFonts w:asciiTheme="minorHAnsi" w:hAnsiTheme="minorHAnsi"/>
          <w:b/>
          <w:bCs w:val="0"/>
        </w:rPr>
        <w:t xml:space="preserve"> Historical case management.</w:t>
      </w:r>
      <w:r w:rsidR="00D87D36" w:rsidRPr="00092331">
        <w:rPr>
          <w:rFonts w:asciiTheme="minorHAnsi" w:hAnsiTheme="minorHAnsi"/>
          <w:bCs w:val="0"/>
        </w:rPr>
        <w:t xml:space="preserve"> </w:t>
      </w:r>
    </w:p>
    <w:p w14:paraId="65C66D77" w14:textId="5D4B4531" w:rsidR="006F30C8" w:rsidRDefault="006F30C8" w:rsidP="00FB7E5A">
      <w:pPr>
        <w:pStyle w:val="Caption"/>
        <w:spacing w:before="0" w:after="0" w:line="276" w:lineRule="auto"/>
        <w:rPr>
          <w:rFonts w:asciiTheme="minorHAnsi" w:hAnsiTheme="minorHAnsi"/>
        </w:rPr>
      </w:pPr>
      <w:r w:rsidRPr="00092331">
        <w:rPr>
          <w:rFonts w:asciiTheme="minorHAnsi" w:hAnsiTheme="minorHAnsi"/>
          <w:bCs w:val="0"/>
        </w:rPr>
        <w:t xml:space="preserve">A) </w:t>
      </w:r>
      <w:r w:rsidR="00D87D36" w:rsidRPr="00092331">
        <w:rPr>
          <w:rFonts w:asciiTheme="minorHAnsi" w:hAnsiTheme="minorHAnsi"/>
          <w:bCs w:val="0"/>
        </w:rPr>
        <w:t>Geographic distribution of the proportion of children accessing any health facility within two weeks prior survey as estimated in the TDHS-MIS 2015/16</w:t>
      </w:r>
      <w:r w:rsidRPr="00092331">
        <w:rPr>
          <w:rFonts w:asciiTheme="minorHAnsi" w:hAnsiTheme="minorHAnsi"/>
          <w:bCs w:val="0"/>
        </w:rPr>
        <w:t xml:space="preserve">. B) National temporal trend of the </w:t>
      </w:r>
      <w:r w:rsidRPr="00092331">
        <w:rPr>
          <w:rFonts w:asciiTheme="minorHAnsi" w:hAnsiTheme="minorHAnsi"/>
        </w:rPr>
        <w:t xml:space="preserve">estimated </w:t>
      </w:r>
      <w:r w:rsidRPr="00092331">
        <w:rPr>
          <w:rFonts w:asciiTheme="minorHAnsi" w:hAnsiTheme="minorHAnsi"/>
          <w:bCs w:val="0"/>
        </w:rPr>
        <w:t>proportion of individuals effectively being cured when they have a fever</w:t>
      </w:r>
      <w:r w:rsidRPr="00092331">
        <w:rPr>
          <w:rFonts w:asciiTheme="minorHAnsi" w:hAnsiTheme="minorHAnsi"/>
        </w:rPr>
        <w:t xml:space="preserve"> (effective treatment coverage)</w:t>
      </w:r>
      <w:r w:rsidR="000F6C9F" w:rsidRPr="00092331">
        <w:rPr>
          <w:rFonts w:asciiTheme="minorHAnsi" w:hAnsiTheme="minorHAnsi"/>
          <w:bCs w:val="0"/>
        </w:rPr>
        <w:t>.</w:t>
      </w:r>
      <w:r w:rsidR="00590538" w:rsidRPr="00092331">
        <w:rPr>
          <w:rFonts w:asciiTheme="minorHAnsi" w:hAnsiTheme="minorHAnsi"/>
          <w:bCs w:val="0"/>
        </w:rPr>
        <w:t xml:space="preserve"> </w:t>
      </w:r>
      <w:r w:rsidRPr="00092331">
        <w:rPr>
          <w:rFonts w:asciiTheme="minorHAnsi" w:hAnsiTheme="minorHAnsi"/>
        </w:rPr>
        <w:t xml:space="preserve">The orange dots </w:t>
      </w:r>
      <w:r w:rsidRPr="00092331">
        <w:rPr>
          <w:rFonts w:asciiTheme="minorHAnsi" w:hAnsiTheme="minorHAnsi"/>
        </w:rPr>
        <w:lastRenderedPageBreak/>
        <w:t xml:space="preserve">correspond to regional estimates for care seeking behaviour from malaria indicator surveys </w:t>
      </w:r>
      <w:r w:rsidRPr="00092331">
        <w:rPr>
          <w:rFonts w:asciiTheme="minorHAnsi" w:hAnsiTheme="minorHAnsi"/>
        </w:rPr>
        <w:fldChar w:fldCharType="begin"/>
      </w:r>
      <w:r w:rsidR="00215A11">
        <w:rPr>
          <w:rFonts w:asciiTheme="minorHAnsi" w:hAnsiTheme="minorHAnsi"/>
        </w:rPr>
        <w:instrText xml:space="preserve"> ADDIN ZOTERO_ITEM CSL_CITATION {"citationID":"a2juj869h05","properties":{"formattedCitation":"[9,11,12]","plainCitation":"[9,11,12]","noteIndex":0},"citationItems":[{"id":16746,"uris":["http://zotero.org/users/3516901/items/NZSSZ2HF"],"uri":["http://zotero.org/users/3516901/items/NZSSZ2HF"],"itemData":{"id":16746,"type":"report","title":"Tanzania HIV/AIDS and Malaria Indicator Survey 2007-08","publisher":"Tanzania Commission for AIDS (TACAIDS)","publisher-place":"Dar Es Salaam,Tanzania","event-place":"Dar Es Salaam,Tanzania","author":[{"family":"TACAIDS","given":""},{"literal":"Zanzibar AIDS Commission (ZAC)"},{"literal":"National Bureau of Statistics (NBS) [Tanzania]"},{"literal":"MEASURE DHS"},{"literal":"Macro International Inc."}],"issued":{"date-parts":[["2008"]]}},"label":"page"},{"id":17358,"uris":["http://zotero.org/users/3516901/items/SG44M9ZT"],"uri":["http://zotero.org/users/3516901/items/SG44M9ZT"],"itemData":{"id":17358,"type":"report","title":"Tanzania HIV/AIDS and Malaria Indicator Survey 2011-12","publisher":"TACAIDS, ZAC,  NBS, OCGS, and ICF International","publisher-place":"Dar Es Salaam, Tanzania","event-place":"Dar Es Salaam, Tanzania","author":[{"literal":"TACAIDS"},{"literal":"Zanzibar AIDS Commission (ZAC)"},{"literal":"National Bureau of Statistics (NBS) [Tanzania]"},{"literal":"Office of the Chief Government Statistician (OCGS)"},{"literal":"ICF International 2013"}],"issued":{"date-parts":[["2013"]]}},"label":"page"},{"id":15907,"uris":["http://zotero.org/users/3516901/items/WWHQCFSW"],"uri":["http://zotero.org/users/3516901/items/WWHQCFSW"],"itemData":{"id":15907,"type":"report","title":"Tanzania Demographic and Health Survey and Malaria Indicator Survey (TDHS-MIS) 2015-2016","publisher":"MoHSW, MoH, NBS, OCGS, and ICF International","publisher-place":"Dar es Salaam, Tanzania and Rockville, Maryland, USA","event-place":"Dar es Salaam, Tanzania and Rockville, Maryland, USA","author":[{"family":"MoHCDGEC","given":""},{"literal":"Ministry of Health (MoH) (Zanzibar)"},{"literal":"National Bureau of Statistics (NBS) [Tanzania]"},{"literal":"Office of Chief Government Statistician (OCGS)"},{"literal":"ICF International"}],"issued":{"date-parts":[["2016"]]}},"label":"page"}],"schema":"https://github.com/citation-style-language/schema/raw/master/csl-citation.json"} </w:instrText>
      </w:r>
      <w:r w:rsidRPr="00092331">
        <w:rPr>
          <w:rFonts w:asciiTheme="minorHAnsi" w:hAnsiTheme="minorHAnsi"/>
        </w:rPr>
        <w:fldChar w:fldCharType="separate"/>
      </w:r>
      <w:r w:rsidR="00215A11" w:rsidRPr="00215A11">
        <w:rPr>
          <w:rFonts w:ascii="Calibri" w:hAnsi="Calibri"/>
        </w:rPr>
        <w:t>[9,11,12]</w:t>
      </w:r>
      <w:r w:rsidRPr="00092331">
        <w:rPr>
          <w:rFonts w:asciiTheme="minorHAnsi" w:hAnsiTheme="minorHAnsi"/>
        </w:rPr>
        <w:fldChar w:fldCharType="end"/>
      </w:r>
      <w:r w:rsidRPr="00092331">
        <w:rPr>
          <w:rFonts w:asciiTheme="minorHAnsi" w:hAnsiTheme="minorHAnsi"/>
        </w:rPr>
        <w:t xml:space="preserve">, scaled with the estimate for effective treatment </w:t>
      </w:r>
      <w:r w:rsidRPr="00092331">
        <w:rPr>
          <w:rFonts w:asciiTheme="minorHAnsi" w:hAnsiTheme="minorHAnsi"/>
        </w:rPr>
        <w:fldChar w:fldCharType="begin"/>
      </w:r>
      <w:r w:rsidR="00042DCE">
        <w:rPr>
          <w:rFonts w:asciiTheme="minorHAnsi" w:hAnsiTheme="minorHAnsi"/>
        </w:rPr>
        <w:instrText xml:space="preserve"> ADDIN ZOTERO_ITEM CSL_CITATION {"citationID":"fiMweYhd","properties":{"formattedCitation":"[35]","plainCitation":"[35]","noteIndex":0},"citationItems":[{"id":18161,"uris":["http://zotero.org/users/3516901/items/5W8CI7M7"],"uri":["http://zotero.org/users/3516901/items/5W8CI7M7"],"itemData":{"id":18161,"type":"article-journal","title":"Effective Coverage and Systems Effectiveness for Malaria Case Management in Sub-Saharan African Countries","container-title":"PLOS ONE","page":"e0127818","volume":"10","issue":"5","source":"PLoS Journals","abstract":"Scale-up of malaria preventive and control interventions over the last decade resulted in substantial declines in mortality and morbidity from the disease in sub-Saharan Africa and many other parts of the world. Sustaining these gains will depend on the health system performance. Treatment provides individual benefits by curing infection and preventing progression to severe disease as well as community-level benefits by reducing the infectious reservoir and averting emergence and spread of drug resistance. However many patients with malaria do not access care, providers do not comply with treatment guidelines, and hence, patients do not necessarily receive the correct regimen. Even when the correct regimen is administered some patients will not adhere and others will be treated with counterfeit or substandard medication leading to treatment failures and spread of drug resistance. We apply systems effectiveness concepts that explicitly consider implications of health system factors such as treatment seeking, provider compliance, adherence, and quality of medication to estimate treatment outcomes for malaria case management. We compile data for these indicators to derive estimates of effective coverage for 43 high-burden Sub-Saharan African countries. Parameters are populated from the Demographic and Health Surveys and other published sources. We assess the relative importance of these factors on the level of effective coverage and consider variation in these health systems indicators across countries. Our findings suggest that effective coverage for malaria case management ranges from 8% to 72% in the region. Different factors account for health system inefficiencies in different countries. Significant losses in effectiveness of treatment are estimated in all countries. The patterns of inter-country variation suggest that these are system failures that are amenable to change. Identifying the reasons for the poor health system performance and intervening to tackle them become key priority areas for malaria control and elimination policies in the region.","DOI":"10.1371/journal.pone.0127818","ISSN":"1932-6203","journalAbbreviation":"PLOS ONE","author":[{"family":"Galactionova","given":"Katya"},{"family":"Tediosi","given":"Fabrizio"},{"family":"Savigny","given":"Don","dropping-particle":"de"},{"family":"Smith","given":"Thomas"},{"family":"Tanner","given":"Marcel"}],"issued":{"date-parts":[["2015",5,22]]}}}],"schema":"https://github.com/citation-style-language/schema/raw/master/csl-citation.json"} </w:instrText>
      </w:r>
      <w:r w:rsidRPr="00092331">
        <w:rPr>
          <w:rFonts w:asciiTheme="minorHAnsi" w:hAnsiTheme="minorHAnsi"/>
        </w:rPr>
        <w:fldChar w:fldCharType="separate"/>
      </w:r>
      <w:r w:rsidR="00042DCE" w:rsidRPr="00042DCE">
        <w:rPr>
          <w:rFonts w:ascii="Calibri" w:hAnsi="Calibri"/>
        </w:rPr>
        <w:t>[35]</w:t>
      </w:r>
      <w:r w:rsidRPr="00092331">
        <w:rPr>
          <w:rFonts w:asciiTheme="minorHAnsi" w:hAnsiTheme="minorHAnsi"/>
        </w:rPr>
        <w:fldChar w:fldCharType="end"/>
      </w:r>
      <w:r w:rsidRPr="00092331">
        <w:rPr>
          <w:rFonts w:asciiTheme="minorHAnsi" w:hAnsiTheme="minorHAnsi"/>
        </w:rPr>
        <w:t xml:space="preserve">. </w:t>
      </w:r>
      <w:r w:rsidRPr="00092331">
        <w:rPr>
          <w:rFonts w:asciiTheme="minorHAnsi" w:hAnsiTheme="minorHAnsi"/>
          <w:bCs w:val="0"/>
          <w:noProof/>
        </w:rPr>
        <w:t>The solid</w:t>
      </w:r>
      <w:r w:rsidRPr="00092331">
        <w:rPr>
          <w:rFonts w:asciiTheme="minorHAnsi" w:hAnsiTheme="minorHAnsi"/>
          <w:bCs w:val="0"/>
        </w:rPr>
        <w:t xml:space="preserve"> blue line corresponds to a</w:t>
      </w:r>
      <w:bookmarkEnd w:id="19"/>
      <w:r w:rsidRPr="00092331">
        <w:rPr>
          <w:rFonts w:asciiTheme="minorHAnsi" w:hAnsiTheme="minorHAnsi"/>
        </w:rPr>
        <w:t xml:space="preserve"> fitted line for effective treatment based on the survey data with the assumption of no effective treatment before 2003. The light blue area corresponds</w:t>
      </w:r>
      <w:r w:rsidR="00097E58" w:rsidRPr="00092331">
        <w:rPr>
          <w:rFonts w:asciiTheme="minorHAnsi" w:hAnsiTheme="minorHAnsi"/>
        </w:rPr>
        <w:t xml:space="preserve"> to</w:t>
      </w:r>
      <w:r w:rsidRPr="00092331">
        <w:rPr>
          <w:rFonts w:asciiTheme="minorHAnsi" w:hAnsiTheme="minorHAnsi"/>
        </w:rPr>
        <w:t xml:space="preserve"> </w:t>
      </w:r>
      <w:r w:rsidR="00B17480" w:rsidRPr="00092331">
        <w:rPr>
          <w:rFonts w:asciiTheme="minorHAnsi" w:hAnsiTheme="minorHAnsi"/>
        </w:rPr>
        <w:t xml:space="preserve">the </w:t>
      </w:r>
      <w:r w:rsidRPr="00092331">
        <w:rPr>
          <w:rFonts w:asciiTheme="minorHAnsi" w:hAnsiTheme="minorHAnsi"/>
          <w:noProof/>
        </w:rPr>
        <w:t>minimum</w:t>
      </w:r>
      <w:r w:rsidRPr="00092331">
        <w:rPr>
          <w:rFonts w:asciiTheme="minorHAnsi" w:hAnsiTheme="minorHAnsi"/>
        </w:rPr>
        <w:t xml:space="preserve"> and maximum</w:t>
      </w:r>
      <w:r w:rsidR="00F11D6B" w:rsidRPr="00092331">
        <w:rPr>
          <w:rFonts w:asciiTheme="minorHAnsi" w:hAnsiTheme="minorHAnsi"/>
        </w:rPr>
        <w:t xml:space="preserve"> of the fitted lines</w:t>
      </w:r>
      <w:r w:rsidRPr="00092331">
        <w:rPr>
          <w:rFonts w:asciiTheme="minorHAnsi" w:hAnsiTheme="minorHAnsi"/>
        </w:rPr>
        <w:t>.</w:t>
      </w:r>
    </w:p>
    <w:p w14:paraId="086262BF" w14:textId="77777777" w:rsidR="00092331" w:rsidRPr="00092331" w:rsidRDefault="00092331" w:rsidP="008A19A8">
      <w:pPr>
        <w:spacing w:after="0"/>
        <w:jc w:val="both"/>
        <w:rPr>
          <w:lang w:eastAsia="de-DE"/>
        </w:rPr>
      </w:pPr>
    </w:p>
    <w:p w14:paraId="4172FE2C" w14:textId="77777777" w:rsidR="00C967BA" w:rsidRPr="00092331" w:rsidRDefault="00C967BA" w:rsidP="00810E50">
      <w:pPr>
        <w:pStyle w:val="Heading3"/>
        <w:spacing w:line="360" w:lineRule="auto"/>
      </w:pPr>
      <w:r w:rsidRPr="00092331">
        <w:rPr>
          <w:noProof/>
        </w:rPr>
        <w:t>Insecticide</w:t>
      </w:r>
      <w:r w:rsidR="00B17480" w:rsidRPr="00092331">
        <w:rPr>
          <w:noProof/>
        </w:rPr>
        <w:t>-</w:t>
      </w:r>
      <w:r w:rsidRPr="00092331">
        <w:rPr>
          <w:noProof/>
        </w:rPr>
        <w:t>treated</w:t>
      </w:r>
      <w:r w:rsidRPr="00092331">
        <w:t xml:space="preserve"> bed nets </w:t>
      </w:r>
    </w:p>
    <w:p w14:paraId="738DAE14" w14:textId="1871259C" w:rsidR="002171C1" w:rsidRPr="00092331" w:rsidRDefault="003C480F" w:rsidP="001F7549">
      <w:pPr>
        <w:spacing w:after="0" w:line="360" w:lineRule="auto"/>
        <w:jc w:val="both"/>
        <w:rPr>
          <w:noProof/>
        </w:rPr>
      </w:pPr>
      <w:r>
        <w:t xml:space="preserve">In Tanzania, three large ITN mass campaigns were conducted: the universal coverage campaign (UCC) from 2009 to 2010, the keep up campaign from 2010 to 2011, and the mass replacement campaign from 2016 to 2017. In addition, continuous deployments mechanisms exist and the most relevant one at the community level is the school net program implemented since 2013 in three regions. The reported ITN </w:t>
      </w:r>
      <w:r w:rsidR="00C24AEF" w:rsidRPr="00C24AEF">
        <w:t>usage</w:t>
      </w:r>
      <w:r>
        <w:t xml:space="preserve"> from MIS surveys roughly as well as the estimated ITN </w:t>
      </w:r>
      <w:r w:rsidR="00C24AEF" w:rsidRPr="00C24AEF">
        <w:t>usage</w:t>
      </w:r>
      <w:r>
        <w:t xml:space="preserve"> from MAP roughly follow the trend in number of nets distributed, but did not capture the differences between the deployment schemes since 2013 (Fig S2.4). </w:t>
      </w:r>
    </w:p>
    <w:p w14:paraId="1D5C3C24" w14:textId="77777777" w:rsidR="008C40C5" w:rsidRPr="00092331" w:rsidRDefault="00D26EF0" w:rsidP="00FB7E5A">
      <w:pPr>
        <w:keepNext/>
        <w:spacing w:after="0"/>
        <w:jc w:val="both"/>
      </w:pPr>
      <w:r w:rsidRPr="00092331">
        <w:rPr>
          <w:noProof/>
          <w:lang w:val="en-US"/>
        </w:rPr>
        <w:drawing>
          <wp:inline distT="0" distB="0" distL="0" distR="0" wp14:anchorId="78739C44" wp14:editId="39DBCB11">
            <wp:extent cx="5168900" cy="3101340"/>
            <wp:effectExtent l="19050" t="19050" r="12700" b="22860"/>
            <wp:docPr id="13" name="Picture 13" descr="C:\Users\rungma\Projects\OM_TZA\Figures\DataDescription_and_Preparation\ITN\ITNuse\ITNall_forPaperAdditionalF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ngma\Projects\OM_TZA\Figures\DataDescription_and_Preparation\ITN\ITNuse\ITNall_forPaperAdditionalFile2.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175746" cy="3105448"/>
                    </a:xfrm>
                    <a:prstGeom prst="rect">
                      <a:avLst/>
                    </a:prstGeom>
                    <a:noFill/>
                    <a:ln w="6350">
                      <a:solidFill>
                        <a:schemeClr val="tx1"/>
                      </a:solidFill>
                    </a:ln>
                  </pic:spPr>
                </pic:pic>
              </a:graphicData>
            </a:graphic>
          </wp:inline>
        </w:drawing>
      </w:r>
    </w:p>
    <w:p w14:paraId="1CB26262" w14:textId="33B8984D" w:rsidR="00E40467" w:rsidRDefault="008C40C5" w:rsidP="00FB7E5A">
      <w:pPr>
        <w:pStyle w:val="Caption"/>
        <w:spacing w:before="0" w:after="0" w:line="276" w:lineRule="auto"/>
        <w:rPr>
          <w:rFonts w:asciiTheme="minorHAnsi" w:hAnsiTheme="minorHAnsi"/>
          <w:b/>
        </w:rPr>
      </w:pPr>
      <w:r w:rsidRPr="00092331">
        <w:rPr>
          <w:rFonts w:asciiTheme="minorHAnsi" w:hAnsiTheme="minorHAnsi"/>
          <w:b/>
        </w:rPr>
        <w:t xml:space="preserve">Fig </w:t>
      </w:r>
      <w:r w:rsidR="009C3D40">
        <w:rPr>
          <w:rFonts w:asciiTheme="minorHAnsi" w:hAnsiTheme="minorHAnsi"/>
          <w:b/>
        </w:rPr>
        <w:t>S2.</w:t>
      </w:r>
      <w:r w:rsidRPr="00092331">
        <w:rPr>
          <w:rFonts w:asciiTheme="minorHAnsi" w:hAnsiTheme="minorHAnsi"/>
          <w:b/>
        </w:rPr>
        <w:fldChar w:fldCharType="begin"/>
      </w:r>
      <w:r w:rsidRPr="00092331">
        <w:rPr>
          <w:rFonts w:asciiTheme="minorHAnsi" w:hAnsiTheme="minorHAnsi"/>
          <w:b/>
        </w:rPr>
        <w:instrText xml:space="preserve"> SEQ Figure \* ARABIC </w:instrText>
      </w:r>
      <w:r w:rsidRPr="00092331">
        <w:rPr>
          <w:rFonts w:asciiTheme="minorHAnsi" w:hAnsiTheme="minorHAnsi"/>
          <w:b/>
        </w:rPr>
        <w:fldChar w:fldCharType="separate"/>
      </w:r>
      <w:r w:rsidR="00B51A34">
        <w:rPr>
          <w:rFonts w:asciiTheme="minorHAnsi" w:hAnsiTheme="minorHAnsi"/>
          <w:b/>
          <w:noProof/>
        </w:rPr>
        <w:t>4</w:t>
      </w:r>
      <w:r w:rsidRPr="00092331">
        <w:rPr>
          <w:rFonts w:asciiTheme="minorHAnsi" w:hAnsiTheme="minorHAnsi"/>
          <w:b/>
        </w:rPr>
        <w:fldChar w:fldCharType="end"/>
      </w:r>
      <w:r w:rsidRPr="00092331">
        <w:rPr>
          <w:rFonts w:asciiTheme="minorHAnsi" w:hAnsiTheme="minorHAnsi"/>
          <w:b/>
        </w:rPr>
        <w:t xml:space="preserve">: Historical ITN </w:t>
      </w:r>
      <w:r w:rsidR="00FE5579">
        <w:rPr>
          <w:rFonts w:asciiTheme="minorHAnsi" w:hAnsiTheme="minorHAnsi"/>
          <w:b/>
        </w:rPr>
        <w:t>coverage</w:t>
      </w:r>
      <w:r w:rsidRPr="00092331">
        <w:rPr>
          <w:rFonts w:asciiTheme="minorHAnsi" w:hAnsiTheme="minorHAnsi"/>
          <w:b/>
        </w:rPr>
        <w:t xml:space="preserve"> and distribution 2000-201</w:t>
      </w:r>
      <w:r w:rsidR="00B8106D" w:rsidRPr="00092331">
        <w:rPr>
          <w:rFonts w:asciiTheme="minorHAnsi" w:hAnsiTheme="minorHAnsi"/>
          <w:b/>
        </w:rPr>
        <w:t xml:space="preserve">6/17. </w:t>
      </w:r>
    </w:p>
    <w:p w14:paraId="767BE2C1" w14:textId="1F7E9B6E" w:rsidR="00D26EF0" w:rsidRPr="00092331" w:rsidRDefault="00D26EF0" w:rsidP="00FB7E5A">
      <w:pPr>
        <w:pStyle w:val="Caption"/>
        <w:spacing w:before="0" w:after="0" w:line="276" w:lineRule="auto"/>
        <w:rPr>
          <w:rFonts w:asciiTheme="minorHAnsi" w:hAnsiTheme="minorHAnsi"/>
          <w:b/>
          <w:noProof/>
        </w:rPr>
      </w:pPr>
      <w:r w:rsidRPr="00092331">
        <w:rPr>
          <w:rFonts w:asciiTheme="minorHAnsi" w:hAnsiTheme="minorHAnsi"/>
        </w:rPr>
        <w:t>Average estimates of</w:t>
      </w:r>
      <w:r w:rsidR="00C24AEF">
        <w:rPr>
          <w:rFonts w:asciiTheme="minorHAnsi" w:hAnsiTheme="minorHAnsi"/>
        </w:rPr>
        <w:t xml:space="preserve"> </w:t>
      </w:r>
      <w:r w:rsidRPr="00092331">
        <w:rPr>
          <w:rFonts w:asciiTheme="minorHAnsi" w:hAnsiTheme="minorHAnsi"/>
        </w:rPr>
        <w:t xml:space="preserve">ITN </w:t>
      </w:r>
      <w:r w:rsidR="00C24AEF">
        <w:rPr>
          <w:rFonts w:asciiTheme="minorHAnsi" w:hAnsiTheme="minorHAnsi"/>
        </w:rPr>
        <w:t xml:space="preserve">usage </w:t>
      </w:r>
      <w:r w:rsidR="00481449" w:rsidRPr="00092331">
        <w:rPr>
          <w:rFonts w:asciiTheme="minorHAnsi" w:hAnsiTheme="minorHAnsi"/>
        </w:rPr>
        <w:t>from household surveys (M</w:t>
      </w:r>
      <w:r w:rsidR="009A0644">
        <w:rPr>
          <w:rFonts w:asciiTheme="minorHAnsi" w:hAnsiTheme="minorHAnsi"/>
        </w:rPr>
        <w:t>IS</w:t>
      </w:r>
      <w:r w:rsidR="00481449" w:rsidRPr="00092331">
        <w:rPr>
          <w:rFonts w:asciiTheme="minorHAnsi" w:hAnsiTheme="minorHAnsi"/>
        </w:rPr>
        <w:t xml:space="preserve">) and the Malaria Atlas Project (MAP) </w:t>
      </w:r>
      <w:r w:rsidRPr="00092331">
        <w:rPr>
          <w:rFonts w:asciiTheme="minorHAnsi" w:hAnsiTheme="minorHAnsi"/>
        </w:rPr>
        <w:t xml:space="preserve">between regions receiving ITNs mostly </w:t>
      </w:r>
      <w:r w:rsidR="009A0644">
        <w:rPr>
          <w:rFonts w:asciiTheme="minorHAnsi" w:hAnsiTheme="minorHAnsi"/>
        </w:rPr>
        <w:t>through</w:t>
      </w:r>
      <w:r w:rsidR="009A0644" w:rsidRPr="00092331">
        <w:rPr>
          <w:rFonts w:asciiTheme="minorHAnsi" w:hAnsiTheme="minorHAnsi"/>
        </w:rPr>
        <w:t xml:space="preserve"> </w:t>
      </w:r>
      <w:r w:rsidRPr="00092331">
        <w:rPr>
          <w:rFonts w:asciiTheme="minorHAnsi" w:hAnsiTheme="minorHAnsi"/>
        </w:rPr>
        <w:t xml:space="preserve">mass campaigns after 2012 (n=23) and between regions receiving ITNs mostly </w:t>
      </w:r>
      <w:r w:rsidR="009A0644">
        <w:rPr>
          <w:rFonts w:asciiTheme="minorHAnsi" w:hAnsiTheme="minorHAnsi"/>
        </w:rPr>
        <w:t>through</w:t>
      </w:r>
      <w:r w:rsidR="009A0644" w:rsidRPr="00092331">
        <w:rPr>
          <w:rFonts w:asciiTheme="minorHAnsi" w:hAnsiTheme="minorHAnsi"/>
        </w:rPr>
        <w:t xml:space="preserve"> </w:t>
      </w:r>
      <w:r w:rsidRPr="00092331">
        <w:rPr>
          <w:rFonts w:asciiTheme="minorHAnsi" w:hAnsiTheme="minorHAnsi"/>
        </w:rPr>
        <w:t>school net distributions after 2012 (n=3)</w:t>
      </w:r>
      <w:r w:rsidR="00481449" w:rsidRPr="00092331">
        <w:rPr>
          <w:rFonts w:asciiTheme="minorHAnsi" w:hAnsiTheme="minorHAnsi"/>
        </w:rPr>
        <w:t xml:space="preserve">. </w:t>
      </w:r>
      <w:r w:rsidR="00147323" w:rsidRPr="00092331">
        <w:rPr>
          <w:rFonts w:asciiTheme="minorHAnsi" w:hAnsiTheme="minorHAnsi"/>
        </w:rPr>
        <w:t xml:space="preserve">The grey area shows the time between 2012 and 2015 with no available data on ITN </w:t>
      </w:r>
      <w:r w:rsidR="00C24AEF">
        <w:rPr>
          <w:rFonts w:asciiTheme="minorHAnsi" w:hAnsiTheme="minorHAnsi"/>
        </w:rPr>
        <w:t>usage</w:t>
      </w:r>
      <w:r w:rsidR="00DB45BC" w:rsidRPr="00092331">
        <w:rPr>
          <w:rFonts w:asciiTheme="minorHAnsi" w:hAnsiTheme="minorHAnsi"/>
        </w:rPr>
        <w:t xml:space="preserve"> from household surveys and </w:t>
      </w:r>
      <w:r w:rsidR="008C715A" w:rsidRPr="00092331">
        <w:rPr>
          <w:rFonts w:asciiTheme="minorHAnsi" w:hAnsiTheme="minorHAnsi"/>
        </w:rPr>
        <w:t>no mass deployment campaigns</w:t>
      </w:r>
      <w:r w:rsidR="00DB45BC" w:rsidRPr="00092331">
        <w:rPr>
          <w:rFonts w:asciiTheme="minorHAnsi" w:hAnsiTheme="minorHAnsi"/>
        </w:rPr>
        <w:t xml:space="preserve"> of ITNs</w:t>
      </w:r>
      <w:r w:rsidR="00147323" w:rsidRPr="00092331">
        <w:rPr>
          <w:rFonts w:asciiTheme="minorHAnsi" w:hAnsiTheme="minorHAnsi"/>
        </w:rPr>
        <w:t>.</w:t>
      </w:r>
    </w:p>
    <w:p w14:paraId="6F5AEBB5" w14:textId="77777777" w:rsidR="003C480F" w:rsidRDefault="003C480F" w:rsidP="00FB7E5A">
      <w:pPr>
        <w:spacing w:after="0"/>
        <w:jc w:val="both"/>
      </w:pPr>
    </w:p>
    <w:p w14:paraId="22B622AC" w14:textId="76080E41" w:rsidR="003C480F" w:rsidRDefault="003C480F" w:rsidP="00FB7E5A">
      <w:pPr>
        <w:spacing w:after="0"/>
        <w:jc w:val="both"/>
      </w:pPr>
      <w:r>
        <w:t xml:space="preserve">The </w:t>
      </w:r>
      <w:r w:rsidR="00FE5579">
        <w:t xml:space="preserve">estimated ITN coverage trends from MAP </w:t>
      </w:r>
      <w:r>
        <w:t xml:space="preserve">were similar among councils within regions (Fig S2.5). </w:t>
      </w:r>
    </w:p>
    <w:p w14:paraId="7BBAC7F8" w14:textId="77777777" w:rsidR="00F73C21" w:rsidRDefault="00F73C21" w:rsidP="00FB7E5A">
      <w:pPr>
        <w:spacing w:after="0"/>
        <w:jc w:val="both"/>
      </w:pPr>
    </w:p>
    <w:p w14:paraId="7B727EE3" w14:textId="649DCEF2" w:rsidR="00AC3078" w:rsidRDefault="00EB1333" w:rsidP="00FB7E5A">
      <w:pPr>
        <w:spacing w:after="0"/>
        <w:jc w:val="both"/>
      </w:pPr>
      <w:r>
        <w:rPr>
          <w:noProof/>
          <w:lang w:val="en-US"/>
        </w:rPr>
        <w:lastRenderedPageBreak/>
        <w:drawing>
          <wp:inline distT="0" distB="0" distL="0" distR="0" wp14:anchorId="668E8779" wp14:editId="60948C4F">
            <wp:extent cx="5760508" cy="3314971"/>
            <wp:effectExtent l="19050" t="19050" r="12065" b="19050"/>
            <wp:docPr id="11" name="Picture 11" descr="C:\Users\rungma\Projects\OM_TZA\4. Analysis\Figures\DataDescription_and_Preparation\ITN\combinedI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ngma\Projects\OM_TZA\4. Analysis\Figures\DataDescription_and_Preparation\ITN\combinedITN.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044"/>
                    <a:stretch/>
                  </pic:blipFill>
                  <pic:spPr bwMode="auto">
                    <a:xfrm>
                      <a:off x="0" y="0"/>
                      <a:ext cx="5760720" cy="331509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611479" w14:textId="77777777" w:rsidR="00C24AEF" w:rsidRPr="00C24AEF" w:rsidRDefault="00AC3078" w:rsidP="00FB7E5A">
      <w:pPr>
        <w:spacing w:after="0"/>
        <w:jc w:val="both"/>
        <w:rPr>
          <w:rFonts w:eastAsia="Times New Roman" w:cs="Times New Roman"/>
          <w:b/>
          <w:bCs/>
          <w:iCs/>
          <w:sz w:val="20"/>
          <w:szCs w:val="20"/>
          <w:lang w:eastAsia="de-DE"/>
        </w:rPr>
      </w:pPr>
      <w:r w:rsidRPr="006726D9">
        <w:rPr>
          <w:rFonts w:eastAsia="Times New Roman" w:cs="Times New Roman"/>
          <w:b/>
          <w:bCs/>
          <w:iCs/>
          <w:sz w:val="20"/>
          <w:szCs w:val="20"/>
          <w:lang w:eastAsia="de-DE"/>
        </w:rPr>
        <w:t>Fig S2.</w:t>
      </w:r>
      <w:r w:rsidRPr="006726D9">
        <w:rPr>
          <w:rFonts w:eastAsia="Times New Roman" w:cs="Times New Roman"/>
          <w:b/>
          <w:bCs/>
          <w:iCs/>
          <w:sz w:val="20"/>
          <w:szCs w:val="20"/>
          <w:lang w:eastAsia="de-DE"/>
        </w:rPr>
        <w:fldChar w:fldCharType="begin"/>
      </w:r>
      <w:r w:rsidRPr="006726D9">
        <w:rPr>
          <w:rFonts w:eastAsia="Times New Roman" w:cs="Times New Roman"/>
          <w:b/>
          <w:bCs/>
          <w:iCs/>
          <w:sz w:val="20"/>
          <w:szCs w:val="20"/>
          <w:lang w:eastAsia="de-DE"/>
        </w:rPr>
        <w:instrText xml:space="preserve"> SEQ Figure \* ARABIC </w:instrText>
      </w:r>
      <w:r w:rsidRPr="006726D9">
        <w:rPr>
          <w:rFonts w:eastAsia="Times New Roman" w:cs="Times New Roman"/>
          <w:b/>
          <w:bCs/>
          <w:iCs/>
          <w:sz w:val="20"/>
          <w:szCs w:val="20"/>
          <w:lang w:eastAsia="de-DE"/>
        </w:rPr>
        <w:fldChar w:fldCharType="separate"/>
      </w:r>
      <w:r w:rsidRPr="006726D9">
        <w:rPr>
          <w:rFonts w:eastAsia="Times New Roman" w:cs="Times New Roman"/>
          <w:b/>
          <w:bCs/>
          <w:iCs/>
          <w:sz w:val="20"/>
          <w:szCs w:val="20"/>
          <w:lang w:eastAsia="de-DE"/>
        </w:rPr>
        <w:t>5</w:t>
      </w:r>
      <w:r w:rsidRPr="006726D9">
        <w:rPr>
          <w:rFonts w:eastAsia="Times New Roman" w:cs="Times New Roman"/>
          <w:b/>
          <w:bCs/>
          <w:iCs/>
          <w:sz w:val="20"/>
          <w:szCs w:val="20"/>
          <w:lang w:eastAsia="de-DE"/>
        </w:rPr>
        <w:fldChar w:fldCharType="end"/>
      </w:r>
      <w:r w:rsidRPr="006726D9">
        <w:rPr>
          <w:rFonts w:eastAsia="Times New Roman" w:cs="Times New Roman"/>
          <w:b/>
          <w:bCs/>
          <w:iCs/>
          <w:sz w:val="20"/>
          <w:szCs w:val="20"/>
          <w:lang w:eastAsia="de-DE"/>
        </w:rPr>
        <w:t xml:space="preserve">: Historical ITN </w:t>
      </w:r>
      <w:r w:rsidR="00C24AEF">
        <w:rPr>
          <w:rFonts w:eastAsia="Times New Roman" w:cs="Times New Roman"/>
          <w:b/>
          <w:bCs/>
          <w:iCs/>
          <w:sz w:val="20"/>
          <w:szCs w:val="20"/>
          <w:lang w:eastAsia="de-DE"/>
        </w:rPr>
        <w:t>usage</w:t>
      </w:r>
      <w:r w:rsidR="00F73C21">
        <w:rPr>
          <w:rFonts w:eastAsia="Times New Roman" w:cs="Times New Roman"/>
          <w:b/>
          <w:bCs/>
          <w:iCs/>
          <w:sz w:val="20"/>
          <w:szCs w:val="20"/>
          <w:lang w:eastAsia="de-DE"/>
        </w:rPr>
        <w:t xml:space="preserve"> per council </w:t>
      </w:r>
      <w:r w:rsidR="00F73C21" w:rsidRPr="00C24AEF">
        <w:rPr>
          <w:rFonts w:eastAsia="Times New Roman" w:cs="Times New Roman"/>
          <w:b/>
          <w:bCs/>
          <w:iCs/>
          <w:sz w:val="20"/>
          <w:szCs w:val="20"/>
          <w:lang w:eastAsia="de-DE"/>
        </w:rPr>
        <w:t>and region</w:t>
      </w:r>
      <w:r w:rsidR="00EB1333" w:rsidRPr="00C24AEF">
        <w:rPr>
          <w:rFonts w:eastAsia="Times New Roman" w:cs="Times New Roman"/>
          <w:b/>
          <w:bCs/>
          <w:iCs/>
          <w:sz w:val="20"/>
          <w:szCs w:val="20"/>
          <w:lang w:eastAsia="de-DE"/>
        </w:rPr>
        <w:t xml:space="preserve"> between 2000 and 2012</w:t>
      </w:r>
      <w:r w:rsidR="00C24AEF" w:rsidRPr="00C24AEF">
        <w:rPr>
          <w:rFonts w:eastAsia="Times New Roman" w:cs="Times New Roman"/>
          <w:b/>
          <w:bCs/>
          <w:iCs/>
          <w:sz w:val="20"/>
          <w:szCs w:val="20"/>
          <w:lang w:eastAsia="de-DE"/>
        </w:rPr>
        <w:t>.</w:t>
      </w:r>
    </w:p>
    <w:p w14:paraId="29CC332E" w14:textId="61DA3246" w:rsidR="00552165" w:rsidRDefault="00C24AEF" w:rsidP="00FB7E5A">
      <w:pPr>
        <w:spacing w:after="0"/>
        <w:jc w:val="both"/>
        <w:rPr>
          <w:rFonts w:eastAsia="Times New Roman" w:cs="Times New Roman"/>
          <w:bCs/>
          <w:iCs/>
          <w:sz w:val="20"/>
          <w:szCs w:val="20"/>
          <w:lang w:eastAsia="de-DE"/>
        </w:rPr>
      </w:pPr>
      <w:r>
        <w:rPr>
          <w:rFonts w:eastAsia="Times New Roman" w:cs="Times New Roman"/>
          <w:bCs/>
          <w:iCs/>
          <w:sz w:val="20"/>
          <w:szCs w:val="20"/>
          <w:lang w:eastAsia="de-DE"/>
        </w:rPr>
        <w:t>Estimates obtained from MAP mean raster files</w:t>
      </w:r>
      <w:r w:rsidR="00552165" w:rsidRPr="006726D9">
        <w:rPr>
          <w:rFonts w:eastAsia="Times New Roman" w:cs="Times New Roman"/>
          <w:bCs/>
          <w:iCs/>
          <w:sz w:val="20"/>
          <w:szCs w:val="20"/>
          <w:lang w:eastAsia="de-DE"/>
        </w:rPr>
        <w:t xml:space="preserve">. </w:t>
      </w:r>
    </w:p>
    <w:p w14:paraId="44FFCD3F" w14:textId="77777777" w:rsidR="003C480F" w:rsidRDefault="003C480F" w:rsidP="00FB7E5A">
      <w:pPr>
        <w:spacing w:after="0"/>
        <w:jc w:val="both"/>
      </w:pPr>
    </w:p>
    <w:p w14:paraId="7347F17A" w14:textId="77777777" w:rsidR="003C480F" w:rsidRDefault="003C480F" w:rsidP="006726D9">
      <w:pPr>
        <w:spacing w:after="0" w:line="360" w:lineRule="auto"/>
        <w:jc w:val="both"/>
        <w:rPr>
          <w:b/>
        </w:rPr>
      </w:pPr>
      <w:r w:rsidRPr="006726D9">
        <w:rPr>
          <w:b/>
        </w:rPr>
        <w:t>Simulated ITN deployments and coverage</w:t>
      </w:r>
    </w:p>
    <w:p w14:paraId="77EF8840" w14:textId="08A49CF4" w:rsidR="00AC3078" w:rsidRDefault="002C3C43" w:rsidP="006726D9">
      <w:pPr>
        <w:jc w:val="both"/>
      </w:pPr>
      <w:r>
        <w:t>The</w:t>
      </w:r>
      <w:r w:rsidRPr="00092331">
        <w:t xml:space="preserve"> model, </w:t>
      </w:r>
      <w:r>
        <w:t>does not distinguish between ITN</w:t>
      </w:r>
      <w:r w:rsidRPr="00092331">
        <w:t xml:space="preserve"> coverage</w:t>
      </w:r>
      <w:r>
        <w:t xml:space="preserve"> </w:t>
      </w:r>
      <w:r w:rsidRPr="00092331">
        <w:t>and usage</w:t>
      </w:r>
      <w:r>
        <w:t>, using the terms</w:t>
      </w:r>
      <w:r w:rsidRPr="00092331">
        <w:t xml:space="preserve"> interchangeably</w:t>
      </w:r>
      <w:r>
        <w:t xml:space="preserve">, referring to the </w:t>
      </w:r>
      <w:r w:rsidRPr="00F64B2B">
        <w:t>proportion of the people protected by a net from all indoor bites</w:t>
      </w:r>
      <w:r w:rsidR="00D26285" w:rsidRPr="00092331">
        <w:t xml:space="preserve">. </w:t>
      </w:r>
      <w:r w:rsidR="00AC3078">
        <w:t xml:space="preserve">The figure below (Fig S2.6) shows the assumed ITN </w:t>
      </w:r>
      <w:r w:rsidR="00FE5579">
        <w:t xml:space="preserve">use </w:t>
      </w:r>
      <w:r w:rsidR="00AC3078">
        <w:t xml:space="preserve">in 2016 per region and the national aggregated trend over time with range per regions used in the simulations (for each region separate trends). </w:t>
      </w:r>
    </w:p>
    <w:p w14:paraId="448215FB" w14:textId="77777777" w:rsidR="00AC3078" w:rsidRPr="0076338D" w:rsidRDefault="00AC3078" w:rsidP="00AC3078">
      <w:pPr>
        <w:pStyle w:val="Caption"/>
        <w:widowControl w:val="0"/>
        <w:spacing w:before="0" w:after="0" w:line="276" w:lineRule="auto"/>
        <w:rPr>
          <w:rFonts w:asciiTheme="minorHAnsi" w:hAnsiTheme="minorHAnsi"/>
          <w:b/>
        </w:rPr>
      </w:pPr>
      <w:r w:rsidRPr="0076338D">
        <w:rPr>
          <w:rFonts w:asciiTheme="minorHAnsi" w:hAnsiTheme="minorHAnsi"/>
          <w:b/>
          <w:noProof/>
        </w:rPr>
        <w:drawing>
          <wp:inline distT="0" distB="0" distL="0" distR="0" wp14:anchorId="006BC87A" wp14:editId="41F6A6F1">
            <wp:extent cx="5760720" cy="2141220"/>
            <wp:effectExtent l="19050" t="19050" r="1143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60720" cy="2141220"/>
                    </a:xfrm>
                    <a:prstGeom prst="rect">
                      <a:avLst/>
                    </a:prstGeom>
                    <a:noFill/>
                    <a:ln w="6350" cmpd="sng">
                      <a:solidFill>
                        <a:srgbClr val="000000"/>
                      </a:solidFill>
                      <a:miter lim="800000"/>
                      <a:headEnd/>
                      <a:tailEnd/>
                    </a:ln>
                    <a:effectLst/>
                  </pic:spPr>
                </pic:pic>
              </a:graphicData>
            </a:graphic>
          </wp:inline>
        </w:drawing>
      </w:r>
    </w:p>
    <w:p w14:paraId="4D92134D" w14:textId="02194186" w:rsidR="00AC3078" w:rsidRPr="0076338D" w:rsidRDefault="00AC3078" w:rsidP="00AC3078">
      <w:pPr>
        <w:pStyle w:val="Caption"/>
        <w:widowControl w:val="0"/>
        <w:spacing w:before="0" w:after="0" w:line="276" w:lineRule="auto"/>
        <w:rPr>
          <w:rFonts w:asciiTheme="minorHAnsi" w:hAnsiTheme="minorHAnsi"/>
          <w:b/>
        </w:rPr>
      </w:pPr>
      <w:r w:rsidRPr="0076338D">
        <w:rPr>
          <w:rFonts w:asciiTheme="minorHAnsi" w:hAnsiTheme="minorHAnsi"/>
          <w:b/>
        </w:rPr>
        <w:t>Fig S2.</w:t>
      </w:r>
      <w:r w:rsidRPr="0076338D">
        <w:rPr>
          <w:rFonts w:asciiTheme="minorHAnsi" w:hAnsiTheme="minorHAnsi"/>
          <w:b/>
        </w:rPr>
        <w:fldChar w:fldCharType="begin"/>
      </w:r>
      <w:r w:rsidRPr="0076338D">
        <w:rPr>
          <w:rFonts w:asciiTheme="minorHAnsi" w:hAnsiTheme="minorHAnsi"/>
          <w:b/>
        </w:rPr>
        <w:instrText xml:space="preserve"> SEQ Figure \* ARABIC </w:instrText>
      </w:r>
      <w:r w:rsidRPr="0076338D">
        <w:rPr>
          <w:rFonts w:asciiTheme="minorHAnsi" w:hAnsiTheme="minorHAnsi"/>
          <w:b/>
        </w:rPr>
        <w:fldChar w:fldCharType="separate"/>
      </w:r>
      <w:r w:rsidRPr="0076338D">
        <w:rPr>
          <w:rFonts w:asciiTheme="minorHAnsi" w:hAnsiTheme="minorHAnsi"/>
          <w:b/>
        </w:rPr>
        <w:t>6</w:t>
      </w:r>
      <w:r w:rsidRPr="0076338D">
        <w:rPr>
          <w:rFonts w:asciiTheme="minorHAnsi" w:hAnsiTheme="minorHAnsi"/>
          <w:b/>
        </w:rPr>
        <w:fldChar w:fldCharType="end"/>
      </w:r>
      <w:r w:rsidRPr="0076338D">
        <w:rPr>
          <w:rFonts w:asciiTheme="minorHAnsi" w:hAnsiTheme="minorHAnsi"/>
          <w:b/>
        </w:rPr>
        <w:t xml:space="preserve">: Historical </w:t>
      </w:r>
      <w:r>
        <w:rPr>
          <w:rFonts w:asciiTheme="minorHAnsi" w:hAnsiTheme="minorHAnsi"/>
          <w:b/>
        </w:rPr>
        <w:t>ITN</w:t>
      </w:r>
      <w:r w:rsidRPr="0076338D">
        <w:rPr>
          <w:rFonts w:asciiTheme="minorHAnsi" w:hAnsiTheme="minorHAnsi"/>
          <w:b/>
        </w:rPr>
        <w:t xml:space="preserve"> </w:t>
      </w:r>
      <w:r w:rsidR="00FE5579">
        <w:rPr>
          <w:rFonts w:asciiTheme="minorHAnsi" w:hAnsiTheme="minorHAnsi"/>
          <w:b/>
        </w:rPr>
        <w:t>us</w:t>
      </w:r>
      <w:r w:rsidR="0076338D" w:rsidRPr="0076338D">
        <w:rPr>
          <w:rFonts w:asciiTheme="minorHAnsi" w:hAnsiTheme="minorHAnsi"/>
          <w:b/>
        </w:rPr>
        <w:t>e</w:t>
      </w:r>
      <w:r w:rsidRPr="0076338D">
        <w:rPr>
          <w:rFonts w:asciiTheme="minorHAnsi" w:hAnsiTheme="minorHAnsi"/>
          <w:b/>
        </w:rPr>
        <w:t>.</w:t>
      </w:r>
    </w:p>
    <w:p w14:paraId="77FB57FF" w14:textId="78A0B408" w:rsidR="00AC3078" w:rsidRDefault="00AC3078" w:rsidP="00AC3078">
      <w:pPr>
        <w:pStyle w:val="Caption"/>
        <w:widowControl w:val="0"/>
        <w:spacing w:before="0" w:after="0" w:line="276" w:lineRule="auto"/>
        <w:rPr>
          <w:rFonts w:asciiTheme="minorHAnsi" w:hAnsiTheme="minorHAnsi"/>
        </w:rPr>
      </w:pPr>
      <w:r w:rsidRPr="00092331">
        <w:rPr>
          <w:rFonts w:asciiTheme="minorHAnsi" w:hAnsiTheme="minorHAnsi"/>
          <w:b/>
        </w:rPr>
        <w:t>A)</w:t>
      </w:r>
      <w:r w:rsidRPr="00092331">
        <w:rPr>
          <w:rFonts w:asciiTheme="minorHAnsi" w:hAnsiTheme="minorHAnsi"/>
        </w:rPr>
        <w:t xml:space="preserve"> Geographic distribution of the proportion of the population who slept under </w:t>
      </w:r>
      <w:r w:rsidRPr="00092331">
        <w:rPr>
          <w:rFonts w:asciiTheme="minorHAnsi" w:hAnsiTheme="minorHAnsi"/>
          <w:noProof/>
        </w:rPr>
        <w:t>any</w:t>
      </w:r>
      <w:r>
        <w:rPr>
          <w:rFonts w:asciiTheme="minorHAnsi" w:hAnsiTheme="minorHAnsi"/>
        </w:rPr>
        <w:t xml:space="preserve"> ITN</w:t>
      </w:r>
      <w:r w:rsidRPr="00092331">
        <w:rPr>
          <w:rFonts w:asciiTheme="minorHAnsi" w:hAnsiTheme="minorHAnsi"/>
        </w:rPr>
        <w:t xml:space="preserve"> the night prior the survey in 2016; B) National temporal trend of the estimated proportion of the population who use their bed between 2000 and 2011.</w:t>
      </w:r>
      <w:r>
        <w:rPr>
          <w:rFonts w:asciiTheme="minorHAnsi" w:hAnsiTheme="minorHAnsi"/>
        </w:rPr>
        <w:t xml:space="preserve"> </w:t>
      </w:r>
      <w:r w:rsidRPr="00092331">
        <w:rPr>
          <w:rFonts w:asciiTheme="minorHAnsi" w:hAnsiTheme="minorHAnsi"/>
        </w:rPr>
        <w:t>The map shows</w:t>
      </w:r>
      <w:r>
        <w:rPr>
          <w:rFonts w:asciiTheme="minorHAnsi" w:hAnsiTheme="minorHAnsi"/>
        </w:rPr>
        <w:t xml:space="preserve"> </w:t>
      </w:r>
      <w:r w:rsidR="00FE5579">
        <w:rPr>
          <w:rFonts w:asciiTheme="minorHAnsi" w:hAnsiTheme="minorHAnsi"/>
        </w:rPr>
        <w:t xml:space="preserve">reported </w:t>
      </w:r>
      <w:r>
        <w:rPr>
          <w:rFonts w:asciiTheme="minorHAnsi" w:hAnsiTheme="minorHAnsi"/>
        </w:rPr>
        <w:t>ITN</w:t>
      </w:r>
      <w:r w:rsidRPr="00092331">
        <w:rPr>
          <w:rFonts w:asciiTheme="minorHAnsi" w:hAnsiTheme="minorHAnsi"/>
        </w:rPr>
        <w:t xml:space="preserve"> </w:t>
      </w:r>
      <w:r w:rsidR="0076338D" w:rsidRPr="0076338D">
        <w:rPr>
          <w:rFonts w:asciiTheme="minorHAnsi" w:hAnsiTheme="minorHAnsi"/>
        </w:rPr>
        <w:t>usage</w:t>
      </w:r>
      <w:r w:rsidRPr="00092331">
        <w:rPr>
          <w:rFonts w:asciiTheme="minorHAnsi" w:hAnsiTheme="minorHAnsi"/>
        </w:rPr>
        <w:t xml:space="preserve"> obtained from the THDS-MIS 2016 </w:t>
      </w:r>
      <w:r w:rsidRPr="00092331">
        <w:rPr>
          <w:rFonts w:asciiTheme="minorHAnsi" w:hAnsiTheme="minorHAnsi"/>
        </w:rPr>
        <w:fldChar w:fldCharType="begin"/>
      </w:r>
      <w:r>
        <w:rPr>
          <w:rFonts w:asciiTheme="minorHAnsi" w:hAnsiTheme="minorHAnsi"/>
        </w:rPr>
        <w:instrText xml:space="preserve"> ADDIN ZOTERO_ITEM CSL_CITATION {"citationID":"bcLzpVkX","properties":{"formattedCitation":"[12]","plainCitation":"[12]","noteIndex":0},"citationItems":[{"id":15907,"uris":["http://zotero.org/users/3516901/items/WWHQCFSW"],"uri":["http://zotero.org/users/3516901/items/WWHQCFSW"],"itemData":{"id":15907,"type":"report","title":"Tanzania Demographic and Health Survey and Malaria Indicator Survey (TDHS-MIS) 2015-2016","publisher":"MoHSW, MoH, NBS, OCGS, and ICF International","publisher-place":"Dar es Salaam, Tanzania and Rockville, Maryland, USA","event-place":"Dar es Salaam, Tanzania and Rockville, Maryland, USA","author":[{"family":"MoHCDGEC","given":""},{"literal":"Ministry of Health (MoH) (Zanzibar)"},{"literal":"National Bureau of Statistics (NBS) [Tanzania]"},{"literal":"Office of Chief Government Statistician (OCGS)"},{"literal":"ICF International"}],"issued":{"date-parts":[["2016"]]}}}],"schema":"https://github.com/citation-style-language/schema/raw/master/csl-citation.json"} </w:instrText>
      </w:r>
      <w:r w:rsidRPr="00092331">
        <w:rPr>
          <w:rFonts w:asciiTheme="minorHAnsi" w:hAnsiTheme="minorHAnsi"/>
        </w:rPr>
        <w:fldChar w:fldCharType="separate"/>
      </w:r>
      <w:r w:rsidRPr="00215A11">
        <w:rPr>
          <w:rFonts w:ascii="Calibri" w:hAnsi="Calibri"/>
        </w:rPr>
        <w:t>[12]</w:t>
      </w:r>
      <w:r w:rsidRPr="00092331">
        <w:rPr>
          <w:rFonts w:asciiTheme="minorHAnsi" w:hAnsiTheme="minorHAnsi"/>
        </w:rPr>
        <w:fldChar w:fldCharType="end"/>
      </w:r>
      <w:r w:rsidRPr="00092331">
        <w:rPr>
          <w:rFonts w:asciiTheme="minorHAnsi" w:hAnsiTheme="minorHAnsi"/>
        </w:rPr>
        <w:t>. The solid blue line corresponds to population weighted median</w:t>
      </w:r>
      <w:r>
        <w:rPr>
          <w:rFonts w:asciiTheme="minorHAnsi" w:hAnsiTheme="minorHAnsi"/>
        </w:rPr>
        <w:t xml:space="preserve"> ITN</w:t>
      </w:r>
      <w:r w:rsidRPr="00092331">
        <w:rPr>
          <w:rFonts w:asciiTheme="minorHAnsi" w:hAnsiTheme="minorHAnsi"/>
        </w:rPr>
        <w:t xml:space="preserve"> </w:t>
      </w:r>
      <w:r w:rsidR="0076338D">
        <w:rPr>
          <w:rFonts w:asciiTheme="minorHAnsi" w:hAnsiTheme="minorHAnsi"/>
        </w:rPr>
        <w:t>usage</w:t>
      </w:r>
      <w:r w:rsidRPr="00092331">
        <w:rPr>
          <w:rFonts w:asciiTheme="minorHAnsi" w:hAnsiTheme="minorHAnsi"/>
        </w:rPr>
        <w:t xml:space="preserve"> extracted from</w:t>
      </w:r>
      <w:r>
        <w:rPr>
          <w:rFonts w:asciiTheme="minorHAnsi" w:hAnsiTheme="minorHAnsi"/>
        </w:rPr>
        <w:t xml:space="preserve"> ITN</w:t>
      </w:r>
      <w:r w:rsidRPr="00092331">
        <w:rPr>
          <w:rFonts w:asciiTheme="minorHAnsi" w:hAnsiTheme="minorHAnsi"/>
        </w:rPr>
        <w:t xml:space="preserve"> </w:t>
      </w:r>
      <w:r w:rsidR="0076338D">
        <w:rPr>
          <w:rFonts w:asciiTheme="minorHAnsi" w:hAnsiTheme="minorHAnsi"/>
        </w:rPr>
        <w:t>usage</w:t>
      </w:r>
      <w:r w:rsidRPr="00092331">
        <w:rPr>
          <w:rFonts w:asciiTheme="minorHAnsi" w:hAnsiTheme="minorHAnsi"/>
        </w:rPr>
        <w:t xml:space="preserve"> raster files downloaded from </w:t>
      </w:r>
      <w:r w:rsidR="00FE5579">
        <w:rPr>
          <w:rFonts w:asciiTheme="minorHAnsi" w:hAnsiTheme="minorHAnsi"/>
        </w:rPr>
        <w:t xml:space="preserve">the </w:t>
      </w:r>
      <w:r w:rsidRPr="00092331">
        <w:rPr>
          <w:rFonts w:asciiTheme="minorHAnsi" w:hAnsiTheme="minorHAnsi"/>
        </w:rPr>
        <w:t xml:space="preserve">MAP </w:t>
      </w:r>
      <w:r w:rsidR="00FE5579">
        <w:rPr>
          <w:rFonts w:asciiTheme="minorHAnsi" w:hAnsiTheme="minorHAnsi"/>
        </w:rPr>
        <w:t xml:space="preserve">website </w:t>
      </w:r>
      <w:r w:rsidRPr="00092331">
        <w:rPr>
          <w:rFonts w:asciiTheme="minorHAnsi" w:hAnsiTheme="minorHAnsi"/>
        </w:rPr>
        <w:fldChar w:fldCharType="begin"/>
      </w:r>
      <w:r>
        <w:rPr>
          <w:rFonts w:asciiTheme="minorHAnsi" w:hAnsiTheme="minorHAnsi"/>
        </w:rPr>
        <w:instrText xml:space="preserve"> ADDIN ZOTERO_ITEM CSL_CITATION {"citationID":"XwyN3hFx","properties":{"formattedCitation":"[38]","plainCitation":"[38]","noteIndex":0},"citationItems":[{"id":19334,"uris":["http://zotero.org/users/3516901/items/TBF3E2EH"],"uri":["http://zotero.org/users/3516901/items/TBF3E2EH"],"itemData":{"id":19334,"type":"webpage","title":"Malaria Atlas Project","URL":"http://www.map.ox.ac.uk","author":[{"literal":"Malaria Atlas Project"}],"issued":{"date-parts":[["2016"]]},"accessed":{"date-parts":[["2016",8,18]]}}}],"schema":"https://github.com/citation-style-language/schema/raw/master/csl-citation.json"} </w:instrText>
      </w:r>
      <w:r w:rsidRPr="00092331">
        <w:rPr>
          <w:rFonts w:asciiTheme="minorHAnsi" w:hAnsiTheme="minorHAnsi"/>
        </w:rPr>
        <w:fldChar w:fldCharType="separate"/>
      </w:r>
      <w:r w:rsidRPr="00042DCE">
        <w:rPr>
          <w:rFonts w:ascii="Calibri" w:hAnsi="Calibri"/>
        </w:rPr>
        <w:t>[38]</w:t>
      </w:r>
      <w:r w:rsidRPr="00092331">
        <w:rPr>
          <w:rFonts w:asciiTheme="minorHAnsi" w:hAnsiTheme="minorHAnsi"/>
        </w:rPr>
        <w:fldChar w:fldCharType="end"/>
      </w:r>
      <w:r w:rsidRPr="00092331">
        <w:rPr>
          <w:rFonts w:asciiTheme="minorHAnsi" w:hAnsiTheme="minorHAnsi"/>
        </w:rPr>
        <w:t xml:space="preserve"> and population estimates from </w:t>
      </w:r>
      <w:proofErr w:type="spellStart"/>
      <w:r w:rsidRPr="00092331">
        <w:rPr>
          <w:rFonts w:asciiTheme="minorHAnsi" w:hAnsiTheme="minorHAnsi"/>
        </w:rPr>
        <w:t>WorldPop</w:t>
      </w:r>
      <w:proofErr w:type="spellEnd"/>
      <w:r w:rsidRPr="00092331">
        <w:rPr>
          <w:rFonts w:asciiTheme="minorHAnsi" w:hAnsiTheme="minorHAnsi"/>
        </w:rPr>
        <w:t xml:space="preserve"> </w:t>
      </w:r>
      <w:r w:rsidRPr="00092331">
        <w:rPr>
          <w:rFonts w:asciiTheme="minorHAnsi" w:hAnsiTheme="minorHAnsi"/>
        </w:rPr>
        <w:fldChar w:fldCharType="begin"/>
      </w:r>
      <w:r>
        <w:rPr>
          <w:rFonts w:asciiTheme="minorHAnsi" w:hAnsiTheme="minorHAnsi"/>
        </w:rPr>
        <w:instrText xml:space="preserve"> ADDIN ZOTERO_ITEM CSL_CITATION {"citationID":"ZJmGFT6p","properties":{"formattedCitation":"[39]","plainCitation":"[39]","noteIndex":0},"citationItems":[{"id":28813,"uris":["http://zotero.org/users/3516901/items/JCYRR85I"],"uri":["http://zotero.org/users/3516901/items/JCYRR85I"],"itemData":{"id":28813,"type":"article-journal","title":"WorldPop, open data for spatial demography","container-title":"Scientific Data","page":"170004","volume":"4","source":"www.nature.com","abstract":"High resolution, contemporary data on human population distributions, their characteristics and changes over time are a prerequisite for the accurate measurement of the impacts of population growth, for monitoring changes and for planning interventions. WorldPop aims to meet these needs through the provision of detailed and open access spatial demographic datasets built using transparent approaches. The Scientific Data WorldPop collection brings together descriptor papers on these datasets and is introduced here.","DOI":"10.1038/sdata.2017.4","ISSN":"2052-4463","language":"en","author":[{"family":"Tatem","given":"Andrew J."}],"issued":{"date-parts":[["2017",1,31]]}}}],"schema":"https://github.com/citation-style-language/schema/raw/master/csl-citation.json"} </w:instrText>
      </w:r>
      <w:r w:rsidRPr="00092331">
        <w:rPr>
          <w:rFonts w:asciiTheme="minorHAnsi" w:hAnsiTheme="minorHAnsi"/>
        </w:rPr>
        <w:fldChar w:fldCharType="separate"/>
      </w:r>
      <w:r w:rsidRPr="00042DCE">
        <w:rPr>
          <w:rFonts w:ascii="Calibri" w:hAnsi="Calibri"/>
        </w:rPr>
        <w:t>[39]</w:t>
      </w:r>
      <w:r w:rsidRPr="00092331">
        <w:rPr>
          <w:rFonts w:asciiTheme="minorHAnsi" w:hAnsiTheme="minorHAnsi"/>
        </w:rPr>
        <w:fldChar w:fldCharType="end"/>
      </w:r>
      <w:r w:rsidRPr="00092331">
        <w:rPr>
          <w:rFonts w:asciiTheme="minorHAnsi" w:hAnsiTheme="minorHAnsi"/>
        </w:rPr>
        <w:t xml:space="preserve">. The light blue area corresponds to </w:t>
      </w:r>
      <w:r w:rsidRPr="00092331">
        <w:rPr>
          <w:rFonts w:asciiTheme="minorHAnsi" w:hAnsiTheme="minorHAnsi"/>
          <w:noProof/>
        </w:rPr>
        <w:t>minimum</w:t>
      </w:r>
      <w:r w:rsidRPr="00092331">
        <w:rPr>
          <w:rFonts w:asciiTheme="minorHAnsi" w:hAnsiTheme="minorHAnsi"/>
        </w:rPr>
        <w:t xml:space="preserve"> and maximum estimates among regions. The blue dot and error bar in 2016 correspond to the estimates of the proportion of the population who slept under </w:t>
      </w:r>
      <w:r w:rsidRPr="00092331">
        <w:rPr>
          <w:rFonts w:asciiTheme="minorHAnsi" w:hAnsiTheme="minorHAnsi"/>
          <w:noProof/>
        </w:rPr>
        <w:t>any</w:t>
      </w:r>
      <w:r>
        <w:rPr>
          <w:rFonts w:asciiTheme="minorHAnsi" w:hAnsiTheme="minorHAnsi"/>
        </w:rPr>
        <w:t xml:space="preserve"> ITN</w:t>
      </w:r>
      <w:r w:rsidRPr="00092331">
        <w:rPr>
          <w:rFonts w:asciiTheme="minorHAnsi" w:hAnsiTheme="minorHAnsi"/>
        </w:rPr>
        <w:t xml:space="preserve"> the night </w:t>
      </w:r>
      <w:r>
        <w:rPr>
          <w:rFonts w:asciiTheme="minorHAnsi" w:hAnsiTheme="minorHAnsi"/>
          <w:noProof/>
        </w:rPr>
        <w:t>before</w:t>
      </w:r>
      <w:r w:rsidRPr="00092331">
        <w:rPr>
          <w:rFonts w:asciiTheme="minorHAnsi" w:hAnsiTheme="minorHAnsi"/>
        </w:rPr>
        <w:t xml:space="preserve"> the survey (mean and range among regions) </w:t>
      </w:r>
      <w:r w:rsidRPr="00092331">
        <w:rPr>
          <w:rFonts w:asciiTheme="minorHAnsi" w:hAnsiTheme="minorHAnsi"/>
        </w:rPr>
        <w:fldChar w:fldCharType="begin"/>
      </w:r>
      <w:r>
        <w:rPr>
          <w:rFonts w:asciiTheme="minorHAnsi" w:hAnsiTheme="minorHAnsi"/>
        </w:rPr>
        <w:instrText xml:space="preserve"> ADDIN ZOTERO_ITEM CSL_CITATION {"citationID":"wRWGRD7M","properties":{"formattedCitation":"[12]","plainCitation":"[12]","noteIndex":0},"citationItems":[{"id":15907,"uris":["http://zotero.org/users/3516901/items/WWHQCFSW"],"uri":["http://zotero.org/users/3516901/items/WWHQCFSW"],"itemData":{"id":15907,"type":"report","title":"Tanzania Demographic and Health Survey and Malaria Indicator Survey (TDHS-MIS) 2015-2016","publisher":"MoHSW, MoH, NBS, OCGS, and ICF International","publisher-place":"Dar es Salaam, Tanzania and Rockville, Maryland, USA","event-place":"Dar es Salaam, Tanzania and Rockville, Maryland, USA","author":[{"family":"MoHCDGEC","given":""},{"literal":"Ministry of Health (MoH) (Zanzibar)"},{"literal":"National Bureau of Statistics (NBS) [Tanzania]"},{"literal":"Office of Chief Government Statistician (OCGS)"},{"literal":"ICF International"}],"issued":{"date-parts":[["2016"]]}}}],"schema":"https://github.com/citation-style-language/schema/raw/master/csl-citation.json"} </w:instrText>
      </w:r>
      <w:r w:rsidRPr="00092331">
        <w:rPr>
          <w:rFonts w:asciiTheme="minorHAnsi" w:hAnsiTheme="minorHAnsi"/>
        </w:rPr>
        <w:fldChar w:fldCharType="separate"/>
      </w:r>
      <w:r w:rsidRPr="00215A11">
        <w:rPr>
          <w:rFonts w:ascii="Calibri" w:hAnsi="Calibri"/>
        </w:rPr>
        <w:t>[12]</w:t>
      </w:r>
      <w:r w:rsidRPr="00092331">
        <w:rPr>
          <w:rFonts w:asciiTheme="minorHAnsi" w:hAnsiTheme="minorHAnsi"/>
        </w:rPr>
        <w:fldChar w:fldCharType="end"/>
      </w:r>
      <w:r w:rsidRPr="00092331">
        <w:rPr>
          <w:rFonts w:asciiTheme="minorHAnsi" w:hAnsiTheme="minorHAnsi"/>
        </w:rPr>
        <w:t>.</w:t>
      </w:r>
    </w:p>
    <w:p w14:paraId="3B4AED65" w14:textId="77777777" w:rsidR="00AC3078" w:rsidRPr="006726D9" w:rsidRDefault="00AC3078" w:rsidP="006726D9">
      <w:pPr>
        <w:spacing w:after="0" w:line="360" w:lineRule="auto"/>
        <w:jc w:val="both"/>
        <w:rPr>
          <w:b/>
        </w:rPr>
      </w:pPr>
    </w:p>
    <w:p w14:paraId="18E67AEF" w14:textId="6E79A5C7" w:rsidR="006F30C8" w:rsidRDefault="00AC27AD" w:rsidP="001F7549">
      <w:pPr>
        <w:autoSpaceDE w:val="0"/>
        <w:autoSpaceDN w:val="0"/>
        <w:adjustRightInd w:val="0"/>
        <w:spacing w:after="0" w:line="360" w:lineRule="auto"/>
        <w:jc w:val="both"/>
      </w:pPr>
      <w:r>
        <w:t>B</w:t>
      </w:r>
      <w:r w:rsidRPr="00092331">
        <w:t>etween the years 2003 and 2011</w:t>
      </w:r>
      <w:r>
        <w:t>,</w:t>
      </w:r>
      <w:r w:rsidR="00A90B92">
        <w:t xml:space="preserve"> ITN</w:t>
      </w:r>
      <w:r w:rsidR="00097E58" w:rsidRPr="00092331">
        <w:t xml:space="preserve"> distribution data (nets delivered per person)</w:t>
      </w:r>
      <w:r w:rsidR="00FE5579">
        <w:t>,</w:t>
      </w:r>
      <w:r w:rsidR="00097E58" w:rsidRPr="00092331">
        <w:t xml:space="preserve"> </w:t>
      </w:r>
      <w:r w:rsidR="00FE5579">
        <w:t xml:space="preserve">per region, </w:t>
      </w:r>
      <w:r w:rsidR="00097E58" w:rsidRPr="00092331">
        <w:t xml:space="preserve">showed </w:t>
      </w:r>
      <w:r w:rsidR="00FE5579">
        <w:t>a very similar</w:t>
      </w:r>
      <w:r w:rsidR="00097E58" w:rsidRPr="00092331">
        <w:t xml:space="preserve"> trend as the trend of the</w:t>
      </w:r>
      <w:r w:rsidR="00A90B92">
        <w:t xml:space="preserve"> ITN</w:t>
      </w:r>
      <w:r w:rsidR="00097E58" w:rsidRPr="00092331">
        <w:t xml:space="preserve"> </w:t>
      </w:r>
      <w:r w:rsidR="0076338D">
        <w:t>usage</w:t>
      </w:r>
      <w:r w:rsidR="00097E58" w:rsidRPr="00092331">
        <w:t xml:space="preserve"> estimated by the</w:t>
      </w:r>
      <w:r w:rsidR="006F30C8" w:rsidRPr="00092331">
        <w:t xml:space="preserve"> Malaria Atlas Project (MAP) </w:t>
      </w:r>
      <w:r w:rsidR="006F30C8" w:rsidRPr="00092331">
        <w:fldChar w:fldCharType="begin"/>
      </w:r>
      <w:r w:rsidR="00042DCE">
        <w:instrText xml:space="preserve"> ADDIN ZOTERO_ITEM CSL_CITATION {"citationID":"AfmwuHcP","properties":{"formattedCitation":"[38]","plainCitation":"[38]","noteIndex":0},"citationItems":[{"id":19334,"uris":["http://zotero.org/users/3516901/items/TBF3E2EH"],"uri":["http://zotero.org/users/3516901/items/TBF3E2EH"],"itemData":{"id":19334,"type":"webpage","title":"Malaria Atlas Project","URL":"http://www.map.ox.ac.uk","author":[{"literal":"Malaria Atlas Project"}],"issued":{"date-parts":[["2016"]]},"accessed":{"date-parts":[["2016",8,18]]}}}],"schema":"https://github.com/citation-style-language/schema/raw/master/csl-citation.json"} </w:instrText>
      </w:r>
      <w:r w:rsidR="006F30C8" w:rsidRPr="00092331">
        <w:fldChar w:fldCharType="separate"/>
      </w:r>
      <w:r w:rsidR="00042DCE" w:rsidRPr="00042DCE">
        <w:rPr>
          <w:rFonts w:ascii="Calibri" w:hAnsi="Calibri"/>
        </w:rPr>
        <w:t>[38]</w:t>
      </w:r>
      <w:r w:rsidR="006F30C8" w:rsidRPr="00092331">
        <w:fldChar w:fldCharType="end"/>
      </w:r>
      <w:r w:rsidR="006F30C8" w:rsidRPr="00092331">
        <w:t xml:space="preserve">. </w:t>
      </w:r>
      <w:r w:rsidR="00097E58" w:rsidRPr="00092331">
        <w:t>Hence, t</w:t>
      </w:r>
      <w:r w:rsidR="006F30C8" w:rsidRPr="00092331">
        <w:t xml:space="preserve">he estimates of the </w:t>
      </w:r>
      <w:r w:rsidR="006F30C8" w:rsidRPr="00092331">
        <w:rPr>
          <w:noProof/>
        </w:rPr>
        <w:t>population-weighted</w:t>
      </w:r>
      <w:r w:rsidR="006F30C8" w:rsidRPr="00092331">
        <w:t xml:space="preserve"> mean</w:t>
      </w:r>
      <w:r w:rsidR="00A90B92">
        <w:t xml:space="preserve"> ITN</w:t>
      </w:r>
      <w:r w:rsidR="006F30C8" w:rsidRPr="00092331">
        <w:t xml:space="preserve"> </w:t>
      </w:r>
      <w:r w:rsidR="0076338D">
        <w:t>usage</w:t>
      </w:r>
      <w:r w:rsidR="006F30C8" w:rsidRPr="00092331">
        <w:t xml:space="preserve"> </w:t>
      </w:r>
      <w:r w:rsidR="006F30C8" w:rsidRPr="00092331">
        <w:rPr>
          <w:noProof/>
        </w:rPr>
        <w:t>were extracted</w:t>
      </w:r>
      <w:r w:rsidR="006F30C8" w:rsidRPr="00092331">
        <w:t xml:space="preserve"> for each </w:t>
      </w:r>
      <w:r w:rsidR="00FE5579">
        <w:t>region and used to define the</w:t>
      </w:r>
      <w:r w:rsidR="00097E58" w:rsidRPr="00092331">
        <w:t xml:space="preserve"> historical</w:t>
      </w:r>
      <w:r w:rsidR="00A90B92">
        <w:t xml:space="preserve"> ITN</w:t>
      </w:r>
      <w:r w:rsidR="00097E58" w:rsidRPr="00092331">
        <w:t xml:space="preserve"> </w:t>
      </w:r>
      <w:r w:rsidR="00FE5579">
        <w:t>coverage</w:t>
      </w:r>
      <w:r w:rsidR="00097E58" w:rsidRPr="00092331">
        <w:t>.</w:t>
      </w:r>
      <w:r w:rsidR="00D26285">
        <w:t xml:space="preserve"> A step function of </w:t>
      </w:r>
      <w:proofErr w:type="gramStart"/>
      <w:r w:rsidR="00D26285">
        <w:t>one year</w:t>
      </w:r>
      <w:proofErr w:type="gramEnd"/>
      <w:r w:rsidR="00D26285">
        <w:t xml:space="preserve"> effectiveness was assumed to exactly match the estimated annual estimates.</w:t>
      </w:r>
    </w:p>
    <w:p w14:paraId="4FD3D2C6" w14:textId="77777777" w:rsidR="00AC27AD" w:rsidRDefault="00AC27AD" w:rsidP="001F7549">
      <w:pPr>
        <w:autoSpaceDE w:val="0"/>
        <w:autoSpaceDN w:val="0"/>
        <w:adjustRightInd w:val="0"/>
        <w:spacing w:after="0" w:line="360" w:lineRule="auto"/>
        <w:jc w:val="both"/>
      </w:pPr>
    </w:p>
    <w:p w14:paraId="3AAEC28A" w14:textId="03049444" w:rsidR="00AC3078" w:rsidRDefault="00AC27AD" w:rsidP="00AC3078">
      <w:pPr>
        <w:autoSpaceDE w:val="0"/>
        <w:autoSpaceDN w:val="0"/>
        <w:adjustRightInd w:val="0"/>
        <w:spacing w:after="0" w:line="360" w:lineRule="auto"/>
        <w:jc w:val="both"/>
      </w:pPr>
      <w:r>
        <w:t>B</w:t>
      </w:r>
      <w:r w:rsidRPr="00092331">
        <w:t>etween 2008 and 2011</w:t>
      </w:r>
      <w:r w:rsidR="00AC3078">
        <w:t xml:space="preserve">, the </w:t>
      </w:r>
      <w:r w:rsidR="00AC3078" w:rsidRPr="00092331">
        <w:t>“catch up” (2008-2010) and “keep up” (2010-2011) campaigns</w:t>
      </w:r>
      <w:r w:rsidR="006F30C8" w:rsidRPr="00092331">
        <w:t xml:space="preserve"> </w:t>
      </w:r>
      <w:r w:rsidR="006F30C8" w:rsidRPr="00092331">
        <w:rPr>
          <w:noProof/>
        </w:rPr>
        <w:t>were considered</w:t>
      </w:r>
      <w:r w:rsidR="006F30C8" w:rsidRPr="00092331">
        <w:t xml:space="preserve"> as one with universal deployment in January 2011. </w:t>
      </w:r>
      <w:r w:rsidR="00AC3078" w:rsidRPr="00092331">
        <w:t xml:space="preserve">The regional estimates of the proportion of the population using their nets the night before the survey was used as a </w:t>
      </w:r>
      <w:r w:rsidR="00AC3078" w:rsidRPr="00092331">
        <w:rPr>
          <w:noProof/>
        </w:rPr>
        <w:t>proxy</w:t>
      </w:r>
      <w:r w:rsidR="00AC3078" w:rsidRPr="00092331">
        <w:t xml:space="preserve"> for bed net usage among all age groups and </w:t>
      </w:r>
      <w:r w:rsidR="00AC3078" w:rsidRPr="00092331">
        <w:rPr>
          <w:noProof/>
        </w:rPr>
        <w:t>was extracted</w:t>
      </w:r>
      <w:r w:rsidR="00AC3078" w:rsidRPr="00092331">
        <w:t xml:space="preserve"> from the MIS 2012 survey data.</w:t>
      </w:r>
      <w:r w:rsidR="00AC3078" w:rsidRPr="00AC3078">
        <w:t xml:space="preserve"> </w:t>
      </w:r>
      <w:r w:rsidR="00AC3078" w:rsidRPr="00092331">
        <w:t xml:space="preserve">The </w:t>
      </w:r>
      <w:r w:rsidR="000C4780">
        <w:t>presumed effective use</w:t>
      </w:r>
      <w:r w:rsidR="00AC3078" w:rsidRPr="00092331">
        <w:t xml:space="preserve"> of nets during the 2011 campaign was </w:t>
      </w:r>
      <w:r w:rsidR="00AC3078" w:rsidRPr="00092331">
        <w:rPr>
          <w:noProof/>
        </w:rPr>
        <w:t>back-calculated</w:t>
      </w:r>
      <w:r w:rsidR="00AC3078" w:rsidRPr="00092331">
        <w:t xml:space="preserve"> using the date of the distribution and the net use from 2012, assuming</w:t>
      </w:r>
      <w:r w:rsidR="00AC3078" w:rsidRPr="00092331">
        <w:rPr>
          <w:noProof/>
        </w:rPr>
        <w:t xml:space="preserve"> exponential attrition of nets with a h</w:t>
      </w:r>
      <w:r w:rsidR="00AC3078">
        <w:rPr>
          <w:noProof/>
        </w:rPr>
        <w:t>alf-life of three years [10,11].</w:t>
      </w:r>
    </w:p>
    <w:p w14:paraId="23A40713" w14:textId="4AADDF91" w:rsidR="00AC27AD" w:rsidRDefault="00AC27AD" w:rsidP="001F7549">
      <w:pPr>
        <w:autoSpaceDE w:val="0"/>
        <w:autoSpaceDN w:val="0"/>
        <w:adjustRightInd w:val="0"/>
        <w:spacing w:after="0" w:line="360" w:lineRule="auto"/>
        <w:jc w:val="both"/>
      </w:pPr>
    </w:p>
    <w:p w14:paraId="3C545062" w14:textId="03EEF778" w:rsidR="005124B5" w:rsidRPr="000C4780" w:rsidRDefault="00AC27AD" w:rsidP="005124B5">
      <w:pPr>
        <w:spacing w:after="0" w:line="360" w:lineRule="auto"/>
        <w:jc w:val="both"/>
        <w:rPr>
          <w:rFonts w:cs="Arial"/>
        </w:rPr>
      </w:pPr>
      <w:r>
        <w:t>B</w:t>
      </w:r>
      <w:r w:rsidRPr="00092331">
        <w:t xml:space="preserve">etween </w:t>
      </w:r>
      <w:r w:rsidR="00D26285" w:rsidRPr="00092331">
        <w:t>20</w:t>
      </w:r>
      <w:r w:rsidR="00D26285">
        <w:t xml:space="preserve">12 </w:t>
      </w:r>
      <w:r w:rsidR="001C4413">
        <w:t xml:space="preserve">and </w:t>
      </w:r>
      <w:r w:rsidR="00D26285">
        <w:t>2016</w:t>
      </w:r>
      <w:r>
        <w:t xml:space="preserve">, </w:t>
      </w:r>
      <w:r w:rsidR="006F30C8" w:rsidRPr="00092331">
        <w:t>nets were distributed to school children annually</w:t>
      </w:r>
      <w:r w:rsidRPr="00AC27AD">
        <w:t xml:space="preserve"> </w:t>
      </w:r>
      <w:r>
        <w:t>i</w:t>
      </w:r>
      <w:r w:rsidRPr="00092331">
        <w:t xml:space="preserve">n three regions, namely </w:t>
      </w:r>
      <w:proofErr w:type="spellStart"/>
      <w:r w:rsidRPr="00092331">
        <w:t>Lindi</w:t>
      </w:r>
      <w:proofErr w:type="spellEnd"/>
      <w:r w:rsidRPr="00092331">
        <w:t>, Mtwara, and Ruvuma</w:t>
      </w:r>
      <w:r w:rsidR="005124B5">
        <w:t xml:space="preserve"> </w:t>
      </w:r>
      <w:r w:rsidR="005124B5" w:rsidRPr="00092331">
        <w:rPr>
          <w:rFonts w:cs="Arial"/>
        </w:rPr>
        <w:fldChar w:fldCharType="begin"/>
      </w:r>
      <w:r w:rsidR="005124B5">
        <w:rPr>
          <w:rFonts w:cs="Arial"/>
        </w:rPr>
        <w:instrText xml:space="preserve"> ADDIN ZOTERO_ITEM CSL_CITATION {"citationID":"nzGOgNsh","properties":{"formattedCitation":"[40]","plainCitation":"[40]","noteIndex":0},"citationItems":[{"id":20022,"uris":["http://zotero.org/users/3516901/items/NBKFKA6C"],"uri":["http://zotero.org/users/3516901/items/NBKFKA6C"],"itemData":{"id":20022,"type":"article-journal","title":"School Distribution as Keep-Up Strategy to Maintain Universal Coverage of Long-Lasting Insecticidal Nets: Implementation and Results of a Program in Southern Tanzania","container-title":"Global Health: Science and Practice","page":"251-263","volume":"4","issue":"2","source":"www.ghspjournal.org","abstract":"Tanzania successfully scaled up coverage of long-lasting insecticidal nets (LLINs) through mass campaigns. To sustain these gains, a school-based approach was piloted in the country’s Southern Zone starting in 2013, called the School Net Program 1 (SNP1). We report on the design, implementation, monitoring, and outputs of the second round (SNP2) undertaken in 2014. SNP2 was conducted in all schools in Lindi, Mtwara, and Ruvuma regions, targeting students in primary (Standards 1, 3, 5, and 7) and secondary (Forms 2 and 4) schools and all teachers. In Lindi region, 2 additional classes (Standards 2 and 4) were targeted. LLIN distribution data were managed using an Android software application called SchoolNet. SNP2 included 2,337 schools, 473,700 students, and 25,269 teachers. A total of 5,070 people were trained in LLIN distribution (487 trainers and 4,583 distributors), and 4,392 (434 ward and 3,958 village) community change agents undertook sensitization and mobilization. A total of 507,775 LLINs were distributed to schools, with 464,510 (97.9% of those registered) students and 24,206 (95.8% of those registered) school teachers receiving LLINs. LLIN ownership and use is expected to have increased, potentially further reducing the burden of malaria in the Southern Zone of Tanzania.","DOI":"10.9745/GHSP-D-16-00040","ISSN":", 2169-575X","title-short":"School Distribution as Keep-Up Strategy to Maintain Universal Coverage of Long-Lasting Insecticidal Nets","journalAbbreviation":"Glob Health Sci Pract","language":"en","author":[{"family":"Lalji","given":"Shabbir"},{"family":"Ngondi","given":"Jeremiah M."},{"family":"Thawer","given":"Narjis G."},{"family":"Tembo","given":"Autman"},{"family":"Mandike","given":"Renata"},{"family":"Mohamed","given":"Ally"},{"family":"Chacky","given":"Frank"},{"family":"Mwalimu","given":"Charles D."},{"family":"Greer","given":"George"},{"family":"Kaspar","given":"Naomi"},{"family":"Kramer","given":"Karen"},{"family":"Mlay","given":"Bertha"},{"family":"Issa","given":"Kheri"},{"family":"Lweikiza","given":"Jane"},{"family":"Mutafungwa","given":"Anold"},{"family":"Nzowa","given":"Mary"},{"family":"Willilo","given":"Ritha A."},{"family":"Nyoni","given":"Waziri"},{"family":"Dadi","given":"David"},{"family":"Ramsan","given":"Mahdi M."},{"family":"Reithinger","given":"Richard"},{"family":"Magesa","given":"Stephen M."}],"issued":{"date-parts":[["2016",6,20]]}}}],"schema":"https://github.com/citation-style-language/schema/raw/master/csl-citation.json"} </w:instrText>
      </w:r>
      <w:r w:rsidR="005124B5" w:rsidRPr="00092331">
        <w:rPr>
          <w:rFonts w:cs="Arial"/>
        </w:rPr>
        <w:fldChar w:fldCharType="separate"/>
      </w:r>
      <w:r w:rsidR="005124B5" w:rsidRPr="00042DCE">
        <w:rPr>
          <w:rFonts w:ascii="Calibri" w:hAnsi="Calibri"/>
        </w:rPr>
        <w:t>[40]</w:t>
      </w:r>
      <w:r w:rsidR="005124B5" w:rsidRPr="00092331">
        <w:rPr>
          <w:rFonts w:cs="Arial"/>
        </w:rPr>
        <w:fldChar w:fldCharType="end"/>
      </w:r>
      <w:r w:rsidR="005124B5">
        <w:t>, while no large scale net distribution took place in other regions</w:t>
      </w:r>
      <w:r w:rsidR="006F30C8" w:rsidRPr="00092331">
        <w:t xml:space="preserve">. </w:t>
      </w:r>
      <w:r w:rsidR="005124B5">
        <w:rPr>
          <w:rFonts w:cs="Arial"/>
        </w:rPr>
        <w:t>F</w:t>
      </w:r>
      <w:r w:rsidR="005124B5" w:rsidRPr="00092331">
        <w:rPr>
          <w:rFonts w:cs="Arial"/>
        </w:rPr>
        <w:t xml:space="preserve">or </w:t>
      </w:r>
      <w:r w:rsidR="005124B5">
        <w:rPr>
          <w:rFonts w:cs="Arial"/>
        </w:rPr>
        <w:t>council</w:t>
      </w:r>
      <w:r w:rsidR="005124B5" w:rsidRPr="00092331">
        <w:rPr>
          <w:rFonts w:cs="Arial"/>
        </w:rPr>
        <w:t>s without</w:t>
      </w:r>
      <w:r w:rsidR="005124B5">
        <w:rPr>
          <w:rFonts w:cs="Arial"/>
        </w:rPr>
        <w:t xml:space="preserve"> ITN</w:t>
      </w:r>
      <w:r w:rsidR="005124B5" w:rsidRPr="00092331">
        <w:rPr>
          <w:rFonts w:cs="Arial"/>
        </w:rPr>
        <w:t xml:space="preserve"> </w:t>
      </w:r>
      <w:r w:rsidR="005124B5">
        <w:rPr>
          <w:rFonts w:cs="Arial"/>
        </w:rPr>
        <w:t>deployments between those years, t</w:t>
      </w:r>
      <w:r w:rsidR="005124B5" w:rsidRPr="00092331">
        <w:rPr>
          <w:rFonts w:cs="Arial"/>
        </w:rPr>
        <w:t>he decay of nets distributed in 2011</w:t>
      </w:r>
      <w:r w:rsidR="00FE5579" w:rsidRPr="00FE5579">
        <w:rPr>
          <w:rFonts w:cs="Arial"/>
        </w:rPr>
        <w:t xml:space="preserve"> </w:t>
      </w:r>
      <w:r w:rsidR="00FE5579">
        <w:rPr>
          <w:rFonts w:cs="Arial"/>
        </w:rPr>
        <w:t xml:space="preserve">was </w:t>
      </w:r>
      <w:r w:rsidR="00FE5579">
        <w:rPr>
          <w:rFonts w:cs="Arial"/>
          <w:noProof/>
        </w:rPr>
        <w:t>estimated during the model calibration, whereas, f</w:t>
      </w:r>
      <w:r w:rsidR="005124B5" w:rsidRPr="00092331">
        <w:rPr>
          <w:rFonts w:cs="Arial"/>
        </w:rPr>
        <w:t xml:space="preserve">or </w:t>
      </w:r>
      <w:r w:rsidR="005124B5">
        <w:rPr>
          <w:rFonts w:cs="Arial"/>
        </w:rPr>
        <w:t>council</w:t>
      </w:r>
      <w:r w:rsidR="005124B5" w:rsidRPr="00092331">
        <w:rPr>
          <w:rFonts w:cs="Arial"/>
        </w:rPr>
        <w:t>s included in the school net program</w:t>
      </w:r>
      <w:r w:rsidR="00FE5579">
        <w:rPr>
          <w:rFonts w:cs="Arial"/>
        </w:rPr>
        <w:t>,</w:t>
      </w:r>
      <w:r w:rsidR="005124B5" w:rsidRPr="00092331">
        <w:rPr>
          <w:rFonts w:cs="Arial"/>
        </w:rPr>
        <w:t xml:space="preserve"> the</w:t>
      </w:r>
      <w:r w:rsidR="005124B5">
        <w:rPr>
          <w:rFonts w:cs="Arial"/>
        </w:rPr>
        <w:t xml:space="preserve"> </w:t>
      </w:r>
      <w:r w:rsidR="00FE5579">
        <w:rPr>
          <w:rFonts w:cs="Arial"/>
        </w:rPr>
        <w:t xml:space="preserve">annual </w:t>
      </w:r>
      <w:r w:rsidR="005124B5">
        <w:rPr>
          <w:rFonts w:cs="Arial"/>
        </w:rPr>
        <w:t>ITN</w:t>
      </w:r>
      <w:r w:rsidR="005124B5" w:rsidRPr="00092331">
        <w:rPr>
          <w:rFonts w:cs="Arial"/>
        </w:rPr>
        <w:t xml:space="preserve"> coverage between 2013 and 2016</w:t>
      </w:r>
      <w:r w:rsidR="00FE5579">
        <w:rPr>
          <w:rFonts w:cs="Arial"/>
        </w:rPr>
        <w:t xml:space="preserve"> was </w:t>
      </w:r>
      <w:r w:rsidR="00FE5579">
        <w:rPr>
          <w:rFonts w:cs="Arial"/>
          <w:noProof/>
        </w:rPr>
        <w:t>estimated</w:t>
      </w:r>
      <w:r w:rsidR="005124B5">
        <w:rPr>
          <w:rFonts w:cs="Arial"/>
        </w:rPr>
        <w:t>.</w:t>
      </w:r>
      <w:r w:rsidR="005124B5" w:rsidRPr="00092331">
        <w:rPr>
          <w:noProof/>
        </w:rPr>
        <w:t xml:space="preserve"> </w:t>
      </w:r>
      <w:r w:rsidR="00D26285">
        <w:rPr>
          <w:noProof/>
        </w:rPr>
        <w:t xml:space="preserve">This </w:t>
      </w:r>
      <w:r w:rsidR="000C4780">
        <w:rPr>
          <w:noProof/>
        </w:rPr>
        <w:t>allowed to</w:t>
      </w:r>
      <w:r w:rsidR="00D26285" w:rsidRPr="00092331">
        <w:rPr>
          <w:rFonts w:cs="Arial"/>
        </w:rPr>
        <w:t xml:space="preserve"> reproduce the reported increase in prevalence between the</w:t>
      </w:r>
      <w:r w:rsidR="00D26285">
        <w:rPr>
          <w:rFonts w:cs="Arial"/>
        </w:rPr>
        <w:t xml:space="preserve"> </w:t>
      </w:r>
      <w:r w:rsidR="00D26285" w:rsidRPr="00092331">
        <w:rPr>
          <w:rFonts w:cs="Arial"/>
        </w:rPr>
        <w:t xml:space="preserve">MIS surveys in 2012 and 2016 </w:t>
      </w:r>
      <w:r w:rsidR="00D26285" w:rsidRPr="00092331">
        <w:rPr>
          <w:rFonts w:cs="Arial"/>
        </w:rPr>
        <w:fldChar w:fldCharType="begin"/>
      </w:r>
      <w:r w:rsidR="00D26285">
        <w:rPr>
          <w:rFonts w:cs="Arial"/>
        </w:rPr>
        <w:instrText xml:space="preserve"> ADDIN ZOTERO_ITEM CSL_CITATION {"citationID":"a1o9j28848r","properties":{"formattedCitation":"[11,12]","plainCitation":"[11,12]","noteIndex":0},"citationItems":[{"id":17358,"uris":["http://zotero.org/users/3516901/items/SG44M9ZT"],"uri":["http://zotero.org/users/3516901/items/SG44M9ZT"],"itemData":{"id":17358,"type":"report","title":"Tanzania HIV/AIDS and Malaria Indicator Survey 2011-12","publisher":"TACAIDS, ZAC,  NBS, OCGS, and ICF International","publisher-place":"Dar Es Salaam, Tanzania","event-place":"Dar Es Salaam, Tanzania","author":[{"literal":"TACAIDS"},{"literal":"Zanzibar AIDS Commission (ZAC)"},{"literal":"National Bureau of Statistics (NBS) [Tanzania]"},{"literal":"Office of the Chief Government Statistician (OCGS)"},{"literal":"ICF International 2013"}],"issued":{"date-parts":[["2013"]]}},"label":"page"},{"id":15907,"uris":["http://zotero.org/users/3516901/items/WWHQCFSW"],"uri":["http://zotero.org/users/3516901/items/WWHQCFSW"],"itemData":{"id":15907,"type":"report","title":"Tanzania Demographic and Health Survey and Malaria Indicator Survey (TDHS-MIS) 2015-2016","publisher":"MoHSW, MoH, NBS, OCGS, and ICF International","publisher-place":"Dar es Salaam, Tanzania and Rockville, Maryland, USA","event-place":"Dar es Salaam, Tanzania and Rockville, Maryland, USA","author":[{"family":"MoHCDGEC","given":""},{"literal":"Ministry of Health (MoH) (Zanzibar)"},{"literal":"National Bureau of Statistics (NBS) [Tanzania]"},{"literal":"Office of Chief Government Statistician (OCGS)"},{"literal":"ICF International"}],"issued":{"date-parts":[["2016"]]}},"label":"page"}],"schema":"https://github.com/citation-style-language/schema/raw/master/csl-citation.json"} </w:instrText>
      </w:r>
      <w:r w:rsidR="00D26285" w:rsidRPr="00092331">
        <w:rPr>
          <w:rFonts w:cs="Arial"/>
        </w:rPr>
        <w:fldChar w:fldCharType="separate"/>
      </w:r>
      <w:r w:rsidR="00D26285" w:rsidRPr="00215A11">
        <w:rPr>
          <w:rFonts w:ascii="Calibri" w:hAnsi="Calibri"/>
        </w:rPr>
        <w:t>[11,12]</w:t>
      </w:r>
      <w:r w:rsidR="00D26285" w:rsidRPr="00092331">
        <w:rPr>
          <w:rFonts w:cs="Arial"/>
        </w:rPr>
        <w:fldChar w:fldCharType="end"/>
      </w:r>
      <w:r w:rsidR="00D26285">
        <w:rPr>
          <w:rFonts w:cs="Arial"/>
        </w:rPr>
        <w:t xml:space="preserve"> in </w:t>
      </w:r>
      <w:r w:rsidR="000C4780">
        <w:rPr>
          <w:rFonts w:cs="Arial"/>
        </w:rPr>
        <w:t>some</w:t>
      </w:r>
      <w:r w:rsidR="00D26285">
        <w:rPr>
          <w:rFonts w:cs="Arial"/>
        </w:rPr>
        <w:t xml:space="preserve"> councils.</w:t>
      </w:r>
      <w:r w:rsidR="00D26285" w:rsidRPr="00092331">
        <w:rPr>
          <w:rFonts w:cs="Arial"/>
        </w:rPr>
        <w:t xml:space="preserve"> </w:t>
      </w:r>
      <w:r w:rsidR="005124B5">
        <w:t>ITN</w:t>
      </w:r>
      <w:r w:rsidR="005124B5" w:rsidRPr="00092331">
        <w:t xml:space="preserve"> decay </w:t>
      </w:r>
      <w:r w:rsidR="00D26285">
        <w:t>curves</w:t>
      </w:r>
      <w:r w:rsidR="005124B5" w:rsidRPr="00092331">
        <w:t xml:space="preserve"> </w:t>
      </w:r>
      <w:r w:rsidR="000C4780">
        <w:t>were</w:t>
      </w:r>
      <w:r w:rsidR="005124B5" w:rsidRPr="00092331">
        <w:t xml:space="preserve"> estimated from the data and compared with</w:t>
      </w:r>
      <w:r w:rsidR="005124B5">
        <w:t xml:space="preserve"> </w:t>
      </w:r>
      <w:r w:rsidR="000C4780">
        <w:t xml:space="preserve">the assumed </w:t>
      </w:r>
      <w:r w:rsidR="005124B5">
        <w:t>ITN</w:t>
      </w:r>
      <w:r w:rsidR="005124B5" w:rsidRPr="00092331">
        <w:t xml:space="preserve"> decay used in </w:t>
      </w:r>
      <w:proofErr w:type="spellStart"/>
      <w:r w:rsidR="005124B5" w:rsidRPr="00092331">
        <w:t>NetCALC</w:t>
      </w:r>
      <w:proofErr w:type="spellEnd"/>
      <w:r w:rsidR="005124B5" w:rsidRPr="00092331">
        <w:t xml:space="preserve"> </w:t>
      </w:r>
      <w:r w:rsidR="005124B5" w:rsidRPr="00092331">
        <w:fldChar w:fldCharType="begin"/>
      </w:r>
      <w:r w:rsidR="005124B5">
        <w:instrText xml:space="preserve"> ADDIN ZOTERO_ITEM CSL_CITATION {"citationID":"gux5Qoky","properties":{"formattedCitation":"[7]","plainCitation":"[7]","noteIndex":0},"citationItems":[{"id":16707,"uris":["http://zotero.org/users/3516901/items/DGSCVCES"],"uri":["http://zotero.org/users/3516901/items/DGSCVCES"],"itemData":{"id":16707,"type":"article-journal","title":"Analysing and recommending options for maintaining universal coverage with long-lasting insecticidal nets: the case of Tanzania in 2011","container-title":"Malaria Journal","page":"150","volume":"12","issue":"1","source":"www.malariajournal.com","abstract":"Tanzania achieved universal coverage with long-lasting insecticidal nets (LLINs) in October 2011, after three years of free mass net distribution campaigns and is now faced with the challenge of maintaining high coverage as nets wear out and the population grows. A process of exploring options for a continuous or “Keep-Up” distribution system was initiated in early 2011. This paper presents for the first time a comprehensive national process to review the major considerations, findings and recommendations for the implementation of a new strategy.\nPMID: 23641705","DOI":"10.1186/1475-2875-12-150","ISSN":"1475-2875","title-short":"Analysing and recommending options for maintaining universal coverage with long-lasting insecticidal nets","language":"en","author":[{"family":"Koenker","given":"Hannah M."},{"family":"Yukich","given":"Joshua O."},{"family":"Mkindi","given":"Alex"},{"family":"Mandike","given":"Renata"},{"family":"Brown","given":"Nick"},{"family":"Kilian","given":"Albert"},{"family":"Lengeler","given":"Christian"}],"issued":{"date-parts":[["2013"]]}}}],"schema":"https://github.com/citation-style-language/schema/raw/master/csl-citation.json"} </w:instrText>
      </w:r>
      <w:r w:rsidR="005124B5" w:rsidRPr="00092331">
        <w:fldChar w:fldCharType="separate"/>
      </w:r>
      <w:r w:rsidR="005124B5" w:rsidRPr="00215A11">
        <w:rPr>
          <w:rFonts w:ascii="Calibri" w:hAnsi="Calibri"/>
        </w:rPr>
        <w:t>[7]</w:t>
      </w:r>
      <w:r w:rsidR="005124B5" w:rsidRPr="00092331">
        <w:fldChar w:fldCharType="end"/>
      </w:r>
      <w:r w:rsidR="005124B5">
        <w:t xml:space="preserve"> (</w:t>
      </w:r>
      <w:proofErr w:type="spellStart"/>
      <w:r w:rsidR="005124B5" w:rsidRPr="00714ECA">
        <w:t>NetCalc</w:t>
      </w:r>
      <w:proofErr w:type="spellEnd"/>
      <w:r w:rsidR="005124B5" w:rsidRPr="00714ECA">
        <w:t xml:space="preserve"> 3.2 background document available from </w:t>
      </w:r>
      <w:hyperlink r:id="rId24" w:history="1">
        <w:r w:rsidR="005124B5" w:rsidRPr="00B7779B">
          <w:rPr>
            <w:rStyle w:val="Hyperlink"/>
          </w:rPr>
          <w:t>https://www.vector-works.org/resources/netcalc-planning-tool/</w:t>
        </w:r>
      </w:hyperlink>
      <w:r w:rsidR="00D26285">
        <w:t xml:space="preserve">). </w:t>
      </w:r>
    </w:p>
    <w:p w14:paraId="7AB14E4A" w14:textId="77777777" w:rsidR="00F814AD" w:rsidRPr="00092331" w:rsidRDefault="00F814AD" w:rsidP="001F7549">
      <w:pPr>
        <w:autoSpaceDE w:val="0"/>
        <w:autoSpaceDN w:val="0"/>
        <w:adjustRightInd w:val="0"/>
        <w:spacing w:after="0" w:line="360" w:lineRule="auto"/>
        <w:jc w:val="both"/>
      </w:pPr>
    </w:p>
    <w:p w14:paraId="26F058BD" w14:textId="090C2D66" w:rsidR="00253097" w:rsidRPr="00092331" w:rsidRDefault="00AC27AD" w:rsidP="00253097">
      <w:pPr>
        <w:spacing w:after="0" w:line="360" w:lineRule="auto"/>
        <w:jc w:val="both"/>
        <w:rPr>
          <w:noProof/>
        </w:rPr>
      </w:pPr>
      <w:r>
        <w:t>I</w:t>
      </w:r>
      <w:r w:rsidRPr="00092331">
        <w:t>n 2016</w:t>
      </w:r>
      <w:r>
        <w:t xml:space="preserve">, a </w:t>
      </w:r>
      <w:r w:rsidRPr="00092331">
        <w:t>mass distribution of</w:t>
      </w:r>
      <w:r w:rsidR="00A90B92">
        <w:t xml:space="preserve"> ITN</w:t>
      </w:r>
      <w:r w:rsidRPr="00092331">
        <w:t xml:space="preserve">s </w:t>
      </w:r>
      <w:r w:rsidR="00D26285">
        <w:t xml:space="preserve">was conducted </w:t>
      </w:r>
      <w:r w:rsidRPr="00092331">
        <w:t xml:space="preserve">at </w:t>
      </w:r>
      <w:r w:rsidRPr="00092331">
        <w:rPr>
          <w:noProof/>
        </w:rPr>
        <w:t>the same</w:t>
      </w:r>
      <w:r w:rsidRPr="00092331">
        <w:t xml:space="preserve"> time than the TDHS-MIS 2015-16 surveys</w:t>
      </w:r>
      <w:r>
        <w:t>.</w:t>
      </w:r>
      <w:r w:rsidRPr="00092331">
        <w:t xml:space="preserve"> </w:t>
      </w:r>
      <w:r>
        <w:t xml:space="preserve">The </w:t>
      </w:r>
      <w:r w:rsidR="00FE20C5" w:rsidRPr="00092331">
        <w:t>coverage of</w:t>
      </w:r>
      <w:r w:rsidR="00A90B92">
        <w:t xml:space="preserve"> ITN</w:t>
      </w:r>
      <w:r>
        <w:t xml:space="preserve"> distribution </w:t>
      </w:r>
      <w:r w:rsidR="00FE20C5" w:rsidRPr="00092331">
        <w:t xml:space="preserve">was </w:t>
      </w:r>
      <w:r>
        <w:t xml:space="preserve">therefore </w:t>
      </w:r>
      <w:r w:rsidR="00FE20C5" w:rsidRPr="00092331">
        <w:t xml:space="preserve">adjusted to account for the difference of timing between campaign and survey. </w:t>
      </w:r>
      <w:r>
        <w:t>For the adjustment</w:t>
      </w:r>
      <w:r w:rsidR="00FE20C5" w:rsidRPr="00092331">
        <w:t xml:space="preserve">, the regions </w:t>
      </w:r>
      <w:r w:rsidR="00FE20C5" w:rsidRPr="00092331">
        <w:rPr>
          <w:noProof/>
        </w:rPr>
        <w:t>were divided</w:t>
      </w:r>
      <w:r w:rsidR="00FE20C5" w:rsidRPr="00092331">
        <w:t xml:space="preserve"> into three groups: 1) regions in which the net distribution took place before the survey, 2) regions in which the net distribution took place after the </w:t>
      </w:r>
      <w:r w:rsidR="00FE20C5" w:rsidRPr="00092331">
        <w:rPr>
          <w:noProof/>
        </w:rPr>
        <w:t>survey</w:t>
      </w:r>
      <w:r w:rsidR="00FE20C5" w:rsidRPr="00092331">
        <w:t xml:space="preserve"> 3) regions in which there are no mass campaigns but only continuous (a</w:t>
      </w:r>
      <w:r w:rsidR="009C3D40">
        <w:t>nnual) school net distribution</w:t>
      </w:r>
      <w:r w:rsidR="00FE20C5" w:rsidRPr="00092331">
        <w:t>. For the regions</w:t>
      </w:r>
      <w:r w:rsidR="000C4780">
        <w:t>,</w:t>
      </w:r>
      <w:r w:rsidR="00FE20C5" w:rsidRPr="00092331">
        <w:t xml:space="preserve"> surveyed before the mass campaign in 2016, a scaling factor was derived from those regions surveyed before and after the mass campaign in 2016, using ITN </w:t>
      </w:r>
      <w:r w:rsidR="0076338D">
        <w:t>usage</w:t>
      </w:r>
      <w:r w:rsidR="00FE20C5" w:rsidRPr="00092331">
        <w:t xml:space="preserve"> estimates from the MIS surveys in 2010, 2012 and 2016</w:t>
      </w:r>
      <w:r w:rsidR="00FE20C5" w:rsidRPr="00092331">
        <w:fldChar w:fldCharType="begin"/>
      </w:r>
      <w:r w:rsidR="00FE20C5" w:rsidRPr="00092331">
        <w:instrText xml:space="preserve"> ADDIN ZOTERO_TEMP </w:instrText>
      </w:r>
      <w:r w:rsidR="00FE20C5" w:rsidRPr="00092331">
        <w:fldChar w:fldCharType="end"/>
      </w:r>
      <w:r w:rsidR="00FE20C5" w:rsidRPr="00092331">
        <w:t>. The scaling factor was derived by estimating the relative increase in coverage after mass campaign depending on the coverage before the mass campaign (</w:t>
      </w:r>
      <w:r w:rsidR="009C3D40">
        <w:t>Fig S2.</w:t>
      </w:r>
      <w:r w:rsidR="00AC3078">
        <w:t>7</w:t>
      </w:r>
      <w:r w:rsidR="00FE20C5" w:rsidRPr="00092331">
        <w:t>). The</w:t>
      </w:r>
      <w:r w:rsidR="00A90B92">
        <w:t xml:space="preserve"> ITN</w:t>
      </w:r>
      <w:r w:rsidR="00FE20C5" w:rsidRPr="00092331">
        <w:t xml:space="preserve"> groups and</w:t>
      </w:r>
      <w:r w:rsidR="00A90B92">
        <w:t xml:space="preserve"> ITN</w:t>
      </w:r>
      <w:r w:rsidR="00FE20C5" w:rsidRPr="00092331">
        <w:t xml:space="preserve"> </w:t>
      </w:r>
      <w:r w:rsidR="0076338D">
        <w:t>usage</w:t>
      </w:r>
      <w:r w:rsidR="00FE20C5" w:rsidRPr="00092331">
        <w:t xml:space="preserve"> estimates per region are shown in</w:t>
      </w:r>
      <w:r w:rsidR="009C3D40">
        <w:t xml:space="preserve"> Table S2.3</w:t>
      </w:r>
      <w:r w:rsidR="00FE20C5" w:rsidRPr="00092331">
        <w:t>.</w:t>
      </w:r>
      <w:r w:rsidR="00253097" w:rsidRPr="00092331">
        <w:t xml:space="preserve"> The adjusted</w:t>
      </w:r>
      <w:r w:rsidR="00253097">
        <w:t xml:space="preserve"> ITN</w:t>
      </w:r>
      <w:r w:rsidR="00253097" w:rsidRPr="00092331">
        <w:t xml:space="preserve"> use among the whole population in 2016 was estimated to be </w:t>
      </w:r>
      <w:r w:rsidR="00253097" w:rsidRPr="00092331">
        <w:lastRenderedPageBreak/>
        <w:t xml:space="preserve">on average 66% ranging from 44.4% to 85% across </w:t>
      </w:r>
      <w:r w:rsidR="00253097" w:rsidRPr="00092331">
        <w:rPr>
          <w:noProof/>
        </w:rPr>
        <w:t>the regions (</w:t>
      </w:r>
      <w:r w:rsidR="00253097">
        <w:rPr>
          <w:noProof/>
        </w:rPr>
        <w:t>Fig S2.</w:t>
      </w:r>
      <w:r w:rsidR="00D26285">
        <w:rPr>
          <w:noProof/>
        </w:rPr>
        <w:t>7</w:t>
      </w:r>
      <w:r w:rsidR="00253097" w:rsidRPr="00092331">
        <w:rPr>
          <w:noProof/>
        </w:rPr>
        <w:t xml:space="preserve">). The parameterisation </w:t>
      </w:r>
      <w:r w:rsidR="00253097">
        <w:rPr>
          <w:noProof/>
        </w:rPr>
        <w:t>of ITN efficacy is</w:t>
      </w:r>
      <w:r w:rsidR="00253097" w:rsidRPr="00092331">
        <w:rPr>
          <w:noProof/>
        </w:rPr>
        <w:t xml:space="preserve"> described elsewhere </w:t>
      </w:r>
      <w:r w:rsidR="00253097" w:rsidRPr="00092331">
        <w:rPr>
          <w:noProof/>
        </w:rPr>
        <w:fldChar w:fldCharType="begin"/>
      </w:r>
      <w:r w:rsidR="00253097">
        <w:rPr>
          <w:noProof/>
        </w:rPr>
        <w:instrText xml:space="preserve"> ADDIN ZOTERO_ITEM CSL_CITATION {"citationID":"uCt0wvGS","properties":{"formattedCitation":"[8]","plainCitation":"[8]","noteIndex":0},"citationItems":[{"id":21573,"uris":["http://zotero.org/users/3516901/items/Q5PSF4MG"],"uri":["http://zotero.org/users/3516901/items/Q5PSF4MG"],"itemData":{"id":21573,"type":"article-journal","title":"Importance of factors determining the effective lifetime of a mass, long-lasting, insecticidal net distribution: a sensitivity analysis","container-title":"Malaria Journal","page":"20","volume":"11","source":"PubMed Central","abstract":"Background\nLong-lasting insecticidal nets (LLINs) reduce malaria transmission by protecting individuals from infectious bites, and by reducing mosquito survival. In recent years, millions of LLINs have been distributed across sub-Saharan Africa (SSA). Over time, LLINs decay physically and chemically and are destroyed, making repeated interventions necessary to prevent a resurgence of malaria. Because its effects on transmission are important (more so than the effects of individual protection), estimates of the lifetime of mass distribution rounds should be based on the effective length of epidemiological protection.\n\nMethods\nSimulation models, parameterised using available field data, were used to analyse how the distribution's effective lifetime depends on the transmission setting and on LLIN characteristics. Factors considered were the pre-intervention transmission level, initial coverage, net attrition, and both physical and chemical decay. An ensemble of 14 stochastic individual-based model variants for malaria in humans was used, combined with a deterministic model for malaria in mosquitoes.\n\nResults\nThe effective lifetime was most sensitive to the pre-intervention transmission level, with a lifetime of almost 10 years at an entomological inoculation rate of two infectious bites per adult per annum (ibpapa), but of little more than 2 years at 256 ibpapa. The LLIN attrition rate and the insecticide decay rate were the next most important parameters. The lifetime was surprisingly insensitive to physical decay parameters, but this could change as physical integrity gains importance with the emergence and spread of pyrethroid resistance.\n\nConclusions\nThe strong dependency of the effective lifetime on the pre-intervention transmission level indicated that the required distribution frequency may vary more with the local entomological situation than with LLIN quality or the characteristics of the distribution system. This highlights the need for malaria monitoring both before and during intervention programmes, particularly since there are likely to be strong variations between years and over short distances. The majority of SSA's population falls into exposure categories where the lifetime is relatively long, but because exposure estimates are highly uncertain, it is necessary to consider subsequent interventions before the end of the expected effective lifetime based on an imprecise transmission measure.","DOI":"10.1186/1475-2875-11-20","ISSN":"1475-2875","title-short":"Importance of factors determining the effective lifetime of a mass, long-lasting, insecticidal net distribution","journalAbbreviation":"Malar J","author":[{"family":"Briët","given":"Olivier JT"},{"family":"Hardy","given":"Diggory"},{"family":"Smith","given":"Thomas A"}],"issued":{"date-parts":[["2012",1,13]]}}}],"schema":"https://github.com/citation-style-language/schema/raw/master/csl-citation.json"} </w:instrText>
      </w:r>
      <w:r w:rsidR="00253097" w:rsidRPr="00092331">
        <w:rPr>
          <w:noProof/>
        </w:rPr>
        <w:fldChar w:fldCharType="separate"/>
      </w:r>
      <w:r w:rsidR="00253097" w:rsidRPr="00215A11">
        <w:rPr>
          <w:rFonts w:ascii="Calibri" w:hAnsi="Calibri"/>
        </w:rPr>
        <w:t>[8]</w:t>
      </w:r>
      <w:r w:rsidR="00253097" w:rsidRPr="00092331">
        <w:rPr>
          <w:noProof/>
        </w:rPr>
        <w:fldChar w:fldCharType="end"/>
      </w:r>
      <w:r w:rsidR="00253097" w:rsidRPr="00092331">
        <w:rPr>
          <w:noProof/>
        </w:rPr>
        <w:t xml:space="preserve">. </w:t>
      </w:r>
    </w:p>
    <w:p w14:paraId="747C915C" w14:textId="7C9A4B22" w:rsidR="00FE20C5" w:rsidRPr="00092331" w:rsidRDefault="00FE20C5" w:rsidP="001F7549">
      <w:pPr>
        <w:spacing w:after="0" w:line="360" w:lineRule="auto"/>
        <w:jc w:val="both"/>
      </w:pPr>
    </w:p>
    <w:p w14:paraId="072F454B" w14:textId="77777777" w:rsidR="00FE20C5" w:rsidRPr="00092331" w:rsidRDefault="00FE20C5" w:rsidP="00FB7E5A">
      <w:pPr>
        <w:spacing w:after="0"/>
        <w:jc w:val="both"/>
      </w:pPr>
      <w:r w:rsidRPr="00092331">
        <w:rPr>
          <w:noProof/>
          <w:lang w:val="en-US"/>
        </w:rPr>
        <w:drawing>
          <wp:inline distT="0" distB="0" distL="0" distR="0" wp14:anchorId="63F2B8F9" wp14:editId="3134AC65">
            <wp:extent cx="5760720" cy="3456432"/>
            <wp:effectExtent l="19050" t="19050" r="11430" b="10795"/>
            <wp:docPr id="10" name="Picture 10" descr="C:\Users\rungma\Projects\OM_TZA\Figures\DataDescription_and_Preparation\ITN\pplotCombined_beforeAfterCampaign_sm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ngma\Projects\OM_TZA\Figures\DataDescription_and_Preparation\ITN\pplotCombined_beforeAfterCampaign_smooth.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60720" cy="3456432"/>
                    </a:xfrm>
                    <a:prstGeom prst="rect">
                      <a:avLst/>
                    </a:prstGeom>
                    <a:noFill/>
                    <a:ln w="6350">
                      <a:solidFill>
                        <a:schemeClr val="tx1"/>
                      </a:solidFill>
                    </a:ln>
                  </pic:spPr>
                </pic:pic>
              </a:graphicData>
            </a:graphic>
          </wp:inline>
        </w:drawing>
      </w:r>
    </w:p>
    <w:p w14:paraId="72657A17" w14:textId="18023FD1" w:rsidR="001C4413" w:rsidRPr="001C4413" w:rsidRDefault="009C3D40" w:rsidP="00FB7E5A">
      <w:pPr>
        <w:pStyle w:val="Caption"/>
        <w:spacing w:before="0" w:after="0" w:line="276" w:lineRule="auto"/>
        <w:rPr>
          <w:rFonts w:asciiTheme="minorHAnsi" w:hAnsiTheme="minorHAnsi"/>
          <w:b/>
        </w:rPr>
      </w:pPr>
      <w:bookmarkStart w:id="20" w:name="_Ref5899988"/>
      <w:r>
        <w:rPr>
          <w:rFonts w:asciiTheme="minorHAnsi" w:hAnsiTheme="minorHAnsi"/>
          <w:b/>
        </w:rPr>
        <w:t>Fig S2.</w:t>
      </w:r>
      <w:r w:rsidR="00FE20C5" w:rsidRPr="001C4413">
        <w:rPr>
          <w:rFonts w:asciiTheme="minorHAnsi" w:hAnsiTheme="minorHAnsi"/>
          <w:b/>
        </w:rPr>
        <w:fldChar w:fldCharType="begin"/>
      </w:r>
      <w:r w:rsidR="00FE20C5" w:rsidRPr="001C4413">
        <w:rPr>
          <w:rFonts w:asciiTheme="minorHAnsi" w:hAnsiTheme="minorHAnsi"/>
          <w:b/>
        </w:rPr>
        <w:instrText xml:space="preserve"> SEQ Figure \* ARABIC </w:instrText>
      </w:r>
      <w:r w:rsidR="00FE20C5" w:rsidRPr="001C4413">
        <w:rPr>
          <w:rFonts w:asciiTheme="minorHAnsi" w:hAnsiTheme="minorHAnsi"/>
          <w:b/>
        </w:rPr>
        <w:fldChar w:fldCharType="separate"/>
      </w:r>
      <w:r w:rsidR="00D26285">
        <w:rPr>
          <w:rFonts w:asciiTheme="minorHAnsi" w:hAnsiTheme="minorHAnsi"/>
          <w:b/>
          <w:noProof/>
        </w:rPr>
        <w:t>7</w:t>
      </w:r>
      <w:r w:rsidR="00FE20C5" w:rsidRPr="001C4413">
        <w:rPr>
          <w:rFonts w:asciiTheme="minorHAnsi" w:hAnsiTheme="minorHAnsi"/>
          <w:b/>
        </w:rPr>
        <w:fldChar w:fldCharType="end"/>
      </w:r>
      <w:bookmarkEnd w:id="20"/>
      <w:r w:rsidR="00FE20C5" w:rsidRPr="001C4413">
        <w:rPr>
          <w:rFonts w:asciiTheme="minorHAnsi" w:hAnsiTheme="minorHAnsi"/>
          <w:b/>
        </w:rPr>
        <w:t xml:space="preserve">: Relation between </w:t>
      </w:r>
      <w:r w:rsidR="0076338D">
        <w:rPr>
          <w:rFonts w:asciiTheme="minorHAnsi" w:hAnsiTheme="minorHAnsi"/>
          <w:b/>
        </w:rPr>
        <w:t xml:space="preserve">reported </w:t>
      </w:r>
      <w:r w:rsidR="00FE20C5" w:rsidRPr="001C4413">
        <w:rPr>
          <w:rFonts w:asciiTheme="minorHAnsi" w:hAnsiTheme="minorHAnsi"/>
          <w:b/>
        </w:rPr>
        <w:t>ITN use</w:t>
      </w:r>
      <w:r w:rsidR="007E5F00">
        <w:rPr>
          <w:rFonts w:asciiTheme="minorHAnsi" w:hAnsiTheme="minorHAnsi"/>
          <w:b/>
        </w:rPr>
        <w:t xml:space="preserve"> </w:t>
      </w:r>
      <w:r w:rsidR="00FE20C5" w:rsidRPr="001C4413">
        <w:rPr>
          <w:rFonts w:asciiTheme="minorHAnsi" w:hAnsiTheme="minorHAnsi"/>
          <w:b/>
        </w:rPr>
        <w:t xml:space="preserve">before and after mass distribution campaign. </w:t>
      </w:r>
    </w:p>
    <w:p w14:paraId="3B81FF8D" w14:textId="29D73D20" w:rsidR="00FE20C5" w:rsidRDefault="00FE20C5" w:rsidP="00FB7E5A">
      <w:pPr>
        <w:pStyle w:val="Caption"/>
        <w:spacing w:before="0" w:after="0" w:line="276" w:lineRule="auto"/>
        <w:rPr>
          <w:rFonts w:asciiTheme="minorHAnsi" w:hAnsiTheme="minorHAnsi"/>
        </w:rPr>
      </w:pPr>
      <w:r w:rsidRPr="00092331">
        <w:rPr>
          <w:rFonts w:asciiTheme="minorHAnsi" w:hAnsiTheme="minorHAnsi"/>
          <w:b/>
        </w:rPr>
        <w:t>A)</w:t>
      </w:r>
      <w:r w:rsidRPr="00092331">
        <w:rPr>
          <w:rFonts w:asciiTheme="minorHAnsi" w:hAnsiTheme="minorHAnsi"/>
        </w:rPr>
        <w:t xml:space="preserve"> Mean</w:t>
      </w:r>
      <w:r w:rsidR="00A90B92">
        <w:rPr>
          <w:rFonts w:asciiTheme="minorHAnsi" w:hAnsiTheme="minorHAnsi"/>
        </w:rPr>
        <w:t xml:space="preserve"> ITN</w:t>
      </w:r>
      <w:r w:rsidRPr="00092331">
        <w:rPr>
          <w:rFonts w:asciiTheme="minorHAnsi" w:hAnsiTheme="minorHAnsi"/>
        </w:rPr>
        <w:t xml:space="preserve"> </w:t>
      </w:r>
      <w:r w:rsidR="0076338D">
        <w:rPr>
          <w:rFonts w:asciiTheme="minorHAnsi" w:hAnsiTheme="minorHAnsi"/>
        </w:rPr>
        <w:t>usage</w:t>
      </w:r>
      <w:r w:rsidRPr="00092331">
        <w:rPr>
          <w:rFonts w:asciiTheme="minorHAnsi" w:hAnsiTheme="minorHAnsi"/>
        </w:rPr>
        <w:t xml:space="preserve"> estimates from MIS 2010 and 2012 for before mass campa</w:t>
      </w:r>
      <w:r w:rsidR="001C4413">
        <w:rPr>
          <w:rFonts w:asciiTheme="minorHAnsi" w:hAnsiTheme="minorHAnsi"/>
        </w:rPr>
        <w:t xml:space="preserve">igns, and MIS 2012 and 2015/16 </w:t>
      </w:r>
      <w:r w:rsidRPr="00092331">
        <w:rPr>
          <w:rFonts w:asciiTheme="minorHAnsi" w:hAnsiTheme="minorHAnsi"/>
        </w:rPr>
        <w:t xml:space="preserve">for after mass campaigns (deployments in 2011 and 2015) per region. </w:t>
      </w:r>
      <w:r w:rsidRPr="00092331">
        <w:rPr>
          <w:rFonts w:asciiTheme="minorHAnsi" w:hAnsiTheme="minorHAnsi"/>
          <w:b/>
        </w:rPr>
        <w:t>B)</w:t>
      </w:r>
      <w:r w:rsidRPr="00092331">
        <w:rPr>
          <w:rFonts w:asciiTheme="minorHAnsi" w:hAnsiTheme="minorHAnsi"/>
        </w:rPr>
        <w:t xml:space="preserve"> Mean</w:t>
      </w:r>
      <w:r w:rsidR="00A90B92">
        <w:rPr>
          <w:rFonts w:asciiTheme="minorHAnsi" w:hAnsiTheme="minorHAnsi"/>
        </w:rPr>
        <w:t xml:space="preserve"> ITN</w:t>
      </w:r>
      <w:r w:rsidRPr="00092331">
        <w:rPr>
          <w:rFonts w:asciiTheme="minorHAnsi" w:hAnsiTheme="minorHAnsi"/>
        </w:rPr>
        <w:t xml:space="preserve"> </w:t>
      </w:r>
      <w:r w:rsidR="0076338D">
        <w:rPr>
          <w:rFonts w:asciiTheme="minorHAnsi" w:hAnsiTheme="minorHAnsi"/>
        </w:rPr>
        <w:t>usage</w:t>
      </w:r>
      <w:r w:rsidRPr="00092331">
        <w:rPr>
          <w:rFonts w:asciiTheme="minorHAnsi" w:hAnsiTheme="minorHAnsi"/>
        </w:rPr>
        <w:t xml:space="preserve"> before mass campaign and relative increase in coverage per region with fitted loess function. Note: in both plots</w:t>
      </w:r>
      <w:r w:rsidR="004E292F">
        <w:rPr>
          <w:rFonts w:asciiTheme="minorHAnsi" w:hAnsiTheme="minorHAnsi"/>
        </w:rPr>
        <w:t>,</w:t>
      </w:r>
      <w:r w:rsidRPr="00092331">
        <w:rPr>
          <w:rFonts w:asciiTheme="minorHAnsi" w:hAnsiTheme="minorHAnsi"/>
        </w:rPr>
        <w:t xml:space="preserve"> only regions are shown which had the MIS survey before the</w:t>
      </w:r>
      <w:r w:rsidR="00A90B92">
        <w:rPr>
          <w:rFonts w:asciiTheme="minorHAnsi" w:hAnsiTheme="minorHAnsi"/>
        </w:rPr>
        <w:t xml:space="preserve"> ITN</w:t>
      </w:r>
      <w:r w:rsidRPr="00092331">
        <w:rPr>
          <w:rFonts w:asciiTheme="minorHAnsi" w:hAnsiTheme="minorHAnsi"/>
        </w:rPr>
        <w:t xml:space="preserve"> mass campaign</w:t>
      </w:r>
      <w:r w:rsidR="004910D5" w:rsidRPr="00092331">
        <w:rPr>
          <w:rFonts w:asciiTheme="minorHAnsi" w:hAnsiTheme="minorHAnsi"/>
        </w:rPr>
        <w:t xml:space="preserve"> in either 2012 or 2016</w:t>
      </w:r>
      <w:r w:rsidRPr="00092331">
        <w:rPr>
          <w:rFonts w:asciiTheme="minorHAnsi" w:hAnsiTheme="minorHAnsi"/>
        </w:rPr>
        <w:t xml:space="preserve"> (n= 23</w:t>
      </w:r>
      <w:r w:rsidR="008678BB" w:rsidRPr="00092331">
        <w:rPr>
          <w:rFonts w:asciiTheme="minorHAnsi" w:hAnsiTheme="minorHAnsi"/>
        </w:rPr>
        <w:t xml:space="preserve">, </w:t>
      </w:r>
      <w:r w:rsidR="007D672A" w:rsidRPr="00092331">
        <w:rPr>
          <w:rFonts w:asciiTheme="minorHAnsi" w:hAnsiTheme="minorHAnsi"/>
        </w:rPr>
        <w:t>missing</w:t>
      </w:r>
      <w:r w:rsidR="008678BB" w:rsidRPr="00092331">
        <w:rPr>
          <w:rFonts w:asciiTheme="minorHAnsi" w:hAnsiTheme="minorHAnsi"/>
        </w:rPr>
        <w:t>=</w:t>
      </w:r>
      <w:r w:rsidR="00E40467">
        <w:rPr>
          <w:rFonts w:asciiTheme="minorHAnsi" w:hAnsiTheme="minorHAnsi"/>
        </w:rPr>
        <w:t xml:space="preserve"> </w:t>
      </w:r>
      <w:r w:rsidR="008678BB" w:rsidRPr="00092331">
        <w:rPr>
          <w:rFonts w:asciiTheme="minorHAnsi" w:hAnsiTheme="minorHAnsi"/>
        </w:rPr>
        <w:t>3</w:t>
      </w:r>
      <w:r w:rsidRPr="00092331">
        <w:rPr>
          <w:rFonts w:asciiTheme="minorHAnsi" w:hAnsiTheme="minorHAnsi"/>
        </w:rPr>
        <w:t xml:space="preserve">). </w:t>
      </w:r>
    </w:p>
    <w:p w14:paraId="210FF5CC" w14:textId="77777777" w:rsidR="00253097" w:rsidRPr="00624208" w:rsidRDefault="00253097" w:rsidP="006726D9"/>
    <w:p w14:paraId="7D4F64A3" w14:textId="6D6D2110" w:rsidR="00253097" w:rsidRPr="00092331" w:rsidRDefault="00253097" w:rsidP="00253097">
      <w:pPr>
        <w:spacing w:after="0" w:line="360" w:lineRule="auto"/>
        <w:jc w:val="both"/>
        <w:rPr>
          <w:noProof/>
        </w:rPr>
      </w:pPr>
      <w:r w:rsidRPr="00092331">
        <w:rPr>
          <w:noProof/>
        </w:rPr>
        <w:t>The timing of the</w:t>
      </w:r>
      <w:r>
        <w:rPr>
          <w:noProof/>
        </w:rPr>
        <w:t xml:space="preserve"> ITN</w:t>
      </w:r>
      <w:r w:rsidRPr="00092331">
        <w:rPr>
          <w:noProof/>
        </w:rPr>
        <w:t xml:space="preserve"> deployments was assumed to be the same across all regions, but accounting for differences in deployments i.e</w:t>
      </w:r>
      <w:r>
        <w:rPr>
          <w:noProof/>
        </w:rPr>
        <w:t>.</w:t>
      </w:r>
      <w:r w:rsidRPr="00092331">
        <w:rPr>
          <w:noProof/>
        </w:rPr>
        <w:t xml:space="preserve"> school net distributions in Mtwara, Lindi and Ruvuma (</w:t>
      </w:r>
      <w:r>
        <w:rPr>
          <w:noProof/>
        </w:rPr>
        <w:t>Table S2.3</w:t>
      </w:r>
      <w:r w:rsidRPr="00092331">
        <w:rPr>
          <w:noProof/>
        </w:rPr>
        <w:t xml:space="preserve">). </w:t>
      </w:r>
    </w:p>
    <w:p w14:paraId="05358BA2" w14:textId="77777777" w:rsidR="00FE20C5" w:rsidRPr="00092331" w:rsidRDefault="00FE20C5" w:rsidP="00FB7E5A">
      <w:pPr>
        <w:spacing w:after="0"/>
        <w:jc w:val="both"/>
      </w:pPr>
    </w:p>
    <w:p w14:paraId="723A7D4C" w14:textId="3F8F8384" w:rsidR="00FE20C5" w:rsidRPr="009C3D40" w:rsidRDefault="00FE20C5" w:rsidP="001C4413">
      <w:pPr>
        <w:pStyle w:val="Caption"/>
        <w:keepNext/>
        <w:spacing w:before="0" w:after="0" w:line="360" w:lineRule="auto"/>
        <w:rPr>
          <w:rFonts w:asciiTheme="minorHAnsi" w:hAnsiTheme="minorHAnsi"/>
          <w:b/>
        </w:rPr>
      </w:pPr>
      <w:bookmarkStart w:id="21" w:name="_Ref536705837"/>
      <w:bookmarkStart w:id="22" w:name="_Toc512371175"/>
      <w:r w:rsidRPr="009C3D40">
        <w:rPr>
          <w:rFonts w:asciiTheme="minorHAnsi" w:hAnsiTheme="minorHAnsi"/>
          <w:b/>
        </w:rPr>
        <w:t xml:space="preserve">Table </w:t>
      </w:r>
      <w:r w:rsidR="009C3D40" w:rsidRPr="009C3D40">
        <w:rPr>
          <w:rFonts w:asciiTheme="minorHAnsi" w:hAnsiTheme="minorHAnsi"/>
          <w:b/>
        </w:rPr>
        <w:t>S2.</w:t>
      </w:r>
      <w:r w:rsidRPr="009C3D40">
        <w:rPr>
          <w:rFonts w:asciiTheme="minorHAnsi" w:hAnsiTheme="minorHAnsi"/>
          <w:b/>
        </w:rPr>
        <w:fldChar w:fldCharType="begin"/>
      </w:r>
      <w:r w:rsidRPr="009C3D40">
        <w:rPr>
          <w:rFonts w:asciiTheme="minorHAnsi" w:hAnsiTheme="minorHAnsi"/>
          <w:b/>
        </w:rPr>
        <w:instrText xml:space="preserve"> SEQ Table \* ARABIC </w:instrText>
      </w:r>
      <w:r w:rsidRPr="009C3D40">
        <w:rPr>
          <w:rFonts w:asciiTheme="minorHAnsi" w:hAnsiTheme="minorHAnsi"/>
          <w:b/>
        </w:rPr>
        <w:fldChar w:fldCharType="separate"/>
      </w:r>
      <w:r w:rsidR="00B51A34">
        <w:rPr>
          <w:rFonts w:asciiTheme="minorHAnsi" w:hAnsiTheme="minorHAnsi"/>
          <w:b/>
          <w:noProof/>
        </w:rPr>
        <w:t>3</w:t>
      </w:r>
      <w:r w:rsidRPr="009C3D40">
        <w:rPr>
          <w:rFonts w:asciiTheme="minorHAnsi" w:hAnsiTheme="minorHAnsi"/>
          <w:b/>
          <w:noProof/>
        </w:rPr>
        <w:fldChar w:fldCharType="end"/>
      </w:r>
      <w:bookmarkEnd w:id="21"/>
      <w:r w:rsidRPr="009C3D40">
        <w:rPr>
          <w:rFonts w:asciiTheme="minorHAnsi" w:hAnsiTheme="minorHAnsi"/>
          <w:b/>
        </w:rPr>
        <w:t>:</w:t>
      </w:r>
      <w:r w:rsidR="00A90B92">
        <w:rPr>
          <w:rFonts w:asciiTheme="minorHAnsi" w:hAnsiTheme="minorHAnsi"/>
          <w:b/>
        </w:rPr>
        <w:t xml:space="preserve"> ITN</w:t>
      </w:r>
      <w:r w:rsidRPr="009C3D40">
        <w:rPr>
          <w:rFonts w:asciiTheme="minorHAnsi" w:hAnsiTheme="minorHAnsi"/>
          <w:b/>
        </w:rPr>
        <w:t xml:space="preserve"> deployment coverage per region in 2016.</w:t>
      </w:r>
      <w:bookmarkEnd w:id="22"/>
    </w:p>
    <w:tbl>
      <w:tblPr>
        <w:tblW w:w="4964" w:type="pct"/>
        <w:tblLayout w:type="fixed"/>
        <w:tblLook w:val="04A0" w:firstRow="1" w:lastRow="0" w:firstColumn="1" w:lastColumn="0" w:noHBand="0" w:noVBand="1"/>
      </w:tblPr>
      <w:tblGrid>
        <w:gridCol w:w="1080"/>
        <w:gridCol w:w="1897"/>
        <w:gridCol w:w="1283"/>
        <w:gridCol w:w="1661"/>
        <w:gridCol w:w="1252"/>
        <w:gridCol w:w="830"/>
        <w:gridCol w:w="139"/>
        <w:gridCol w:w="865"/>
      </w:tblGrid>
      <w:tr w:rsidR="000D04AC" w:rsidRPr="00092331" w14:paraId="2D01622C" w14:textId="77777777" w:rsidTr="007E5F00">
        <w:trPr>
          <w:trHeight w:hRule="exact" w:val="284"/>
        </w:trPr>
        <w:tc>
          <w:tcPr>
            <w:tcW w:w="600" w:type="pct"/>
            <w:tcBorders>
              <w:top w:val="single" w:sz="4" w:space="0" w:color="auto"/>
              <w:left w:val="nil"/>
              <w:bottom w:val="single" w:sz="4" w:space="0" w:color="auto"/>
              <w:right w:val="nil"/>
            </w:tcBorders>
            <w:vAlign w:val="center"/>
          </w:tcPr>
          <w:p w14:paraId="48E5B655" w14:textId="77777777" w:rsidR="00FE20C5" w:rsidRPr="00092331" w:rsidRDefault="00FE20C5" w:rsidP="00FB7E5A">
            <w:pPr>
              <w:spacing w:after="0"/>
              <w:jc w:val="both"/>
              <w:rPr>
                <w:b/>
                <w:bCs/>
                <w:sz w:val="20"/>
                <w:szCs w:val="20"/>
                <w:lang w:eastAsia="en-GB"/>
              </w:rPr>
            </w:pPr>
            <w:r w:rsidRPr="00092331">
              <w:rPr>
                <w:b/>
                <w:bCs/>
                <w:sz w:val="20"/>
                <w:szCs w:val="20"/>
                <w:lang w:eastAsia="en-GB"/>
              </w:rPr>
              <w:t xml:space="preserve">Campaign and survey timing </w:t>
            </w:r>
          </w:p>
        </w:tc>
        <w:tc>
          <w:tcPr>
            <w:tcW w:w="1053" w:type="pct"/>
            <w:tcBorders>
              <w:top w:val="single" w:sz="4" w:space="0" w:color="auto"/>
              <w:left w:val="nil"/>
              <w:bottom w:val="single" w:sz="4" w:space="0" w:color="auto"/>
              <w:right w:val="nil"/>
            </w:tcBorders>
            <w:vAlign w:val="center"/>
          </w:tcPr>
          <w:p w14:paraId="2F90C01C" w14:textId="77777777" w:rsidR="00FE20C5" w:rsidRPr="00092331" w:rsidRDefault="00FE20C5" w:rsidP="00FB7E5A">
            <w:pPr>
              <w:spacing w:after="0"/>
              <w:jc w:val="both"/>
              <w:rPr>
                <w:b/>
                <w:bCs/>
                <w:sz w:val="20"/>
                <w:szCs w:val="20"/>
                <w:lang w:eastAsia="en-GB"/>
              </w:rPr>
            </w:pPr>
            <w:r w:rsidRPr="00092331">
              <w:rPr>
                <w:b/>
                <w:bCs/>
                <w:sz w:val="20"/>
                <w:szCs w:val="20"/>
                <w:lang w:eastAsia="en-GB"/>
              </w:rPr>
              <w:t>Adjustment method</w:t>
            </w:r>
          </w:p>
        </w:tc>
        <w:tc>
          <w:tcPr>
            <w:tcW w:w="712" w:type="pct"/>
            <w:tcBorders>
              <w:top w:val="single" w:sz="4" w:space="0" w:color="auto"/>
              <w:left w:val="nil"/>
              <w:bottom w:val="single" w:sz="4" w:space="0" w:color="auto"/>
              <w:right w:val="nil"/>
            </w:tcBorders>
            <w:shd w:val="clear" w:color="auto" w:fill="auto"/>
            <w:vAlign w:val="center"/>
            <w:hideMark/>
          </w:tcPr>
          <w:p w14:paraId="5F26B4DB" w14:textId="77777777" w:rsidR="00FE20C5" w:rsidRPr="00092331" w:rsidRDefault="00FE20C5" w:rsidP="00FB7E5A">
            <w:pPr>
              <w:spacing w:after="0"/>
              <w:jc w:val="both"/>
              <w:rPr>
                <w:b/>
                <w:bCs/>
                <w:sz w:val="20"/>
                <w:szCs w:val="20"/>
                <w:lang w:eastAsia="en-GB"/>
              </w:rPr>
            </w:pPr>
            <w:r w:rsidRPr="00092331">
              <w:rPr>
                <w:b/>
                <w:bCs/>
                <w:sz w:val="20"/>
                <w:szCs w:val="20"/>
                <w:lang w:eastAsia="en-GB"/>
              </w:rPr>
              <w:t>Region</w:t>
            </w:r>
          </w:p>
        </w:tc>
        <w:tc>
          <w:tcPr>
            <w:tcW w:w="922" w:type="pct"/>
            <w:tcBorders>
              <w:top w:val="single" w:sz="4" w:space="0" w:color="auto"/>
              <w:left w:val="nil"/>
              <w:bottom w:val="single" w:sz="4" w:space="0" w:color="auto"/>
              <w:right w:val="nil"/>
            </w:tcBorders>
            <w:shd w:val="clear" w:color="auto" w:fill="auto"/>
            <w:vAlign w:val="center"/>
            <w:hideMark/>
          </w:tcPr>
          <w:p w14:paraId="6AF528B9" w14:textId="77777777" w:rsidR="00FE20C5" w:rsidRPr="00092331" w:rsidRDefault="00FE20C5" w:rsidP="00FB7E5A">
            <w:pPr>
              <w:spacing w:after="0"/>
              <w:jc w:val="both"/>
              <w:rPr>
                <w:b/>
                <w:bCs/>
                <w:sz w:val="20"/>
                <w:szCs w:val="20"/>
                <w:lang w:eastAsia="en-GB"/>
              </w:rPr>
            </w:pPr>
            <w:r w:rsidRPr="00092331">
              <w:rPr>
                <w:b/>
                <w:bCs/>
                <w:sz w:val="20"/>
                <w:szCs w:val="20"/>
                <w:lang w:eastAsia="en-GB"/>
              </w:rPr>
              <w:t>Mass campaign</w:t>
            </w:r>
          </w:p>
          <w:p w14:paraId="5A282203" w14:textId="77777777" w:rsidR="00FE20C5" w:rsidRPr="00092331" w:rsidRDefault="00FE20C5" w:rsidP="00FB7E5A">
            <w:pPr>
              <w:spacing w:after="0"/>
              <w:jc w:val="both"/>
              <w:rPr>
                <w:b/>
                <w:bCs/>
                <w:sz w:val="20"/>
                <w:szCs w:val="20"/>
                <w:lang w:eastAsia="en-GB"/>
              </w:rPr>
            </w:pPr>
            <w:r w:rsidRPr="00092331">
              <w:rPr>
                <w:b/>
                <w:bCs/>
                <w:sz w:val="20"/>
                <w:szCs w:val="20"/>
                <w:lang w:eastAsia="en-GB"/>
              </w:rPr>
              <w:t>date</w:t>
            </w:r>
          </w:p>
        </w:tc>
        <w:tc>
          <w:tcPr>
            <w:tcW w:w="695" w:type="pct"/>
            <w:tcBorders>
              <w:top w:val="single" w:sz="4" w:space="0" w:color="auto"/>
              <w:left w:val="nil"/>
              <w:bottom w:val="single" w:sz="4" w:space="0" w:color="auto"/>
              <w:right w:val="nil"/>
            </w:tcBorders>
            <w:shd w:val="clear" w:color="auto" w:fill="auto"/>
            <w:vAlign w:val="center"/>
            <w:hideMark/>
          </w:tcPr>
          <w:p w14:paraId="50ADC101" w14:textId="77777777" w:rsidR="00FE20C5" w:rsidRPr="00092331" w:rsidRDefault="00FE20C5" w:rsidP="00FB7E5A">
            <w:pPr>
              <w:spacing w:after="0"/>
              <w:jc w:val="both"/>
              <w:rPr>
                <w:b/>
                <w:bCs/>
                <w:sz w:val="20"/>
                <w:szCs w:val="20"/>
                <w:lang w:eastAsia="en-GB"/>
              </w:rPr>
            </w:pPr>
            <w:r w:rsidRPr="00092331">
              <w:rPr>
                <w:b/>
                <w:bCs/>
                <w:sz w:val="20"/>
                <w:szCs w:val="20"/>
                <w:lang w:eastAsia="en-GB"/>
              </w:rPr>
              <w:t>MIS</w:t>
            </w:r>
          </w:p>
          <w:p w14:paraId="34D21D21" w14:textId="77777777" w:rsidR="00FE20C5" w:rsidRPr="00092331" w:rsidRDefault="00FE20C5" w:rsidP="00FB7E5A">
            <w:pPr>
              <w:spacing w:after="0"/>
              <w:jc w:val="both"/>
              <w:rPr>
                <w:b/>
                <w:bCs/>
                <w:sz w:val="20"/>
                <w:szCs w:val="20"/>
                <w:lang w:eastAsia="en-GB"/>
              </w:rPr>
            </w:pPr>
            <w:r w:rsidRPr="00092331">
              <w:rPr>
                <w:b/>
                <w:bCs/>
                <w:sz w:val="20"/>
                <w:szCs w:val="20"/>
                <w:lang w:eastAsia="en-GB"/>
              </w:rPr>
              <w:t>2015-16</w:t>
            </w:r>
          </w:p>
          <w:p w14:paraId="7BB445B0" w14:textId="77777777" w:rsidR="00FE20C5" w:rsidRPr="00092331" w:rsidRDefault="00FE20C5" w:rsidP="00FB7E5A">
            <w:pPr>
              <w:spacing w:after="0"/>
              <w:jc w:val="both"/>
              <w:rPr>
                <w:b/>
                <w:bCs/>
                <w:sz w:val="20"/>
                <w:szCs w:val="20"/>
                <w:lang w:eastAsia="en-GB"/>
              </w:rPr>
            </w:pPr>
            <w:r w:rsidRPr="00092331">
              <w:rPr>
                <w:b/>
                <w:bCs/>
                <w:sz w:val="20"/>
                <w:szCs w:val="20"/>
                <w:lang w:eastAsia="en-GB"/>
              </w:rPr>
              <w:t>date</w:t>
            </w:r>
          </w:p>
        </w:tc>
        <w:tc>
          <w:tcPr>
            <w:tcW w:w="461" w:type="pct"/>
            <w:tcBorders>
              <w:top w:val="single" w:sz="4" w:space="0" w:color="auto"/>
              <w:left w:val="nil"/>
              <w:bottom w:val="single" w:sz="4" w:space="0" w:color="auto"/>
              <w:right w:val="nil"/>
            </w:tcBorders>
            <w:shd w:val="clear" w:color="auto" w:fill="auto"/>
            <w:vAlign w:val="center"/>
            <w:hideMark/>
          </w:tcPr>
          <w:p w14:paraId="4DE274D0" w14:textId="77777777" w:rsidR="00FE20C5" w:rsidRPr="00092331" w:rsidRDefault="00FE20C5" w:rsidP="00FB7E5A">
            <w:pPr>
              <w:spacing w:after="0"/>
              <w:jc w:val="both"/>
              <w:rPr>
                <w:b/>
                <w:bCs/>
                <w:sz w:val="20"/>
                <w:szCs w:val="20"/>
                <w:lang w:eastAsia="en-GB"/>
              </w:rPr>
            </w:pPr>
            <w:r w:rsidRPr="00092331">
              <w:rPr>
                <w:b/>
                <w:bCs/>
                <w:sz w:val="20"/>
                <w:szCs w:val="20"/>
                <w:lang w:eastAsia="en-GB"/>
              </w:rPr>
              <w:t>MIS</w:t>
            </w:r>
          </w:p>
          <w:p w14:paraId="03A81D6B" w14:textId="33EDF894" w:rsidR="00FE20C5" w:rsidRPr="00092331" w:rsidRDefault="00A90B92" w:rsidP="00FB7E5A">
            <w:pPr>
              <w:spacing w:after="0"/>
              <w:jc w:val="both"/>
              <w:rPr>
                <w:b/>
                <w:bCs/>
                <w:sz w:val="20"/>
                <w:szCs w:val="20"/>
                <w:lang w:eastAsia="en-GB"/>
              </w:rPr>
            </w:pPr>
            <w:r>
              <w:rPr>
                <w:b/>
                <w:sz w:val="20"/>
                <w:szCs w:val="20"/>
              </w:rPr>
              <w:t xml:space="preserve"> ITN</w:t>
            </w:r>
            <w:r w:rsidR="00FE20C5" w:rsidRPr="00092331">
              <w:rPr>
                <w:b/>
                <w:bCs/>
                <w:sz w:val="20"/>
                <w:szCs w:val="20"/>
                <w:lang w:eastAsia="en-GB"/>
              </w:rPr>
              <w:t xml:space="preserve"> use</w:t>
            </w:r>
          </w:p>
          <w:p w14:paraId="637D3AC8" w14:textId="77777777" w:rsidR="00FE20C5" w:rsidRPr="00092331" w:rsidRDefault="00FE20C5" w:rsidP="00FB7E5A">
            <w:pPr>
              <w:spacing w:after="0"/>
              <w:jc w:val="both"/>
              <w:rPr>
                <w:b/>
                <w:bCs/>
                <w:sz w:val="20"/>
                <w:szCs w:val="20"/>
                <w:lang w:eastAsia="en-GB"/>
              </w:rPr>
            </w:pPr>
            <w:r w:rsidRPr="00092331">
              <w:rPr>
                <w:b/>
                <w:bCs/>
                <w:sz w:val="20"/>
                <w:szCs w:val="20"/>
                <w:lang w:eastAsia="en-GB"/>
              </w:rPr>
              <w:t>2015-16 (%)</w:t>
            </w:r>
          </w:p>
        </w:tc>
        <w:tc>
          <w:tcPr>
            <w:tcW w:w="557" w:type="pct"/>
            <w:gridSpan w:val="2"/>
            <w:tcBorders>
              <w:top w:val="single" w:sz="4" w:space="0" w:color="auto"/>
              <w:left w:val="nil"/>
              <w:bottom w:val="single" w:sz="4" w:space="0" w:color="auto"/>
              <w:right w:val="nil"/>
            </w:tcBorders>
            <w:shd w:val="clear" w:color="auto" w:fill="auto"/>
            <w:vAlign w:val="center"/>
            <w:hideMark/>
          </w:tcPr>
          <w:p w14:paraId="5644EB3D" w14:textId="66286E3B" w:rsidR="00FE20C5" w:rsidRPr="00092331" w:rsidRDefault="00FE20C5" w:rsidP="00FB7E5A">
            <w:pPr>
              <w:spacing w:after="0"/>
              <w:jc w:val="both"/>
              <w:rPr>
                <w:b/>
                <w:bCs/>
                <w:sz w:val="20"/>
                <w:szCs w:val="20"/>
                <w:lang w:eastAsia="en-GB"/>
              </w:rPr>
            </w:pPr>
            <w:r w:rsidRPr="00092331">
              <w:rPr>
                <w:b/>
                <w:bCs/>
                <w:sz w:val="20"/>
                <w:szCs w:val="20"/>
                <w:lang w:eastAsia="en-GB"/>
              </w:rPr>
              <w:t>Adjusted</w:t>
            </w:r>
            <w:r w:rsidR="00A90B92">
              <w:rPr>
                <w:b/>
                <w:bCs/>
                <w:sz w:val="20"/>
                <w:szCs w:val="20"/>
                <w:lang w:eastAsia="en-GB"/>
              </w:rPr>
              <w:t xml:space="preserve"> </w:t>
            </w:r>
            <w:r w:rsidR="00A90B92">
              <w:rPr>
                <w:b/>
                <w:sz w:val="20"/>
                <w:szCs w:val="20"/>
              </w:rPr>
              <w:t>ITN</w:t>
            </w:r>
            <w:r w:rsidRPr="00092331">
              <w:rPr>
                <w:b/>
                <w:bCs/>
                <w:sz w:val="20"/>
                <w:szCs w:val="20"/>
                <w:lang w:eastAsia="en-GB"/>
              </w:rPr>
              <w:t xml:space="preserve"> coverage 2016 (%)</w:t>
            </w:r>
          </w:p>
        </w:tc>
      </w:tr>
      <w:tr w:rsidR="004910D5" w:rsidRPr="00092331" w14:paraId="31F96A1A" w14:textId="77777777" w:rsidTr="007E5F00">
        <w:trPr>
          <w:trHeight w:val="284"/>
        </w:trPr>
        <w:tc>
          <w:tcPr>
            <w:tcW w:w="600" w:type="pct"/>
            <w:vMerge w:val="restart"/>
            <w:tcBorders>
              <w:top w:val="nil"/>
              <w:left w:val="nil"/>
              <w:right w:val="nil"/>
            </w:tcBorders>
            <w:vAlign w:val="center"/>
          </w:tcPr>
          <w:p w14:paraId="291FF1C0" w14:textId="554D5BA9" w:rsidR="00FE20C5" w:rsidRPr="00092331" w:rsidRDefault="007E5F00" w:rsidP="00810C38">
            <w:pPr>
              <w:spacing w:after="0"/>
              <w:rPr>
                <w:sz w:val="20"/>
                <w:szCs w:val="20"/>
                <w:lang w:eastAsia="en-GB"/>
              </w:rPr>
            </w:pPr>
            <w:r>
              <w:rPr>
                <w:sz w:val="20"/>
                <w:szCs w:val="20"/>
                <w:lang w:eastAsia="en-GB"/>
              </w:rPr>
              <w:t>C</w:t>
            </w:r>
            <w:r w:rsidR="00FE20C5" w:rsidRPr="00092331">
              <w:rPr>
                <w:sz w:val="20"/>
                <w:szCs w:val="20"/>
                <w:lang w:eastAsia="en-GB"/>
              </w:rPr>
              <w:t>ampaign before survey</w:t>
            </w:r>
          </w:p>
        </w:tc>
        <w:tc>
          <w:tcPr>
            <w:tcW w:w="1053" w:type="pct"/>
            <w:vMerge w:val="restart"/>
            <w:tcBorders>
              <w:top w:val="nil"/>
              <w:left w:val="nil"/>
              <w:right w:val="nil"/>
            </w:tcBorders>
            <w:vAlign w:val="center"/>
          </w:tcPr>
          <w:p w14:paraId="498A1C54" w14:textId="47EDBE92" w:rsidR="00FE20C5" w:rsidRPr="00092331" w:rsidRDefault="007E5F00" w:rsidP="007E5F00">
            <w:pPr>
              <w:spacing w:after="0"/>
              <w:rPr>
                <w:sz w:val="20"/>
                <w:szCs w:val="20"/>
                <w:lang w:eastAsia="en-GB"/>
              </w:rPr>
            </w:pPr>
            <w:r>
              <w:rPr>
                <w:sz w:val="20"/>
                <w:szCs w:val="20"/>
                <w:lang w:eastAsia="en-GB"/>
              </w:rPr>
              <w:t>A</w:t>
            </w:r>
            <w:r w:rsidR="00FE20C5" w:rsidRPr="00092331">
              <w:rPr>
                <w:sz w:val="20"/>
                <w:szCs w:val="20"/>
                <w:lang w:eastAsia="en-GB"/>
              </w:rPr>
              <w:t xml:space="preserve">ttrition of nets function to get </w:t>
            </w:r>
            <w:r>
              <w:rPr>
                <w:sz w:val="20"/>
                <w:szCs w:val="20"/>
                <w:lang w:eastAsia="en-GB"/>
              </w:rPr>
              <w:t>the usage</w:t>
            </w:r>
            <w:r w:rsidR="00FE20C5" w:rsidRPr="00092331">
              <w:rPr>
                <w:sz w:val="20"/>
                <w:szCs w:val="20"/>
                <w:lang w:eastAsia="en-GB"/>
              </w:rPr>
              <w:t xml:space="preserve"> at deployment</w:t>
            </w:r>
            <w:r>
              <w:rPr>
                <w:sz w:val="20"/>
                <w:szCs w:val="20"/>
                <w:lang w:eastAsia="en-GB"/>
              </w:rPr>
              <w:t>. Since</w:t>
            </w:r>
            <w:r w:rsidR="00FE20C5" w:rsidRPr="00092331">
              <w:rPr>
                <w:sz w:val="20"/>
                <w:szCs w:val="20"/>
                <w:lang w:eastAsia="en-GB"/>
              </w:rPr>
              <w:t xml:space="preserve"> </w:t>
            </w:r>
            <w:r>
              <w:rPr>
                <w:sz w:val="20"/>
                <w:szCs w:val="20"/>
                <w:lang w:eastAsia="en-GB"/>
              </w:rPr>
              <w:t xml:space="preserve">the </w:t>
            </w:r>
            <w:r w:rsidR="00FE20C5" w:rsidRPr="00092331">
              <w:rPr>
                <w:noProof/>
                <w:sz w:val="20"/>
                <w:szCs w:val="20"/>
                <w:lang w:eastAsia="en-GB"/>
              </w:rPr>
              <w:t>change</w:t>
            </w:r>
            <w:r w:rsidR="00FE20C5" w:rsidRPr="00092331">
              <w:rPr>
                <w:sz w:val="20"/>
                <w:szCs w:val="20"/>
                <w:lang w:eastAsia="en-GB"/>
              </w:rPr>
              <w:t xml:space="preserve"> was </w:t>
            </w:r>
            <w:r>
              <w:rPr>
                <w:sz w:val="20"/>
                <w:szCs w:val="20"/>
                <w:lang w:eastAsia="en-GB"/>
              </w:rPr>
              <w:t>&lt;</w:t>
            </w:r>
            <w:r w:rsidR="00FE20C5" w:rsidRPr="00092331">
              <w:rPr>
                <w:sz w:val="20"/>
                <w:szCs w:val="20"/>
                <w:lang w:eastAsia="en-GB"/>
              </w:rPr>
              <w:t xml:space="preserve"> 1%, the original value was kept</w:t>
            </w:r>
          </w:p>
        </w:tc>
        <w:tc>
          <w:tcPr>
            <w:tcW w:w="712" w:type="pct"/>
            <w:tcBorders>
              <w:top w:val="nil"/>
              <w:left w:val="nil"/>
              <w:bottom w:val="nil"/>
              <w:right w:val="nil"/>
            </w:tcBorders>
            <w:shd w:val="clear" w:color="auto" w:fill="auto"/>
            <w:noWrap/>
            <w:vAlign w:val="center"/>
            <w:hideMark/>
          </w:tcPr>
          <w:p w14:paraId="526DAA97" w14:textId="77777777" w:rsidR="00FE20C5" w:rsidRPr="00092331" w:rsidRDefault="00FE20C5" w:rsidP="00810C38">
            <w:pPr>
              <w:spacing w:after="0"/>
              <w:rPr>
                <w:sz w:val="20"/>
                <w:szCs w:val="20"/>
                <w:lang w:eastAsia="en-GB"/>
              </w:rPr>
            </w:pPr>
            <w:proofErr w:type="spellStart"/>
            <w:r w:rsidRPr="00092331">
              <w:rPr>
                <w:sz w:val="20"/>
                <w:szCs w:val="20"/>
                <w:lang w:eastAsia="en-GB"/>
              </w:rPr>
              <w:t>Geita</w:t>
            </w:r>
            <w:proofErr w:type="spellEnd"/>
          </w:p>
        </w:tc>
        <w:tc>
          <w:tcPr>
            <w:tcW w:w="922" w:type="pct"/>
            <w:tcBorders>
              <w:top w:val="nil"/>
              <w:left w:val="nil"/>
              <w:bottom w:val="nil"/>
              <w:right w:val="nil"/>
            </w:tcBorders>
            <w:shd w:val="clear" w:color="auto" w:fill="auto"/>
            <w:noWrap/>
            <w:vAlign w:val="center"/>
            <w:hideMark/>
          </w:tcPr>
          <w:p w14:paraId="54364828" w14:textId="77777777" w:rsidR="00FE20C5" w:rsidRPr="00092331" w:rsidRDefault="00FE20C5" w:rsidP="00810C38">
            <w:pPr>
              <w:spacing w:after="0"/>
              <w:rPr>
                <w:sz w:val="20"/>
                <w:szCs w:val="20"/>
                <w:lang w:eastAsia="en-GB"/>
              </w:rPr>
            </w:pPr>
            <w:r w:rsidRPr="00092331">
              <w:rPr>
                <w:sz w:val="20"/>
                <w:szCs w:val="20"/>
                <w:lang w:eastAsia="en-GB"/>
              </w:rPr>
              <w:t>01.10.2015</w:t>
            </w:r>
          </w:p>
        </w:tc>
        <w:tc>
          <w:tcPr>
            <w:tcW w:w="695" w:type="pct"/>
            <w:tcBorders>
              <w:top w:val="nil"/>
              <w:left w:val="nil"/>
              <w:bottom w:val="nil"/>
              <w:right w:val="nil"/>
            </w:tcBorders>
            <w:shd w:val="clear" w:color="auto" w:fill="auto"/>
            <w:noWrap/>
            <w:vAlign w:val="center"/>
            <w:hideMark/>
          </w:tcPr>
          <w:p w14:paraId="417B168D" w14:textId="77777777" w:rsidR="00FE20C5" w:rsidRPr="00092331" w:rsidRDefault="00FE20C5" w:rsidP="00810C38">
            <w:pPr>
              <w:spacing w:after="0"/>
              <w:rPr>
                <w:sz w:val="20"/>
                <w:szCs w:val="20"/>
                <w:lang w:eastAsia="en-GB"/>
              </w:rPr>
            </w:pPr>
            <w:r w:rsidRPr="00092331">
              <w:rPr>
                <w:sz w:val="20"/>
                <w:szCs w:val="20"/>
                <w:lang w:eastAsia="en-GB"/>
              </w:rPr>
              <w:t>07.01.2016</w:t>
            </w:r>
          </w:p>
        </w:tc>
        <w:tc>
          <w:tcPr>
            <w:tcW w:w="1018" w:type="pct"/>
            <w:gridSpan w:val="3"/>
            <w:tcBorders>
              <w:top w:val="nil"/>
              <w:left w:val="nil"/>
              <w:bottom w:val="nil"/>
              <w:right w:val="nil"/>
            </w:tcBorders>
            <w:shd w:val="clear" w:color="auto" w:fill="auto"/>
            <w:noWrap/>
            <w:vAlign w:val="center"/>
            <w:hideMark/>
          </w:tcPr>
          <w:p w14:paraId="2A1CE7E8" w14:textId="77777777" w:rsidR="00FE20C5" w:rsidRPr="00092331" w:rsidRDefault="00FE20C5" w:rsidP="00810C38">
            <w:pPr>
              <w:spacing w:after="0"/>
              <w:rPr>
                <w:sz w:val="20"/>
                <w:szCs w:val="20"/>
                <w:lang w:eastAsia="en-GB"/>
              </w:rPr>
            </w:pPr>
            <w:r w:rsidRPr="00092331">
              <w:rPr>
                <w:sz w:val="20"/>
                <w:szCs w:val="20"/>
                <w:lang w:eastAsia="en-GB"/>
              </w:rPr>
              <w:t>85.5</w:t>
            </w:r>
          </w:p>
        </w:tc>
      </w:tr>
      <w:tr w:rsidR="004910D5" w:rsidRPr="00092331" w14:paraId="17DF57C9" w14:textId="77777777" w:rsidTr="007E5F00">
        <w:trPr>
          <w:trHeight w:val="284"/>
        </w:trPr>
        <w:tc>
          <w:tcPr>
            <w:tcW w:w="600" w:type="pct"/>
            <w:vMerge/>
            <w:tcBorders>
              <w:left w:val="nil"/>
              <w:right w:val="nil"/>
            </w:tcBorders>
            <w:vAlign w:val="center"/>
          </w:tcPr>
          <w:p w14:paraId="48683179"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603EDA7A"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66506D42" w14:textId="77777777" w:rsidR="00FE20C5" w:rsidRPr="00092331" w:rsidRDefault="00FE20C5" w:rsidP="00810C38">
            <w:pPr>
              <w:spacing w:after="0"/>
              <w:rPr>
                <w:sz w:val="20"/>
                <w:szCs w:val="20"/>
                <w:lang w:eastAsia="en-GB"/>
              </w:rPr>
            </w:pPr>
            <w:proofErr w:type="spellStart"/>
            <w:r w:rsidRPr="00092331">
              <w:rPr>
                <w:sz w:val="20"/>
                <w:szCs w:val="20"/>
                <w:lang w:eastAsia="en-GB"/>
              </w:rPr>
              <w:t>Kagera</w:t>
            </w:r>
            <w:proofErr w:type="spellEnd"/>
          </w:p>
        </w:tc>
        <w:tc>
          <w:tcPr>
            <w:tcW w:w="922" w:type="pct"/>
            <w:tcBorders>
              <w:top w:val="nil"/>
              <w:left w:val="nil"/>
              <w:bottom w:val="nil"/>
              <w:right w:val="nil"/>
            </w:tcBorders>
            <w:shd w:val="clear" w:color="auto" w:fill="auto"/>
            <w:noWrap/>
            <w:vAlign w:val="center"/>
            <w:hideMark/>
          </w:tcPr>
          <w:p w14:paraId="367C6F3E" w14:textId="77777777" w:rsidR="00FE20C5" w:rsidRPr="00092331" w:rsidRDefault="00FE20C5" w:rsidP="00810C38">
            <w:pPr>
              <w:spacing w:after="0"/>
              <w:rPr>
                <w:sz w:val="20"/>
                <w:szCs w:val="20"/>
                <w:lang w:eastAsia="en-GB"/>
              </w:rPr>
            </w:pPr>
            <w:r w:rsidRPr="00092331">
              <w:rPr>
                <w:sz w:val="20"/>
                <w:szCs w:val="20"/>
                <w:lang w:eastAsia="en-GB"/>
              </w:rPr>
              <w:t>01.08.2015</w:t>
            </w:r>
          </w:p>
        </w:tc>
        <w:tc>
          <w:tcPr>
            <w:tcW w:w="695" w:type="pct"/>
            <w:tcBorders>
              <w:top w:val="nil"/>
              <w:left w:val="nil"/>
              <w:bottom w:val="nil"/>
              <w:right w:val="nil"/>
            </w:tcBorders>
            <w:shd w:val="clear" w:color="auto" w:fill="auto"/>
            <w:noWrap/>
            <w:vAlign w:val="center"/>
            <w:hideMark/>
          </w:tcPr>
          <w:p w14:paraId="5EC47770" w14:textId="77777777" w:rsidR="00FE20C5" w:rsidRPr="00092331" w:rsidRDefault="00FE20C5" w:rsidP="00810C38">
            <w:pPr>
              <w:spacing w:after="0"/>
              <w:rPr>
                <w:sz w:val="20"/>
                <w:szCs w:val="20"/>
                <w:lang w:eastAsia="en-GB"/>
              </w:rPr>
            </w:pPr>
            <w:r w:rsidRPr="00092331">
              <w:rPr>
                <w:sz w:val="20"/>
                <w:szCs w:val="20"/>
                <w:lang w:eastAsia="en-GB"/>
              </w:rPr>
              <w:t>20.01.2016</w:t>
            </w:r>
          </w:p>
        </w:tc>
        <w:tc>
          <w:tcPr>
            <w:tcW w:w="1018" w:type="pct"/>
            <w:gridSpan w:val="3"/>
            <w:tcBorders>
              <w:top w:val="nil"/>
              <w:left w:val="nil"/>
              <w:bottom w:val="nil"/>
              <w:right w:val="nil"/>
            </w:tcBorders>
            <w:shd w:val="clear" w:color="auto" w:fill="auto"/>
            <w:noWrap/>
            <w:vAlign w:val="center"/>
            <w:hideMark/>
          </w:tcPr>
          <w:p w14:paraId="3226DC54" w14:textId="77777777" w:rsidR="00FE20C5" w:rsidRPr="00092331" w:rsidRDefault="00FE20C5" w:rsidP="00810C38">
            <w:pPr>
              <w:spacing w:after="0"/>
              <w:rPr>
                <w:sz w:val="20"/>
                <w:szCs w:val="20"/>
                <w:lang w:eastAsia="en-GB"/>
              </w:rPr>
            </w:pPr>
            <w:r w:rsidRPr="00092331">
              <w:rPr>
                <w:sz w:val="20"/>
                <w:szCs w:val="20"/>
                <w:lang w:eastAsia="en-GB"/>
              </w:rPr>
              <w:t>67.5</w:t>
            </w:r>
          </w:p>
        </w:tc>
      </w:tr>
      <w:tr w:rsidR="004910D5" w:rsidRPr="00092331" w14:paraId="1A86A190" w14:textId="77777777" w:rsidTr="007E5F00">
        <w:trPr>
          <w:trHeight w:val="284"/>
        </w:trPr>
        <w:tc>
          <w:tcPr>
            <w:tcW w:w="600" w:type="pct"/>
            <w:vMerge/>
            <w:tcBorders>
              <w:left w:val="nil"/>
              <w:right w:val="nil"/>
            </w:tcBorders>
            <w:vAlign w:val="center"/>
          </w:tcPr>
          <w:p w14:paraId="6E37889E"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638103FE"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67830502" w14:textId="77777777" w:rsidR="00FE20C5" w:rsidRPr="00092331" w:rsidRDefault="00FE20C5" w:rsidP="00810C38">
            <w:pPr>
              <w:spacing w:after="0"/>
              <w:rPr>
                <w:sz w:val="20"/>
                <w:szCs w:val="20"/>
                <w:lang w:eastAsia="en-GB"/>
              </w:rPr>
            </w:pPr>
            <w:r w:rsidRPr="00092331">
              <w:rPr>
                <w:sz w:val="20"/>
                <w:szCs w:val="20"/>
                <w:lang w:eastAsia="en-GB"/>
              </w:rPr>
              <w:t>Katavi</w:t>
            </w:r>
          </w:p>
        </w:tc>
        <w:tc>
          <w:tcPr>
            <w:tcW w:w="922" w:type="pct"/>
            <w:tcBorders>
              <w:top w:val="nil"/>
              <w:left w:val="nil"/>
              <w:bottom w:val="nil"/>
              <w:right w:val="nil"/>
            </w:tcBorders>
            <w:shd w:val="clear" w:color="auto" w:fill="auto"/>
            <w:noWrap/>
            <w:vAlign w:val="center"/>
            <w:hideMark/>
          </w:tcPr>
          <w:p w14:paraId="2864007C" w14:textId="77777777" w:rsidR="00FE20C5" w:rsidRPr="00092331" w:rsidRDefault="00FE20C5" w:rsidP="00810C38">
            <w:pPr>
              <w:spacing w:after="0"/>
              <w:rPr>
                <w:sz w:val="20"/>
                <w:szCs w:val="20"/>
                <w:lang w:eastAsia="en-GB"/>
              </w:rPr>
            </w:pPr>
            <w:r w:rsidRPr="00092331">
              <w:rPr>
                <w:sz w:val="20"/>
                <w:szCs w:val="20"/>
                <w:lang w:eastAsia="en-GB"/>
              </w:rPr>
              <w:t>01.07.2015</w:t>
            </w:r>
          </w:p>
        </w:tc>
        <w:tc>
          <w:tcPr>
            <w:tcW w:w="695" w:type="pct"/>
            <w:tcBorders>
              <w:top w:val="nil"/>
              <w:left w:val="nil"/>
              <w:bottom w:val="nil"/>
              <w:right w:val="nil"/>
            </w:tcBorders>
            <w:shd w:val="clear" w:color="auto" w:fill="auto"/>
            <w:noWrap/>
            <w:vAlign w:val="center"/>
            <w:hideMark/>
          </w:tcPr>
          <w:p w14:paraId="1F7357F6" w14:textId="77777777" w:rsidR="00FE20C5" w:rsidRPr="00092331" w:rsidRDefault="00FE20C5" w:rsidP="00810C38">
            <w:pPr>
              <w:spacing w:after="0"/>
              <w:rPr>
                <w:sz w:val="20"/>
                <w:szCs w:val="20"/>
                <w:lang w:eastAsia="en-GB"/>
              </w:rPr>
            </w:pPr>
            <w:r w:rsidRPr="00092331">
              <w:rPr>
                <w:sz w:val="20"/>
                <w:szCs w:val="20"/>
                <w:lang w:eastAsia="en-GB"/>
              </w:rPr>
              <w:t>12.01.2016</w:t>
            </w:r>
          </w:p>
        </w:tc>
        <w:tc>
          <w:tcPr>
            <w:tcW w:w="1018" w:type="pct"/>
            <w:gridSpan w:val="3"/>
            <w:tcBorders>
              <w:top w:val="nil"/>
              <w:left w:val="nil"/>
              <w:bottom w:val="nil"/>
              <w:right w:val="nil"/>
            </w:tcBorders>
            <w:shd w:val="clear" w:color="auto" w:fill="auto"/>
            <w:noWrap/>
            <w:vAlign w:val="center"/>
            <w:hideMark/>
          </w:tcPr>
          <w:p w14:paraId="270233B6" w14:textId="77777777" w:rsidR="00FE20C5" w:rsidRPr="00092331" w:rsidRDefault="00FE20C5" w:rsidP="00810C38">
            <w:pPr>
              <w:spacing w:after="0"/>
              <w:rPr>
                <w:sz w:val="20"/>
                <w:szCs w:val="20"/>
                <w:lang w:eastAsia="en-GB"/>
              </w:rPr>
            </w:pPr>
            <w:r w:rsidRPr="00092331">
              <w:rPr>
                <w:sz w:val="20"/>
                <w:szCs w:val="20"/>
                <w:lang w:eastAsia="en-GB"/>
              </w:rPr>
              <w:t>85.2</w:t>
            </w:r>
          </w:p>
        </w:tc>
      </w:tr>
      <w:tr w:rsidR="004910D5" w:rsidRPr="00092331" w14:paraId="2F98D80B" w14:textId="77777777" w:rsidTr="007E5F00">
        <w:trPr>
          <w:trHeight w:val="284"/>
        </w:trPr>
        <w:tc>
          <w:tcPr>
            <w:tcW w:w="600" w:type="pct"/>
            <w:vMerge/>
            <w:tcBorders>
              <w:left w:val="nil"/>
              <w:right w:val="nil"/>
            </w:tcBorders>
            <w:vAlign w:val="center"/>
          </w:tcPr>
          <w:p w14:paraId="39F0DFFD"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68CDBC1B"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37B657C9" w14:textId="77777777" w:rsidR="00FE20C5" w:rsidRPr="00092331" w:rsidRDefault="00FE20C5" w:rsidP="00810C38">
            <w:pPr>
              <w:spacing w:after="0"/>
              <w:rPr>
                <w:sz w:val="20"/>
                <w:szCs w:val="20"/>
                <w:lang w:eastAsia="en-GB"/>
              </w:rPr>
            </w:pPr>
            <w:r w:rsidRPr="00092331">
              <w:rPr>
                <w:sz w:val="20"/>
                <w:szCs w:val="20"/>
                <w:lang w:eastAsia="en-GB"/>
              </w:rPr>
              <w:t>Kigoma</w:t>
            </w:r>
          </w:p>
        </w:tc>
        <w:tc>
          <w:tcPr>
            <w:tcW w:w="922" w:type="pct"/>
            <w:tcBorders>
              <w:top w:val="nil"/>
              <w:left w:val="nil"/>
              <w:bottom w:val="nil"/>
              <w:right w:val="nil"/>
            </w:tcBorders>
            <w:shd w:val="clear" w:color="auto" w:fill="auto"/>
            <w:noWrap/>
            <w:vAlign w:val="center"/>
            <w:hideMark/>
          </w:tcPr>
          <w:p w14:paraId="69529D26" w14:textId="77777777" w:rsidR="00FE20C5" w:rsidRPr="00092331" w:rsidRDefault="00FE20C5" w:rsidP="00810C38">
            <w:pPr>
              <w:spacing w:after="0"/>
              <w:rPr>
                <w:sz w:val="20"/>
                <w:szCs w:val="20"/>
                <w:lang w:eastAsia="en-GB"/>
              </w:rPr>
            </w:pPr>
            <w:r w:rsidRPr="00092331">
              <w:rPr>
                <w:sz w:val="20"/>
                <w:szCs w:val="20"/>
                <w:lang w:eastAsia="en-GB"/>
              </w:rPr>
              <w:t>01.08.2015</w:t>
            </w:r>
          </w:p>
        </w:tc>
        <w:tc>
          <w:tcPr>
            <w:tcW w:w="695" w:type="pct"/>
            <w:tcBorders>
              <w:top w:val="nil"/>
              <w:left w:val="nil"/>
              <w:bottom w:val="nil"/>
              <w:right w:val="nil"/>
            </w:tcBorders>
            <w:shd w:val="clear" w:color="auto" w:fill="auto"/>
            <w:noWrap/>
            <w:vAlign w:val="center"/>
            <w:hideMark/>
          </w:tcPr>
          <w:p w14:paraId="2163A08F" w14:textId="77777777" w:rsidR="00FE20C5" w:rsidRPr="00092331" w:rsidRDefault="00FE20C5" w:rsidP="00810C38">
            <w:pPr>
              <w:spacing w:after="0"/>
              <w:rPr>
                <w:sz w:val="20"/>
                <w:szCs w:val="20"/>
                <w:lang w:eastAsia="en-GB"/>
              </w:rPr>
            </w:pPr>
            <w:r w:rsidRPr="00092331">
              <w:rPr>
                <w:sz w:val="20"/>
                <w:szCs w:val="20"/>
                <w:lang w:eastAsia="en-GB"/>
              </w:rPr>
              <w:t>28.10.2015</w:t>
            </w:r>
          </w:p>
        </w:tc>
        <w:tc>
          <w:tcPr>
            <w:tcW w:w="1018" w:type="pct"/>
            <w:gridSpan w:val="3"/>
            <w:tcBorders>
              <w:top w:val="nil"/>
              <w:left w:val="nil"/>
              <w:bottom w:val="nil"/>
              <w:right w:val="nil"/>
            </w:tcBorders>
            <w:shd w:val="clear" w:color="auto" w:fill="auto"/>
            <w:noWrap/>
            <w:vAlign w:val="center"/>
            <w:hideMark/>
          </w:tcPr>
          <w:p w14:paraId="06135B0E" w14:textId="77777777" w:rsidR="00FE20C5" w:rsidRPr="00092331" w:rsidRDefault="00FE20C5" w:rsidP="00810C38">
            <w:pPr>
              <w:spacing w:after="0"/>
              <w:rPr>
                <w:sz w:val="20"/>
                <w:szCs w:val="20"/>
                <w:lang w:eastAsia="en-GB"/>
              </w:rPr>
            </w:pPr>
            <w:r w:rsidRPr="00092331">
              <w:rPr>
                <w:sz w:val="20"/>
                <w:szCs w:val="20"/>
                <w:lang w:eastAsia="en-GB"/>
              </w:rPr>
              <w:t>54.3</w:t>
            </w:r>
          </w:p>
        </w:tc>
      </w:tr>
      <w:tr w:rsidR="004910D5" w:rsidRPr="00092331" w14:paraId="00A7310A" w14:textId="77777777" w:rsidTr="007E5F00">
        <w:trPr>
          <w:trHeight w:val="284"/>
        </w:trPr>
        <w:tc>
          <w:tcPr>
            <w:tcW w:w="600" w:type="pct"/>
            <w:vMerge/>
            <w:tcBorders>
              <w:left w:val="nil"/>
              <w:right w:val="nil"/>
            </w:tcBorders>
            <w:vAlign w:val="center"/>
          </w:tcPr>
          <w:p w14:paraId="15A4DB11"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7074D013"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4C5F4BE2" w14:textId="77777777" w:rsidR="00FE20C5" w:rsidRPr="00092331" w:rsidRDefault="00FE20C5" w:rsidP="00810C38">
            <w:pPr>
              <w:spacing w:after="0"/>
              <w:rPr>
                <w:sz w:val="20"/>
                <w:szCs w:val="20"/>
                <w:lang w:eastAsia="en-GB"/>
              </w:rPr>
            </w:pPr>
            <w:r w:rsidRPr="00092331">
              <w:rPr>
                <w:sz w:val="20"/>
                <w:szCs w:val="20"/>
                <w:lang w:eastAsia="en-GB"/>
              </w:rPr>
              <w:t>Mara</w:t>
            </w:r>
          </w:p>
        </w:tc>
        <w:tc>
          <w:tcPr>
            <w:tcW w:w="922" w:type="pct"/>
            <w:tcBorders>
              <w:top w:val="nil"/>
              <w:left w:val="nil"/>
              <w:bottom w:val="nil"/>
              <w:right w:val="nil"/>
            </w:tcBorders>
            <w:shd w:val="clear" w:color="auto" w:fill="auto"/>
            <w:noWrap/>
            <w:vAlign w:val="center"/>
            <w:hideMark/>
          </w:tcPr>
          <w:p w14:paraId="7EEEF4FD" w14:textId="77777777" w:rsidR="00FE20C5" w:rsidRPr="00092331" w:rsidRDefault="00FE20C5" w:rsidP="00810C38">
            <w:pPr>
              <w:spacing w:after="0"/>
              <w:rPr>
                <w:sz w:val="20"/>
                <w:szCs w:val="20"/>
                <w:lang w:eastAsia="en-GB"/>
              </w:rPr>
            </w:pPr>
            <w:r w:rsidRPr="00092331">
              <w:rPr>
                <w:sz w:val="20"/>
                <w:szCs w:val="20"/>
                <w:lang w:eastAsia="en-GB"/>
              </w:rPr>
              <w:t>01.10.2015</w:t>
            </w:r>
          </w:p>
        </w:tc>
        <w:tc>
          <w:tcPr>
            <w:tcW w:w="695" w:type="pct"/>
            <w:tcBorders>
              <w:top w:val="nil"/>
              <w:left w:val="nil"/>
              <w:bottom w:val="nil"/>
              <w:right w:val="nil"/>
            </w:tcBorders>
            <w:shd w:val="clear" w:color="auto" w:fill="auto"/>
            <w:noWrap/>
            <w:vAlign w:val="center"/>
            <w:hideMark/>
          </w:tcPr>
          <w:p w14:paraId="30399096" w14:textId="77777777" w:rsidR="00FE20C5" w:rsidRPr="00092331" w:rsidRDefault="00FE20C5" w:rsidP="00810C38">
            <w:pPr>
              <w:spacing w:after="0"/>
              <w:rPr>
                <w:sz w:val="20"/>
                <w:szCs w:val="20"/>
                <w:lang w:eastAsia="en-GB"/>
              </w:rPr>
            </w:pPr>
            <w:r w:rsidRPr="00092331">
              <w:rPr>
                <w:sz w:val="20"/>
                <w:szCs w:val="20"/>
                <w:lang w:eastAsia="en-GB"/>
              </w:rPr>
              <w:t>24.10.2015</w:t>
            </w:r>
          </w:p>
        </w:tc>
        <w:tc>
          <w:tcPr>
            <w:tcW w:w="1018" w:type="pct"/>
            <w:gridSpan w:val="3"/>
            <w:tcBorders>
              <w:top w:val="nil"/>
              <w:left w:val="nil"/>
              <w:bottom w:val="nil"/>
              <w:right w:val="nil"/>
            </w:tcBorders>
            <w:shd w:val="clear" w:color="auto" w:fill="auto"/>
            <w:noWrap/>
            <w:vAlign w:val="center"/>
            <w:hideMark/>
          </w:tcPr>
          <w:p w14:paraId="2B6C9BF1" w14:textId="77777777" w:rsidR="00FE20C5" w:rsidRPr="00092331" w:rsidRDefault="00FE20C5" w:rsidP="00810C38">
            <w:pPr>
              <w:spacing w:after="0"/>
              <w:rPr>
                <w:sz w:val="20"/>
                <w:szCs w:val="20"/>
                <w:lang w:eastAsia="en-GB"/>
              </w:rPr>
            </w:pPr>
            <w:r w:rsidRPr="00092331">
              <w:rPr>
                <w:sz w:val="20"/>
                <w:szCs w:val="20"/>
                <w:lang w:eastAsia="en-GB"/>
              </w:rPr>
              <w:t>66.7</w:t>
            </w:r>
          </w:p>
        </w:tc>
      </w:tr>
      <w:tr w:rsidR="004910D5" w:rsidRPr="00092331" w14:paraId="255DFFBB" w14:textId="77777777" w:rsidTr="007E5F00">
        <w:trPr>
          <w:trHeight w:val="284"/>
        </w:trPr>
        <w:tc>
          <w:tcPr>
            <w:tcW w:w="600" w:type="pct"/>
            <w:vMerge/>
            <w:tcBorders>
              <w:left w:val="nil"/>
              <w:right w:val="nil"/>
            </w:tcBorders>
            <w:vAlign w:val="center"/>
          </w:tcPr>
          <w:p w14:paraId="291100DC"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0C5AC28E"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10E67D45" w14:textId="77777777" w:rsidR="00FE20C5" w:rsidRPr="00092331" w:rsidRDefault="00FE20C5" w:rsidP="00810C38">
            <w:pPr>
              <w:spacing w:after="0"/>
              <w:rPr>
                <w:sz w:val="20"/>
                <w:szCs w:val="20"/>
                <w:lang w:eastAsia="en-GB"/>
              </w:rPr>
            </w:pPr>
            <w:r w:rsidRPr="00092331">
              <w:rPr>
                <w:sz w:val="20"/>
                <w:szCs w:val="20"/>
                <w:lang w:eastAsia="en-GB"/>
              </w:rPr>
              <w:t>Mwanza</w:t>
            </w:r>
          </w:p>
        </w:tc>
        <w:tc>
          <w:tcPr>
            <w:tcW w:w="922" w:type="pct"/>
            <w:tcBorders>
              <w:top w:val="nil"/>
              <w:left w:val="nil"/>
              <w:bottom w:val="nil"/>
              <w:right w:val="nil"/>
            </w:tcBorders>
            <w:shd w:val="clear" w:color="auto" w:fill="auto"/>
            <w:noWrap/>
            <w:vAlign w:val="center"/>
            <w:hideMark/>
          </w:tcPr>
          <w:p w14:paraId="75607A52" w14:textId="77777777" w:rsidR="00FE20C5" w:rsidRPr="00092331" w:rsidRDefault="00FE20C5" w:rsidP="00810C38">
            <w:pPr>
              <w:spacing w:after="0"/>
              <w:rPr>
                <w:sz w:val="20"/>
                <w:szCs w:val="20"/>
                <w:lang w:eastAsia="en-GB"/>
              </w:rPr>
            </w:pPr>
            <w:r w:rsidRPr="00092331">
              <w:rPr>
                <w:sz w:val="20"/>
                <w:szCs w:val="20"/>
                <w:lang w:eastAsia="en-GB"/>
              </w:rPr>
              <w:t>01.08.2015</w:t>
            </w:r>
          </w:p>
        </w:tc>
        <w:tc>
          <w:tcPr>
            <w:tcW w:w="695" w:type="pct"/>
            <w:tcBorders>
              <w:top w:val="nil"/>
              <w:left w:val="nil"/>
              <w:bottom w:val="nil"/>
              <w:right w:val="nil"/>
            </w:tcBorders>
            <w:shd w:val="clear" w:color="auto" w:fill="auto"/>
            <w:noWrap/>
            <w:vAlign w:val="center"/>
            <w:hideMark/>
          </w:tcPr>
          <w:p w14:paraId="11419178" w14:textId="77777777" w:rsidR="00FE20C5" w:rsidRPr="00092331" w:rsidRDefault="00FE20C5" w:rsidP="00810C38">
            <w:pPr>
              <w:spacing w:after="0"/>
              <w:rPr>
                <w:sz w:val="20"/>
                <w:szCs w:val="20"/>
                <w:lang w:eastAsia="en-GB"/>
              </w:rPr>
            </w:pPr>
            <w:r w:rsidRPr="00092331">
              <w:rPr>
                <w:sz w:val="20"/>
                <w:szCs w:val="20"/>
                <w:lang w:eastAsia="en-GB"/>
              </w:rPr>
              <w:t>16.10.2015</w:t>
            </w:r>
          </w:p>
        </w:tc>
        <w:tc>
          <w:tcPr>
            <w:tcW w:w="1018" w:type="pct"/>
            <w:gridSpan w:val="3"/>
            <w:tcBorders>
              <w:top w:val="nil"/>
              <w:left w:val="nil"/>
              <w:bottom w:val="nil"/>
              <w:right w:val="nil"/>
            </w:tcBorders>
            <w:shd w:val="clear" w:color="auto" w:fill="auto"/>
            <w:noWrap/>
            <w:vAlign w:val="center"/>
            <w:hideMark/>
          </w:tcPr>
          <w:p w14:paraId="1B765315" w14:textId="77777777" w:rsidR="00FE20C5" w:rsidRPr="00092331" w:rsidRDefault="00FE20C5" w:rsidP="00810C38">
            <w:pPr>
              <w:spacing w:after="0"/>
              <w:rPr>
                <w:sz w:val="20"/>
                <w:szCs w:val="20"/>
                <w:lang w:eastAsia="en-GB"/>
              </w:rPr>
            </w:pPr>
            <w:r w:rsidRPr="00092331">
              <w:rPr>
                <w:sz w:val="20"/>
                <w:szCs w:val="20"/>
                <w:lang w:eastAsia="en-GB"/>
              </w:rPr>
              <w:t>68</w:t>
            </w:r>
          </w:p>
        </w:tc>
      </w:tr>
      <w:tr w:rsidR="004910D5" w:rsidRPr="00092331" w14:paraId="55E303E0" w14:textId="77777777" w:rsidTr="007E5F00">
        <w:trPr>
          <w:trHeight w:val="284"/>
        </w:trPr>
        <w:tc>
          <w:tcPr>
            <w:tcW w:w="600" w:type="pct"/>
            <w:vMerge/>
            <w:tcBorders>
              <w:left w:val="nil"/>
              <w:right w:val="nil"/>
            </w:tcBorders>
            <w:vAlign w:val="center"/>
          </w:tcPr>
          <w:p w14:paraId="22287E21"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067B7FA0"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4ADBC31D" w14:textId="77777777" w:rsidR="00FE20C5" w:rsidRPr="00092331" w:rsidRDefault="00FE20C5" w:rsidP="00810C38">
            <w:pPr>
              <w:spacing w:after="0"/>
              <w:rPr>
                <w:sz w:val="20"/>
                <w:szCs w:val="20"/>
                <w:lang w:eastAsia="en-GB"/>
              </w:rPr>
            </w:pPr>
            <w:proofErr w:type="spellStart"/>
            <w:r w:rsidRPr="00092331">
              <w:rPr>
                <w:sz w:val="20"/>
                <w:szCs w:val="20"/>
                <w:lang w:eastAsia="en-GB"/>
              </w:rPr>
              <w:t>Shinyanga</w:t>
            </w:r>
            <w:proofErr w:type="spellEnd"/>
          </w:p>
        </w:tc>
        <w:tc>
          <w:tcPr>
            <w:tcW w:w="922" w:type="pct"/>
            <w:tcBorders>
              <w:top w:val="nil"/>
              <w:left w:val="nil"/>
              <w:bottom w:val="nil"/>
              <w:right w:val="nil"/>
            </w:tcBorders>
            <w:shd w:val="clear" w:color="auto" w:fill="auto"/>
            <w:noWrap/>
            <w:vAlign w:val="center"/>
            <w:hideMark/>
          </w:tcPr>
          <w:p w14:paraId="6BD90CE5" w14:textId="77777777" w:rsidR="00FE20C5" w:rsidRPr="00092331" w:rsidRDefault="00FE20C5" w:rsidP="00810C38">
            <w:pPr>
              <w:spacing w:after="0"/>
              <w:rPr>
                <w:sz w:val="20"/>
                <w:szCs w:val="20"/>
                <w:lang w:eastAsia="en-GB"/>
              </w:rPr>
            </w:pPr>
            <w:r w:rsidRPr="00092331">
              <w:rPr>
                <w:sz w:val="20"/>
                <w:szCs w:val="20"/>
                <w:lang w:eastAsia="en-GB"/>
              </w:rPr>
              <w:t>01.09.2015</w:t>
            </w:r>
          </w:p>
        </w:tc>
        <w:tc>
          <w:tcPr>
            <w:tcW w:w="695" w:type="pct"/>
            <w:tcBorders>
              <w:top w:val="nil"/>
              <w:left w:val="nil"/>
              <w:bottom w:val="nil"/>
              <w:right w:val="nil"/>
            </w:tcBorders>
            <w:shd w:val="clear" w:color="auto" w:fill="auto"/>
            <w:noWrap/>
            <w:vAlign w:val="center"/>
            <w:hideMark/>
          </w:tcPr>
          <w:p w14:paraId="00D09379" w14:textId="77777777" w:rsidR="00FE20C5" w:rsidRPr="00092331" w:rsidRDefault="00FE20C5" w:rsidP="00810C38">
            <w:pPr>
              <w:spacing w:after="0"/>
              <w:rPr>
                <w:sz w:val="20"/>
                <w:szCs w:val="20"/>
                <w:lang w:eastAsia="en-GB"/>
              </w:rPr>
            </w:pPr>
            <w:r w:rsidRPr="00092331">
              <w:rPr>
                <w:sz w:val="20"/>
                <w:szCs w:val="20"/>
                <w:lang w:eastAsia="en-GB"/>
              </w:rPr>
              <w:t>10.10.2015</w:t>
            </w:r>
          </w:p>
        </w:tc>
        <w:tc>
          <w:tcPr>
            <w:tcW w:w="1018" w:type="pct"/>
            <w:gridSpan w:val="3"/>
            <w:tcBorders>
              <w:top w:val="nil"/>
              <w:left w:val="nil"/>
              <w:bottom w:val="nil"/>
              <w:right w:val="nil"/>
            </w:tcBorders>
            <w:shd w:val="clear" w:color="auto" w:fill="auto"/>
            <w:noWrap/>
            <w:vAlign w:val="center"/>
            <w:hideMark/>
          </w:tcPr>
          <w:p w14:paraId="5CB63A2F" w14:textId="77777777" w:rsidR="00FE20C5" w:rsidRPr="00092331" w:rsidRDefault="00FE20C5" w:rsidP="00810C38">
            <w:pPr>
              <w:spacing w:after="0"/>
              <w:rPr>
                <w:sz w:val="20"/>
                <w:szCs w:val="20"/>
                <w:lang w:eastAsia="en-GB"/>
              </w:rPr>
            </w:pPr>
            <w:r w:rsidRPr="00092331">
              <w:rPr>
                <w:sz w:val="20"/>
                <w:szCs w:val="20"/>
                <w:lang w:eastAsia="en-GB"/>
              </w:rPr>
              <w:t>46.8</w:t>
            </w:r>
          </w:p>
        </w:tc>
      </w:tr>
      <w:tr w:rsidR="004910D5" w:rsidRPr="00092331" w14:paraId="2ADE3A1C" w14:textId="77777777" w:rsidTr="007E5F00">
        <w:trPr>
          <w:trHeight w:val="284"/>
        </w:trPr>
        <w:tc>
          <w:tcPr>
            <w:tcW w:w="600" w:type="pct"/>
            <w:vMerge/>
            <w:tcBorders>
              <w:left w:val="nil"/>
              <w:right w:val="nil"/>
            </w:tcBorders>
            <w:vAlign w:val="center"/>
          </w:tcPr>
          <w:p w14:paraId="011895C6"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273687E6"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72085A85" w14:textId="77777777" w:rsidR="00FE20C5" w:rsidRPr="00092331" w:rsidRDefault="00FE20C5" w:rsidP="00810C38">
            <w:pPr>
              <w:spacing w:after="0"/>
              <w:rPr>
                <w:sz w:val="20"/>
                <w:szCs w:val="20"/>
                <w:lang w:eastAsia="en-GB"/>
              </w:rPr>
            </w:pPr>
            <w:proofErr w:type="spellStart"/>
            <w:r w:rsidRPr="00092331">
              <w:rPr>
                <w:sz w:val="20"/>
                <w:szCs w:val="20"/>
                <w:lang w:eastAsia="en-GB"/>
              </w:rPr>
              <w:t>Simiyu</w:t>
            </w:r>
            <w:proofErr w:type="spellEnd"/>
          </w:p>
        </w:tc>
        <w:tc>
          <w:tcPr>
            <w:tcW w:w="922" w:type="pct"/>
            <w:tcBorders>
              <w:top w:val="nil"/>
              <w:left w:val="nil"/>
              <w:bottom w:val="nil"/>
              <w:right w:val="nil"/>
            </w:tcBorders>
            <w:shd w:val="clear" w:color="auto" w:fill="auto"/>
            <w:noWrap/>
            <w:vAlign w:val="center"/>
            <w:hideMark/>
          </w:tcPr>
          <w:p w14:paraId="45858F19" w14:textId="77777777" w:rsidR="00FE20C5" w:rsidRPr="00092331" w:rsidRDefault="00FE20C5" w:rsidP="00810C38">
            <w:pPr>
              <w:spacing w:after="0"/>
              <w:rPr>
                <w:sz w:val="20"/>
                <w:szCs w:val="20"/>
                <w:lang w:eastAsia="en-GB"/>
              </w:rPr>
            </w:pPr>
            <w:r w:rsidRPr="00092331">
              <w:rPr>
                <w:sz w:val="20"/>
                <w:szCs w:val="20"/>
                <w:lang w:eastAsia="en-GB"/>
              </w:rPr>
              <w:t>01.11.2015</w:t>
            </w:r>
          </w:p>
        </w:tc>
        <w:tc>
          <w:tcPr>
            <w:tcW w:w="695" w:type="pct"/>
            <w:tcBorders>
              <w:top w:val="nil"/>
              <w:left w:val="nil"/>
              <w:bottom w:val="nil"/>
              <w:right w:val="nil"/>
            </w:tcBorders>
            <w:shd w:val="clear" w:color="auto" w:fill="auto"/>
            <w:noWrap/>
            <w:vAlign w:val="center"/>
            <w:hideMark/>
          </w:tcPr>
          <w:p w14:paraId="2FCF8E05" w14:textId="77777777" w:rsidR="00FE20C5" w:rsidRPr="00092331" w:rsidRDefault="00FE20C5" w:rsidP="00810C38">
            <w:pPr>
              <w:spacing w:after="0"/>
              <w:rPr>
                <w:sz w:val="20"/>
                <w:szCs w:val="20"/>
                <w:lang w:eastAsia="en-GB"/>
              </w:rPr>
            </w:pPr>
            <w:r w:rsidRPr="00092331">
              <w:rPr>
                <w:sz w:val="20"/>
                <w:szCs w:val="20"/>
                <w:lang w:eastAsia="en-GB"/>
              </w:rPr>
              <w:t>09.01.2016</w:t>
            </w:r>
          </w:p>
        </w:tc>
        <w:tc>
          <w:tcPr>
            <w:tcW w:w="1018" w:type="pct"/>
            <w:gridSpan w:val="3"/>
            <w:tcBorders>
              <w:top w:val="nil"/>
              <w:left w:val="nil"/>
              <w:bottom w:val="nil"/>
              <w:right w:val="nil"/>
            </w:tcBorders>
            <w:shd w:val="clear" w:color="auto" w:fill="auto"/>
            <w:noWrap/>
            <w:vAlign w:val="center"/>
            <w:hideMark/>
          </w:tcPr>
          <w:p w14:paraId="48882AC9" w14:textId="77777777" w:rsidR="00FE20C5" w:rsidRPr="00092331" w:rsidRDefault="00FE20C5" w:rsidP="00810C38">
            <w:pPr>
              <w:spacing w:after="0"/>
              <w:rPr>
                <w:sz w:val="20"/>
                <w:szCs w:val="20"/>
                <w:lang w:eastAsia="en-GB"/>
              </w:rPr>
            </w:pPr>
            <w:r w:rsidRPr="00092331">
              <w:rPr>
                <w:sz w:val="20"/>
                <w:szCs w:val="20"/>
                <w:lang w:eastAsia="en-GB"/>
              </w:rPr>
              <w:t>83.5</w:t>
            </w:r>
          </w:p>
        </w:tc>
      </w:tr>
      <w:tr w:rsidR="004910D5" w:rsidRPr="00092331" w14:paraId="1BFE8E1D" w14:textId="77777777" w:rsidTr="007E5F00">
        <w:trPr>
          <w:trHeight w:val="284"/>
        </w:trPr>
        <w:tc>
          <w:tcPr>
            <w:tcW w:w="600" w:type="pct"/>
            <w:vMerge/>
            <w:tcBorders>
              <w:left w:val="nil"/>
              <w:bottom w:val="single" w:sz="4" w:space="0" w:color="auto"/>
              <w:right w:val="nil"/>
            </w:tcBorders>
            <w:vAlign w:val="center"/>
          </w:tcPr>
          <w:p w14:paraId="2A681CE3" w14:textId="77777777" w:rsidR="00FE20C5" w:rsidRPr="00092331" w:rsidRDefault="00FE20C5" w:rsidP="00810C38">
            <w:pPr>
              <w:spacing w:after="0"/>
              <w:rPr>
                <w:sz w:val="20"/>
                <w:szCs w:val="20"/>
                <w:lang w:eastAsia="en-GB"/>
              </w:rPr>
            </w:pPr>
          </w:p>
        </w:tc>
        <w:tc>
          <w:tcPr>
            <w:tcW w:w="1053" w:type="pct"/>
            <w:vMerge/>
            <w:tcBorders>
              <w:left w:val="nil"/>
              <w:bottom w:val="single" w:sz="4" w:space="0" w:color="auto"/>
              <w:right w:val="nil"/>
            </w:tcBorders>
            <w:vAlign w:val="center"/>
          </w:tcPr>
          <w:p w14:paraId="77290CB3" w14:textId="77777777" w:rsidR="00FE20C5" w:rsidRPr="00092331" w:rsidRDefault="00FE20C5" w:rsidP="00810C38">
            <w:pPr>
              <w:spacing w:after="0"/>
              <w:rPr>
                <w:sz w:val="20"/>
                <w:szCs w:val="20"/>
                <w:lang w:eastAsia="en-GB"/>
              </w:rPr>
            </w:pPr>
          </w:p>
        </w:tc>
        <w:tc>
          <w:tcPr>
            <w:tcW w:w="712" w:type="pct"/>
            <w:tcBorders>
              <w:top w:val="nil"/>
              <w:left w:val="nil"/>
              <w:bottom w:val="single" w:sz="4" w:space="0" w:color="auto"/>
              <w:right w:val="nil"/>
            </w:tcBorders>
            <w:shd w:val="clear" w:color="auto" w:fill="auto"/>
            <w:noWrap/>
            <w:vAlign w:val="center"/>
            <w:hideMark/>
          </w:tcPr>
          <w:p w14:paraId="7CD91FDE" w14:textId="77777777" w:rsidR="00FE20C5" w:rsidRPr="00092331" w:rsidRDefault="00FE20C5" w:rsidP="00810C38">
            <w:pPr>
              <w:spacing w:after="0"/>
              <w:rPr>
                <w:sz w:val="20"/>
                <w:szCs w:val="20"/>
                <w:lang w:eastAsia="en-GB"/>
              </w:rPr>
            </w:pPr>
            <w:proofErr w:type="spellStart"/>
            <w:r w:rsidRPr="00092331">
              <w:rPr>
                <w:sz w:val="20"/>
                <w:szCs w:val="20"/>
                <w:lang w:eastAsia="en-GB"/>
              </w:rPr>
              <w:t>Tabora</w:t>
            </w:r>
            <w:proofErr w:type="spellEnd"/>
          </w:p>
        </w:tc>
        <w:tc>
          <w:tcPr>
            <w:tcW w:w="922" w:type="pct"/>
            <w:tcBorders>
              <w:top w:val="nil"/>
              <w:left w:val="nil"/>
              <w:bottom w:val="single" w:sz="4" w:space="0" w:color="auto"/>
              <w:right w:val="nil"/>
            </w:tcBorders>
            <w:shd w:val="clear" w:color="auto" w:fill="auto"/>
            <w:noWrap/>
            <w:vAlign w:val="center"/>
            <w:hideMark/>
          </w:tcPr>
          <w:p w14:paraId="30A8769E" w14:textId="77777777" w:rsidR="00FE20C5" w:rsidRPr="00092331" w:rsidRDefault="00FE20C5" w:rsidP="00810C38">
            <w:pPr>
              <w:spacing w:after="0"/>
              <w:rPr>
                <w:sz w:val="20"/>
                <w:szCs w:val="20"/>
                <w:lang w:eastAsia="en-GB"/>
              </w:rPr>
            </w:pPr>
            <w:r w:rsidRPr="00092331">
              <w:rPr>
                <w:sz w:val="20"/>
                <w:szCs w:val="20"/>
                <w:lang w:eastAsia="en-GB"/>
              </w:rPr>
              <w:t>01.07.2015</w:t>
            </w:r>
          </w:p>
        </w:tc>
        <w:tc>
          <w:tcPr>
            <w:tcW w:w="695" w:type="pct"/>
            <w:tcBorders>
              <w:top w:val="nil"/>
              <w:left w:val="nil"/>
              <w:bottom w:val="single" w:sz="4" w:space="0" w:color="auto"/>
              <w:right w:val="nil"/>
            </w:tcBorders>
            <w:shd w:val="clear" w:color="auto" w:fill="auto"/>
            <w:noWrap/>
            <w:vAlign w:val="center"/>
            <w:hideMark/>
          </w:tcPr>
          <w:p w14:paraId="49DB65B0" w14:textId="77777777" w:rsidR="00FE20C5" w:rsidRPr="00092331" w:rsidRDefault="00FE20C5" w:rsidP="00810C38">
            <w:pPr>
              <w:spacing w:after="0"/>
              <w:rPr>
                <w:sz w:val="20"/>
                <w:szCs w:val="20"/>
                <w:lang w:eastAsia="en-GB"/>
              </w:rPr>
            </w:pPr>
            <w:r w:rsidRPr="00092331">
              <w:rPr>
                <w:sz w:val="20"/>
                <w:szCs w:val="20"/>
                <w:lang w:eastAsia="en-GB"/>
              </w:rPr>
              <w:t>20.01.2016</w:t>
            </w:r>
          </w:p>
        </w:tc>
        <w:tc>
          <w:tcPr>
            <w:tcW w:w="1018" w:type="pct"/>
            <w:gridSpan w:val="3"/>
            <w:tcBorders>
              <w:top w:val="nil"/>
              <w:left w:val="nil"/>
              <w:bottom w:val="single" w:sz="4" w:space="0" w:color="auto"/>
              <w:right w:val="nil"/>
            </w:tcBorders>
            <w:shd w:val="clear" w:color="auto" w:fill="auto"/>
            <w:noWrap/>
            <w:vAlign w:val="center"/>
            <w:hideMark/>
          </w:tcPr>
          <w:p w14:paraId="00D8E60F" w14:textId="77777777" w:rsidR="00FE20C5" w:rsidRPr="00092331" w:rsidRDefault="00FE20C5" w:rsidP="00810C38">
            <w:pPr>
              <w:spacing w:after="0"/>
              <w:rPr>
                <w:sz w:val="20"/>
                <w:szCs w:val="20"/>
                <w:lang w:eastAsia="en-GB"/>
              </w:rPr>
            </w:pPr>
            <w:r w:rsidRPr="00092331">
              <w:rPr>
                <w:sz w:val="20"/>
                <w:szCs w:val="20"/>
                <w:lang w:eastAsia="en-GB"/>
              </w:rPr>
              <w:t>75.6</w:t>
            </w:r>
          </w:p>
        </w:tc>
      </w:tr>
      <w:tr w:rsidR="000D04AC" w:rsidRPr="00092331" w14:paraId="33F6CE5F" w14:textId="77777777" w:rsidTr="007E5F00">
        <w:trPr>
          <w:trHeight w:val="284"/>
        </w:trPr>
        <w:tc>
          <w:tcPr>
            <w:tcW w:w="600" w:type="pct"/>
            <w:vMerge w:val="restart"/>
            <w:tcBorders>
              <w:top w:val="nil"/>
              <w:left w:val="nil"/>
              <w:right w:val="nil"/>
            </w:tcBorders>
            <w:vAlign w:val="center"/>
          </w:tcPr>
          <w:p w14:paraId="0F9EBF03" w14:textId="568A5069" w:rsidR="00FE20C5" w:rsidRPr="00092331" w:rsidRDefault="007E5F00" w:rsidP="00810C38">
            <w:pPr>
              <w:spacing w:after="0"/>
              <w:rPr>
                <w:sz w:val="20"/>
                <w:szCs w:val="20"/>
                <w:lang w:eastAsia="en-GB"/>
              </w:rPr>
            </w:pPr>
            <w:r>
              <w:rPr>
                <w:sz w:val="20"/>
                <w:szCs w:val="20"/>
                <w:lang w:eastAsia="en-GB"/>
              </w:rPr>
              <w:t>C</w:t>
            </w:r>
            <w:r w:rsidR="00FE20C5" w:rsidRPr="00092331">
              <w:rPr>
                <w:sz w:val="20"/>
                <w:szCs w:val="20"/>
                <w:lang w:eastAsia="en-GB"/>
              </w:rPr>
              <w:t>ampaign after survey</w:t>
            </w:r>
          </w:p>
        </w:tc>
        <w:tc>
          <w:tcPr>
            <w:tcW w:w="1053" w:type="pct"/>
            <w:vMerge w:val="restart"/>
            <w:tcBorders>
              <w:top w:val="nil"/>
              <w:left w:val="nil"/>
              <w:right w:val="nil"/>
            </w:tcBorders>
            <w:vAlign w:val="center"/>
          </w:tcPr>
          <w:p w14:paraId="58129837" w14:textId="5709528C" w:rsidR="00FE20C5" w:rsidRPr="00092331" w:rsidRDefault="007E5F00" w:rsidP="00810C38">
            <w:pPr>
              <w:spacing w:after="0"/>
              <w:rPr>
                <w:sz w:val="20"/>
                <w:szCs w:val="20"/>
                <w:lang w:eastAsia="en-GB"/>
              </w:rPr>
            </w:pPr>
            <w:r>
              <w:rPr>
                <w:sz w:val="20"/>
                <w:szCs w:val="20"/>
                <w:lang w:eastAsia="en-GB"/>
              </w:rPr>
              <w:t>S</w:t>
            </w:r>
            <w:r w:rsidR="00FE20C5" w:rsidRPr="00092331">
              <w:rPr>
                <w:sz w:val="20"/>
                <w:szCs w:val="20"/>
                <w:lang w:eastAsia="en-GB"/>
              </w:rPr>
              <w:t xml:space="preserve">caled by increase ratio before/after campaign </w:t>
            </w:r>
          </w:p>
          <w:p w14:paraId="5C664810" w14:textId="77777777" w:rsidR="00FE20C5" w:rsidRPr="00092331" w:rsidRDefault="00FE20C5" w:rsidP="00810C38">
            <w:pPr>
              <w:spacing w:after="0"/>
              <w:rPr>
                <w:sz w:val="20"/>
                <w:szCs w:val="20"/>
                <w:lang w:eastAsia="en-GB"/>
              </w:rPr>
            </w:pPr>
          </w:p>
          <w:p w14:paraId="5AE77A62" w14:textId="439E39F7" w:rsidR="00FE20C5" w:rsidRPr="00092331" w:rsidRDefault="00FE20C5" w:rsidP="007E5F00">
            <w:pPr>
              <w:spacing w:after="0"/>
              <w:rPr>
                <w:sz w:val="20"/>
                <w:szCs w:val="20"/>
                <w:lang w:eastAsia="en-GB"/>
              </w:rPr>
            </w:pPr>
            <w:r w:rsidRPr="00092331">
              <w:rPr>
                <w:sz w:val="20"/>
                <w:szCs w:val="20"/>
                <w:lang w:eastAsia="en-GB"/>
              </w:rPr>
              <w:lastRenderedPageBreak/>
              <w:t>(</w:t>
            </w:r>
            <w:r w:rsidR="007E5F00">
              <w:rPr>
                <w:sz w:val="20"/>
                <w:szCs w:val="20"/>
                <w:lang w:eastAsia="en-GB"/>
              </w:rPr>
              <w:t>The s</w:t>
            </w:r>
            <w:r w:rsidRPr="00092331">
              <w:rPr>
                <w:sz w:val="20"/>
                <w:szCs w:val="20"/>
                <w:lang w:eastAsia="en-GB"/>
              </w:rPr>
              <w:t xml:space="preserve">caling ratio </w:t>
            </w:r>
            <w:r w:rsidR="007E5F00">
              <w:rPr>
                <w:sz w:val="20"/>
                <w:szCs w:val="20"/>
                <w:lang w:eastAsia="en-GB"/>
              </w:rPr>
              <w:t xml:space="preserve">was </w:t>
            </w:r>
            <w:r w:rsidRPr="00092331">
              <w:rPr>
                <w:sz w:val="20"/>
                <w:szCs w:val="20"/>
                <w:lang w:eastAsia="en-GB"/>
              </w:rPr>
              <w:t>obtained from</w:t>
            </w:r>
            <w:r w:rsidR="007E5F00">
              <w:rPr>
                <w:sz w:val="20"/>
                <w:szCs w:val="20"/>
                <w:lang w:eastAsia="en-GB"/>
              </w:rPr>
              <w:t xml:space="preserve"> reported ITN usage from</w:t>
            </w:r>
            <w:r w:rsidRPr="00092331">
              <w:rPr>
                <w:sz w:val="20"/>
                <w:szCs w:val="20"/>
                <w:lang w:eastAsia="en-GB"/>
              </w:rPr>
              <w:t xml:space="preserve"> </w:t>
            </w:r>
            <w:r w:rsidR="007E5F00">
              <w:rPr>
                <w:sz w:val="20"/>
                <w:szCs w:val="20"/>
                <w:lang w:eastAsia="en-GB"/>
              </w:rPr>
              <w:t xml:space="preserve">the </w:t>
            </w:r>
            <w:r w:rsidRPr="00092331">
              <w:rPr>
                <w:sz w:val="20"/>
                <w:szCs w:val="20"/>
                <w:lang w:eastAsia="en-GB"/>
              </w:rPr>
              <w:t>DHS and MIS</w:t>
            </w:r>
            <w:r w:rsidR="007E5F00">
              <w:rPr>
                <w:sz w:val="20"/>
                <w:szCs w:val="20"/>
                <w:lang w:eastAsia="en-GB"/>
              </w:rPr>
              <w:t xml:space="preserve"> surveys in </w:t>
            </w:r>
            <w:r w:rsidRPr="00092331">
              <w:rPr>
                <w:sz w:val="20"/>
                <w:szCs w:val="20"/>
                <w:lang w:eastAsia="en-GB"/>
              </w:rPr>
              <w:t xml:space="preserve">2010 and 2012, </w:t>
            </w:r>
            <w:r w:rsidR="007E5F00">
              <w:rPr>
                <w:sz w:val="20"/>
                <w:szCs w:val="20"/>
                <w:lang w:eastAsia="en-GB"/>
              </w:rPr>
              <w:t xml:space="preserve">in comparison </w:t>
            </w:r>
            <w:r w:rsidRPr="00092331">
              <w:rPr>
                <w:sz w:val="20"/>
                <w:szCs w:val="20"/>
                <w:lang w:eastAsia="en-GB"/>
              </w:rPr>
              <w:t>to</w:t>
            </w:r>
            <w:r w:rsidR="007E5F00">
              <w:rPr>
                <w:sz w:val="20"/>
                <w:szCs w:val="20"/>
                <w:lang w:eastAsia="en-GB"/>
              </w:rPr>
              <w:t xml:space="preserve"> the</w:t>
            </w:r>
            <w:r w:rsidR="00A90B92">
              <w:rPr>
                <w:sz w:val="20"/>
                <w:szCs w:val="20"/>
                <w:lang w:eastAsia="en-GB"/>
              </w:rPr>
              <w:t xml:space="preserve"> </w:t>
            </w:r>
            <w:r w:rsidR="00A90B92">
              <w:rPr>
                <w:sz w:val="20"/>
                <w:szCs w:val="20"/>
              </w:rPr>
              <w:t>ITN</w:t>
            </w:r>
            <w:r w:rsidRPr="00092331">
              <w:rPr>
                <w:sz w:val="20"/>
                <w:szCs w:val="20"/>
                <w:lang w:eastAsia="en-GB"/>
              </w:rPr>
              <w:t xml:space="preserve"> campaigns in 2009-2011)</w:t>
            </w:r>
          </w:p>
        </w:tc>
        <w:tc>
          <w:tcPr>
            <w:tcW w:w="712" w:type="pct"/>
            <w:tcBorders>
              <w:top w:val="nil"/>
              <w:left w:val="nil"/>
              <w:bottom w:val="nil"/>
              <w:right w:val="nil"/>
            </w:tcBorders>
            <w:shd w:val="clear" w:color="auto" w:fill="auto"/>
            <w:noWrap/>
            <w:vAlign w:val="center"/>
            <w:hideMark/>
          </w:tcPr>
          <w:p w14:paraId="7D4EE301" w14:textId="77777777" w:rsidR="00FE20C5" w:rsidRPr="00092331" w:rsidRDefault="00FE20C5" w:rsidP="00810C38">
            <w:pPr>
              <w:spacing w:after="0"/>
              <w:rPr>
                <w:sz w:val="20"/>
                <w:szCs w:val="20"/>
                <w:lang w:eastAsia="en-GB"/>
              </w:rPr>
            </w:pPr>
            <w:r w:rsidRPr="00092331">
              <w:rPr>
                <w:sz w:val="20"/>
                <w:szCs w:val="20"/>
                <w:lang w:eastAsia="en-GB"/>
              </w:rPr>
              <w:lastRenderedPageBreak/>
              <w:t>Arusha</w:t>
            </w:r>
          </w:p>
        </w:tc>
        <w:tc>
          <w:tcPr>
            <w:tcW w:w="922" w:type="pct"/>
            <w:tcBorders>
              <w:top w:val="nil"/>
              <w:left w:val="nil"/>
              <w:bottom w:val="nil"/>
              <w:right w:val="nil"/>
            </w:tcBorders>
            <w:shd w:val="clear" w:color="auto" w:fill="auto"/>
            <w:noWrap/>
            <w:vAlign w:val="center"/>
            <w:hideMark/>
          </w:tcPr>
          <w:p w14:paraId="5667A2A9" w14:textId="77777777" w:rsidR="00FE20C5" w:rsidRPr="00092331" w:rsidRDefault="00FE20C5" w:rsidP="00810C38">
            <w:pPr>
              <w:spacing w:after="0"/>
              <w:rPr>
                <w:sz w:val="20"/>
                <w:szCs w:val="20"/>
                <w:lang w:eastAsia="en-GB"/>
              </w:rPr>
            </w:pPr>
            <w:r w:rsidRPr="00092331">
              <w:rPr>
                <w:sz w:val="20"/>
                <w:szCs w:val="20"/>
                <w:lang w:eastAsia="en-GB"/>
              </w:rPr>
              <w:t>01.02.2016</w:t>
            </w:r>
          </w:p>
        </w:tc>
        <w:tc>
          <w:tcPr>
            <w:tcW w:w="695" w:type="pct"/>
            <w:tcBorders>
              <w:top w:val="nil"/>
              <w:left w:val="nil"/>
              <w:bottom w:val="nil"/>
              <w:right w:val="nil"/>
            </w:tcBorders>
            <w:shd w:val="clear" w:color="auto" w:fill="auto"/>
            <w:noWrap/>
            <w:vAlign w:val="center"/>
            <w:hideMark/>
          </w:tcPr>
          <w:p w14:paraId="60D80CA0" w14:textId="77777777" w:rsidR="00FE20C5" w:rsidRPr="00092331" w:rsidRDefault="00FE20C5" w:rsidP="00810C38">
            <w:pPr>
              <w:spacing w:after="0"/>
              <w:rPr>
                <w:sz w:val="20"/>
                <w:szCs w:val="20"/>
                <w:lang w:eastAsia="en-GB"/>
              </w:rPr>
            </w:pPr>
            <w:r w:rsidRPr="00092331">
              <w:rPr>
                <w:sz w:val="20"/>
                <w:szCs w:val="20"/>
                <w:lang w:eastAsia="en-GB"/>
              </w:rPr>
              <w:t>24.09.2015</w:t>
            </w:r>
          </w:p>
        </w:tc>
        <w:tc>
          <w:tcPr>
            <w:tcW w:w="538" w:type="pct"/>
            <w:gridSpan w:val="2"/>
            <w:tcBorders>
              <w:top w:val="nil"/>
              <w:left w:val="nil"/>
              <w:bottom w:val="nil"/>
              <w:right w:val="nil"/>
            </w:tcBorders>
            <w:shd w:val="clear" w:color="auto" w:fill="auto"/>
            <w:noWrap/>
            <w:vAlign w:val="center"/>
            <w:hideMark/>
          </w:tcPr>
          <w:p w14:paraId="5B695128" w14:textId="77777777" w:rsidR="00FE20C5" w:rsidRPr="00092331" w:rsidRDefault="00FE20C5" w:rsidP="00810C38">
            <w:pPr>
              <w:spacing w:after="0"/>
              <w:rPr>
                <w:sz w:val="20"/>
                <w:szCs w:val="20"/>
                <w:lang w:eastAsia="en-GB"/>
              </w:rPr>
            </w:pPr>
            <w:r w:rsidRPr="00092331">
              <w:rPr>
                <w:sz w:val="20"/>
                <w:szCs w:val="20"/>
                <w:lang w:eastAsia="en-GB"/>
              </w:rPr>
              <w:t>29.2</w:t>
            </w:r>
          </w:p>
        </w:tc>
        <w:tc>
          <w:tcPr>
            <w:tcW w:w="480" w:type="pct"/>
            <w:tcBorders>
              <w:top w:val="nil"/>
              <w:left w:val="nil"/>
              <w:bottom w:val="nil"/>
              <w:right w:val="nil"/>
            </w:tcBorders>
            <w:shd w:val="clear" w:color="auto" w:fill="auto"/>
            <w:noWrap/>
            <w:vAlign w:val="center"/>
            <w:hideMark/>
          </w:tcPr>
          <w:p w14:paraId="725B4F1C" w14:textId="77777777" w:rsidR="00FE20C5" w:rsidRPr="00092331" w:rsidRDefault="00FE20C5" w:rsidP="00810C38">
            <w:pPr>
              <w:spacing w:after="0"/>
              <w:rPr>
                <w:sz w:val="20"/>
                <w:szCs w:val="20"/>
                <w:lang w:eastAsia="en-GB"/>
              </w:rPr>
            </w:pPr>
            <w:r w:rsidRPr="00092331">
              <w:rPr>
                <w:sz w:val="20"/>
                <w:szCs w:val="20"/>
                <w:lang w:eastAsia="en-GB"/>
              </w:rPr>
              <w:t>67.4</w:t>
            </w:r>
          </w:p>
        </w:tc>
      </w:tr>
      <w:tr w:rsidR="000D04AC" w:rsidRPr="00092331" w14:paraId="14D271DE" w14:textId="77777777" w:rsidTr="007E5F00">
        <w:trPr>
          <w:trHeight w:val="284"/>
        </w:trPr>
        <w:tc>
          <w:tcPr>
            <w:tcW w:w="600" w:type="pct"/>
            <w:vMerge/>
            <w:tcBorders>
              <w:left w:val="nil"/>
              <w:right w:val="nil"/>
            </w:tcBorders>
            <w:vAlign w:val="center"/>
          </w:tcPr>
          <w:p w14:paraId="1E57ED41"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2E3588D1"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56CE883A" w14:textId="77777777" w:rsidR="00FE20C5" w:rsidRPr="00092331" w:rsidRDefault="00FE20C5" w:rsidP="00810C38">
            <w:pPr>
              <w:spacing w:after="0"/>
              <w:rPr>
                <w:sz w:val="20"/>
                <w:szCs w:val="20"/>
                <w:lang w:eastAsia="en-GB"/>
              </w:rPr>
            </w:pPr>
            <w:proofErr w:type="spellStart"/>
            <w:r w:rsidRPr="00092331">
              <w:rPr>
                <w:sz w:val="20"/>
                <w:szCs w:val="20"/>
                <w:lang w:eastAsia="en-GB"/>
              </w:rPr>
              <w:t>Daressalaam</w:t>
            </w:r>
            <w:proofErr w:type="spellEnd"/>
          </w:p>
        </w:tc>
        <w:tc>
          <w:tcPr>
            <w:tcW w:w="922" w:type="pct"/>
            <w:tcBorders>
              <w:top w:val="nil"/>
              <w:left w:val="nil"/>
              <w:bottom w:val="nil"/>
              <w:right w:val="nil"/>
            </w:tcBorders>
            <w:shd w:val="clear" w:color="auto" w:fill="auto"/>
            <w:noWrap/>
            <w:vAlign w:val="center"/>
            <w:hideMark/>
          </w:tcPr>
          <w:p w14:paraId="4C4CEBCA" w14:textId="77777777" w:rsidR="00FE20C5" w:rsidRPr="00092331" w:rsidRDefault="00FE20C5" w:rsidP="00810C38">
            <w:pPr>
              <w:spacing w:after="0"/>
              <w:rPr>
                <w:sz w:val="20"/>
                <w:szCs w:val="20"/>
                <w:lang w:eastAsia="en-GB"/>
              </w:rPr>
            </w:pPr>
            <w:r w:rsidRPr="00092331">
              <w:rPr>
                <w:sz w:val="20"/>
                <w:szCs w:val="20"/>
                <w:lang w:eastAsia="en-GB"/>
              </w:rPr>
              <w:t>24.12.2016</w:t>
            </w:r>
          </w:p>
        </w:tc>
        <w:tc>
          <w:tcPr>
            <w:tcW w:w="695" w:type="pct"/>
            <w:tcBorders>
              <w:top w:val="nil"/>
              <w:left w:val="nil"/>
              <w:bottom w:val="nil"/>
              <w:right w:val="nil"/>
            </w:tcBorders>
            <w:shd w:val="clear" w:color="auto" w:fill="auto"/>
            <w:noWrap/>
            <w:vAlign w:val="center"/>
            <w:hideMark/>
          </w:tcPr>
          <w:p w14:paraId="3DFE929A" w14:textId="77777777" w:rsidR="00FE20C5" w:rsidRPr="00092331" w:rsidRDefault="00FE20C5" w:rsidP="00810C38">
            <w:pPr>
              <w:spacing w:after="0"/>
              <w:rPr>
                <w:sz w:val="20"/>
                <w:szCs w:val="20"/>
                <w:lang w:eastAsia="en-GB"/>
              </w:rPr>
            </w:pPr>
            <w:r w:rsidRPr="00092331">
              <w:rPr>
                <w:sz w:val="20"/>
                <w:szCs w:val="20"/>
                <w:lang w:eastAsia="en-GB"/>
              </w:rPr>
              <w:t>20.09.2015</w:t>
            </w:r>
          </w:p>
        </w:tc>
        <w:tc>
          <w:tcPr>
            <w:tcW w:w="538" w:type="pct"/>
            <w:gridSpan w:val="2"/>
            <w:tcBorders>
              <w:top w:val="nil"/>
              <w:left w:val="nil"/>
              <w:bottom w:val="nil"/>
              <w:right w:val="nil"/>
            </w:tcBorders>
            <w:shd w:val="clear" w:color="auto" w:fill="auto"/>
            <w:noWrap/>
            <w:vAlign w:val="center"/>
            <w:hideMark/>
          </w:tcPr>
          <w:p w14:paraId="6A4AFF33" w14:textId="77777777" w:rsidR="00FE20C5" w:rsidRPr="00092331" w:rsidRDefault="00FE20C5" w:rsidP="00810C38">
            <w:pPr>
              <w:spacing w:after="0"/>
              <w:rPr>
                <w:sz w:val="20"/>
                <w:szCs w:val="20"/>
                <w:lang w:eastAsia="en-GB"/>
              </w:rPr>
            </w:pPr>
            <w:r w:rsidRPr="00092331">
              <w:rPr>
                <w:sz w:val="20"/>
                <w:szCs w:val="20"/>
                <w:lang w:eastAsia="en-GB"/>
              </w:rPr>
              <w:t>54.4</w:t>
            </w:r>
          </w:p>
        </w:tc>
        <w:tc>
          <w:tcPr>
            <w:tcW w:w="480" w:type="pct"/>
            <w:tcBorders>
              <w:top w:val="nil"/>
              <w:left w:val="nil"/>
              <w:bottom w:val="nil"/>
              <w:right w:val="nil"/>
            </w:tcBorders>
            <w:shd w:val="clear" w:color="auto" w:fill="auto"/>
            <w:noWrap/>
            <w:vAlign w:val="center"/>
            <w:hideMark/>
          </w:tcPr>
          <w:p w14:paraId="5A2D3EE3" w14:textId="77777777" w:rsidR="00FE20C5" w:rsidRPr="00092331" w:rsidRDefault="00FE20C5" w:rsidP="00810C38">
            <w:pPr>
              <w:spacing w:after="0"/>
              <w:rPr>
                <w:sz w:val="20"/>
                <w:szCs w:val="20"/>
                <w:lang w:eastAsia="en-GB"/>
              </w:rPr>
            </w:pPr>
            <w:r w:rsidRPr="00092331">
              <w:rPr>
                <w:sz w:val="20"/>
                <w:szCs w:val="20"/>
                <w:lang w:eastAsia="en-GB"/>
              </w:rPr>
              <w:t>75.6</w:t>
            </w:r>
          </w:p>
        </w:tc>
      </w:tr>
      <w:tr w:rsidR="000D04AC" w:rsidRPr="00092331" w14:paraId="04108CC8" w14:textId="77777777" w:rsidTr="007E5F00">
        <w:trPr>
          <w:trHeight w:val="284"/>
        </w:trPr>
        <w:tc>
          <w:tcPr>
            <w:tcW w:w="600" w:type="pct"/>
            <w:vMerge/>
            <w:tcBorders>
              <w:left w:val="nil"/>
              <w:right w:val="nil"/>
            </w:tcBorders>
            <w:vAlign w:val="center"/>
          </w:tcPr>
          <w:p w14:paraId="68671E99"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570DC253"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45E4D5D3" w14:textId="77777777" w:rsidR="00FE20C5" w:rsidRPr="00092331" w:rsidRDefault="00FE20C5" w:rsidP="00810C38">
            <w:pPr>
              <w:spacing w:after="0"/>
              <w:rPr>
                <w:sz w:val="20"/>
                <w:szCs w:val="20"/>
                <w:lang w:eastAsia="en-GB"/>
              </w:rPr>
            </w:pPr>
            <w:r w:rsidRPr="00092331">
              <w:rPr>
                <w:sz w:val="20"/>
                <w:szCs w:val="20"/>
                <w:lang w:eastAsia="en-GB"/>
              </w:rPr>
              <w:t>Dodoma</w:t>
            </w:r>
          </w:p>
        </w:tc>
        <w:tc>
          <w:tcPr>
            <w:tcW w:w="922" w:type="pct"/>
            <w:tcBorders>
              <w:top w:val="nil"/>
              <w:left w:val="nil"/>
              <w:bottom w:val="nil"/>
              <w:right w:val="nil"/>
            </w:tcBorders>
            <w:shd w:val="clear" w:color="auto" w:fill="auto"/>
            <w:noWrap/>
            <w:vAlign w:val="center"/>
            <w:hideMark/>
          </w:tcPr>
          <w:p w14:paraId="76EBDA2A" w14:textId="77777777" w:rsidR="00FE20C5" w:rsidRPr="00092331" w:rsidRDefault="00FE20C5" w:rsidP="00810C38">
            <w:pPr>
              <w:spacing w:after="0"/>
              <w:rPr>
                <w:sz w:val="20"/>
                <w:szCs w:val="20"/>
                <w:lang w:eastAsia="en-GB"/>
              </w:rPr>
            </w:pPr>
            <w:r w:rsidRPr="00092331">
              <w:rPr>
                <w:sz w:val="20"/>
                <w:szCs w:val="20"/>
                <w:lang w:eastAsia="en-GB"/>
              </w:rPr>
              <w:t>01.05.2016</w:t>
            </w:r>
          </w:p>
        </w:tc>
        <w:tc>
          <w:tcPr>
            <w:tcW w:w="695" w:type="pct"/>
            <w:tcBorders>
              <w:top w:val="nil"/>
              <w:left w:val="nil"/>
              <w:bottom w:val="nil"/>
              <w:right w:val="nil"/>
            </w:tcBorders>
            <w:shd w:val="clear" w:color="auto" w:fill="auto"/>
            <w:noWrap/>
            <w:vAlign w:val="center"/>
            <w:hideMark/>
          </w:tcPr>
          <w:p w14:paraId="511D6748" w14:textId="77777777" w:rsidR="00FE20C5" w:rsidRPr="00092331" w:rsidRDefault="00FE20C5" w:rsidP="00810C38">
            <w:pPr>
              <w:spacing w:after="0"/>
              <w:rPr>
                <w:sz w:val="20"/>
                <w:szCs w:val="20"/>
                <w:lang w:eastAsia="en-GB"/>
              </w:rPr>
            </w:pPr>
            <w:r w:rsidRPr="00092331">
              <w:rPr>
                <w:sz w:val="20"/>
                <w:szCs w:val="20"/>
                <w:lang w:eastAsia="en-GB"/>
              </w:rPr>
              <w:t>28.11.2015</w:t>
            </w:r>
          </w:p>
        </w:tc>
        <w:tc>
          <w:tcPr>
            <w:tcW w:w="538" w:type="pct"/>
            <w:gridSpan w:val="2"/>
            <w:tcBorders>
              <w:top w:val="nil"/>
              <w:left w:val="nil"/>
              <w:bottom w:val="nil"/>
              <w:right w:val="nil"/>
            </w:tcBorders>
            <w:shd w:val="clear" w:color="auto" w:fill="auto"/>
            <w:noWrap/>
            <w:vAlign w:val="center"/>
            <w:hideMark/>
          </w:tcPr>
          <w:p w14:paraId="70100FE4" w14:textId="77777777" w:rsidR="00FE20C5" w:rsidRPr="00092331" w:rsidRDefault="00FE20C5" w:rsidP="00810C38">
            <w:pPr>
              <w:spacing w:after="0"/>
              <w:rPr>
                <w:sz w:val="20"/>
                <w:szCs w:val="20"/>
                <w:lang w:eastAsia="en-GB"/>
              </w:rPr>
            </w:pPr>
            <w:r w:rsidRPr="00092331">
              <w:rPr>
                <w:sz w:val="20"/>
                <w:szCs w:val="20"/>
                <w:lang w:eastAsia="en-GB"/>
              </w:rPr>
              <w:t>16.7</w:t>
            </w:r>
          </w:p>
        </w:tc>
        <w:tc>
          <w:tcPr>
            <w:tcW w:w="480" w:type="pct"/>
            <w:tcBorders>
              <w:top w:val="nil"/>
              <w:left w:val="nil"/>
              <w:bottom w:val="nil"/>
              <w:right w:val="nil"/>
            </w:tcBorders>
            <w:shd w:val="clear" w:color="auto" w:fill="auto"/>
            <w:noWrap/>
            <w:vAlign w:val="center"/>
            <w:hideMark/>
          </w:tcPr>
          <w:p w14:paraId="333E9CC2" w14:textId="77777777" w:rsidR="00FE20C5" w:rsidRPr="00092331" w:rsidRDefault="00FE20C5" w:rsidP="00810C38">
            <w:pPr>
              <w:spacing w:after="0"/>
              <w:rPr>
                <w:sz w:val="20"/>
                <w:szCs w:val="20"/>
                <w:lang w:eastAsia="en-GB"/>
              </w:rPr>
            </w:pPr>
            <w:r w:rsidRPr="00092331">
              <w:rPr>
                <w:sz w:val="20"/>
                <w:szCs w:val="20"/>
                <w:lang w:eastAsia="en-GB"/>
              </w:rPr>
              <w:t>70.8</w:t>
            </w:r>
          </w:p>
        </w:tc>
      </w:tr>
      <w:tr w:rsidR="000D04AC" w:rsidRPr="00092331" w14:paraId="1845AA81" w14:textId="77777777" w:rsidTr="007E5F00">
        <w:trPr>
          <w:trHeight w:val="284"/>
        </w:trPr>
        <w:tc>
          <w:tcPr>
            <w:tcW w:w="600" w:type="pct"/>
            <w:vMerge/>
            <w:tcBorders>
              <w:left w:val="nil"/>
              <w:right w:val="nil"/>
            </w:tcBorders>
            <w:vAlign w:val="center"/>
          </w:tcPr>
          <w:p w14:paraId="09F58104"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2A633E50"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3C5A3DF5" w14:textId="77777777" w:rsidR="00FE20C5" w:rsidRPr="00092331" w:rsidRDefault="00FE20C5" w:rsidP="00810C38">
            <w:pPr>
              <w:spacing w:after="0"/>
              <w:rPr>
                <w:sz w:val="20"/>
                <w:szCs w:val="20"/>
                <w:lang w:eastAsia="en-GB"/>
              </w:rPr>
            </w:pPr>
            <w:r w:rsidRPr="00092331">
              <w:rPr>
                <w:sz w:val="20"/>
                <w:szCs w:val="20"/>
                <w:lang w:eastAsia="en-GB"/>
              </w:rPr>
              <w:t>Iringa</w:t>
            </w:r>
          </w:p>
        </w:tc>
        <w:tc>
          <w:tcPr>
            <w:tcW w:w="922" w:type="pct"/>
            <w:tcBorders>
              <w:top w:val="nil"/>
              <w:left w:val="nil"/>
              <w:bottom w:val="nil"/>
              <w:right w:val="nil"/>
            </w:tcBorders>
            <w:shd w:val="clear" w:color="auto" w:fill="auto"/>
            <w:noWrap/>
            <w:vAlign w:val="center"/>
            <w:hideMark/>
          </w:tcPr>
          <w:p w14:paraId="6D07B100" w14:textId="77777777" w:rsidR="00FE20C5" w:rsidRPr="00092331" w:rsidRDefault="00FE20C5" w:rsidP="00810C38">
            <w:pPr>
              <w:spacing w:after="0"/>
              <w:rPr>
                <w:sz w:val="20"/>
                <w:szCs w:val="20"/>
                <w:lang w:eastAsia="en-GB"/>
              </w:rPr>
            </w:pPr>
            <w:r w:rsidRPr="00092331">
              <w:rPr>
                <w:sz w:val="20"/>
                <w:szCs w:val="20"/>
                <w:lang w:eastAsia="en-GB"/>
              </w:rPr>
              <w:t>01.02.2016</w:t>
            </w:r>
          </w:p>
        </w:tc>
        <w:tc>
          <w:tcPr>
            <w:tcW w:w="695" w:type="pct"/>
            <w:tcBorders>
              <w:top w:val="nil"/>
              <w:left w:val="nil"/>
              <w:bottom w:val="nil"/>
              <w:right w:val="nil"/>
            </w:tcBorders>
            <w:shd w:val="clear" w:color="auto" w:fill="auto"/>
            <w:noWrap/>
            <w:vAlign w:val="center"/>
            <w:hideMark/>
          </w:tcPr>
          <w:p w14:paraId="5B1E3466" w14:textId="77777777" w:rsidR="00FE20C5" w:rsidRPr="00092331" w:rsidRDefault="00FE20C5" w:rsidP="00810C38">
            <w:pPr>
              <w:spacing w:after="0"/>
              <w:rPr>
                <w:sz w:val="20"/>
                <w:szCs w:val="20"/>
                <w:lang w:eastAsia="en-GB"/>
              </w:rPr>
            </w:pPr>
            <w:r w:rsidRPr="00092331">
              <w:rPr>
                <w:sz w:val="20"/>
                <w:szCs w:val="20"/>
                <w:lang w:eastAsia="en-GB"/>
              </w:rPr>
              <w:t>26.11.2015</w:t>
            </w:r>
          </w:p>
        </w:tc>
        <w:tc>
          <w:tcPr>
            <w:tcW w:w="538" w:type="pct"/>
            <w:gridSpan w:val="2"/>
            <w:tcBorders>
              <w:top w:val="nil"/>
              <w:left w:val="nil"/>
              <w:bottom w:val="nil"/>
              <w:right w:val="nil"/>
            </w:tcBorders>
            <w:shd w:val="clear" w:color="auto" w:fill="auto"/>
            <w:noWrap/>
            <w:vAlign w:val="center"/>
            <w:hideMark/>
          </w:tcPr>
          <w:p w14:paraId="30CD205F" w14:textId="77777777" w:rsidR="00FE20C5" w:rsidRPr="00092331" w:rsidRDefault="00FE20C5" w:rsidP="00810C38">
            <w:pPr>
              <w:spacing w:after="0"/>
              <w:rPr>
                <w:sz w:val="20"/>
                <w:szCs w:val="20"/>
                <w:lang w:eastAsia="en-GB"/>
              </w:rPr>
            </w:pPr>
            <w:r w:rsidRPr="00092331">
              <w:rPr>
                <w:sz w:val="20"/>
                <w:szCs w:val="20"/>
                <w:lang w:eastAsia="en-GB"/>
              </w:rPr>
              <w:t>28</w:t>
            </w:r>
          </w:p>
        </w:tc>
        <w:tc>
          <w:tcPr>
            <w:tcW w:w="480" w:type="pct"/>
            <w:tcBorders>
              <w:top w:val="nil"/>
              <w:left w:val="nil"/>
              <w:bottom w:val="nil"/>
              <w:right w:val="nil"/>
            </w:tcBorders>
            <w:shd w:val="clear" w:color="auto" w:fill="auto"/>
            <w:noWrap/>
            <w:vAlign w:val="center"/>
            <w:hideMark/>
          </w:tcPr>
          <w:p w14:paraId="485FA4E4" w14:textId="77777777" w:rsidR="00FE20C5" w:rsidRPr="00092331" w:rsidRDefault="00FE20C5" w:rsidP="00810C38">
            <w:pPr>
              <w:spacing w:after="0"/>
              <w:rPr>
                <w:sz w:val="20"/>
                <w:szCs w:val="20"/>
                <w:lang w:eastAsia="en-GB"/>
              </w:rPr>
            </w:pPr>
            <w:r w:rsidRPr="00092331">
              <w:rPr>
                <w:sz w:val="20"/>
                <w:szCs w:val="20"/>
                <w:lang w:eastAsia="en-GB"/>
              </w:rPr>
              <w:t>68.1</w:t>
            </w:r>
          </w:p>
        </w:tc>
      </w:tr>
      <w:tr w:rsidR="000D04AC" w:rsidRPr="00092331" w14:paraId="597393B8" w14:textId="77777777" w:rsidTr="007E5F00">
        <w:trPr>
          <w:trHeight w:val="284"/>
        </w:trPr>
        <w:tc>
          <w:tcPr>
            <w:tcW w:w="600" w:type="pct"/>
            <w:vMerge/>
            <w:tcBorders>
              <w:left w:val="nil"/>
              <w:right w:val="nil"/>
            </w:tcBorders>
            <w:vAlign w:val="center"/>
          </w:tcPr>
          <w:p w14:paraId="43AACB03"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0A3B1C1E"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18B25F33" w14:textId="77777777" w:rsidR="00FE20C5" w:rsidRPr="00092331" w:rsidRDefault="00FE20C5" w:rsidP="00810C38">
            <w:pPr>
              <w:spacing w:after="0"/>
              <w:rPr>
                <w:sz w:val="20"/>
                <w:szCs w:val="20"/>
                <w:lang w:eastAsia="en-GB"/>
              </w:rPr>
            </w:pPr>
            <w:r w:rsidRPr="00092331">
              <w:rPr>
                <w:sz w:val="20"/>
                <w:szCs w:val="20"/>
                <w:lang w:eastAsia="en-GB"/>
              </w:rPr>
              <w:t>Kilimanjaro</w:t>
            </w:r>
          </w:p>
        </w:tc>
        <w:tc>
          <w:tcPr>
            <w:tcW w:w="922" w:type="pct"/>
            <w:tcBorders>
              <w:top w:val="nil"/>
              <w:left w:val="nil"/>
              <w:bottom w:val="nil"/>
              <w:right w:val="nil"/>
            </w:tcBorders>
            <w:shd w:val="clear" w:color="auto" w:fill="auto"/>
            <w:noWrap/>
            <w:vAlign w:val="center"/>
            <w:hideMark/>
          </w:tcPr>
          <w:p w14:paraId="0DFAF921" w14:textId="77777777" w:rsidR="00FE20C5" w:rsidRPr="00092331" w:rsidRDefault="00FE20C5" w:rsidP="00810C38">
            <w:pPr>
              <w:spacing w:after="0"/>
              <w:rPr>
                <w:sz w:val="20"/>
                <w:szCs w:val="20"/>
                <w:lang w:eastAsia="en-GB"/>
              </w:rPr>
            </w:pPr>
            <w:r w:rsidRPr="00092331">
              <w:rPr>
                <w:sz w:val="20"/>
                <w:szCs w:val="20"/>
                <w:lang w:eastAsia="en-GB"/>
              </w:rPr>
              <w:t>01.03.2016</w:t>
            </w:r>
          </w:p>
        </w:tc>
        <w:tc>
          <w:tcPr>
            <w:tcW w:w="695" w:type="pct"/>
            <w:tcBorders>
              <w:top w:val="nil"/>
              <w:left w:val="nil"/>
              <w:bottom w:val="nil"/>
              <w:right w:val="nil"/>
            </w:tcBorders>
            <w:shd w:val="clear" w:color="auto" w:fill="auto"/>
            <w:noWrap/>
            <w:vAlign w:val="center"/>
            <w:hideMark/>
          </w:tcPr>
          <w:p w14:paraId="7034130B" w14:textId="77777777" w:rsidR="00FE20C5" w:rsidRPr="00092331" w:rsidRDefault="00FE20C5" w:rsidP="00810C38">
            <w:pPr>
              <w:spacing w:after="0"/>
              <w:rPr>
                <w:sz w:val="20"/>
                <w:szCs w:val="20"/>
                <w:lang w:eastAsia="en-GB"/>
              </w:rPr>
            </w:pPr>
            <w:r w:rsidRPr="00092331">
              <w:rPr>
                <w:sz w:val="20"/>
                <w:szCs w:val="20"/>
                <w:lang w:eastAsia="en-GB"/>
              </w:rPr>
              <w:t>15.09.2015</w:t>
            </w:r>
          </w:p>
        </w:tc>
        <w:tc>
          <w:tcPr>
            <w:tcW w:w="538" w:type="pct"/>
            <w:gridSpan w:val="2"/>
            <w:tcBorders>
              <w:top w:val="nil"/>
              <w:left w:val="nil"/>
              <w:bottom w:val="nil"/>
              <w:right w:val="nil"/>
            </w:tcBorders>
            <w:shd w:val="clear" w:color="auto" w:fill="auto"/>
            <w:noWrap/>
            <w:vAlign w:val="center"/>
            <w:hideMark/>
          </w:tcPr>
          <w:p w14:paraId="18CB85B5" w14:textId="77777777" w:rsidR="00FE20C5" w:rsidRPr="00092331" w:rsidRDefault="00FE20C5" w:rsidP="00810C38">
            <w:pPr>
              <w:spacing w:after="0"/>
              <w:rPr>
                <w:sz w:val="20"/>
                <w:szCs w:val="20"/>
                <w:lang w:eastAsia="en-GB"/>
              </w:rPr>
            </w:pPr>
            <w:r w:rsidRPr="00092331">
              <w:rPr>
                <w:sz w:val="20"/>
                <w:szCs w:val="20"/>
                <w:lang w:eastAsia="en-GB"/>
              </w:rPr>
              <w:t>36.1</w:t>
            </w:r>
          </w:p>
        </w:tc>
        <w:tc>
          <w:tcPr>
            <w:tcW w:w="480" w:type="pct"/>
            <w:tcBorders>
              <w:top w:val="nil"/>
              <w:left w:val="nil"/>
              <w:bottom w:val="nil"/>
              <w:right w:val="nil"/>
            </w:tcBorders>
            <w:shd w:val="clear" w:color="auto" w:fill="auto"/>
            <w:noWrap/>
            <w:vAlign w:val="center"/>
            <w:hideMark/>
          </w:tcPr>
          <w:p w14:paraId="52D53C35" w14:textId="77777777" w:rsidR="00FE20C5" w:rsidRPr="00092331" w:rsidRDefault="00FE20C5" w:rsidP="00810C38">
            <w:pPr>
              <w:spacing w:after="0"/>
              <w:rPr>
                <w:sz w:val="20"/>
                <w:szCs w:val="20"/>
                <w:lang w:eastAsia="en-GB"/>
              </w:rPr>
            </w:pPr>
            <w:r w:rsidRPr="00092331">
              <w:rPr>
                <w:sz w:val="20"/>
                <w:szCs w:val="20"/>
                <w:lang w:eastAsia="en-GB"/>
              </w:rPr>
              <w:t>64.5</w:t>
            </w:r>
          </w:p>
        </w:tc>
      </w:tr>
      <w:tr w:rsidR="000D04AC" w:rsidRPr="00092331" w14:paraId="5E3CA59D" w14:textId="77777777" w:rsidTr="007E5F00">
        <w:trPr>
          <w:trHeight w:val="284"/>
        </w:trPr>
        <w:tc>
          <w:tcPr>
            <w:tcW w:w="600" w:type="pct"/>
            <w:vMerge/>
            <w:tcBorders>
              <w:left w:val="nil"/>
              <w:right w:val="nil"/>
            </w:tcBorders>
            <w:vAlign w:val="center"/>
          </w:tcPr>
          <w:p w14:paraId="41F6EB36"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38AA49A3"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77D7D5F1" w14:textId="77777777" w:rsidR="00FE20C5" w:rsidRPr="00092331" w:rsidRDefault="00FE20C5" w:rsidP="00810C38">
            <w:pPr>
              <w:spacing w:after="0"/>
              <w:rPr>
                <w:sz w:val="20"/>
                <w:szCs w:val="20"/>
                <w:lang w:eastAsia="en-GB"/>
              </w:rPr>
            </w:pPr>
            <w:proofErr w:type="spellStart"/>
            <w:r w:rsidRPr="00092331">
              <w:rPr>
                <w:sz w:val="20"/>
                <w:szCs w:val="20"/>
                <w:lang w:eastAsia="en-GB"/>
              </w:rPr>
              <w:t>Manyara</w:t>
            </w:r>
            <w:proofErr w:type="spellEnd"/>
          </w:p>
        </w:tc>
        <w:tc>
          <w:tcPr>
            <w:tcW w:w="922" w:type="pct"/>
            <w:tcBorders>
              <w:top w:val="nil"/>
              <w:left w:val="nil"/>
              <w:bottom w:val="nil"/>
              <w:right w:val="nil"/>
            </w:tcBorders>
            <w:shd w:val="clear" w:color="auto" w:fill="auto"/>
            <w:noWrap/>
            <w:vAlign w:val="center"/>
            <w:hideMark/>
          </w:tcPr>
          <w:p w14:paraId="2E3775B0" w14:textId="77777777" w:rsidR="00FE20C5" w:rsidRPr="00092331" w:rsidRDefault="00FE20C5" w:rsidP="00810C38">
            <w:pPr>
              <w:spacing w:after="0"/>
              <w:rPr>
                <w:sz w:val="20"/>
                <w:szCs w:val="20"/>
                <w:lang w:eastAsia="en-GB"/>
              </w:rPr>
            </w:pPr>
            <w:r w:rsidRPr="00092331">
              <w:rPr>
                <w:sz w:val="20"/>
                <w:szCs w:val="20"/>
                <w:lang w:eastAsia="en-GB"/>
              </w:rPr>
              <w:t>01.01.2016</w:t>
            </w:r>
          </w:p>
        </w:tc>
        <w:tc>
          <w:tcPr>
            <w:tcW w:w="695" w:type="pct"/>
            <w:tcBorders>
              <w:top w:val="nil"/>
              <w:left w:val="nil"/>
              <w:bottom w:val="nil"/>
              <w:right w:val="nil"/>
            </w:tcBorders>
            <w:shd w:val="clear" w:color="auto" w:fill="auto"/>
            <w:noWrap/>
            <w:vAlign w:val="center"/>
            <w:hideMark/>
          </w:tcPr>
          <w:p w14:paraId="20AAB370" w14:textId="77777777" w:rsidR="00FE20C5" w:rsidRPr="00092331" w:rsidRDefault="00FE20C5" w:rsidP="00810C38">
            <w:pPr>
              <w:spacing w:after="0"/>
              <w:rPr>
                <w:sz w:val="20"/>
                <w:szCs w:val="20"/>
                <w:lang w:eastAsia="en-GB"/>
              </w:rPr>
            </w:pPr>
            <w:r w:rsidRPr="00092331">
              <w:rPr>
                <w:sz w:val="20"/>
                <w:szCs w:val="20"/>
                <w:lang w:eastAsia="en-GB"/>
              </w:rPr>
              <w:t>28.11.2015</w:t>
            </w:r>
          </w:p>
        </w:tc>
        <w:tc>
          <w:tcPr>
            <w:tcW w:w="538" w:type="pct"/>
            <w:gridSpan w:val="2"/>
            <w:tcBorders>
              <w:top w:val="nil"/>
              <w:left w:val="nil"/>
              <w:bottom w:val="nil"/>
              <w:right w:val="nil"/>
            </w:tcBorders>
            <w:shd w:val="clear" w:color="auto" w:fill="auto"/>
            <w:noWrap/>
            <w:vAlign w:val="center"/>
            <w:hideMark/>
          </w:tcPr>
          <w:p w14:paraId="4FB282A3" w14:textId="77777777" w:rsidR="00FE20C5" w:rsidRPr="00092331" w:rsidRDefault="00FE20C5" w:rsidP="00810C38">
            <w:pPr>
              <w:spacing w:after="0"/>
              <w:rPr>
                <w:sz w:val="20"/>
                <w:szCs w:val="20"/>
                <w:lang w:eastAsia="en-GB"/>
              </w:rPr>
            </w:pPr>
            <w:r w:rsidRPr="00092331">
              <w:rPr>
                <w:sz w:val="20"/>
                <w:szCs w:val="20"/>
                <w:lang w:eastAsia="en-GB"/>
              </w:rPr>
              <w:t>12.6</w:t>
            </w:r>
          </w:p>
        </w:tc>
        <w:tc>
          <w:tcPr>
            <w:tcW w:w="480" w:type="pct"/>
            <w:tcBorders>
              <w:top w:val="nil"/>
              <w:left w:val="nil"/>
              <w:bottom w:val="nil"/>
              <w:right w:val="nil"/>
            </w:tcBorders>
            <w:shd w:val="clear" w:color="auto" w:fill="auto"/>
            <w:noWrap/>
            <w:vAlign w:val="center"/>
            <w:hideMark/>
          </w:tcPr>
          <w:p w14:paraId="0E4A94D7" w14:textId="77777777" w:rsidR="00FE20C5" w:rsidRPr="00092331" w:rsidRDefault="00FE20C5" w:rsidP="00810C38">
            <w:pPr>
              <w:spacing w:after="0"/>
              <w:rPr>
                <w:sz w:val="20"/>
                <w:szCs w:val="20"/>
                <w:lang w:eastAsia="en-GB"/>
              </w:rPr>
            </w:pPr>
            <w:r w:rsidRPr="00092331">
              <w:rPr>
                <w:sz w:val="20"/>
                <w:szCs w:val="20"/>
                <w:lang w:eastAsia="en-GB"/>
              </w:rPr>
              <w:t>65.9</w:t>
            </w:r>
          </w:p>
        </w:tc>
      </w:tr>
      <w:tr w:rsidR="000D04AC" w:rsidRPr="00092331" w14:paraId="53E48605" w14:textId="77777777" w:rsidTr="007E5F00">
        <w:trPr>
          <w:trHeight w:val="284"/>
        </w:trPr>
        <w:tc>
          <w:tcPr>
            <w:tcW w:w="600" w:type="pct"/>
            <w:vMerge/>
            <w:tcBorders>
              <w:left w:val="nil"/>
              <w:right w:val="nil"/>
            </w:tcBorders>
            <w:vAlign w:val="center"/>
          </w:tcPr>
          <w:p w14:paraId="57AA6A00"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3FB16667"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13B2668C" w14:textId="77777777" w:rsidR="00FE20C5" w:rsidRPr="00092331" w:rsidRDefault="00FE20C5" w:rsidP="00810C38">
            <w:pPr>
              <w:spacing w:after="0"/>
              <w:rPr>
                <w:sz w:val="20"/>
                <w:szCs w:val="20"/>
                <w:lang w:eastAsia="en-GB"/>
              </w:rPr>
            </w:pPr>
            <w:r w:rsidRPr="00092331">
              <w:rPr>
                <w:sz w:val="20"/>
                <w:szCs w:val="20"/>
                <w:lang w:eastAsia="en-GB"/>
              </w:rPr>
              <w:t>Mbeya</w:t>
            </w:r>
          </w:p>
        </w:tc>
        <w:tc>
          <w:tcPr>
            <w:tcW w:w="922" w:type="pct"/>
            <w:tcBorders>
              <w:top w:val="nil"/>
              <w:left w:val="nil"/>
              <w:bottom w:val="nil"/>
              <w:right w:val="nil"/>
            </w:tcBorders>
            <w:shd w:val="clear" w:color="auto" w:fill="auto"/>
            <w:noWrap/>
            <w:vAlign w:val="center"/>
            <w:hideMark/>
          </w:tcPr>
          <w:p w14:paraId="3E14B644" w14:textId="77777777" w:rsidR="00FE20C5" w:rsidRPr="00092331" w:rsidRDefault="00FE20C5" w:rsidP="00810C38">
            <w:pPr>
              <w:spacing w:after="0"/>
              <w:rPr>
                <w:sz w:val="20"/>
                <w:szCs w:val="20"/>
                <w:lang w:eastAsia="en-GB"/>
              </w:rPr>
            </w:pPr>
            <w:r w:rsidRPr="00092331">
              <w:rPr>
                <w:sz w:val="20"/>
                <w:szCs w:val="20"/>
                <w:lang w:eastAsia="en-GB"/>
              </w:rPr>
              <w:t>22.11.2016</w:t>
            </w:r>
          </w:p>
        </w:tc>
        <w:tc>
          <w:tcPr>
            <w:tcW w:w="695" w:type="pct"/>
            <w:tcBorders>
              <w:top w:val="nil"/>
              <w:left w:val="nil"/>
              <w:bottom w:val="nil"/>
              <w:right w:val="nil"/>
            </w:tcBorders>
            <w:shd w:val="clear" w:color="auto" w:fill="auto"/>
            <w:noWrap/>
            <w:vAlign w:val="center"/>
            <w:hideMark/>
          </w:tcPr>
          <w:p w14:paraId="3BA12B64" w14:textId="77777777" w:rsidR="00FE20C5" w:rsidRPr="00092331" w:rsidRDefault="00FE20C5" w:rsidP="00810C38">
            <w:pPr>
              <w:spacing w:after="0"/>
              <w:rPr>
                <w:sz w:val="20"/>
                <w:szCs w:val="20"/>
                <w:lang w:eastAsia="en-GB"/>
              </w:rPr>
            </w:pPr>
            <w:r w:rsidRPr="00092331">
              <w:rPr>
                <w:sz w:val="20"/>
                <w:szCs w:val="20"/>
                <w:lang w:eastAsia="en-GB"/>
              </w:rPr>
              <w:t>19.11.2015</w:t>
            </w:r>
          </w:p>
        </w:tc>
        <w:tc>
          <w:tcPr>
            <w:tcW w:w="538" w:type="pct"/>
            <w:gridSpan w:val="2"/>
            <w:tcBorders>
              <w:top w:val="nil"/>
              <w:left w:val="nil"/>
              <w:bottom w:val="nil"/>
              <w:right w:val="nil"/>
            </w:tcBorders>
            <w:shd w:val="clear" w:color="auto" w:fill="auto"/>
            <w:noWrap/>
            <w:vAlign w:val="center"/>
            <w:hideMark/>
          </w:tcPr>
          <w:p w14:paraId="310A6941" w14:textId="77777777" w:rsidR="00FE20C5" w:rsidRPr="00092331" w:rsidRDefault="00FE20C5" w:rsidP="00810C38">
            <w:pPr>
              <w:spacing w:after="0"/>
              <w:rPr>
                <w:sz w:val="20"/>
                <w:szCs w:val="20"/>
                <w:lang w:eastAsia="en-GB"/>
              </w:rPr>
            </w:pPr>
            <w:r w:rsidRPr="00092331">
              <w:rPr>
                <w:sz w:val="20"/>
                <w:szCs w:val="20"/>
                <w:lang w:eastAsia="en-GB"/>
              </w:rPr>
              <w:t>26.4</w:t>
            </w:r>
          </w:p>
        </w:tc>
        <w:tc>
          <w:tcPr>
            <w:tcW w:w="480" w:type="pct"/>
            <w:tcBorders>
              <w:top w:val="nil"/>
              <w:left w:val="nil"/>
              <w:bottom w:val="nil"/>
              <w:right w:val="nil"/>
            </w:tcBorders>
            <w:shd w:val="clear" w:color="auto" w:fill="auto"/>
            <w:noWrap/>
            <w:vAlign w:val="center"/>
            <w:hideMark/>
          </w:tcPr>
          <w:p w14:paraId="7774B8DA" w14:textId="77777777" w:rsidR="00FE20C5" w:rsidRPr="00092331" w:rsidRDefault="00FE20C5" w:rsidP="00810C38">
            <w:pPr>
              <w:spacing w:after="0"/>
              <w:rPr>
                <w:sz w:val="20"/>
                <w:szCs w:val="20"/>
                <w:lang w:eastAsia="en-GB"/>
              </w:rPr>
            </w:pPr>
            <w:r w:rsidRPr="00092331">
              <w:rPr>
                <w:sz w:val="20"/>
                <w:szCs w:val="20"/>
                <w:lang w:eastAsia="en-GB"/>
              </w:rPr>
              <w:t>69.0</w:t>
            </w:r>
          </w:p>
        </w:tc>
      </w:tr>
      <w:tr w:rsidR="000D04AC" w:rsidRPr="00092331" w14:paraId="563B7592" w14:textId="77777777" w:rsidTr="007E5F00">
        <w:trPr>
          <w:trHeight w:val="284"/>
        </w:trPr>
        <w:tc>
          <w:tcPr>
            <w:tcW w:w="600" w:type="pct"/>
            <w:vMerge/>
            <w:tcBorders>
              <w:left w:val="nil"/>
              <w:right w:val="nil"/>
            </w:tcBorders>
            <w:vAlign w:val="center"/>
          </w:tcPr>
          <w:p w14:paraId="00F64D34"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03FC8023"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08CC73B2" w14:textId="77777777" w:rsidR="00FE20C5" w:rsidRPr="00092331" w:rsidRDefault="00FE20C5" w:rsidP="00810C38">
            <w:pPr>
              <w:spacing w:after="0"/>
              <w:rPr>
                <w:sz w:val="20"/>
                <w:szCs w:val="20"/>
                <w:lang w:eastAsia="en-GB"/>
              </w:rPr>
            </w:pPr>
            <w:r w:rsidRPr="00092331">
              <w:rPr>
                <w:sz w:val="20"/>
                <w:szCs w:val="20"/>
                <w:lang w:eastAsia="en-GB"/>
              </w:rPr>
              <w:t>Morogoro</w:t>
            </w:r>
          </w:p>
        </w:tc>
        <w:tc>
          <w:tcPr>
            <w:tcW w:w="922" w:type="pct"/>
            <w:tcBorders>
              <w:top w:val="nil"/>
              <w:left w:val="nil"/>
              <w:bottom w:val="nil"/>
              <w:right w:val="nil"/>
            </w:tcBorders>
            <w:shd w:val="clear" w:color="auto" w:fill="auto"/>
            <w:noWrap/>
            <w:vAlign w:val="center"/>
            <w:hideMark/>
          </w:tcPr>
          <w:p w14:paraId="267F1C64" w14:textId="77777777" w:rsidR="00FE20C5" w:rsidRPr="00092331" w:rsidRDefault="00FE20C5" w:rsidP="00810C38">
            <w:pPr>
              <w:spacing w:after="0"/>
              <w:rPr>
                <w:sz w:val="20"/>
                <w:szCs w:val="20"/>
                <w:lang w:eastAsia="en-GB"/>
              </w:rPr>
            </w:pPr>
            <w:r w:rsidRPr="00092331">
              <w:rPr>
                <w:sz w:val="20"/>
                <w:szCs w:val="20"/>
                <w:lang w:eastAsia="en-GB"/>
              </w:rPr>
              <w:t>07.06.2016</w:t>
            </w:r>
          </w:p>
        </w:tc>
        <w:tc>
          <w:tcPr>
            <w:tcW w:w="695" w:type="pct"/>
            <w:tcBorders>
              <w:top w:val="nil"/>
              <w:left w:val="nil"/>
              <w:bottom w:val="nil"/>
              <w:right w:val="nil"/>
            </w:tcBorders>
            <w:shd w:val="clear" w:color="auto" w:fill="auto"/>
            <w:noWrap/>
            <w:vAlign w:val="center"/>
            <w:hideMark/>
          </w:tcPr>
          <w:p w14:paraId="7570E44E" w14:textId="77777777" w:rsidR="00FE20C5" w:rsidRPr="00092331" w:rsidRDefault="00FE20C5" w:rsidP="00810C38">
            <w:pPr>
              <w:spacing w:after="0"/>
              <w:rPr>
                <w:sz w:val="20"/>
                <w:szCs w:val="20"/>
                <w:lang w:eastAsia="en-GB"/>
              </w:rPr>
            </w:pPr>
            <w:r w:rsidRPr="00092331">
              <w:rPr>
                <w:sz w:val="20"/>
                <w:szCs w:val="20"/>
                <w:lang w:eastAsia="en-GB"/>
              </w:rPr>
              <w:t>01.12.2015</w:t>
            </w:r>
          </w:p>
        </w:tc>
        <w:tc>
          <w:tcPr>
            <w:tcW w:w="538" w:type="pct"/>
            <w:gridSpan w:val="2"/>
            <w:tcBorders>
              <w:top w:val="nil"/>
              <w:left w:val="nil"/>
              <w:bottom w:val="nil"/>
              <w:right w:val="nil"/>
            </w:tcBorders>
            <w:shd w:val="clear" w:color="auto" w:fill="auto"/>
            <w:noWrap/>
            <w:vAlign w:val="center"/>
            <w:hideMark/>
          </w:tcPr>
          <w:p w14:paraId="06F380D5" w14:textId="77777777" w:rsidR="00FE20C5" w:rsidRPr="00092331" w:rsidRDefault="00FE20C5" w:rsidP="00810C38">
            <w:pPr>
              <w:spacing w:after="0"/>
              <w:rPr>
                <w:sz w:val="20"/>
                <w:szCs w:val="20"/>
                <w:lang w:eastAsia="en-GB"/>
              </w:rPr>
            </w:pPr>
            <w:r w:rsidRPr="00092331">
              <w:rPr>
                <w:sz w:val="20"/>
                <w:szCs w:val="20"/>
                <w:lang w:eastAsia="en-GB"/>
              </w:rPr>
              <w:t>47.5</w:t>
            </w:r>
          </w:p>
        </w:tc>
        <w:tc>
          <w:tcPr>
            <w:tcW w:w="480" w:type="pct"/>
            <w:tcBorders>
              <w:top w:val="nil"/>
              <w:left w:val="nil"/>
              <w:bottom w:val="nil"/>
              <w:right w:val="nil"/>
            </w:tcBorders>
            <w:shd w:val="clear" w:color="auto" w:fill="auto"/>
            <w:noWrap/>
            <w:vAlign w:val="center"/>
            <w:hideMark/>
          </w:tcPr>
          <w:p w14:paraId="46A22A3E" w14:textId="77777777" w:rsidR="00FE20C5" w:rsidRPr="00092331" w:rsidRDefault="00FE20C5" w:rsidP="00810C38">
            <w:pPr>
              <w:spacing w:after="0"/>
              <w:rPr>
                <w:sz w:val="20"/>
                <w:szCs w:val="20"/>
                <w:lang w:eastAsia="en-GB"/>
              </w:rPr>
            </w:pPr>
            <w:r w:rsidRPr="00092331">
              <w:rPr>
                <w:sz w:val="20"/>
                <w:szCs w:val="20"/>
                <w:lang w:eastAsia="en-GB"/>
              </w:rPr>
              <w:t>68.7</w:t>
            </w:r>
          </w:p>
        </w:tc>
      </w:tr>
      <w:tr w:rsidR="000D04AC" w:rsidRPr="00092331" w14:paraId="72C3D5DE" w14:textId="77777777" w:rsidTr="007E5F00">
        <w:trPr>
          <w:trHeight w:val="284"/>
        </w:trPr>
        <w:tc>
          <w:tcPr>
            <w:tcW w:w="600" w:type="pct"/>
            <w:vMerge/>
            <w:tcBorders>
              <w:left w:val="nil"/>
              <w:right w:val="nil"/>
            </w:tcBorders>
            <w:vAlign w:val="center"/>
          </w:tcPr>
          <w:p w14:paraId="421A5534"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07438CB4"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45797C94" w14:textId="77777777" w:rsidR="00FE20C5" w:rsidRPr="00092331" w:rsidRDefault="00FE20C5" w:rsidP="00810C38">
            <w:pPr>
              <w:spacing w:after="0"/>
              <w:rPr>
                <w:sz w:val="20"/>
                <w:szCs w:val="20"/>
                <w:lang w:eastAsia="en-GB"/>
              </w:rPr>
            </w:pPr>
            <w:proofErr w:type="spellStart"/>
            <w:r w:rsidRPr="00092331">
              <w:rPr>
                <w:sz w:val="20"/>
                <w:szCs w:val="20"/>
                <w:lang w:eastAsia="en-GB"/>
              </w:rPr>
              <w:t>Njombe</w:t>
            </w:r>
            <w:proofErr w:type="spellEnd"/>
          </w:p>
        </w:tc>
        <w:tc>
          <w:tcPr>
            <w:tcW w:w="922" w:type="pct"/>
            <w:tcBorders>
              <w:top w:val="nil"/>
              <w:left w:val="nil"/>
              <w:bottom w:val="nil"/>
              <w:right w:val="nil"/>
            </w:tcBorders>
            <w:shd w:val="clear" w:color="auto" w:fill="auto"/>
            <w:noWrap/>
            <w:vAlign w:val="center"/>
            <w:hideMark/>
          </w:tcPr>
          <w:p w14:paraId="60AD1387" w14:textId="77777777" w:rsidR="00FE20C5" w:rsidRPr="00092331" w:rsidRDefault="00FE20C5" w:rsidP="00810C38">
            <w:pPr>
              <w:spacing w:after="0"/>
              <w:rPr>
                <w:sz w:val="20"/>
                <w:szCs w:val="20"/>
                <w:lang w:eastAsia="en-GB"/>
              </w:rPr>
            </w:pPr>
            <w:r w:rsidRPr="00092331">
              <w:rPr>
                <w:sz w:val="20"/>
                <w:szCs w:val="20"/>
                <w:lang w:eastAsia="en-GB"/>
              </w:rPr>
              <w:t>01.11.2015</w:t>
            </w:r>
          </w:p>
        </w:tc>
        <w:tc>
          <w:tcPr>
            <w:tcW w:w="695" w:type="pct"/>
            <w:tcBorders>
              <w:top w:val="nil"/>
              <w:left w:val="nil"/>
              <w:bottom w:val="nil"/>
              <w:right w:val="nil"/>
            </w:tcBorders>
            <w:shd w:val="clear" w:color="auto" w:fill="auto"/>
            <w:noWrap/>
            <w:vAlign w:val="center"/>
            <w:hideMark/>
          </w:tcPr>
          <w:p w14:paraId="6AD3131C" w14:textId="77777777" w:rsidR="00FE20C5" w:rsidRPr="00092331" w:rsidRDefault="00FE20C5" w:rsidP="00810C38">
            <w:pPr>
              <w:spacing w:after="0"/>
              <w:rPr>
                <w:sz w:val="20"/>
                <w:szCs w:val="20"/>
                <w:lang w:eastAsia="en-GB"/>
              </w:rPr>
            </w:pPr>
            <w:r w:rsidRPr="00092331">
              <w:rPr>
                <w:sz w:val="20"/>
                <w:szCs w:val="20"/>
                <w:lang w:eastAsia="en-GB"/>
              </w:rPr>
              <w:t>20.10.2015</w:t>
            </w:r>
          </w:p>
        </w:tc>
        <w:tc>
          <w:tcPr>
            <w:tcW w:w="538" w:type="pct"/>
            <w:gridSpan w:val="2"/>
            <w:tcBorders>
              <w:top w:val="nil"/>
              <w:left w:val="nil"/>
              <w:bottom w:val="nil"/>
              <w:right w:val="nil"/>
            </w:tcBorders>
            <w:shd w:val="clear" w:color="auto" w:fill="auto"/>
            <w:noWrap/>
            <w:vAlign w:val="center"/>
            <w:hideMark/>
          </w:tcPr>
          <w:p w14:paraId="3E90F6AF" w14:textId="77777777" w:rsidR="00FE20C5" w:rsidRPr="00092331" w:rsidRDefault="00FE20C5" w:rsidP="00810C38">
            <w:pPr>
              <w:spacing w:after="0"/>
              <w:rPr>
                <w:sz w:val="20"/>
                <w:szCs w:val="20"/>
                <w:lang w:eastAsia="en-GB"/>
              </w:rPr>
            </w:pPr>
            <w:r w:rsidRPr="00092331">
              <w:rPr>
                <w:sz w:val="20"/>
                <w:szCs w:val="20"/>
                <w:lang w:eastAsia="en-GB"/>
              </w:rPr>
              <w:t>16.9</w:t>
            </w:r>
          </w:p>
        </w:tc>
        <w:tc>
          <w:tcPr>
            <w:tcW w:w="480" w:type="pct"/>
            <w:tcBorders>
              <w:top w:val="nil"/>
              <w:left w:val="nil"/>
              <w:bottom w:val="nil"/>
              <w:right w:val="nil"/>
            </w:tcBorders>
            <w:shd w:val="clear" w:color="auto" w:fill="auto"/>
            <w:noWrap/>
            <w:vAlign w:val="center"/>
            <w:hideMark/>
          </w:tcPr>
          <w:p w14:paraId="5A54656C" w14:textId="77777777" w:rsidR="00FE20C5" w:rsidRPr="00092331" w:rsidRDefault="00FE20C5" w:rsidP="00810C38">
            <w:pPr>
              <w:spacing w:after="0"/>
              <w:rPr>
                <w:sz w:val="20"/>
                <w:szCs w:val="20"/>
                <w:lang w:eastAsia="en-GB"/>
              </w:rPr>
            </w:pPr>
            <w:r w:rsidRPr="00092331">
              <w:rPr>
                <w:sz w:val="20"/>
                <w:szCs w:val="20"/>
                <w:lang w:eastAsia="en-GB"/>
              </w:rPr>
              <w:t>70.9</w:t>
            </w:r>
          </w:p>
        </w:tc>
      </w:tr>
      <w:tr w:rsidR="000D04AC" w:rsidRPr="00092331" w14:paraId="07739987" w14:textId="77777777" w:rsidTr="007E5F00">
        <w:trPr>
          <w:trHeight w:val="284"/>
        </w:trPr>
        <w:tc>
          <w:tcPr>
            <w:tcW w:w="600" w:type="pct"/>
            <w:vMerge/>
            <w:tcBorders>
              <w:left w:val="nil"/>
              <w:right w:val="nil"/>
            </w:tcBorders>
            <w:vAlign w:val="center"/>
          </w:tcPr>
          <w:p w14:paraId="5DF0AC98"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751A224D"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06A2D112" w14:textId="77777777" w:rsidR="00FE20C5" w:rsidRPr="00092331" w:rsidRDefault="00FE20C5" w:rsidP="00810C38">
            <w:pPr>
              <w:spacing w:after="0"/>
              <w:rPr>
                <w:sz w:val="20"/>
                <w:szCs w:val="20"/>
                <w:lang w:eastAsia="en-GB"/>
              </w:rPr>
            </w:pPr>
            <w:proofErr w:type="spellStart"/>
            <w:r w:rsidRPr="00092331">
              <w:rPr>
                <w:sz w:val="20"/>
                <w:szCs w:val="20"/>
                <w:lang w:eastAsia="en-GB"/>
              </w:rPr>
              <w:t>Pwani</w:t>
            </w:r>
            <w:proofErr w:type="spellEnd"/>
          </w:p>
        </w:tc>
        <w:tc>
          <w:tcPr>
            <w:tcW w:w="922" w:type="pct"/>
            <w:tcBorders>
              <w:top w:val="nil"/>
              <w:left w:val="nil"/>
              <w:bottom w:val="nil"/>
              <w:right w:val="nil"/>
            </w:tcBorders>
            <w:shd w:val="clear" w:color="auto" w:fill="auto"/>
            <w:noWrap/>
            <w:vAlign w:val="center"/>
            <w:hideMark/>
          </w:tcPr>
          <w:p w14:paraId="2F3B6500" w14:textId="77777777" w:rsidR="00FE20C5" w:rsidRPr="00092331" w:rsidRDefault="00FE20C5" w:rsidP="00810C38">
            <w:pPr>
              <w:spacing w:after="0"/>
              <w:rPr>
                <w:sz w:val="20"/>
                <w:szCs w:val="20"/>
                <w:lang w:eastAsia="en-GB"/>
              </w:rPr>
            </w:pPr>
            <w:r w:rsidRPr="00092331">
              <w:rPr>
                <w:sz w:val="20"/>
                <w:szCs w:val="20"/>
                <w:lang w:eastAsia="en-GB"/>
              </w:rPr>
              <w:t>01.05.2016</w:t>
            </w:r>
          </w:p>
        </w:tc>
        <w:tc>
          <w:tcPr>
            <w:tcW w:w="695" w:type="pct"/>
            <w:tcBorders>
              <w:top w:val="nil"/>
              <w:left w:val="nil"/>
              <w:bottom w:val="nil"/>
              <w:right w:val="nil"/>
            </w:tcBorders>
            <w:shd w:val="clear" w:color="auto" w:fill="auto"/>
            <w:noWrap/>
            <w:vAlign w:val="center"/>
            <w:hideMark/>
          </w:tcPr>
          <w:p w14:paraId="149E7317" w14:textId="77777777" w:rsidR="00FE20C5" w:rsidRPr="00092331" w:rsidRDefault="00FE20C5" w:rsidP="00810C38">
            <w:pPr>
              <w:spacing w:after="0"/>
              <w:rPr>
                <w:sz w:val="20"/>
                <w:szCs w:val="20"/>
                <w:lang w:eastAsia="en-GB"/>
              </w:rPr>
            </w:pPr>
            <w:r w:rsidRPr="00092331">
              <w:rPr>
                <w:sz w:val="20"/>
                <w:szCs w:val="20"/>
                <w:lang w:eastAsia="en-GB"/>
              </w:rPr>
              <w:t>08.01.2016</w:t>
            </w:r>
          </w:p>
        </w:tc>
        <w:tc>
          <w:tcPr>
            <w:tcW w:w="538" w:type="pct"/>
            <w:gridSpan w:val="2"/>
            <w:tcBorders>
              <w:top w:val="nil"/>
              <w:left w:val="nil"/>
              <w:bottom w:val="nil"/>
              <w:right w:val="nil"/>
            </w:tcBorders>
            <w:shd w:val="clear" w:color="auto" w:fill="auto"/>
            <w:noWrap/>
            <w:vAlign w:val="center"/>
            <w:hideMark/>
          </w:tcPr>
          <w:p w14:paraId="1DB1F4C7" w14:textId="77777777" w:rsidR="00FE20C5" w:rsidRPr="00092331" w:rsidRDefault="00FE20C5" w:rsidP="00810C38">
            <w:pPr>
              <w:spacing w:after="0"/>
              <w:rPr>
                <w:sz w:val="20"/>
                <w:szCs w:val="20"/>
                <w:lang w:eastAsia="en-GB"/>
              </w:rPr>
            </w:pPr>
            <w:r w:rsidRPr="00092331">
              <w:rPr>
                <w:sz w:val="20"/>
                <w:szCs w:val="20"/>
                <w:lang w:eastAsia="en-GB"/>
              </w:rPr>
              <w:t>48.1</w:t>
            </w:r>
          </w:p>
        </w:tc>
        <w:tc>
          <w:tcPr>
            <w:tcW w:w="480" w:type="pct"/>
            <w:tcBorders>
              <w:top w:val="nil"/>
              <w:left w:val="nil"/>
              <w:bottom w:val="nil"/>
              <w:right w:val="nil"/>
            </w:tcBorders>
            <w:shd w:val="clear" w:color="auto" w:fill="auto"/>
            <w:noWrap/>
            <w:vAlign w:val="center"/>
            <w:hideMark/>
          </w:tcPr>
          <w:p w14:paraId="4F082B57" w14:textId="77777777" w:rsidR="00FE20C5" w:rsidRPr="00092331" w:rsidRDefault="00FE20C5" w:rsidP="00810C38">
            <w:pPr>
              <w:spacing w:after="0"/>
              <w:rPr>
                <w:sz w:val="20"/>
                <w:szCs w:val="20"/>
                <w:lang w:eastAsia="en-GB"/>
              </w:rPr>
            </w:pPr>
            <w:r w:rsidRPr="00092331">
              <w:rPr>
                <w:sz w:val="20"/>
                <w:szCs w:val="20"/>
                <w:lang w:eastAsia="en-GB"/>
              </w:rPr>
              <w:t>69.3</w:t>
            </w:r>
          </w:p>
        </w:tc>
      </w:tr>
      <w:tr w:rsidR="000D04AC" w:rsidRPr="00092331" w14:paraId="538CBAD5" w14:textId="77777777" w:rsidTr="007E5F00">
        <w:trPr>
          <w:trHeight w:val="284"/>
        </w:trPr>
        <w:tc>
          <w:tcPr>
            <w:tcW w:w="600" w:type="pct"/>
            <w:vMerge/>
            <w:tcBorders>
              <w:left w:val="nil"/>
              <w:right w:val="nil"/>
            </w:tcBorders>
            <w:vAlign w:val="center"/>
          </w:tcPr>
          <w:p w14:paraId="78D57940"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309988B5"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0D1E565B" w14:textId="77777777" w:rsidR="00FE20C5" w:rsidRPr="00092331" w:rsidRDefault="00FE20C5" w:rsidP="00810C38">
            <w:pPr>
              <w:spacing w:after="0"/>
              <w:rPr>
                <w:sz w:val="20"/>
                <w:szCs w:val="20"/>
                <w:lang w:eastAsia="en-GB"/>
              </w:rPr>
            </w:pPr>
            <w:proofErr w:type="spellStart"/>
            <w:r w:rsidRPr="00092331">
              <w:rPr>
                <w:sz w:val="20"/>
                <w:szCs w:val="20"/>
                <w:lang w:eastAsia="en-GB"/>
              </w:rPr>
              <w:t>Rukwa</w:t>
            </w:r>
            <w:proofErr w:type="spellEnd"/>
          </w:p>
        </w:tc>
        <w:tc>
          <w:tcPr>
            <w:tcW w:w="922" w:type="pct"/>
            <w:tcBorders>
              <w:top w:val="nil"/>
              <w:left w:val="nil"/>
              <w:bottom w:val="nil"/>
              <w:right w:val="nil"/>
            </w:tcBorders>
            <w:shd w:val="clear" w:color="auto" w:fill="auto"/>
            <w:noWrap/>
            <w:vAlign w:val="center"/>
            <w:hideMark/>
          </w:tcPr>
          <w:p w14:paraId="5FE3A94A" w14:textId="77777777" w:rsidR="00FE20C5" w:rsidRPr="00092331" w:rsidRDefault="00FE20C5" w:rsidP="00810C38">
            <w:pPr>
              <w:spacing w:after="0"/>
              <w:rPr>
                <w:sz w:val="20"/>
                <w:szCs w:val="20"/>
                <w:lang w:eastAsia="en-GB"/>
              </w:rPr>
            </w:pPr>
            <w:r w:rsidRPr="00092331">
              <w:rPr>
                <w:sz w:val="20"/>
                <w:szCs w:val="20"/>
                <w:lang w:eastAsia="en-GB"/>
              </w:rPr>
              <w:t>01.12.2016</w:t>
            </w:r>
          </w:p>
        </w:tc>
        <w:tc>
          <w:tcPr>
            <w:tcW w:w="695" w:type="pct"/>
            <w:tcBorders>
              <w:top w:val="nil"/>
              <w:left w:val="nil"/>
              <w:bottom w:val="nil"/>
              <w:right w:val="nil"/>
            </w:tcBorders>
            <w:shd w:val="clear" w:color="auto" w:fill="auto"/>
            <w:noWrap/>
            <w:vAlign w:val="center"/>
            <w:hideMark/>
          </w:tcPr>
          <w:p w14:paraId="3BE2599E" w14:textId="77777777" w:rsidR="00FE20C5" w:rsidRPr="00092331" w:rsidRDefault="00FE20C5" w:rsidP="00810C38">
            <w:pPr>
              <w:spacing w:after="0"/>
              <w:rPr>
                <w:sz w:val="20"/>
                <w:szCs w:val="20"/>
                <w:lang w:eastAsia="en-GB"/>
              </w:rPr>
            </w:pPr>
            <w:r w:rsidRPr="00092331">
              <w:rPr>
                <w:sz w:val="20"/>
                <w:szCs w:val="20"/>
                <w:lang w:eastAsia="en-GB"/>
              </w:rPr>
              <w:t>20.10.2015</w:t>
            </w:r>
          </w:p>
        </w:tc>
        <w:tc>
          <w:tcPr>
            <w:tcW w:w="538" w:type="pct"/>
            <w:gridSpan w:val="2"/>
            <w:tcBorders>
              <w:top w:val="nil"/>
              <w:left w:val="nil"/>
              <w:bottom w:val="nil"/>
              <w:right w:val="nil"/>
            </w:tcBorders>
            <w:shd w:val="clear" w:color="auto" w:fill="auto"/>
            <w:noWrap/>
            <w:vAlign w:val="center"/>
            <w:hideMark/>
          </w:tcPr>
          <w:p w14:paraId="7594E527" w14:textId="77777777" w:rsidR="00FE20C5" w:rsidRPr="00092331" w:rsidRDefault="00FE20C5" w:rsidP="00810C38">
            <w:pPr>
              <w:spacing w:after="0"/>
              <w:rPr>
                <w:sz w:val="20"/>
                <w:szCs w:val="20"/>
                <w:lang w:eastAsia="en-GB"/>
              </w:rPr>
            </w:pPr>
            <w:r w:rsidRPr="00092331">
              <w:rPr>
                <w:sz w:val="20"/>
                <w:szCs w:val="20"/>
                <w:lang w:eastAsia="en-GB"/>
              </w:rPr>
              <w:t>15.1</w:t>
            </w:r>
          </w:p>
        </w:tc>
        <w:tc>
          <w:tcPr>
            <w:tcW w:w="480" w:type="pct"/>
            <w:tcBorders>
              <w:top w:val="nil"/>
              <w:left w:val="nil"/>
              <w:bottom w:val="nil"/>
              <w:right w:val="nil"/>
            </w:tcBorders>
            <w:shd w:val="clear" w:color="auto" w:fill="auto"/>
            <w:noWrap/>
            <w:vAlign w:val="center"/>
            <w:hideMark/>
          </w:tcPr>
          <w:p w14:paraId="6C27F271" w14:textId="77777777" w:rsidR="00FE20C5" w:rsidRPr="00092331" w:rsidRDefault="00FE20C5" w:rsidP="00810C38">
            <w:pPr>
              <w:spacing w:after="0"/>
              <w:rPr>
                <w:sz w:val="20"/>
                <w:szCs w:val="20"/>
                <w:lang w:eastAsia="en-GB"/>
              </w:rPr>
            </w:pPr>
            <w:r w:rsidRPr="00092331">
              <w:rPr>
                <w:sz w:val="20"/>
                <w:szCs w:val="20"/>
                <w:lang w:eastAsia="en-GB"/>
              </w:rPr>
              <w:t>69.5</w:t>
            </w:r>
          </w:p>
        </w:tc>
      </w:tr>
      <w:tr w:rsidR="000D04AC" w:rsidRPr="00092331" w14:paraId="5F42794E" w14:textId="77777777" w:rsidTr="007E5F00">
        <w:trPr>
          <w:trHeight w:val="284"/>
        </w:trPr>
        <w:tc>
          <w:tcPr>
            <w:tcW w:w="600" w:type="pct"/>
            <w:vMerge/>
            <w:tcBorders>
              <w:left w:val="nil"/>
              <w:right w:val="nil"/>
            </w:tcBorders>
            <w:vAlign w:val="center"/>
          </w:tcPr>
          <w:p w14:paraId="58E858DD"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64A60E2B"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517A7970" w14:textId="77777777" w:rsidR="00FE20C5" w:rsidRPr="00092331" w:rsidRDefault="00FE20C5" w:rsidP="00810C38">
            <w:pPr>
              <w:spacing w:after="0"/>
              <w:rPr>
                <w:sz w:val="20"/>
                <w:szCs w:val="20"/>
                <w:lang w:eastAsia="en-GB"/>
              </w:rPr>
            </w:pPr>
            <w:proofErr w:type="spellStart"/>
            <w:r w:rsidRPr="00092331">
              <w:rPr>
                <w:sz w:val="20"/>
                <w:szCs w:val="20"/>
                <w:lang w:eastAsia="en-GB"/>
              </w:rPr>
              <w:t>Singida</w:t>
            </w:r>
            <w:proofErr w:type="spellEnd"/>
          </w:p>
        </w:tc>
        <w:tc>
          <w:tcPr>
            <w:tcW w:w="922" w:type="pct"/>
            <w:tcBorders>
              <w:top w:val="nil"/>
              <w:left w:val="nil"/>
              <w:bottom w:val="nil"/>
              <w:right w:val="nil"/>
            </w:tcBorders>
            <w:shd w:val="clear" w:color="auto" w:fill="auto"/>
            <w:noWrap/>
            <w:vAlign w:val="center"/>
            <w:hideMark/>
          </w:tcPr>
          <w:p w14:paraId="62919427" w14:textId="77777777" w:rsidR="00FE20C5" w:rsidRPr="00092331" w:rsidRDefault="00FE20C5" w:rsidP="00810C38">
            <w:pPr>
              <w:spacing w:after="0"/>
              <w:rPr>
                <w:sz w:val="20"/>
                <w:szCs w:val="20"/>
                <w:lang w:eastAsia="en-GB"/>
              </w:rPr>
            </w:pPr>
            <w:r w:rsidRPr="00092331">
              <w:rPr>
                <w:sz w:val="20"/>
                <w:szCs w:val="20"/>
                <w:lang w:eastAsia="en-GB"/>
              </w:rPr>
              <w:t>01.01.2016</w:t>
            </w:r>
          </w:p>
        </w:tc>
        <w:tc>
          <w:tcPr>
            <w:tcW w:w="695" w:type="pct"/>
            <w:tcBorders>
              <w:top w:val="nil"/>
              <w:left w:val="nil"/>
              <w:bottom w:val="nil"/>
              <w:right w:val="nil"/>
            </w:tcBorders>
            <w:shd w:val="clear" w:color="auto" w:fill="auto"/>
            <w:noWrap/>
            <w:vAlign w:val="center"/>
            <w:hideMark/>
          </w:tcPr>
          <w:p w14:paraId="05ED8D8A" w14:textId="77777777" w:rsidR="00FE20C5" w:rsidRPr="00092331" w:rsidRDefault="00FE20C5" w:rsidP="00810C38">
            <w:pPr>
              <w:spacing w:after="0"/>
              <w:rPr>
                <w:sz w:val="20"/>
                <w:szCs w:val="20"/>
                <w:lang w:eastAsia="en-GB"/>
              </w:rPr>
            </w:pPr>
            <w:r w:rsidRPr="00092331">
              <w:rPr>
                <w:sz w:val="20"/>
                <w:szCs w:val="20"/>
                <w:lang w:eastAsia="en-GB"/>
              </w:rPr>
              <w:t>20.01.2016</w:t>
            </w:r>
          </w:p>
        </w:tc>
        <w:tc>
          <w:tcPr>
            <w:tcW w:w="538" w:type="pct"/>
            <w:gridSpan w:val="2"/>
            <w:tcBorders>
              <w:top w:val="nil"/>
              <w:left w:val="nil"/>
              <w:bottom w:val="nil"/>
              <w:right w:val="nil"/>
            </w:tcBorders>
            <w:shd w:val="clear" w:color="auto" w:fill="auto"/>
            <w:noWrap/>
            <w:vAlign w:val="center"/>
            <w:hideMark/>
          </w:tcPr>
          <w:p w14:paraId="055B93CB" w14:textId="77777777" w:rsidR="00FE20C5" w:rsidRPr="00092331" w:rsidRDefault="00FE20C5" w:rsidP="00810C38">
            <w:pPr>
              <w:spacing w:after="0"/>
              <w:rPr>
                <w:sz w:val="20"/>
                <w:szCs w:val="20"/>
                <w:lang w:eastAsia="en-GB"/>
              </w:rPr>
            </w:pPr>
            <w:r w:rsidRPr="00092331">
              <w:rPr>
                <w:sz w:val="20"/>
                <w:szCs w:val="20"/>
                <w:lang w:eastAsia="en-GB"/>
              </w:rPr>
              <w:t>29.7</w:t>
            </w:r>
          </w:p>
        </w:tc>
        <w:tc>
          <w:tcPr>
            <w:tcW w:w="480" w:type="pct"/>
            <w:tcBorders>
              <w:top w:val="nil"/>
              <w:left w:val="nil"/>
              <w:bottom w:val="nil"/>
              <w:right w:val="nil"/>
            </w:tcBorders>
            <w:shd w:val="clear" w:color="auto" w:fill="auto"/>
            <w:noWrap/>
            <w:vAlign w:val="center"/>
            <w:hideMark/>
          </w:tcPr>
          <w:p w14:paraId="2541901D" w14:textId="77777777" w:rsidR="00FE20C5" w:rsidRPr="00092331" w:rsidRDefault="00FE20C5" w:rsidP="00810C38">
            <w:pPr>
              <w:spacing w:after="0"/>
              <w:rPr>
                <w:sz w:val="20"/>
                <w:szCs w:val="20"/>
                <w:lang w:eastAsia="en-GB"/>
              </w:rPr>
            </w:pPr>
            <w:r w:rsidRPr="00092331">
              <w:rPr>
                <w:sz w:val="20"/>
                <w:szCs w:val="20"/>
                <w:lang w:eastAsia="en-GB"/>
              </w:rPr>
              <w:t>67.1</w:t>
            </w:r>
          </w:p>
        </w:tc>
      </w:tr>
      <w:tr w:rsidR="000D04AC" w:rsidRPr="00092331" w14:paraId="67C99D8F" w14:textId="77777777" w:rsidTr="007E5F00">
        <w:trPr>
          <w:trHeight w:val="284"/>
        </w:trPr>
        <w:tc>
          <w:tcPr>
            <w:tcW w:w="600" w:type="pct"/>
            <w:vMerge/>
            <w:tcBorders>
              <w:left w:val="nil"/>
              <w:right w:val="nil"/>
            </w:tcBorders>
            <w:vAlign w:val="center"/>
          </w:tcPr>
          <w:p w14:paraId="14349E33"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41A5BD7B"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0E62DEF2" w14:textId="77777777" w:rsidR="00FE20C5" w:rsidRPr="00092331" w:rsidRDefault="00FE20C5" w:rsidP="00810C38">
            <w:pPr>
              <w:spacing w:after="0"/>
              <w:rPr>
                <w:sz w:val="20"/>
                <w:szCs w:val="20"/>
                <w:lang w:eastAsia="en-GB"/>
              </w:rPr>
            </w:pPr>
            <w:r w:rsidRPr="00092331">
              <w:rPr>
                <w:sz w:val="20"/>
                <w:szCs w:val="20"/>
                <w:lang w:eastAsia="en-GB"/>
              </w:rPr>
              <w:t>Songwe</w:t>
            </w:r>
          </w:p>
        </w:tc>
        <w:tc>
          <w:tcPr>
            <w:tcW w:w="922" w:type="pct"/>
            <w:tcBorders>
              <w:top w:val="nil"/>
              <w:left w:val="nil"/>
              <w:bottom w:val="nil"/>
              <w:right w:val="nil"/>
            </w:tcBorders>
            <w:shd w:val="clear" w:color="auto" w:fill="auto"/>
            <w:noWrap/>
            <w:vAlign w:val="center"/>
            <w:hideMark/>
          </w:tcPr>
          <w:p w14:paraId="020F936E" w14:textId="77777777" w:rsidR="00FE20C5" w:rsidRPr="00092331" w:rsidRDefault="00FE20C5" w:rsidP="00810C38">
            <w:pPr>
              <w:spacing w:after="0"/>
              <w:rPr>
                <w:sz w:val="20"/>
                <w:szCs w:val="20"/>
                <w:lang w:eastAsia="en-GB"/>
              </w:rPr>
            </w:pPr>
            <w:r w:rsidRPr="00092331">
              <w:rPr>
                <w:sz w:val="20"/>
                <w:szCs w:val="20"/>
                <w:lang w:eastAsia="en-GB"/>
              </w:rPr>
              <w:t>01.12.2016</w:t>
            </w:r>
          </w:p>
        </w:tc>
        <w:tc>
          <w:tcPr>
            <w:tcW w:w="695" w:type="pct"/>
            <w:tcBorders>
              <w:top w:val="nil"/>
              <w:left w:val="nil"/>
              <w:bottom w:val="nil"/>
              <w:right w:val="nil"/>
            </w:tcBorders>
            <w:shd w:val="clear" w:color="auto" w:fill="auto"/>
            <w:noWrap/>
            <w:vAlign w:val="center"/>
            <w:hideMark/>
          </w:tcPr>
          <w:p w14:paraId="2A978834" w14:textId="77777777" w:rsidR="00FE20C5" w:rsidRPr="00092331" w:rsidRDefault="00FE20C5" w:rsidP="00810C38">
            <w:pPr>
              <w:spacing w:after="0"/>
              <w:rPr>
                <w:sz w:val="20"/>
                <w:szCs w:val="20"/>
                <w:lang w:eastAsia="en-GB"/>
              </w:rPr>
            </w:pPr>
            <w:r w:rsidRPr="00092331">
              <w:rPr>
                <w:sz w:val="20"/>
                <w:szCs w:val="20"/>
                <w:lang w:eastAsia="en-GB"/>
              </w:rPr>
              <w:t>03.11.2015</w:t>
            </w:r>
          </w:p>
        </w:tc>
        <w:tc>
          <w:tcPr>
            <w:tcW w:w="538" w:type="pct"/>
            <w:gridSpan w:val="2"/>
            <w:tcBorders>
              <w:top w:val="nil"/>
              <w:left w:val="nil"/>
              <w:bottom w:val="nil"/>
              <w:right w:val="nil"/>
            </w:tcBorders>
            <w:shd w:val="clear" w:color="auto" w:fill="auto"/>
            <w:noWrap/>
            <w:vAlign w:val="center"/>
            <w:hideMark/>
          </w:tcPr>
          <w:p w14:paraId="1250F0F0" w14:textId="77777777" w:rsidR="00FE20C5" w:rsidRPr="00092331" w:rsidRDefault="00FE20C5" w:rsidP="00810C38">
            <w:pPr>
              <w:spacing w:after="0"/>
              <w:rPr>
                <w:sz w:val="20"/>
                <w:szCs w:val="20"/>
                <w:lang w:eastAsia="en-GB"/>
              </w:rPr>
            </w:pPr>
            <w:r w:rsidRPr="00092331">
              <w:rPr>
                <w:sz w:val="20"/>
                <w:szCs w:val="20"/>
                <w:lang w:eastAsia="en-GB"/>
              </w:rPr>
              <w:t>26.4</w:t>
            </w:r>
          </w:p>
        </w:tc>
        <w:tc>
          <w:tcPr>
            <w:tcW w:w="480" w:type="pct"/>
            <w:tcBorders>
              <w:top w:val="nil"/>
              <w:left w:val="nil"/>
              <w:bottom w:val="nil"/>
              <w:right w:val="nil"/>
            </w:tcBorders>
            <w:shd w:val="clear" w:color="auto" w:fill="auto"/>
            <w:noWrap/>
            <w:vAlign w:val="center"/>
            <w:hideMark/>
          </w:tcPr>
          <w:p w14:paraId="4637DA97" w14:textId="77777777" w:rsidR="00FE20C5" w:rsidRPr="00092331" w:rsidRDefault="00FE20C5" w:rsidP="00810C38">
            <w:pPr>
              <w:spacing w:after="0"/>
              <w:rPr>
                <w:sz w:val="20"/>
                <w:szCs w:val="20"/>
                <w:lang w:eastAsia="en-GB"/>
              </w:rPr>
            </w:pPr>
            <w:r w:rsidRPr="00092331">
              <w:rPr>
                <w:sz w:val="20"/>
                <w:szCs w:val="20"/>
                <w:lang w:eastAsia="en-GB"/>
              </w:rPr>
              <w:t>69.0</w:t>
            </w:r>
          </w:p>
        </w:tc>
      </w:tr>
      <w:tr w:rsidR="000D04AC" w:rsidRPr="00092331" w14:paraId="244094DE" w14:textId="77777777" w:rsidTr="007E5F00">
        <w:trPr>
          <w:trHeight w:val="284"/>
        </w:trPr>
        <w:tc>
          <w:tcPr>
            <w:tcW w:w="600" w:type="pct"/>
            <w:vMerge/>
            <w:tcBorders>
              <w:left w:val="nil"/>
              <w:bottom w:val="single" w:sz="4" w:space="0" w:color="auto"/>
              <w:right w:val="nil"/>
            </w:tcBorders>
            <w:vAlign w:val="center"/>
          </w:tcPr>
          <w:p w14:paraId="3CAE5476" w14:textId="77777777" w:rsidR="00FE20C5" w:rsidRPr="00092331" w:rsidRDefault="00FE20C5" w:rsidP="00810C38">
            <w:pPr>
              <w:spacing w:after="0"/>
              <w:rPr>
                <w:sz w:val="20"/>
                <w:szCs w:val="20"/>
                <w:lang w:eastAsia="en-GB"/>
              </w:rPr>
            </w:pPr>
          </w:p>
        </w:tc>
        <w:tc>
          <w:tcPr>
            <w:tcW w:w="1053" w:type="pct"/>
            <w:vMerge/>
            <w:tcBorders>
              <w:left w:val="nil"/>
              <w:bottom w:val="single" w:sz="4" w:space="0" w:color="auto"/>
              <w:right w:val="nil"/>
            </w:tcBorders>
            <w:vAlign w:val="center"/>
          </w:tcPr>
          <w:p w14:paraId="06EB00B9" w14:textId="77777777" w:rsidR="00FE20C5" w:rsidRPr="00092331" w:rsidRDefault="00FE20C5" w:rsidP="00810C38">
            <w:pPr>
              <w:spacing w:after="0"/>
              <w:rPr>
                <w:sz w:val="20"/>
                <w:szCs w:val="20"/>
                <w:lang w:eastAsia="en-GB"/>
              </w:rPr>
            </w:pPr>
          </w:p>
        </w:tc>
        <w:tc>
          <w:tcPr>
            <w:tcW w:w="712" w:type="pct"/>
            <w:tcBorders>
              <w:top w:val="nil"/>
              <w:left w:val="nil"/>
              <w:bottom w:val="single" w:sz="4" w:space="0" w:color="auto"/>
              <w:right w:val="nil"/>
            </w:tcBorders>
            <w:shd w:val="clear" w:color="auto" w:fill="auto"/>
            <w:noWrap/>
            <w:vAlign w:val="center"/>
            <w:hideMark/>
          </w:tcPr>
          <w:p w14:paraId="0087621F" w14:textId="77777777" w:rsidR="00FE20C5" w:rsidRPr="00092331" w:rsidRDefault="00FE20C5" w:rsidP="00810C38">
            <w:pPr>
              <w:spacing w:after="0"/>
              <w:rPr>
                <w:sz w:val="20"/>
                <w:szCs w:val="20"/>
                <w:lang w:eastAsia="en-GB"/>
              </w:rPr>
            </w:pPr>
            <w:r w:rsidRPr="00092331">
              <w:rPr>
                <w:sz w:val="20"/>
                <w:szCs w:val="20"/>
                <w:lang w:eastAsia="en-GB"/>
              </w:rPr>
              <w:t>Tanga</w:t>
            </w:r>
          </w:p>
        </w:tc>
        <w:tc>
          <w:tcPr>
            <w:tcW w:w="922" w:type="pct"/>
            <w:tcBorders>
              <w:top w:val="nil"/>
              <w:left w:val="nil"/>
              <w:bottom w:val="single" w:sz="4" w:space="0" w:color="auto"/>
              <w:right w:val="nil"/>
            </w:tcBorders>
            <w:shd w:val="clear" w:color="auto" w:fill="auto"/>
            <w:noWrap/>
            <w:vAlign w:val="center"/>
            <w:hideMark/>
          </w:tcPr>
          <w:p w14:paraId="64CBF97B" w14:textId="77777777" w:rsidR="00FE20C5" w:rsidRPr="00092331" w:rsidRDefault="00FE20C5" w:rsidP="00810C38">
            <w:pPr>
              <w:spacing w:after="0"/>
              <w:rPr>
                <w:sz w:val="20"/>
                <w:szCs w:val="20"/>
                <w:lang w:eastAsia="en-GB"/>
              </w:rPr>
            </w:pPr>
            <w:r w:rsidRPr="00092331">
              <w:rPr>
                <w:sz w:val="20"/>
                <w:szCs w:val="20"/>
                <w:lang w:eastAsia="en-GB"/>
              </w:rPr>
              <w:t>12.05.2016</w:t>
            </w:r>
          </w:p>
        </w:tc>
        <w:tc>
          <w:tcPr>
            <w:tcW w:w="695" w:type="pct"/>
            <w:tcBorders>
              <w:top w:val="nil"/>
              <w:left w:val="nil"/>
              <w:bottom w:val="single" w:sz="4" w:space="0" w:color="auto"/>
              <w:right w:val="nil"/>
            </w:tcBorders>
            <w:shd w:val="clear" w:color="auto" w:fill="auto"/>
            <w:noWrap/>
            <w:vAlign w:val="center"/>
            <w:hideMark/>
          </w:tcPr>
          <w:p w14:paraId="002EC2B3" w14:textId="77777777" w:rsidR="00FE20C5" w:rsidRPr="00092331" w:rsidRDefault="00FE20C5" w:rsidP="00810C38">
            <w:pPr>
              <w:spacing w:after="0"/>
              <w:rPr>
                <w:sz w:val="20"/>
                <w:szCs w:val="20"/>
                <w:lang w:eastAsia="en-GB"/>
              </w:rPr>
            </w:pPr>
            <w:r w:rsidRPr="00092331">
              <w:rPr>
                <w:sz w:val="20"/>
                <w:szCs w:val="20"/>
                <w:lang w:eastAsia="en-GB"/>
              </w:rPr>
              <w:t>30.11.2015</w:t>
            </w:r>
          </w:p>
        </w:tc>
        <w:tc>
          <w:tcPr>
            <w:tcW w:w="538" w:type="pct"/>
            <w:gridSpan w:val="2"/>
            <w:tcBorders>
              <w:top w:val="nil"/>
              <w:left w:val="nil"/>
              <w:bottom w:val="single" w:sz="4" w:space="0" w:color="auto"/>
              <w:right w:val="nil"/>
            </w:tcBorders>
            <w:shd w:val="clear" w:color="auto" w:fill="auto"/>
            <w:noWrap/>
            <w:vAlign w:val="center"/>
            <w:hideMark/>
          </w:tcPr>
          <w:p w14:paraId="1CEFF1E5" w14:textId="77777777" w:rsidR="00FE20C5" w:rsidRPr="00092331" w:rsidRDefault="00FE20C5" w:rsidP="00810C38">
            <w:pPr>
              <w:spacing w:after="0"/>
              <w:rPr>
                <w:sz w:val="20"/>
                <w:szCs w:val="20"/>
                <w:lang w:eastAsia="en-GB"/>
              </w:rPr>
            </w:pPr>
            <w:r w:rsidRPr="00092331">
              <w:rPr>
                <w:sz w:val="20"/>
                <w:szCs w:val="20"/>
                <w:lang w:eastAsia="en-GB"/>
              </w:rPr>
              <w:t>33.3</w:t>
            </w:r>
          </w:p>
        </w:tc>
        <w:tc>
          <w:tcPr>
            <w:tcW w:w="480" w:type="pct"/>
            <w:tcBorders>
              <w:top w:val="nil"/>
              <w:left w:val="nil"/>
              <w:bottom w:val="single" w:sz="4" w:space="0" w:color="auto"/>
              <w:right w:val="nil"/>
            </w:tcBorders>
            <w:shd w:val="clear" w:color="auto" w:fill="auto"/>
            <w:noWrap/>
            <w:vAlign w:val="center"/>
            <w:hideMark/>
          </w:tcPr>
          <w:p w14:paraId="3C1F9FC1" w14:textId="77777777" w:rsidR="00FE20C5" w:rsidRPr="00092331" w:rsidRDefault="00FE20C5" w:rsidP="00810C38">
            <w:pPr>
              <w:spacing w:after="0"/>
              <w:rPr>
                <w:sz w:val="20"/>
                <w:szCs w:val="20"/>
                <w:lang w:eastAsia="en-GB"/>
              </w:rPr>
            </w:pPr>
            <w:r w:rsidRPr="00092331">
              <w:rPr>
                <w:sz w:val="20"/>
                <w:szCs w:val="20"/>
                <w:lang w:eastAsia="en-GB"/>
              </w:rPr>
              <w:t>65.3</w:t>
            </w:r>
          </w:p>
        </w:tc>
      </w:tr>
      <w:tr w:rsidR="000D04AC" w:rsidRPr="00092331" w14:paraId="12DF5AF8" w14:textId="77777777" w:rsidTr="007E5F00">
        <w:trPr>
          <w:trHeight w:val="386"/>
        </w:trPr>
        <w:tc>
          <w:tcPr>
            <w:tcW w:w="600" w:type="pct"/>
            <w:vMerge w:val="restart"/>
            <w:tcBorders>
              <w:top w:val="nil"/>
              <w:left w:val="nil"/>
              <w:right w:val="nil"/>
            </w:tcBorders>
            <w:vAlign w:val="center"/>
          </w:tcPr>
          <w:p w14:paraId="5C9BD5C0" w14:textId="77777777" w:rsidR="00FE20C5" w:rsidRPr="00092331" w:rsidRDefault="00FE20C5" w:rsidP="00810C38">
            <w:pPr>
              <w:spacing w:after="0"/>
              <w:rPr>
                <w:sz w:val="20"/>
                <w:szCs w:val="20"/>
                <w:lang w:eastAsia="en-GB"/>
              </w:rPr>
            </w:pPr>
            <w:r w:rsidRPr="00092331">
              <w:rPr>
                <w:sz w:val="20"/>
                <w:szCs w:val="20"/>
                <w:lang w:eastAsia="en-GB"/>
              </w:rPr>
              <w:t>SNP before survey</w:t>
            </w:r>
          </w:p>
        </w:tc>
        <w:tc>
          <w:tcPr>
            <w:tcW w:w="1053" w:type="pct"/>
            <w:vMerge w:val="restart"/>
            <w:tcBorders>
              <w:top w:val="nil"/>
              <w:left w:val="nil"/>
              <w:right w:val="nil"/>
            </w:tcBorders>
            <w:vAlign w:val="center"/>
          </w:tcPr>
          <w:p w14:paraId="46840D92" w14:textId="0F9B5174" w:rsidR="00FE20C5" w:rsidRPr="00092331" w:rsidRDefault="007E5F00" w:rsidP="007E5F00">
            <w:pPr>
              <w:spacing w:after="0"/>
              <w:rPr>
                <w:sz w:val="20"/>
                <w:szCs w:val="20"/>
                <w:lang w:eastAsia="en-GB"/>
              </w:rPr>
            </w:pPr>
            <w:r>
              <w:rPr>
                <w:sz w:val="20"/>
                <w:szCs w:val="20"/>
                <w:lang w:eastAsia="en-GB"/>
              </w:rPr>
              <w:t>Estimated in model calibration process when fitting to p</w:t>
            </w:r>
            <w:r w:rsidR="00FE20C5" w:rsidRPr="00092331">
              <w:rPr>
                <w:sz w:val="20"/>
                <w:szCs w:val="20"/>
                <w:lang w:eastAsia="en-GB"/>
              </w:rPr>
              <w:t xml:space="preserve">revalence </w:t>
            </w:r>
          </w:p>
        </w:tc>
        <w:tc>
          <w:tcPr>
            <w:tcW w:w="712" w:type="pct"/>
            <w:tcBorders>
              <w:top w:val="nil"/>
              <w:left w:val="nil"/>
              <w:bottom w:val="nil"/>
              <w:right w:val="nil"/>
            </w:tcBorders>
            <w:shd w:val="clear" w:color="auto" w:fill="auto"/>
            <w:noWrap/>
            <w:vAlign w:val="center"/>
            <w:hideMark/>
          </w:tcPr>
          <w:p w14:paraId="53097D05" w14:textId="77777777" w:rsidR="00FE20C5" w:rsidRPr="00092331" w:rsidRDefault="00FE20C5" w:rsidP="00810C38">
            <w:pPr>
              <w:spacing w:after="0"/>
              <w:rPr>
                <w:sz w:val="20"/>
                <w:szCs w:val="20"/>
                <w:lang w:eastAsia="en-GB"/>
              </w:rPr>
            </w:pPr>
            <w:proofErr w:type="spellStart"/>
            <w:r w:rsidRPr="00092331">
              <w:rPr>
                <w:sz w:val="20"/>
                <w:szCs w:val="20"/>
                <w:lang w:eastAsia="en-GB"/>
              </w:rPr>
              <w:t>Lindi</w:t>
            </w:r>
            <w:proofErr w:type="spellEnd"/>
          </w:p>
        </w:tc>
        <w:tc>
          <w:tcPr>
            <w:tcW w:w="922" w:type="pct"/>
            <w:tcBorders>
              <w:top w:val="nil"/>
              <w:left w:val="nil"/>
              <w:bottom w:val="nil"/>
              <w:right w:val="nil"/>
            </w:tcBorders>
            <w:shd w:val="clear" w:color="auto" w:fill="auto"/>
            <w:noWrap/>
            <w:vAlign w:val="center"/>
            <w:hideMark/>
          </w:tcPr>
          <w:p w14:paraId="2E0E00A2" w14:textId="77777777" w:rsidR="00FE20C5" w:rsidRPr="00092331" w:rsidRDefault="00FE20C5" w:rsidP="00810C38">
            <w:pPr>
              <w:spacing w:after="0"/>
              <w:rPr>
                <w:sz w:val="20"/>
                <w:szCs w:val="20"/>
                <w:lang w:eastAsia="en-GB"/>
              </w:rPr>
            </w:pPr>
          </w:p>
        </w:tc>
        <w:tc>
          <w:tcPr>
            <w:tcW w:w="695" w:type="pct"/>
            <w:tcBorders>
              <w:top w:val="nil"/>
              <w:left w:val="nil"/>
              <w:bottom w:val="nil"/>
              <w:right w:val="nil"/>
            </w:tcBorders>
            <w:shd w:val="clear" w:color="auto" w:fill="auto"/>
            <w:noWrap/>
            <w:vAlign w:val="center"/>
            <w:hideMark/>
          </w:tcPr>
          <w:p w14:paraId="6A3B1C31" w14:textId="77777777" w:rsidR="00FE20C5" w:rsidRPr="00092331" w:rsidRDefault="00FE20C5" w:rsidP="00810C38">
            <w:pPr>
              <w:spacing w:after="0"/>
              <w:rPr>
                <w:sz w:val="20"/>
                <w:szCs w:val="20"/>
                <w:lang w:eastAsia="en-GB"/>
              </w:rPr>
            </w:pPr>
            <w:r w:rsidRPr="00092331">
              <w:rPr>
                <w:sz w:val="20"/>
                <w:szCs w:val="20"/>
                <w:lang w:eastAsia="en-GB"/>
              </w:rPr>
              <w:t>30.12.2015</w:t>
            </w:r>
          </w:p>
        </w:tc>
        <w:tc>
          <w:tcPr>
            <w:tcW w:w="538" w:type="pct"/>
            <w:gridSpan w:val="2"/>
            <w:tcBorders>
              <w:top w:val="nil"/>
              <w:left w:val="nil"/>
              <w:bottom w:val="nil"/>
              <w:right w:val="nil"/>
            </w:tcBorders>
            <w:shd w:val="clear" w:color="auto" w:fill="auto"/>
            <w:noWrap/>
            <w:vAlign w:val="center"/>
            <w:hideMark/>
          </w:tcPr>
          <w:p w14:paraId="78B57FBB" w14:textId="77777777" w:rsidR="00FE20C5" w:rsidRPr="00092331" w:rsidRDefault="00FE20C5" w:rsidP="00810C38">
            <w:pPr>
              <w:spacing w:after="0"/>
              <w:rPr>
                <w:sz w:val="20"/>
                <w:szCs w:val="20"/>
                <w:lang w:eastAsia="en-GB"/>
              </w:rPr>
            </w:pPr>
            <w:r w:rsidRPr="00092331">
              <w:rPr>
                <w:sz w:val="20"/>
                <w:szCs w:val="20"/>
                <w:lang w:eastAsia="en-GB"/>
              </w:rPr>
              <w:t>48.2</w:t>
            </w:r>
          </w:p>
        </w:tc>
        <w:tc>
          <w:tcPr>
            <w:tcW w:w="480" w:type="pct"/>
            <w:tcBorders>
              <w:top w:val="nil"/>
              <w:left w:val="nil"/>
              <w:bottom w:val="nil"/>
              <w:right w:val="nil"/>
            </w:tcBorders>
            <w:shd w:val="clear" w:color="auto" w:fill="auto"/>
            <w:noWrap/>
            <w:vAlign w:val="center"/>
            <w:hideMark/>
          </w:tcPr>
          <w:p w14:paraId="65F21368" w14:textId="77777777" w:rsidR="00FE20C5" w:rsidRPr="00092331" w:rsidRDefault="00FE20C5" w:rsidP="00810C38">
            <w:pPr>
              <w:spacing w:after="0"/>
              <w:rPr>
                <w:sz w:val="20"/>
                <w:szCs w:val="20"/>
                <w:lang w:eastAsia="en-GB"/>
              </w:rPr>
            </w:pPr>
            <w:r w:rsidRPr="00092331">
              <w:rPr>
                <w:sz w:val="20"/>
                <w:szCs w:val="20"/>
                <w:lang w:eastAsia="en-GB"/>
              </w:rPr>
              <w:t>-</w:t>
            </w:r>
          </w:p>
        </w:tc>
      </w:tr>
      <w:tr w:rsidR="000D04AC" w:rsidRPr="00092331" w14:paraId="20EC5691" w14:textId="77777777" w:rsidTr="007E5F00">
        <w:trPr>
          <w:trHeight w:hRule="exact" w:val="400"/>
        </w:trPr>
        <w:tc>
          <w:tcPr>
            <w:tcW w:w="600" w:type="pct"/>
            <w:vMerge/>
            <w:tcBorders>
              <w:left w:val="nil"/>
              <w:right w:val="nil"/>
            </w:tcBorders>
            <w:vAlign w:val="center"/>
          </w:tcPr>
          <w:p w14:paraId="1DB19BEF" w14:textId="77777777" w:rsidR="00FE20C5" w:rsidRPr="00092331" w:rsidRDefault="00FE20C5" w:rsidP="00810C38">
            <w:pPr>
              <w:spacing w:after="0"/>
              <w:rPr>
                <w:sz w:val="20"/>
                <w:szCs w:val="20"/>
                <w:lang w:eastAsia="en-GB"/>
              </w:rPr>
            </w:pPr>
          </w:p>
        </w:tc>
        <w:tc>
          <w:tcPr>
            <w:tcW w:w="1053" w:type="pct"/>
            <w:vMerge/>
            <w:tcBorders>
              <w:left w:val="nil"/>
              <w:right w:val="nil"/>
            </w:tcBorders>
            <w:vAlign w:val="center"/>
          </w:tcPr>
          <w:p w14:paraId="41B7F05F" w14:textId="77777777" w:rsidR="00FE20C5" w:rsidRPr="00092331" w:rsidRDefault="00FE20C5" w:rsidP="00810C38">
            <w:pPr>
              <w:spacing w:after="0"/>
              <w:rPr>
                <w:sz w:val="20"/>
                <w:szCs w:val="20"/>
                <w:lang w:eastAsia="en-GB"/>
              </w:rPr>
            </w:pPr>
          </w:p>
        </w:tc>
        <w:tc>
          <w:tcPr>
            <w:tcW w:w="712" w:type="pct"/>
            <w:tcBorders>
              <w:top w:val="nil"/>
              <w:left w:val="nil"/>
              <w:bottom w:val="nil"/>
              <w:right w:val="nil"/>
            </w:tcBorders>
            <w:shd w:val="clear" w:color="auto" w:fill="auto"/>
            <w:noWrap/>
            <w:vAlign w:val="center"/>
            <w:hideMark/>
          </w:tcPr>
          <w:p w14:paraId="488D5077" w14:textId="77777777" w:rsidR="00FE20C5" w:rsidRPr="00092331" w:rsidRDefault="00FE20C5" w:rsidP="00810C38">
            <w:pPr>
              <w:spacing w:after="0"/>
              <w:rPr>
                <w:sz w:val="20"/>
                <w:szCs w:val="20"/>
                <w:lang w:eastAsia="en-GB"/>
              </w:rPr>
            </w:pPr>
            <w:r w:rsidRPr="00092331">
              <w:rPr>
                <w:sz w:val="20"/>
                <w:szCs w:val="20"/>
                <w:lang w:eastAsia="en-GB"/>
              </w:rPr>
              <w:t>Mtwara</w:t>
            </w:r>
          </w:p>
        </w:tc>
        <w:tc>
          <w:tcPr>
            <w:tcW w:w="922" w:type="pct"/>
            <w:tcBorders>
              <w:top w:val="nil"/>
              <w:left w:val="nil"/>
              <w:bottom w:val="nil"/>
              <w:right w:val="nil"/>
            </w:tcBorders>
            <w:shd w:val="clear" w:color="auto" w:fill="auto"/>
            <w:noWrap/>
            <w:vAlign w:val="center"/>
            <w:hideMark/>
          </w:tcPr>
          <w:p w14:paraId="7054CAE8" w14:textId="77777777" w:rsidR="00FE20C5" w:rsidRPr="00092331" w:rsidRDefault="00FE20C5" w:rsidP="00810C38">
            <w:pPr>
              <w:spacing w:after="0"/>
              <w:rPr>
                <w:sz w:val="20"/>
                <w:szCs w:val="20"/>
                <w:lang w:eastAsia="en-GB"/>
              </w:rPr>
            </w:pPr>
          </w:p>
        </w:tc>
        <w:tc>
          <w:tcPr>
            <w:tcW w:w="695" w:type="pct"/>
            <w:tcBorders>
              <w:top w:val="nil"/>
              <w:left w:val="nil"/>
              <w:bottom w:val="nil"/>
              <w:right w:val="nil"/>
            </w:tcBorders>
            <w:shd w:val="clear" w:color="auto" w:fill="auto"/>
            <w:noWrap/>
            <w:vAlign w:val="center"/>
            <w:hideMark/>
          </w:tcPr>
          <w:p w14:paraId="7FF912C6" w14:textId="77777777" w:rsidR="00FE20C5" w:rsidRPr="00092331" w:rsidRDefault="00FE20C5" w:rsidP="00810C38">
            <w:pPr>
              <w:spacing w:after="0"/>
              <w:rPr>
                <w:sz w:val="20"/>
                <w:szCs w:val="20"/>
                <w:lang w:eastAsia="en-GB"/>
              </w:rPr>
            </w:pPr>
            <w:r w:rsidRPr="00092331">
              <w:rPr>
                <w:sz w:val="20"/>
                <w:szCs w:val="20"/>
                <w:lang w:eastAsia="en-GB"/>
              </w:rPr>
              <w:t>06.11.2015</w:t>
            </w:r>
          </w:p>
        </w:tc>
        <w:tc>
          <w:tcPr>
            <w:tcW w:w="538" w:type="pct"/>
            <w:gridSpan w:val="2"/>
            <w:tcBorders>
              <w:top w:val="nil"/>
              <w:left w:val="nil"/>
              <w:bottom w:val="nil"/>
              <w:right w:val="nil"/>
            </w:tcBorders>
            <w:shd w:val="clear" w:color="auto" w:fill="auto"/>
            <w:noWrap/>
            <w:vAlign w:val="center"/>
            <w:hideMark/>
          </w:tcPr>
          <w:p w14:paraId="115236BC" w14:textId="77777777" w:rsidR="00FE20C5" w:rsidRPr="00092331" w:rsidRDefault="00FE20C5" w:rsidP="00810C38">
            <w:pPr>
              <w:spacing w:after="0"/>
              <w:rPr>
                <w:sz w:val="20"/>
                <w:szCs w:val="20"/>
                <w:lang w:eastAsia="en-GB"/>
              </w:rPr>
            </w:pPr>
            <w:r w:rsidRPr="00092331">
              <w:rPr>
                <w:sz w:val="20"/>
                <w:szCs w:val="20"/>
                <w:lang w:eastAsia="en-GB"/>
              </w:rPr>
              <w:t>44.4</w:t>
            </w:r>
          </w:p>
        </w:tc>
        <w:tc>
          <w:tcPr>
            <w:tcW w:w="480" w:type="pct"/>
            <w:tcBorders>
              <w:top w:val="nil"/>
              <w:left w:val="nil"/>
              <w:bottom w:val="nil"/>
              <w:right w:val="nil"/>
            </w:tcBorders>
            <w:shd w:val="clear" w:color="auto" w:fill="auto"/>
            <w:noWrap/>
            <w:vAlign w:val="center"/>
            <w:hideMark/>
          </w:tcPr>
          <w:p w14:paraId="1A0A8711" w14:textId="77777777" w:rsidR="00FE20C5" w:rsidRPr="00092331" w:rsidRDefault="00FE20C5" w:rsidP="00810C38">
            <w:pPr>
              <w:spacing w:after="0"/>
              <w:rPr>
                <w:sz w:val="20"/>
                <w:szCs w:val="20"/>
                <w:lang w:eastAsia="en-GB"/>
              </w:rPr>
            </w:pPr>
            <w:r w:rsidRPr="00092331">
              <w:rPr>
                <w:sz w:val="20"/>
                <w:szCs w:val="20"/>
                <w:lang w:eastAsia="en-GB"/>
              </w:rPr>
              <w:t>-</w:t>
            </w:r>
          </w:p>
        </w:tc>
      </w:tr>
      <w:tr w:rsidR="000D04AC" w:rsidRPr="00092331" w14:paraId="521F0564" w14:textId="77777777" w:rsidTr="007E5F00">
        <w:trPr>
          <w:trHeight w:hRule="exact" w:val="321"/>
        </w:trPr>
        <w:tc>
          <w:tcPr>
            <w:tcW w:w="600" w:type="pct"/>
            <w:vMerge/>
            <w:tcBorders>
              <w:left w:val="nil"/>
              <w:bottom w:val="single" w:sz="4" w:space="0" w:color="auto"/>
              <w:right w:val="nil"/>
            </w:tcBorders>
            <w:vAlign w:val="center"/>
          </w:tcPr>
          <w:p w14:paraId="25C1C5C7" w14:textId="77777777" w:rsidR="00FE20C5" w:rsidRPr="00092331" w:rsidRDefault="00FE20C5" w:rsidP="00810C38">
            <w:pPr>
              <w:spacing w:after="0"/>
              <w:rPr>
                <w:sz w:val="20"/>
                <w:szCs w:val="20"/>
                <w:lang w:eastAsia="en-GB"/>
              </w:rPr>
            </w:pPr>
          </w:p>
        </w:tc>
        <w:tc>
          <w:tcPr>
            <w:tcW w:w="1053" w:type="pct"/>
            <w:vMerge/>
            <w:tcBorders>
              <w:left w:val="nil"/>
              <w:bottom w:val="single" w:sz="4" w:space="0" w:color="auto"/>
              <w:right w:val="nil"/>
            </w:tcBorders>
            <w:vAlign w:val="center"/>
          </w:tcPr>
          <w:p w14:paraId="15CD399D" w14:textId="77777777" w:rsidR="00FE20C5" w:rsidRPr="00092331" w:rsidRDefault="00FE20C5" w:rsidP="00810C38">
            <w:pPr>
              <w:spacing w:after="0"/>
              <w:rPr>
                <w:sz w:val="20"/>
                <w:szCs w:val="20"/>
                <w:lang w:eastAsia="en-GB"/>
              </w:rPr>
            </w:pPr>
          </w:p>
        </w:tc>
        <w:tc>
          <w:tcPr>
            <w:tcW w:w="712" w:type="pct"/>
            <w:tcBorders>
              <w:top w:val="nil"/>
              <w:left w:val="nil"/>
              <w:bottom w:val="single" w:sz="4" w:space="0" w:color="auto"/>
              <w:right w:val="nil"/>
            </w:tcBorders>
            <w:shd w:val="clear" w:color="auto" w:fill="auto"/>
            <w:noWrap/>
            <w:vAlign w:val="center"/>
            <w:hideMark/>
          </w:tcPr>
          <w:p w14:paraId="7D27F919" w14:textId="77777777" w:rsidR="00FE20C5" w:rsidRPr="00092331" w:rsidRDefault="00FE20C5" w:rsidP="00810C38">
            <w:pPr>
              <w:spacing w:after="0"/>
              <w:rPr>
                <w:sz w:val="20"/>
                <w:szCs w:val="20"/>
                <w:lang w:eastAsia="en-GB"/>
              </w:rPr>
            </w:pPr>
            <w:r w:rsidRPr="00092331">
              <w:rPr>
                <w:sz w:val="20"/>
                <w:szCs w:val="20"/>
                <w:lang w:eastAsia="en-GB"/>
              </w:rPr>
              <w:t>Ruvuma</w:t>
            </w:r>
          </w:p>
        </w:tc>
        <w:tc>
          <w:tcPr>
            <w:tcW w:w="922" w:type="pct"/>
            <w:tcBorders>
              <w:top w:val="nil"/>
              <w:left w:val="nil"/>
              <w:bottom w:val="single" w:sz="4" w:space="0" w:color="auto"/>
              <w:right w:val="nil"/>
            </w:tcBorders>
            <w:shd w:val="clear" w:color="auto" w:fill="auto"/>
            <w:noWrap/>
            <w:vAlign w:val="center"/>
            <w:hideMark/>
          </w:tcPr>
          <w:p w14:paraId="018C35B6" w14:textId="77777777" w:rsidR="00FE20C5" w:rsidRPr="00092331" w:rsidRDefault="00FE20C5" w:rsidP="00810C38">
            <w:pPr>
              <w:spacing w:after="0"/>
              <w:rPr>
                <w:sz w:val="20"/>
                <w:szCs w:val="20"/>
                <w:lang w:eastAsia="en-GB"/>
              </w:rPr>
            </w:pPr>
          </w:p>
        </w:tc>
        <w:tc>
          <w:tcPr>
            <w:tcW w:w="695" w:type="pct"/>
            <w:tcBorders>
              <w:top w:val="nil"/>
              <w:left w:val="nil"/>
              <w:bottom w:val="single" w:sz="4" w:space="0" w:color="auto"/>
              <w:right w:val="nil"/>
            </w:tcBorders>
            <w:shd w:val="clear" w:color="auto" w:fill="auto"/>
            <w:noWrap/>
            <w:vAlign w:val="center"/>
            <w:hideMark/>
          </w:tcPr>
          <w:p w14:paraId="7AF543BB" w14:textId="77777777" w:rsidR="00FE20C5" w:rsidRPr="00092331" w:rsidRDefault="00FE20C5" w:rsidP="00810C38">
            <w:pPr>
              <w:spacing w:after="0"/>
              <w:rPr>
                <w:sz w:val="20"/>
                <w:szCs w:val="20"/>
                <w:lang w:eastAsia="en-GB"/>
              </w:rPr>
            </w:pPr>
            <w:r w:rsidRPr="00092331">
              <w:rPr>
                <w:sz w:val="20"/>
                <w:szCs w:val="20"/>
                <w:lang w:eastAsia="en-GB"/>
              </w:rPr>
              <w:t>11.01.2016</w:t>
            </w:r>
          </w:p>
        </w:tc>
        <w:tc>
          <w:tcPr>
            <w:tcW w:w="538" w:type="pct"/>
            <w:gridSpan w:val="2"/>
            <w:tcBorders>
              <w:top w:val="nil"/>
              <w:left w:val="nil"/>
              <w:bottom w:val="single" w:sz="4" w:space="0" w:color="auto"/>
              <w:right w:val="nil"/>
            </w:tcBorders>
            <w:shd w:val="clear" w:color="auto" w:fill="auto"/>
            <w:noWrap/>
            <w:vAlign w:val="center"/>
            <w:hideMark/>
          </w:tcPr>
          <w:p w14:paraId="2E345B1E" w14:textId="77777777" w:rsidR="00FE20C5" w:rsidRPr="00092331" w:rsidRDefault="00FE20C5" w:rsidP="00810C38">
            <w:pPr>
              <w:spacing w:after="0"/>
              <w:rPr>
                <w:sz w:val="20"/>
                <w:szCs w:val="20"/>
                <w:lang w:eastAsia="en-GB"/>
              </w:rPr>
            </w:pPr>
            <w:r w:rsidRPr="00092331">
              <w:rPr>
                <w:sz w:val="20"/>
                <w:szCs w:val="20"/>
                <w:lang w:eastAsia="en-GB"/>
              </w:rPr>
              <w:t>47.8</w:t>
            </w:r>
          </w:p>
        </w:tc>
        <w:tc>
          <w:tcPr>
            <w:tcW w:w="480" w:type="pct"/>
            <w:tcBorders>
              <w:top w:val="nil"/>
              <w:left w:val="nil"/>
              <w:bottom w:val="single" w:sz="4" w:space="0" w:color="auto"/>
              <w:right w:val="nil"/>
            </w:tcBorders>
            <w:shd w:val="clear" w:color="auto" w:fill="auto"/>
            <w:noWrap/>
            <w:vAlign w:val="center"/>
            <w:hideMark/>
          </w:tcPr>
          <w:p w14:paraId="2998486B" w14:textId="77777777" w:rsidR="00FE20C5" w:rsidRPr="00092331" w:rsidRDefault="00FE20C5" w:rsidP="00810C38">
            <w:pPr>
              <w:spacing w:after="0"/>
              <w:rPr>
                <w:sz w:val="20"/>
                <w:szCs w:val="20"/>
                <w:lang w:eastAsia="en-GB"/>
              </w:rPr>
            </w:pPr>
            <w:r w:rsidRPr="00092331">
              <w:rPr>
                <w:sz w:val="20"/>
                <w:szCs w:val="20"/>
                <w:lang w:eastAsia="en-GB"/>
              </w:rPr>
              <w:t>-</w:t>
            </w:r>
          </w:p>
        </w:tc>
      </w:tr>
    </w:tbl>
    <w:p w14:paraId="194DF924" w14:textId="77777777" w:rsidR="00377A1B" w:rsidRDefault="00377A1B" w:rsidP="00810E50">
      <w:pPr>
        <w:spacing w:after="0"/>
      </w:pPr>
    </w:p>
    <w:p w14:paraId="053C5766" w14:textId="4E554399" w:rsidR="005124B5" w:rsidRPr="00D26285" w:rsidRDefault="005124B5" w:rsidP="00C47324">
      <w:pPr>
        <w:pStyle w:val="Heading4"/>
        <w:numPr>
          <w:ilvl w:val="0"/>
          <w:numId w:val="0"/>
        </w:numPr>
        <w:spacing w:line="360" w:lineRule="auto"/>
        <w:ind w:left="864" w:hanging="864"/>
        <w:rPr>
          <w:rStyle w:val="Emphasis"/>
        </w:rPr>
      </w:pPr>
      <w:r w:rsidRPr="00D26285">
        <w:rPr>
          <w:rStyle w:val="Emphasis"/>
          <w:rFonts w:asciiTheme="minorHAnsi" w:eastAsiaTheme="minorHAnsi" w:hAnsiTheme="minorHAnsi" w:cstheme="minorBidi"/>
          <w:b w:val="0"/>
          <w:bCs w:val="0"/>
          <w:i/>
          <w:iCs/>
          <w:color w:val="auto"/>
        </w:rPr>
        <w:t xml:space="preserve">Attrition of nets </w:t>
      </w:r>
    </w:p>
    <w:p w14:paraId="49378B3E" w14:textId="24D3CAFE" w:rsidR="005124B5" w:rsidRDefault="00D26285" w:rsidP="005124B5">
      <w:pPr>
        <w:autoSpaceDE w:val="0"/>
        <w:autoSpaceDN w:val="0"/>
        <w:adjustRightInd w:val="0"/>
        <w:spacing w:after="0" w:line="360" w:lineRule="auto"/>
        <w:jc w:val="both"/>
        <w:rPr>
          <w:noProof/>
        </w:rPr>
      </w:pPr>
      <w:r>
        <w:t xml:space="preserve">For nets distributed in 2012 various decay curves were simulated for councils that did not receive nets through schools. </w:t>
      </w:r>
      <w:r w:rsidR="005124B5">
        <w:t>For nets distributed in 2016 and</w:t>
      </w:r>
      <w:r w:rsidR="000A7E05">
        <w:t xml:space="preserve"> in</w:t>
      </w:r>
      <w:r w:rsidR="005124B5">
        <w:t xml:space="preserve"> future, </w:t>
      </w:r>
      <w:r w:rsidR="005124B5" w:rsidRPr="00092331">
        <w:t xml:space="preserve">a half-life of three years </w:t>
      </w:r>
      <w:r w:rsidR="005124B5" w:rsidRPr="00092331">
        <w:fldChar w:fldCharType="begin"/>
      </w:r>
      <w:r w:rsidR="005124B5">
        <w:instrText xml:space="preserve"> ADDIN ZOTERO_ITEM CSL_CITATION {"citationID":"uDXNhqjJ","properties":{"formattedCitation":"[36,37]","plainCitation":"[36,37]","noteIndex":0},"citationItems":[{"id":27868,"uris":["http://zotero.org/users/3516901/items/MBQ6M98N"],"uri":["http://zotero.org/users/3516901/items/MBQ6M98N"],"itemData":{"id":27868,"type":"article-journal","title":"Long-term field performance of a polyester-based long-lasting insecticidal mosquito net in rural Uganda","container-title":"Malaria Journal","page":"49","volume":"7","issue":"1","source":"BioMed Central","abstract":"In order to evaluate whether criteria for LLIN field performance (phase III) set by the WHO Pesticide Evaluation Scheme are met, first and second generations of one of these products, PermaNet®, a polyester net using the coating technology were tested.","DOI":"10.1186/1475-2875-7-49","ISSN":"1475-2875","journalAbbreviation":"Malaria Journal","author":[{"family":"Kilian","given":"Albert"},{"family":"Byamukama","given":"Wilson"},{"family":"Pigeon","given":"Olivier"},{"family":"Atieli","given":"Francis"},{"family":"Duchon","given":"Stephan"},{"family":"Phan","given":"Chi"}],"issued":{"date-parts":[["2008",3,20]]}},"label":"page"},{"id":28827,"uris":["http://zotero.org/users/3516901/items/6F3ITEWR"],"uri":["http://zotero.org/users/3516901/items/6F3ITEWR"],"itemData":{"id":28827,"type":"report","title":"Achieving and maintaining universal coverage with long-lasting insecticidal nets for malaria control","publisher":"World Health Organization","source":"WHO/HTM/GMP/2017.20","abstract":"Overview\n\nLong-lasting insecticidal nets (LLINs) have played an important role in reducing the global malaria burden since 2000. They are a core prevention tool used widely by people at risk of malaria.\n\nThis document provides recommendations on how to achieve and maintain universal coverage with LLINs, in line with the Global Technical Strategy for Malaria 2016-2030. Universal coverage for malaria vector control is defined as universal access to and use of appropriate interventions by populations at risk of malaria.\n\nIt supersedes the WHO recommendations for achieving universal coverage with long-lasting insecticidal nets in malaria control published in September 2013.","author":[{"literal":"WHO"}],"issued":{"date-parts":[["2017"]]}},"label":"page"}],"schema":"https://github.com/citation-style-language/schema/raw/master/csl-citation.json"} </w:instrText>
      </w:r>
      <w:r w:rsidR="005124B5" w:rsidRPr="00092331">
        <w:fldChar w:fldCharType="separate"/>
      </w:r>
      <w:r w:rsidR="005124B5" w:rsidRPr="00042DCE">
        <w:rPr>
          <w:rFonts w:ascii="Calibri" w:hAnsi="Calibri"/>
        </w:rPr>
        <w:t>[36,37]</w:t>
      </w:r>
      <w:r w:rsidR="005124B5" w:rsidRPr="00092331">
        <w:fldChar w:fldCharType="end"/>
      </w:r>
      <w:r w:rsidR="005124B5" w:rsidRPr="00092331">
        <w:t xml:space="preserve">, following an exponential decay function as defined by </w:t>
      </w:r>
      <w:proofErr w:type="spellStart"/>
      <w:r w:rsidR="005124B5" w:rsidRPr="00092331">
        <w:t>Briët</w:t>
      </w:r>
      <w:proofErr w:type="spellEnd"/>
      <w:r w:rsidR="005124B5" w:rsidRPr="00092331">
        <w:t xml:space="preserve"> et al. </w:t>
      </w:r>
      <w:r w:rsidR="005124B5" w:rsidRPr="00092331">
        <w:fldChar w:fldCharType="begin"/>
      </w:r>
      <w:r w:rsidR="005124B5">
        <w:instrText xml:space="preserve"> ADDIN ZOTERO_ITEM CSL_CITATION {"citationID":"f3BHmvAt","properties":{"formattedCitation":"[8]","plainCitation":"[8]","noteIndex":0},"citationItems":[{"id":21573,"uris":["http://zotero.org/users/3516901/items/Q5PSF4MG"],"uri":["http://zotero.org/users/3516901/items/Q5PSF4MG"],"itemData":{"id":21573,"type":"article-journal","title":"Importance of factors determining the effective lifetime of a mass, long-lasting, insecticidal net distribution: a sensitivity analysis","container-title":"Malaria Journal","page":"20","volume":"11","source":"PubMed Central","abstract":"Background\nLong-lasting insecticidal nets (LLINs) reduce malaria transmission by protecting individuals from infectious bites, and by reducing mosquito survival. In recent years, millions of LLINs have been distributed across sub-Saharan Africa (SSA). Over time, LLINs decay physically and chemically and are destroyed, making repeated interventions necessary to prevent a resurgence of malaria. Because its effects on transmission are important (more so than the effects of individual protection), estimates of the lifetime of mass distribution rounds should be based on the effective length of epidemiological protection.\n\nMethods\nSimulation models, parameterised using available field data, were used to analyse how the distribution's effective lifetime depends on the transmission setting and on LLIN characteristics. Factors considered were the pre-intervention transmission level, initial coverage, net attrition, and both physical and chemical decay. An ensemble of 14 stochastic individual-based model variants for malaria in humans was used, combined with a deterministic model for malaria in mosquitoes.\n\nResults\nThe effective lifetime was most sensitive to the pre-intervention transmission level, with a lifetime of almost 10 years at an entomological inoculation rate of two infectious bites per adult per annum (ibpapa), but of little more than 2 years at 256 ibpapa. The LLIN attrition rate and the insecticide decay rate were the next most important parameters. The lifetime was surprisingly insensitive to physical decay parameters, but this could change as physical integrity gains importance with the emergence and spread of pyrethroid resistance.\n\nConclusions\nThe strong dependency of the effective lifetime on the pre-intervention transmission level indicated that the required distribution frequency may vary more with the local entomological situation than with LLIN quality or the characteristics of the distribution system. This highlights the need for malaria monitoring both before and during intervention programmes, particularly since there are likely to be strong variations between years and over short distances. The majority of SSA's population falls into exposure categories where the lifetime is relatively long, but because exposure estimates are highly uncertain, it is necessary to consider subsequent interventions before the end of the expected effective lifetime based on an imprecise transmission measure.","DOI":"10.1186/1475-2875-11-20","ISSN":"1475-2875","title-short":"Importance of factors determining the effective lifetime of a mass, long-lasting, insecticidal net distribution","journalAbbreviation":"Malar J","author":[{"family":"Briët","given":"Olivier JT"},{"family":"Hardy","given":"Diggory"},{"family":"Smith","given":"Thomas A"}],"issued":{"date-parts":[["2012",1,13]]}}}],"schema":"https://github.com/citation-style-language/schema/raw/master/csl-citation.json"} </w:instrText>
      </w:r>
      <w:r w:rsidR="005124B5" w:rsidRPr="00092331">
        <w:fldChar w:fldCharType="separate"/>
      </w:r>
      <w:r w:rsidR="005124B5" w:rsidRPr="00215A11">
        <w:rPr>
          <w:rFonts w:ascii="Calibri" w:hAnsi="Calibri"/>
        </w:rPr>
        <w:t>[8]</w:t>
      </w:r>
      <w:r w:rsidR="005124B5" w:rsidRPr="00092331">
        <w:fldChar w:fldCharType="end"/>
      </w:r>
      <w:r w:rsidR="005124B5">
        <w:t xml:space="preserve"> was assumed (line 4 in Fig S2.8)</w:t>
      </w:r>
      <w:r w:rsidR="005124B5" w:rsidRPr="00092331">
        <w:t>.</w:t>
      </w:r>
      <w:r>
        <w:t xml:space="preserve"> </w:t>
      </w:r>
    </w:p>
    <w:p w14:paraId="25D38A8C" w14:textId="77777777" w:rsidR="00810E50" w:rsidRPr="00092331" w:rsidRDefault="00810E50" w:rsidP="00494118">
      <w:pPr>
        <w:spacing w:after="0" w:line="360" w:lineRule="auto"/>
        <w:jc w:val="both"/>
      </w:pPr>
    </w:p>
    <w:p w14:paraId="3F76DB5A" w14:textId="3980650D" w:rsidR="00810E50" w:rsidRDefault="00D26285" w:rsidP="00494118">
      <w:pPr>
        <w:shd w:val="clear" w:color="auto" w:fill="F2F2F2" w:themeFill="background1" w:themeFillShade="F2"/>
        <w:spacing w:after="0"/>
        <w:jc w:val="both"/>
        <w:rPr>
          <w:rFonts w:eastAsiaTheme="minorEastAsia"/>
          <w:b/>
          <w:sz w:val="20"/>
        </w:rPr>
      </w:pPr>
      <w:r>
        <w:rPr>
          <w:rFonts w:eastAsiaTheme="minorEastAsia"/>
          <w:b/>
          <w:sz w:val="20"/>
        </w:rPr>
        <w:t>BOX 1: Smooth</w:t>
      </w:r>
      <w:r w:rsidR="00810E50">
        <w:rPr>
          <w:rFonts w:eastAsiaTheme="minorEastAsia"/>
          <w:b/>
          <w:sz w:val="20"/>
        </w:rPr>
        <w:t>-compact d</w:t>
      </w:r>
      <w:r w:rsidR="00810E50" w:rsidRPr="00810E50">
        <w:rPr>
          <w:rFonts w:eastAsiaTheme="minorEastAsia"/>
          <w:b/>
          <w:sz w:val="20"/>
        </w:rPr>
        <w:t>ecay function:</w:t>
      </w:r>
    </w:p>
    <w:p w14:paraId="32712DDE" w14:textId="77777777" w:rsidR="00810E50" w:rsidRPr="00810E50" w:rsidRDefault="00810E50" w:rsidP="00494118">
      <w:pPr>
        <w:shd w:val="clear" w:color="auto" w:fill="F2F2F2" w:themeFill="background1" w:themeFillShade="F2"/>
        <w:spacing w:after="0"/>
        <w:jc w:val="both"/>
        <w:rPr>
          <w:rFonts w:eastAsiaTheme="minorEastAsia"/>
          <w:b/>
          <w:sz w:val="20"/>
        </w:rPr>
      </w:pPr>
    </w:p>
    <w:p w14:paraId="3E4F9B15" w14:textId="77777777" w:rsidR="00494118" w:rsidRPr="00DB74D4" w:rsidRDefault="00494118" w:rsidP="00494118">
      <w:pPr>
        <w:shd w:val="clear" w:color="auto" w:fill="F2F2F2" w:themeFill="background1" w:themeFillShade="F2"/>
        <w:spacing w:after="0"/>
        <w:jc w:val="both"/>
        <w:rPr>
          <w:rFonts w:eastAsiaTheme="minorEastAsia"/>
          <w:sz w:val="20"/>
        </w:rPr>
      </w:pPr>
      <m:oMathPara>
        <m:oMathParaPr>
          <m:jc m:val="left"/>
        </m:oMathParaPr>
        <m:oMath>
          <m:r>
            <w:rPr>
              <w:rFonts w:ascii="Cambria Math" w:hAnsi="Cambria Math"/>
              <w:sz w:val="20"/>
            </w:rPr>
            <m:t>y=</m:t>
          </m:r>
          <m:func>
            <m:funcPr>
              <m:ctrlPr>
                <w:rPr>
                  <w:rFonts w:ascii="Cambria Math" w:hAnsi="Cambria Math"/>
                  <w:i/>
                  <w:sz w:val="20"/>
                </w:rPr>
              </m:ctrlPr>
            </m:funcPr>
            <m:fName>
              <m:r>
                <m:rPr>
                  <m:sty m:val="p"/>
                </m:rPr>
                <w:rPr>
                  <w:rFonts w:ascii="Cambria Math" w:hAnsi="Cambria Math"/>
                  <w:sz w:val="20"/>
                </w:rPr>
                <m:t>exp</m:t>
              </m:r>
            </m:fName>
            <m:e>
              <m:f>
                <m:fPr>
                  <m:ctrlPr>
                    <w:rPr>
                      <w:rFonts w:ascii="Cambria Math" w:hAnsi="Cambria Math"/>
                      <w:i/>
                      <w:sz w:val="20"/>
                    </w:rPr>
                  </m:ctrlPr>
                </m:fPr>
                <m:num>
                  <m:r>
                    <w:rPr>
                      <w:rFonts w:ascii="Cambria Math" w:hAnsi="Cambria Math"/>
                      <w:sz w:val="20"/>
                    </w:rPr>
                    <m:t>k-k</m:t>
                  </m:r>
                </m:num>
                <m:den>
                  <m:r>
                    <w:rPr>
                      <w:rFonts w:ascii="Cambria Math" w:hAnsi="Cambria Math"/>
                      <w:sz w:val="20"/>
                    </w:rPr>
                    <m:t>(1-</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t</m:t>
                              </m:r>
                            </m:num>
                            <m:den>
                              <m:r>
                                <w:rPr>
                                  <w:rFonts w:ascii="Cambria Math" w:hAnsi="Cambria Math"/>
                                  <w:sz w:val="20"/>
                                </w:rPr>
                                <m:t>L</m:t>
                              </m:r>
                            </m:den>
                          </m:f>
                        </m:e>
                      </m:d>
                    </m:e>
                    <m:sup>
                      <m:r>
                        <w:rPr>
                          <w:rFonts w:ascii="Cambria Math" w:hAnsi="Cambria Math"/>
                          <w:sz w:val="20"/>
                        </w:rPr>
                        <m:t>2</m:t>
                      </m:r>
                    </m:sup>
                  </m:sSup>
                  <m:r>
                    <w:rPr>
                      <w:rFonts w:ascii="Cambria Math" w:hAnsi="Cambria Math"/>
                      <w:sz w:val="20"/>
                    </w:rPr>
                    <m:t>)</m:t>
                  </m:r>
                </m:den>
              </m:f>
            </m:e>
          </m:func>
        </m:oMath>
      </m:oMathPara>
    </w:p>
    <w:p w14:paraId="0EFD46AE" w14:textId="77777777" w:rsidR="00494118" w:rsidRPr="00DB74D4" w:rsidRDefault="00494118" w:rsidP="00494118">
      <w:pPr>
        <w:shd w:val="clear" w:color="auto" w:fill="F2F2F2" w:themeFill="background1" w:themeFillShade="F2"/>
        <w:spacing w:after="0"/>
        <w:jc w:val="both"/>
        <w:rPr>
          <w:rFonts w:eastAsiaTheme="minorEastAsia"/>
          <w:sz w:val="20"/>
        </w:rPr>
      </w:pPr>
      <m:oMathPara>
        <m:oMathParaPr>
          <m:jc m:val="left"/>
        </m:oMathParaPr>
        <m:oMath>
          <m:r>
            <w:rPr>
              <w:rFonts w:ascii="Cambria Math" w:eastAsiaTheme="minorEastAsia" w:hAnsi="Cambria Math"/>
              <w:sz w:val="20"/>
            </w:rPr>
            <m:t>t=time,</m:t>
          </m:r>
        </m:oMath>
      </m:oMathPara>
    </w:p>
    <w:p w14:paraId="258D3C2E" w14:textId="77777777" w:rsidR="00494118" w:rsidRPr="00DB74D4" w:rsidRDefault="00494118" w:rsidP="00494118">
      <w:pPr>
        <w:shd w:val="clear" w:color="auto" w:fill="F2F2F2" w:themeFill="background1" w:themeFillShade="F2"/>
        <w:spacing w:after="0"/>
        <w:jc w:val="both"/>
        <w:rPr>
          <w:rFonts w:eastAsiaTheme="minorEastAsia"/>
          <w:sz w:val="20"/>
        </w:rPr>
      </w:pPr>
      <m:oMathPara>
        <m:oMathParaPr>
          <m:jc m:val="left"/>
        </m:oMathParaPr>
        <m:oMath>
          <m:r>
            <w:rPr>
              <w:rFonts w:ascii="Cambria Math" w:eastAsiaTheme="minorEastAsia" w:hAnsi="Cambria Math"/>
              <w:sz w:val="20"/>
            </w:rPr>
            <m:t xml:space="preserve">k=shape parameter </m:t>
          </m:r>
          <m:d>
            <m:dPr>
              <m:ctrlPr>
                <w:rPr>
                  <w:rFonts w:ascii="Cambria Math" w:eastAsiaTheme="minorEastAsia" w:hAnsi="Cambria Math"/>
                  <w:i/>
                  <w:sz w:val="20"/>
                </w:rPr>
              </m:ctrlPr>
            </m:dPr>
            <m:e>
              <m:r>
                <w:rPr>
                  <w:rFonts w:ascii="Cambria Math" w:eastAsiaTheme="minorEastAsia" w:hAnsi="Cambria Math"/>
                  <w:sz w:val="20"/>
                </w:rPr>
                <m:t>no dimension</m:t>
              </m:r>
            </m:e>
          </m:d>
          <m:r>
            <w:rPr>
              <w:rFonts w:ascii="Cambria Math" w:eastAsiaTheme="minorEastAsia" w:hAnsi="Cambria Math"/>
              <w:sz w:val="20"/>
            </w:rPr>
            <m:t xml:space="preserve">, </m:t>
          </m:r>
        </m:oMath>
      </m:oMathPara>
    </w:p>
    <w:p w14:paraId="364A88AD" w14:textId="77777777" w:rsidR="00494118" w:rsidRPr="00DB74D4" w:rsidRDefault="00494118" w:rsidP="00494118">
      <w:pPr>
        <w:shd w:val="clear" w:color="auto" w:fill="F2F2F2" w:themeFill="background1" w:themeFillShade="F2"/>
        <w:spacing w:after="0"/>
        <w:jc w:val="both"/>
        <w:rPr>
          <w:rFonts w:eastAsiaTheme="minorEastAsia"/>
          <w:sz w:val="20"/>
        </w:rPr>
      </w:pPr>
      <m:oMathPara>
        <m:oMathParaPr>
          <m:jc m:val="left"/>
        </m:oMathParaPr>
        <m:oMath>
          <m:r>
            <w:rPr>
              <w:rFonts w:ascii="Cambria Math" w:eastAsiaTheme="minorEastAsia" w:hAnsi="Cambria Math"/>
              <w:sz w:val="20"/>
            </w:rPr>
            <m:t>L= rate of decay, either the time until half decay or the time until full decay</m:t>
          </m:r>
        </m:oMath>
      </m:oMathPara>
    </w:p>
    <w:p w14:paraId="646A3820" w14:textId="77777777" w:rsidR="00494118" w:rsidRPr="00D26285" w:rsidRDefault="00494118" w:rsidP="00494118">
      <w:pPr>
        <w:shd w:val="clear" w:color="auto" w:fill="F2F2F2" w:themeFill="background1" w:themeFillShade="F2"/>
        <w:spacing w:after="0"/>
        <w:jc w:val="both"/>
        <w:rPr>
          <w:rFonts w:eastAsiaTheme="minorEastAsia"/>
          <w:sz w:val="20"/>
        </w:rPr>
      </w:pPr>
      <m:oMathPara>
        <m:oMathParaPr>
          <m:jc m:val="left"/>
        </m:oMathParaPr>
        <m:oMath>
          <m:r>
            <m:rPr>
              <m:sty m:val="p"/>
            </m:rPr>
            <w:rPr>
              <w:rFonts w:ascii="Cambria Math" w:eastAsiaTheme="minorEastAsia" w:hAnsi="Cambria Math"/>
              <w:sz w:val="20"/>
            </w:rPr>
            <m:t xml:space="preserve">Note: </m:t>
          </m:r>
          <m:r>
            <m:rPr>
              <m:sty m:val="p"/>
            </m:rPr>
            <w:rPr>
              <w:rFonts w:ascii="Cambria Math" w:hAnsi="Cambria Math"/>
              <w:sz w:val="20"/>
            </w:rPr>
            <m:t xml:space="preserve">for </m:t>
          </m:r>
          <m:r>
            <m:rPr>
              <m:sty m:val="p"/>
            </m:rPr>
            <w:rPr>
              <w:rStyle w:val="HTMLCode"/>
              <w:rFonts w:ascii="Cambria Math" w:eastAsiaTheme="minorHAnsi" w:hAnsi="Cambria Math"/>
              <w:sz w:val="18"/>
            </w:rPr>
            <m:t>t &lt;L</m:t>
          </m:r>
          <m:r>
            <m:rPr>
              <m:sty m:val="p"/>
            </m:rPr>
            <w:rPr>
              <w:rFonts w:ascii="Cambria Math" w:hAnsi="Cambria Math"/>
              <w:noProof/>
              <w:sz w:val="20"/>
            </w:rPr>
            <m:t>,</m:t>
          </m:r>
          <m:r>
            <m:rPr>
              <m:sty m:val="p"/>
            </m:rPr>
            <w:rPr>
              <w:rFonts w:ascii="Cambria Math" w:hAnsi="Cambria Math"/>
              <w:sz w:val="20"/>
            </w:rPr>
            <m:t xml:space="preserve"> otherwise 0</m:t>
          </m:r>
        </m:oMath>
      </m:oMathPara>
    </w:p>
    <w:p w14:paraId="51583FCB" w14:textId="77777777" w:rsidR="00D26285" w:rsidRDefault="00D26285" w:rsidP="00494118">
      <w:pPr>
        <w:shd w:val="clear" w:color="auto" w:fill="F2F2F2" w:themeFill="background1" w:themeFillShade="F2"/>
        <w:spacing w:after="0"/>
        <w:jc w:val="both"/>
        <w:rPr>
          <w:rFonts w:eastAsiaTheme="minorEastAsia"/>
          <w:sz w:val="20"/>
        </w:rPr>
      </w:pPr>
    </w:p>
    <w:p w14:paraId="41942B22" w14:textId="1922FC96" w:rsidR="00D26285" w:rsidRPr="006726D9" w:rsidRDefault="00D26285" w:rsidP="00494118">
      <w:pPr>
        <w:shd w:val="clear" w:color="auto" w:fill="F2F2F2" w:themeFill="background1" w:themeFillShade="F2"/>
        <w:spacing w:after="0"/>
        <w:jc w:val="both"/>
        <w:rPr>
          <w:rFonts w:eastAsiaTheme="minorEastAsia"/>
          <w:sz w:val="20"/>
          <w:lang w:val="fr-CH"/>
        </w:rPr>
      </w:pPr>
      <w:r w:rsidRPr="006726D9">
        <w:rPr>
          <w:rFonts w:eastAsiaTheme="minorEastAsia"/>
          <w:sz w:val="20"/>
          <w:lang w:val="fr-CH"/>
        </w:rPr>
        <w:t xml:space="preserve">Source: </w:t>
      </w:r>
      <w:hyperlink r:id="rId26" w:history="1">
        <w:r w:rsidRPr="006726D9">
          <w:rPr>
            <w:rFonts w:eastAsiaTheme="minorEastAsia"/>
            <w:sz w:val="20"/>
            <w:lang w:val="fr-CH"/>
          </w:rPr>
          <w:t>https://github.com/SwissTPH/openmalaria/wiki/ModelDecayFunctions</w:t>
        </w:r>
      </w:hyperlink>
    </w:p>
    <w:p w14:paraId="59F81750" w14:textId="77777777" w:rsidR="00494118" w:rsidRPr="006726D9" w:rsidRDefault="00494118" w:rsidP="00494118">
      <w:pPr>
        <w:spacing w:after="0"/>
        <w:jc w:val="both"/>
        <w:rPr>
          <w:lang w:val="fr-CH"/>
        </w:rPr>
      </w:pPr>
    </w:p>
    <w:p w14:paraId="1DA3434A" w14:textId="77777777" w:rsidR="00494118" w:rsidRPr="00092331" w:rsidRDefault="00494118" w:rsidP="00494118">
      <w:pPr>
        <w:keepNext/>
        <w:spacing w:after="0"/>
        <w:jc w:val="both"/>
      </w:pPr>
      <w:r w:rsidRPr="00092331">
        <w:rPr>
          <w:noProof/>
          <w:lang w:val="en-US"/>
        </w:rPr>
        <w:lastRenderedPageBreak/>
        <w:drawing>
          <wp:inline distT="0" distB="0" distL="0" distR="0" wp14:anchorId="5BE75C27" wp14:editId="2FAB617E">
            <wp:extent cx="3728530" cy="2903220"/>
            <wp:effectExtent l="19050" t="19050" r="24765" b="11430"/>
            <wp:docPr id="4" name="Picture 4" descr="C:\Users\rungma\Projects\OM_TZA\Figures\DataDescription_and_Preparation\ITN\ITNdecay\ITN attrition curves for OM fitting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ngma\Projects\OM_TZA\Figures\DataDescription_and_Preparation\ITN\ITNdecay\ITN attrition curves for OM fitting_v2.pn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b="2669"/>
                    <a:stretch/>
                  </pic:blipFill>
                  <pic:spPr bwMode="auto">
                    <a:xfrm>
                      <a:off x="0" y="0"/>
                      <a:ext cx="3728714" cy="290336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B591E97" w14:textId="0DB164D7" w:rsidR="00494118" w:rsidRPr="00B8603A" w:rsidRDefault="009C3D40" w:rsidP="00494118">
      <w:pPr>
        <w:pStyle w:val="Caption"/>
        <w:spacing w:before="0" w:after="0" w:line="276" w:lineRule="auto"/>
        <w:rPr>
          <w:rFonts w:asciiTheme="minorHAnsi" w:hAnsiTheme="minorHAnsi"/>
          <w:b/>
          <w:bCs w:val="0"/>
        </w:rPr>
      </w:pPr>
      <w:r>
        <w:rPr>
          <w:rFonts w:asciiTheme="minorHAnsi" w:hAnsiTheme="minorHAnsi"/>
          <w:b/>
          <w:bCs w:val="0"/>
        </w:rPr>
        <w:t>Fig</w:t>
      </w:r>
      <w:r w:rsidR="00494118" w:rsidRPr="00B8603A">
        <w:rPr>
          <w:rFonts w:asciiTheme="minorHAnsi" w:hAnsiTheme="minorHAnsi"/>
          <w:b/>
          <w:bCs w:val="0"/>
        </w:rPr>
        <w:t xml:space="preserve"> </w:t>
      </w:r>
      <w:r>
        <w:rPr>
          <w:rFonts w:asciiTheme="minorHAnsi" w:hAnsiTheme="minorHAnsi"/>
          <w:b/>
          <w:bCs w:val="0"/>
        </w:rPr>
        <w:t>S2.</w:t>
      </w:r>
      <w:r w:rsidR="00494118" w:rsidRPr="00092331">
        <w:rPr>
          <w:rFonts w:asciiTheme="minorHAnsi" w:hAnsiTheme="minorHAnsi"/>
          <w:b/>
          <w:bCs w:val="0"/>
        </w:rPr>
        <w:fldChar w:fldCharType="begin"/>
      </w:r>
      <w:r w:rsidR="00494118" w:rsidRPr="00B8603A">
        <w:rPr>
          <w:rFonts w:asciiTheme="minorHAnsi" w:hAnsiTheme="minorHAnsi"/>
          <w:b/>
          <w:bCs w:val="0"/>
        </w:rPr>
        <w:instrText xml:space="preserve"> SEQ Figure \* ARABIC </w:instrText>
      </w:r>
      <w:r w:rsidR="00494118" w:rsidRPr="00092331">
        <w:rPr>
          <w:rFonts w:asciiTheme="minorHAnsi" w:hAnsiTheme="minorHAnsi"/>
          <w:b/>
          <w:bCs w:val="0"/>
        </w:rPr>
        <w:fldChar w:fldCharType="separate"/>
      </w:r>
      <w:r w:rsidR="005124B5">
        <w:rPr>
          <w:rFonts w:asciiTheme="minorHAnsi" w:hAnsiTheme="minorHAnsi"/>
          <w:b/>
          <w:bCs w:val="0"/>
          <w:noProof/>
        </w:rPr>
        <w:t>8</w:t>
      </w:r>
      <w:r w:rsidR="00494118" w:rsidRPr="00092331">
        <w:rPr>
          <w:rFonts w:asciiTheme="minorHAnsi" w:hAnsiTheme="minorHAnsi"/>
          <w:b/>
          <w:bCs w:val="0"/>
        </w:rPr>
        <w:fldChar w:fldCharType="end"/>
      </w:r>
      <w:r w:rsidR="00494118" w:rsidRPr="00B8603A">
        <w:rPr>
          <w:rFonts w:asciiTheme="minorHAnsi" w:hAnsiTheme="minorHAnsi"/>
          <w:b/>
          <w:bCs w:val="0"/>
        </w:rPr>
        <w:t>: ITN decay curves.</w:t>
      </w:r>
    </w:p>
    <w:p w14:paraId="44F73CE1" w14:textId="77777777" w:rsidR="00494118" w:rsidRPr="00B8603A" w:rsidRDefault="00494118" w:rsidP="00494118">
      <w:pPr>
        <w:spacing w:after="0"/>
        <w:jc w:val="both"/>
      </w:pPr>
      <w:r w:rsidRPr="00B8603A">
        <w:t xml:space="preserve"> </w:t>
      </w:r>
    </w:p>
    <w:p w14:paraId="5F5BA90D" w14:textId="77777777" w:rsidR="007E54FF" w:rsidRPr="00092331" w:rsidRDefault="007E54FF" w:rsidP="00810E50">
      <w:pPr>
        <w:pStyle w:val="Heading3"/>
        <w:spacing w:line="360" w:lineRule="auto"/>
      </w:pPr>
      <w:r w:rsidRPr="00092331">
        <w:t>Indoor residual spraying</w:t>
      </w:r>
    </w:p>
    <w:p w14:paraId="5A7142CB" w14:textId="697639A9" w:rsidR="007E54FF" w:rsidRPr="00092331" w:rsidRDefault="007E54FF" w:rsidP="001F7549">
      <w:pPr>
        <w:autoSpaceDE w:val="0"/>
        <w:autoSpaceDN w:val="0"/>
        <w:adjustRightInd w:val="0"/>
        <w:spacing w:after="0" w:line="360" w:lineRule="auto"/>
        <w:jc w:val="both"/>
      </w:pPr>
      <w:r w:rsidRPr="00092331">
        <w:t xml:space="preserve">IRS implementation started in Mainland Tanzania in 2006/7 in the Lake Zone, targeting high prevalence areas, prone to malaria epidemics </w:t>
      </w:r>
      <w:r w:rsidRPr="00092331">
        <w:fldChar w:fldCharType="begin"/>
      </w:r>
      <w:r w:rsidR="00042DCE">
        <w:instrText xml:space="preserve"> ADDIN ZOTERO_ITEM CSL_CITATION {"citationID":"5Cyg20Ge","properties":{"formattedCitation":"[41]","plainCitation":"[41]","noteIndex":0},"citationItems":[{"id":27874,"uris":["http://zotero.org/users/3516901/items/3LEA54SY"],"uri":["http://zotero.org/users/3516901/items/3LEA54SY"],"itemData":{"id":27874,"type":"report","title":"Tanzania Vector Control Scale-up Project: Spray Performance Report. November 2011–May 2012.","publisher":"RTI International","URL":"https://www.pmi.gov/docs/default-source/default-document-library/implementing-partner-reports/tanzania-vector-control-scale-up-project-spray-performance-report-november-2011-may-2012.pdf?sfvrsn=5","author":[{"literal":"RTI International"}],"issued":{"date-parts":[["2012"]]}}}],"schema":"https://github.com/citation-style-language/schema/raw/master/csl-citation.json"} </w:instrText>
      </w:r>
      <w:r w:rsidRPr="00092331">
        <w:fldChar w:fldCharType="separate"/>
      </w:r>
      <w:r w:rsidR="00042DCE" w:rsidRPr="00042DCE">
        <w:rPr>
          <w:rFonts w:ascii="Calibri" w:hAnsi="Calibri"/>
        </w:rPr>
        <w:t>[41]</w:t>
      </w:r>
      <w:r w:rsidRPr="00092331">
        <w:fldChar w:fldCharType="end"/>
      </w:r>
      <w:r w:rsidRPr="00092331">
        <w:t>.</w:t>
      </w:r>
      <w:r w:rsidRPr="00092331" w:rsidDel="000F1A37">
        <w:t xml:space="preserve"> </w:t>
      </w:r>
      <w:r w:rsidRPr="00092331">
        <w:t>T</w:t>
      </w:r>
      <w:r w:rsidRPr="00092331">
        <w:rPr>
          <w:rFonts w:eastAsia="Times New Roman" w:cs="Times New Roman"/>
          <w:lang w:eastAsia="de-DE"/>
        </w:rPr>
        <w:t xml:space="preserve">he coverage </w:t>
      </w:r>
      <w:r w:rsidRPr="00092331">
        <w:rPr>
          <w:rFonts w:eastAsia="Times New Roman" w:cs="Times New Roman"/>
          <w:noProof/>
          <w:lang w:eastAsia="de-DE"/>
        </w:rPr>
        <w:t>was calculated</w:t>
      </w:r>
      <w:r w:rsidRPr="00092331">
        <w:rPr>
          <w:rFonts w:eastAsia="Times New Roman" w:cs="Times New Roman"/>
          <w:lang w:eastAsia="de-DE"/>
        </w:rPr>
        <w:t xml:space="preserve"> by dividing the targeted population by the total population of the </w:t>
      </w:r>
      <w:r w:rsidR="00503CA2">
        <w:rPr>
          <w:rFonts w:eastAsia="Times New Roman" w:cs="Times New Roman"/>
          <w:lang w:eastAsia="de-DE"/>
        </w:rPr>
        <w:t>council</w:t>
      </w:r>
      <w:r w:rsidRPr="00092331">
        <w:rPr>
          <w:rFonts w:eastAsia="Times New Roman" w:cs="Times New Roman"/>
          <w:lang w:eastAsia="de-DE"/>
        </w:rPr>
        <w:t xml:space="preserve"> and start date of the IRS campaign used as deployment date. The maximum coverage and average timing were used for defining IRS deployments at regional level for </w:t>
      </w:r>
      <w:proofErr w:type="spellStart"/>
      <w:r w:rsidRPr="00092331">
        <w:rPr>
          <w:rFonts w:eastAsia="Times New Roman" w:cs="Times New Roman"/>
          <w:lang w:eastAsia="de-DE"/>
        </w:rPr>
        <w:t>Geita</w:t>
      </w:r>
      <w:proofErr w:type="spellEnd"/>
      <w:r w:rsidRPr="00092331">
        <w:rPr>
          <w:rFonts w:eastAsia="Times New Roman" w:cs="Times New Roman"/>
          <w:lang w:eastAsia="de-DE"/>
        </w:rPr>
        <w:t xml:space="preserve">, Mara, Mwanza and </w:t>
      </w:r>
      <w:proofErr w:type="spellStart"/>
      <w:r w:rsidRPr="00092331">
        <w:rPr>
          <w:rFonts w:eastAsia="Times New Roman" w:cs="Times New Roman"/>
          <w:lang w:eastAsia="de-DE"/>
        </w:rPr>
        <w:t>Shinyanga</w:t>
      </w:r>
      <w:proofErr w:type="spellEnd"/>
      <w:r w:rsidRPr="00092331">
        <w:t xml:space="preserve"> (</w:t>
      </w:r>
      <w:r w:rsidR="009C3D40">
        <w:t>Fig S2.</w:t>
      </w:r>
      <w:r w:rsidR="00D26285">
        <w:t>9</w:t>
      </w:r>
      <w:r w:rsidRPr="00092331">
        <w:t>). The IRS coverage and timing were aggregated per region, assuming the whole region had IRS.</w:t>
      </w:r>
    </w:p>
    <w:p w14:paraId="461C553D" w14:textId="77777777" w:rsidR="000B4839" w:rsidRPr="00092331" w:rsidRDefault="000B4839" w:rsidP="00FB7E5A">
      <w:pPr>
        <w:autoSpaceDE w:val="0"/>
        <w:autoSpaceDN w:val="0"/>
        <w:adjustRightInd w:val="0"/>
        <w:spacing w:after="0"/>
        <w:jc w:val="both"/>
      </w:pPr>
    </w:p>
    <w:p w14:paraId="47FEE9CA" w14:textId="77777777" w:rsidR="007E54FF" w:rsidRPr="00092331" w:rsidRDefault="007E54FF" w:rsidP="00FB7E5A">
      <w:pPr>
        <w:autoSpaceDE w:val="0"/>
        <w:autoSpaceDN w:val="0"/>
        <w:adjustRightInd w:val="0"/>
        <w:spacing w:after="0"/>
        <w:jc w:val="both"/>
      </w:pPr>
      <w:r w:rsidRPr="00092331">
        <w:rPr>
          <w:noProof/>
          <w:lang w:val="en-US"/>
        </w:rPr>
        <w:drawing>
          <wp:inline distT="0" distB="0" distL="0" distR="0" wp14:anchorId="1B9601A8" wp14:editId="51B94502">
            <wp:extent cx="5554980" cy="27432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554980" cy="2743200"/>
                    </a:xfrm>
                    <a:prstGeom prst="rect">
                      <a:avLst/>
                    </a:prstGeom>
                    <a:noFill/>
                    <a:ln w="6350" cmpd="sng">
                      <a:solidFill>
                        <a:srgbClr val="000000"/>
                      </a:solidFill>
                      <a:miter lim="800000"/>
                      <a:headEnd/>
                      <a:tailEnd/>
                    </a:ln>
                    <a:effectLst/>
                  </pic:spPr>
                </pic:pic>
              </a:graphicData>
            </a:graphic>
          </wp:inline>
        </w:drawing>
      </w:r>
    </w:p>
    <w:p w14:paraId="03CEC73A" w14:textId="778EF304" w:rsidR="009C3D40" w:rsidRDefault="009C3D40" w:rsidP="00FB7E5A">
      <w:pPr>
        <w:pStyle w:val="Caption"/>
        <w:spacing w:before="0" w:after="0" w:line="276" w:lineRule="auto"/>
        <w:rPr>
          <w:rFonts w:asciiTheme="minorHAnsi" w:hAnsiTheme="minorHAnsi"/>
        </w:rPr>
      </w:pPr>
      <w:bookmarkStart w:id="23" w:name="_Ref6075297"/>
      <w:r>
        <w:rPr>
          <w:rFonts w:asciiTheme="minorHAnsi" w:hAnsiTheme="minorHAnsi"/>
          <w:b/>
          <w:bCs w:val="0"/>
        </w:rPr>
        <w:t>Fig S2.</w:t>
      </w:r>
      <w:r w:rsidR="007E54FF" w:rsidRPr="00092331">
        <w:rPr>
          <w:rFonts w:asciiTheme="minorHAnsi" w:hAnsiTheme="minorHAnsi"/>
        </w:rPr>
        <w:fldChar w:fldCharType="begin"/>
      </w:r>
      <w:r w:rsidR="007E54FF" w:rsidRPr="00092331">
        <w:rPr>
          <w:rFonts w:asciiTheme="minorHAnsi" w:hAnsiTheme="minorHAnsi"/>
          <w:b/>
          <w:bCs w:val="0"/>
        </w:rPr>
        <w:instrText xml:space="preserve"> SEQ Figure \* ARABIC </w:instrText>
      </w:r>
      <w:r w:rsidR="007E54FF" w:rsidRPr="00092331">
        <w:rPr>
          <w:rFonts w:asciiTheme="minorHAnsi" w:hAnsiTheme="minorHAnsi"/>
        </w:rPr>
        <w:fldChar w:fldCharType="separate"/>
      </w:r>
      <w:r w:rsidR="00D26285">
        <w:rPr>
          <w:rFonts w:asciiTheme="minorHAnsi" w:hAnsiTheme="minorHAnsi"/>
          <w:b/>
          <w:bCs w:val="0"/>
          <w:noProof/>
        </w:rPr>
        <w:t>9</w:t>
      </w:r>
      <w:r w:rsidR="007E54FF" w:rsidRPr="00092331">
        <w:rPr>
          <w:rFonts w:asciiTheme="minorHAnsi" w:hAnsiTheme="minorHAnsi"/>
        </w:rPr>
        <w:fldChar w:fldCharType="end"/>
      </w:r>
      <w:bookmarkEnd w:id="23"/>
      <w:r w:rsidR="007E54FF" w:rsidRPr="00092331">
        <w:rPr>
          <w:rFonts w:asciiTheme="minorHAnsi" w:hAnsiTheme="minorHAnsi"/>
          <w:b/>
          <w:bCs w:val="0"/>
        </w:rPr>
        <w:t>:</w:t>
      </w:r>
      <w:r w:rsidR="007E54FF" w:rsidRPr="00092331">
        <w:rPr>
          <w:rFonts w:asciiTheme="minorHAnsi" w:hAnsiTheme="minorHAnsi"/>
          <w:bCs w:val="0"/>
        </w:rPr>
        <w:t xml:space="preserve"> </w:t>
      </w:r>
      <w:r w:rsidR="007E54FF" w:rsidRPr="009C3D40">
        <w:rPr>
          <w:rFonts w:asciiTheme="minorHAnsi" w:hAnsiTheme="minorHAnsi"/>
          <w:b/>
          <w:bCs w:val="0"/>
        </w:rPr>
        <w:t>Geographica</w:t>
      </w:r>
      <w:r w:rsidRPr="009C3D40">
        <w:rPr>
          <w:rFonts w:asciiTheme="minorHAnsi" w:hAnsiTheme="minorHAnsi"/>
          <w:b/>
          <w:bCs w:val="0"/>
        </w:rPr>
        <w:t>l distribution of IRS campaigns w</w:t>
      </w:r>
      <w:r w:rsidR="007E54FF" w:rsidRPr="009C3D40">
        <w:rPr>
          <w:rFonts w:asciiTheme="minorHAnsi" w:hAnsiTheme="minorHAnsi"/>
          <w:b/>
          <w:bCs w:val="0"/>
        </w:rPr>
        <w:t xml:space="preserve">ith various type </w:t>
      </w:r>
      <w:r w:rsidR="007E54FF" w:rsidRPr="009C3D40">
        <w:rPr>
          <w:rFonts w:asciiTheme="minorHAnsi" w:hAnsiTheme="minorHAnsi"/>
          <w:b/>
        </w:rPr>
        <w:t>of active ingredient between 200</w:t>
      </w:r>
      <w:r w:rsidR="007E54FF" w:rsidRPr="009C3D40">
        <w:rPr>
          <w:rFonts w:asciiTheme="minorHAnsi" w:hAnsiTheme="minorHAnsi"/>
          <w:b/>
          <w:bCs w:val="0"/>
        </w:rPr>
        <w:t>7 and 2018.</w:t>
      </w:r>
      <w:r w:rsidR="007E54FF" w:rsidRPr="009C3D40">
        <w:rPr>
          <w:rFonts w:asciiTheme="minorHAnsi" w:hAnsiTheme="minorHAnsi"/>
          <w:b/>
        </w:rPr>
        <w:t xml:space="preserve"> </w:t>
      </w:r>
    </w:p>
    <w:p w14:paraId="195BC20D" w14:textId="2EBDA249" w:rsidR="007E54FF" w:rsidRDefault="007E54FF" w:rsidP="00FB7E5A">
      <w:pPr>
        <w:pStyle w:val="Caption"/>
        <w:spacing w:before="0" w:after="0" w:line="276" w:lineRule="auto"/>
        <w:rPr>
          <w:rFonts w:asciiTheme="minorHAnsi" w:hAnsiTheme="minorHAnsi"/>
        </w:rPr>
      </w:pPr>
      <w:r w:rsidRPr="00092331">
        <w:rPr>
          <w:rFonts w:asciiTheme="minorHAnsi" w:hAnsiTheme="minorHAnsi"/>
        </w:rPr>
        <w:t xml:space="preserve">Source: </w:t>
      </w:r>
      <w:r w:rsidRPr="00C926F5">
        <w:rPr>
          <w:rFonts w:asciiTheme="minorHAnsi" w:hAnsiTheme="minorHAnsi"/>
        </w:rPr>
        <w:t>NMCP, reproduced with permission</w:t>
      </w:r>
      <w:r w:rsidRPr="00092331">
        <w:rPr>
          <w:rFonts w:asciiTheme="minorHAnsi" w:hAnsiTheme="minorHAnsi"/>
        </w:rPr>
        <w:t>.</w:t>
      </w:r>
    </w:p>
    <w:p w14:paraId="48069DB7" w14:textId="77777777" w:rsidR="00810E50" w:rsidRPr="00810E50" w:rsidRDefault="00810E50" w:rsidP="00810E50">
      <w:pPr>
        <w:spacing w:after="0"/>
        <w:rPr>
          <w:lang w:eastAsia="de-DE"/>
        </w:rPr>
      </w:pPr>
    </w:p>
    <w:p w14:paraId="16CF6941" w14:textId="77777777" w:rsidR="00215A11" w:rsidRPr="00B8603A" w:rsidRDefault="00215A11" w:rsidP="00215A11">
      <w:pPr>
        <w:pStyle w:val="Heading1"/>
        <w:spacing w:before="0" w:line="360" w:lineRule="auto"/>
        <w:jc w:val="both"/>
      </w:pPr>
      <w:bookmarkStart w:id="24" w:name="_Toc22121203"/>
      <w:bookmarkStart w:id="25" w:name="_Toc22367556"/>
      <w:bookmarkStart w:id="26" w:name="_Toc22121202"/>
      <w:r>
        <w:lastRenderedPageBreak/>
        <w:t>Model calibration</w:t>
      </w:r>
      <w:bookmarkEnd w:id="24"/>
      <w:bookmarkEnd w:id="25"/>
    </w:p>
    <w:p w14:paraId="2E05B350" w14:textId="0D8E3A65" w:rsidR="00215A11" w:rsidRDefault="00215A11" w:rsidP="00215A11">
      <w:pPr>
        <w:spacing w:after="0" w:line="360" w:lineRule="auto"/>
        <w:jc w:val="both"/>
      </w:pPr>
      <w:r w:rsidRPr="00092331">
        <w:t xml:space="preserve">The model </w:t>
      </w:r>
      <w:r w:rsidRPr="00092331">
        <w:rPr>
          <w:noProof/>
        </w:rPr>
        <w:t>was calibrated</w:t>
      </w:r>
      <w:r w:rsidRPr="00092331">
        <w:t xml:space="preserve"> by fitting the simulated prevalence to the geospatial model predicted prevalence using MCMC methods and Gibbs sampler for likelihood estimation</w:t>
      </w:r>
      <w:r>
        <w:t xml:space="preserve">, estimating the pre-intervention EIR in 2003 and ITN </w:t>
      </w:r>
      <w:r w:rsidR="0076338D">
        <w:t>usage</w:t>
      </w:r>
      <w:r>
        <w:t xml:space="preserve"> parameter in 2012 per council</w:t>
      </w:r>
      <w:r w:rsidRPr="00092331">
        <w:t xml:space="preserve">. The </w:t>
      </w:r>
      <w:r w:rsidRPr="00092331">
        <w:rPr>
          <w:noProof/>
        </w:rPr>
        <w:t>Bayesian</w:t>
      </w:r>
      <w:r w:rsidRPr="00092331">
        <w:t xml:space="preserve"> model was run separately for each </w:t>
      </w:r>
      <w:r>
        <w:t>council</w:t>
      </w:r>
      <w:r w:rsidRPr="00092331">
        <w:t xml:space="preserve">, with an adaptation phase of 100 iterations for one chain. The JAGS model </w:t>
      </w:r>
      <w:r w:rsidRPr="00092331">
        <w:rPr>
          <w:noProof/>
        </w:rPr>
        <w:t>was updated</w:t>
      </w:r>
      <w:r w:rsidRPr="00092331">
        <w:t xml:space="preserve"> with 10’000 further iterations, </w:t>
      </w:r>
      <w:r w:rsidRPr="00092331">
        <w:rPr>
          <w:noProof/>
        </w:rPr>
        <w:t>and</w:t>
      </w:r>
      <w:r w:rsidRPr="00092331">
        <w:t xml:space="preserve"> 10’000 samples </w:t>
      </w:r>
      <w:r w:rsidRPr="00092331">
        <w:rPr>
          <w:noProof/>
        </w:rPr>
        <w:t>were drawn</w:t>
      </w:r>
      <w:r w:rsidRPr="00092331">
        <w:t xml:space="preserve"> from the posterior distribution, with a thinning interval of 10. Model priors were the geospatial prevalence predictions</w:t>
      </w:r>
      <w:r>
        <w:t>,</w:t>
      </w:r>
      <w:r w:rsidRPr="00092331">
        <w:t xml:space="preserve"> and the likelihood functions the simulated prevalence, </w:t>
      </w:r>
      <w:r w:rsidRPr="00092331">
        <w:rPr>
          <w:noProof/>
        </w:rPr>
        <w:t>and</w:t>
      </w:r>
      <w:r w:rsidRPr="00092331">
        <w:t xml:space="preserve"> </w:t>
      </w:r>
      <w:r>
        <w:t xml:space="preserve">the </w:t>
      </w:r>
      <w:r w:rsidRPr="00092331">
        <w:t xml:space="preserve">weighting parameter was estimated and applied to the estimated output parameter within the JAGS model. </w:t>
      </w:r>
      <w:r w:rsidRPr="00092331">
        <w:rPr>
          <w:rFonts w:cs="Arial"/>
        </w:rPr>
        <w:t xml:space="preserve">The outputs provided weights for each simulation which allowed reconstructing the historical trend of malaria transmission for each </w:t>
      </w:r>
      <w:r>
        <w:rPr>
          <w:rFonts w:cs="Arial"/>
        </w:rPr>
        <w:t>council</w:t>
      </w:r>
      <w:r w:rsidRPr="00092331">
        <w:rPr>
          <w:rFonts w:cs="Arial"/>
        </w:rPr>
        <w:t>. Since t</w:t>
      </w:r>
      <w:r w:rsidRPr="00092331">
        <w:t>he predicted impact depends on the pre-intervention EIR (2003)</w:t>
      </w:r>
      <w:r>
        <w:t>, and on</w:t>
      </w:r>
      <w:r w:rsidRPr="00092331">
        <w:t xml:space="preserve"> the year before the deployment of future interventions in 2016 (baseline), the years 2003 and 2016 were weighted more than the years in between.</w:t>
      </w:r>
    </w:p>
    <w:p w14:paraId="68C25120" w14:textId="77777777" w:rsidR="00215A11" w:rsidRDefault="00215A11" w:rsidP="00215A11">
      <w:pPr>
        <w:spacing w:after="0"/>
        <w:rPr>
          <w:lang w:eastAsia="de-DE"/>
        </w:rPr>
      </w:pPr>
      <w:bookmarkStart w:id="27" w:name="_Toc22121204"/>
      <w:bookmarkStart w:id="28" w:name="_Toc22121280"/>
      <w:bookmarkStart w:id="29" w:name="_Toc22121205"/>
      <w:bookmarkStart w:id="30" w:name="_Toc22121281"/>
      <w:bookmarkStart w:id="31" w:name="_Toc22121206"/>
      <w:bookmarkStart w:id="32" w:name="_Toc22121282"/>
      <w:bookmarkStart w:id="33" w:name="_Toc22121208"/>
      <w:bookmarkStart w:id="34" w:name="_Toc22121284"/>
      <w:bookmarkStart w:id="35" w:name="_Toc22121210"/>
      <w:bookmarkStart w:id="36" w:name="_Toc22121286"/>
      <w:bookmarkStart w:id="37" w:name="_Toc22121211"/>
      <w:bookmarkStart w:id="38" w:name="_Toc22121287"/>
      <w:bookmarkEnd w:id="27"/>
      <w:bookmarkEnd w:id="28"/>
      <w:bookmarkEnd w:id="29"/>
      <w:bookmarkEnd w:id="30"/>
      <w:bookmarkEnd w:id="31"/>
      <w:bookmarkEnd w:id="32"/>
      <w:bookmarkEnd w:id="33"/>
      <w:bookmarkEnd w:id="34"/>
      <w:bookmarkEnd w:id="35"/>
      <w:bookmarkEnd w:id="36"/>
      <w:bookmarkEnd w:id="37"/>
      <w:bookmarkEnd w:id="38"/>
    </w:p>
    <w:p w14:paraId="57BBC958" w14:textId="77777777" w:rsidR="003A65A2" w:rsidRPr="00092331" w:rsidRDefault="003A65A2" w:rsidP="00810E50">
      <w:pPr>
        <w:pStyle w:val="Heading1"/>
        <w:spacing w:before="0"/>
      </w:pPr>
      <w:bookmarkStart w:id="39" w:name="_Toc22367557"/>
      <w:r w:rsidRPr="00092331">
        <w:t>Simulated future scenarios 2017-2020</w:t>
      </w:r>
      <w:bookmarkEnd w:id="26"/>
      <w:bookmarkEnd w:id="39"/>
    </w:p>
    <w:p w14:paraId="6A660F1A" w14:textId="3D143685" w:rsidR="00810E50" w:rsidRDefault="009C3D40" w:rsidP="003A65A2">
      <w:pPr>
        <w:spacing w:after="0" w:line="360" w:lineRule="auto"/>
        <w:jc w:val="both"/>
        <w:rPr>
          <w:noProof/>
        </w:rPr>
      </w:pPr>
      <w:r>
        <w:rPr>
          <w:noProof/>
        </w:rPr>
        <w:t>In total six interventions were simulated as described below:</w:t>
      </w:r>
    </w:p>
    <w:p w14:paraId="05DAAD65" w14:textId="122C5A91" w:rsidR="00810E50" w:rsidRDefault="003A65A2" w:rsidP="00810E50">
      <w:pPr>
        <w:pStyle w:val="ListParagraph"/>
        <w:numPr>
          <w:ilvl w:val="0"/>
          <w:numId w:val="7"/>
        </w:numPr>
        <w:spacing w:after="0" w:line="360" w:lineRule="auto"/>
        <w:jc w:val="both"/>
        <w:rPr>
          <w:noProof/>
        </w:rPr>
      </w:pPr>
      <w:r w:rsidRPr="00092331">
        <w:rPr>
          <w:noProof/>
        </w:rPr>
        <w:t>C</w:t>
      </w:r>
      <w:r>
        <w:rPr>
          <w:noProof/>
        </w:rPr>
        <w:t xml:space="preserve">ase </w:t>
      </w:r>
      <w:r w:rsidR="00042DCE">
        <w:rPr>
          <w:noProof/>
        </w:rPr>
        <w:t>m</w:t>
      </w:r>
      <w:r>
        <w:rPr>
          <w:noProof/>
        </w:rPr>
        <w:t xml:space="preserve">anagement </w:t>
      </w:r>
      <w:r w:rsidRPr="00092331">
        <w:rPr>
          <w:noProof/>
        </w:rPr>
        <w:t>was simulated assuming an immediate increase in the effective treatment coverage to 85% via improvements in case management in 2017 with constant effect</w:t>
      </w:r>
      <w:r w:rsidR="00810E50">
        <w:rPr>
          <w:noProof/>
        </w:rPr>
        <w:t>iveness</w:t>
      </w:r>
      <w:r w:rsidRPr="00092331">
        <w:rPr>
          <w:noProof/>
        </w:rPr>
        <w:t>.</w:t>
      </w:r>
      <w:r>
        <w:t xml:space="preserve"> </w:t>
      </w:r>
    </w:p>
    <w:p w14:paraId="312B6FA4" w14:textId="2080928D" w:rsidR="00810E50" w:rsidRDefault="00042DCE" w:rsidP="00810E50">
      <w:pPr>
        <w:pStyle w:val="ListParagraph"/>
        <w:numPr>
          <w:ilvl w:val="0"/>
          <w:numId w:val="7"/>
        </w:numPr>
        <w:spacing w:after="0" w:line="360" w:lineRule="auto"/>
        <w:jc w:val="both"/>
        <w:rPr>
          <w:noProof/>
        </w:rPr>
      </w:pPr>
      <w:r>
        <w:t>ITNs</w:t>
      </w:r>
      <w:r w:rsidR="003A65A2" w:rsidRPr="00092331">
        <w:rPr>
          <w:noProof/>
        </w:rPr>
        <w:t xml:space="preserve"> were simulated assuming nets treated with pyrethroids and with two different types of deployment: 1) mass replacement campaign (MRC) in January 2019, 2) continuous distributions every year, e.g. via schools net programs (SNP). The</w:t>
      </w:r>
      <w:r w:rsidR="00A90B92">
        <w:rPr>
          <w:noProof/>
        </w:rPr>
        <w:t xml:space="preserve"> ITN</w:t>
      </w:r>
      <w:r w:rsidR="003A65A2" w:rsidRPr="00092331">
        <w:rPr>
          <w:noProof/>
        </w:rPr>
        <w:t xml:space="preserve"> coverage was set equal to the usage, assuming that all individuals who have a net are using the net </w:t>
      </w:r>
      <w:r w:rsidR="003A65A2" w:rsidRPr="00092331">
        <w:rPr>
          <w:noProof/>
        </w:rPr>
        <w:fldChar w:fldCharType="begin"/>
      </w:r>
      <w:r>
        <w:rPr>
          <w:noProof/>
        </w:rPr>
        <w:instrText xml:space="preserve"> ADDIN ZOTERO_ITEM CSL_CITATION {"citationID":"XzW8LPQo","properties":{"formattedCitation":"[36]","plainCitation":"[36]","noteIndex":0},"citationItems":[{"id":27868,"uris":["http://zotero.org/users/3516901/items/MBQ6M98N"],"uri":["http://zotero.org/users/3516901/items/MBQ6M98N"],"itemData":{"id":27868,"type":"article-journal","title":"Long-term field performance of a polyester-based long-lasting insecticidal mosquito net in rural Uganda","container-title":"Malaria Journal","page":"49","volume":"7","issue":"1","source":"BioMed Central","abstract":"In order to evaluate whether criteria for LLIN field performance (phase III) set by the WHO Pesticide Evaluation Scheme are met, first and second generations of one of these products, PermaNet®, a polyester net using the coating technology were tested.","DOI":"10.1186/1475-2875-7-49","ISSN":"1475-2875","journalAbbreviation":"Malaria Journal","author":[{"family":"Kilian","given":"Albert"},{"family":"Byamukama","given":"Wilson"},{"family":"Pigeon","given":"Olivier"},{"family":"Atieli","given":"Francis"},{"family":"Duchon","given":"Stephan"},{"family":"Phan","given":"Chi"}],"issued":{"date-parts":[["2008",3,20]]}}}],"schema":"https://github.com/citation-style-language/schema/raw/master/csl-citation.json"} </w:instrText>
      </w:r>
      <w:r w:rsidR="003A65A2" w:rsidRPr="00092331">
        <w:rPr>
          <w:noProof/>
        </w:rPr>
        <w:fldChar w:fldCharType="separate"/>
      </w:r>
      <w:r w:rsidRPr="00042DCE">
        <w:rPr>
          <w:rFonts w:ascii="Calibri" w:hAnsi="Calibri"/>
        </w:rPr>
        <w:t>[36]</w:t>
      </w:r>
      <w:r w:rsidR="003A65A2" w:rsidRPr="00092331">
        <w:rPr>
          <w:noProof/>
        </w:rPr>
        <w:fldChar w:fldCharType="end"/>
      </w:r>
      <w:r w:rsidR="003A65A2">
        <w:rPr>
          <w:noProof/>
        </w:rPr>
        <w:t xml:space="preserve">. </w:t>
      </w:r>
      <w:r w:rsidR="003A65A2" w:rsidRPr="00D6143D">
        <w:t xml:space="preserve">The </w:t>
      </w:r>
      <w:r w:rsidR="003A65A2">
        <w:t>ITN</w:t>
      </w:r>
      <w:r w:rsidR="003A65A2" w:rsidRPr="00092331">
        <w:rPr>
          <w:noProof/>
        </w:rPr>
        <w:t xml:space="preserve"> </w:t>
      </w:r>
      <w:r w:rsidR="00810E50">
        <w:rPr>
          <w:noProof/>
        </w:rPr>
        <w:t>parameterisation is</w:t>
      </w:r>
      <w:r w:rsidR="003A65A2" w:rsidRPr="00092331">
        <w:rPr>
          <w:noProof/>
        </w:rPr>
        <w:t xml:space="preserve"> described elsewhere </w:t>
      </w:r>
      <w:r w:rsidR="003A65A2" w:rsidRPr="00092331">
        <w:rPr>
          <w:noProof/>
        </w:rPr>
        <w:fldChar w:fldCharType="begin"/>
      </w:r>
      <w:r w:rsidR="00215A11">
        <w:rPr>
          <w:noProof/>
        </w:rPr>
        <w:instrText xml:space="preserve"> ADDIN ZOTERO_ITEM CSL_CITATION {"citationID":"sJuJSIsy","properties":{"formattedCitation":"[8]","plainCitation":"[8]","noteIndex":0},"citationItems":[{"id":21573,"uris":["http://zotero.org/users/3516901/items/Q5PSF4MG"],"uri":["http://zotero.org/users/3516901/items/Q5PSF4MG"],"itemData":{"id":21573,"type":"article-journal","title":"Importance of factors determining the effective lifetime of a mass, long-lasting, insecticidal net distribution: a sensitivity analysis","container-title":"Malaria Journal","page":"20","volume":"11","source":"PubMed Central","abstract":"Background\nLong-lasting insecticidal nets (LLINs) reduce malaria transmission by protecting individuals from infectious bites, and by reducing mosquito survival. In recent years, millions of LLINs have been distributed across sub-Saharan Africa (SSA). Over time, LLINs decay physically and chemically and are destroyed, making repeated interventions necessary to prevent a resurgence of malaria. Because its effects on transmission are important (more so than the effects of individual protection), estimates of the lifetime of mass distribution rounds should be based on the effective length of epidemiological protection.\n\nMethods\nSimulation models, parameterised using available field data, were used to analyse how the distribution's effective lifetime depends on the transmission setting and on LLIN characteristics. Factors considered were the pre-intervention transmission level, initial coverage, net attrition, and both physical and chemical decay. An ensemble of 14 stochastic individual-based model variants for malaria in humans was used, combined with a deterministic model for malaria in mosquitoes.\n\nResults\nThe effective lifetime was most sensitive to the pre-intervention transmission level, with a lifetime of almost 10 years at an entomological inoculation rate of two infectious bites per adult per annum (ibpapa), but of little more than 2 years at 256 ibpapa. The LLIN attrition rate and the insecticide decay rate were the next most important parameters. The lifetime was surprisingly insensitive to physical decay parameters, but this could change as physical integrity gains importance with the emergence and spread of pyrethroid resistance.\n\nConclusions\nThe strong dependency of the effective lifetime on the pre-intervention transmission level indicated that the required distribution frequency may vary more with the local entomological situation than with LLIN quality or the characteristics of the distribution system. This highlights the need for malaria monitoring both before and during intervention programmes, particularly since there are likely to be strong variations between years and over short distances. The majority of SSA's population falls into exposure categories where the lifetime is relatively long, but because exposure estimates are highly uncertain, it is necessary to consider subsequent interventions before the end of the expected effective lifetime based on an imprecise transmission measure.","DOI":"10.1186/1475-2875-11-20","ISSN":"1475-2875","title-short":"Importance of factors determining the effective lifetime of a mass, long-lasting, insecticidal net distribution","journalAbbreviation":"Malar J","author":[{"family":"Briët","given":"Olivier JT"},{"family":"Hardy","given":"Diggory"},{"family":"Smith","given":"Thomas A"}],"issued":{"date-parts":[["2012",1,13]]}}}],"schema":"https://github.com/citation-style-language/schema/raw/master/csl-citation.json"} </w:instrText>
      </w:r>
      <w:r w:rsidR="003A65A2" w:rsidRPr="00092331">
        <w:rPr>
          <w:noProof/>
        </w:rPr>
        <w:fldChar w:fldCharType="separate"/>
      </w:r>
      <w:r w:rsidR="00215A11" w:rsidRPr="00215A11">
        <w:rPr>
          <w:rFonts w:ascii="Calibri" w:hAnsi="Calibri"/>
        </w:rPr>
        <w:t>[8]</w:t>
      </w:r>
      <w:r w:rsidR="003A65A2" w:rsidRPr="00092331">
        <w:rPr>
          <w:noProof/>
        </w:rPr>
        <w:fldChar w:fldCharType="end"/>
      </w:r>
      <w:r w:rsidR="003A65A2" w:rsidRPr="00D6143D">
        <w:t xml:space="preserve">. </w:t>
      </w:r>
    </w:p>
    <w:p w14:paraId="0A1C05BF" w14:textId="20E21EAA" w:rsidR="00810E50" w:rsidRDefault="00042DCE" w:rsidP="003A65A2">
      <w:pPr>
        <w:pStyle w:val="ListParagraph"/>
        <w:numPr>
          <w:ilvl w:val="0"/>
          <w:numId w:val="7"/>
        </w:numPr>
        <w:spacing w:after="0" w:line="360" w:lineRule="auto"/>
        <w:jc w:val="both"/>
        <w:rPr>
          <w:noProof/>
        </w:rPr>
      </w:pPr>
      <w:r>
        <w:rPr>
          <w:noProof/>
        </w:rPr>
        <w:t>IRS</w:t>
      </w:r>
      <w:r w:rsidR="003A65A2" w:rsidRPr="00092331">
        <w:rPr>
          <w:noProof/>
        </w:rPr>
        <w:t xml:space="preserve"> was simulated assuming annual deployments </w:t>
      </w:r>
      <w:r w:rsidR="00810E50" w:rsidRPr="00092331">
        <w:rPr>
          <w:noProof/>
        </w:rPr>
        <w:t>in September,</w:t>
      </w:r>
      <w:r w:rsidR="00810E50">
        <w:rPr>
          <w:noProof/>
        </w:rPr>
        <w:t xml:space="preserve"> corresponding to t</w:t>
      </w:r>
      <w:r w:rsidR="00810E50" w:rsidRPr="00092331">
        <w:rPr>
          <w:noProof/>
        </w:rPr>
        <w:t>he end of the dry season in most</w:t>
      </w:r>
      <w:r w:rsidR="00810E50">
        <w:rPr>
          <w:noProof/>
        </w:rPr>
        <w:t xml:space="preserve"> regions</w:t>
      </w:r>
      <w:r w:rsidR="003A65A2" w:rsidRPr="00092331">
        <w:rPr>
          <w:noProof/>
        </w:rPr>
        <w:t xml:space="preserve">. The active ingredients </w:t>
      </w:r>
      <w:r w:rsidR="003A65A2" w:rsidRPr="00092331">
        <w:t>organophosphate</w:t>
      </w:r>
      <w:r w:rsidR="003A65A2" w:rsidRPr="00092331">
        <w:rPr>
          <w:noProof/>
        </w:rPr>
        <w:t xml:space="preserve"> (Actellic 50EC) and carbamates (Bendiocarb) were rotated, starting with Bendiocarb in 2017. The effect duration was assumed to six and three months, respectively for Bendiocarb and Actellic.</w:t>
      </w:r>
      <w:r w:rsidR="003A65A2">
        <w:t xml:space="preserve"> </w:t>
      </w:r>
    </w:p>
    <w:p w14:paraId="33926780" w14:textId="72BD375A" w:rsidR="00810E50" w:rsidRDefault="003A65A2" w:rsidP="00810E50">
      <w:pPr>
        <w:pStyle w:val="ListParagraph"/>
        <w:numPr>
          <w:ilvl w:val="0"/>
          <w:numId w:val="7"/>
        </w:numPr>
        <w:spacing w:after="0" w:line="360" w:lineRule="auto"/>
        <w:jc w:val="both"/>
        <w:rPr>
          <w:noProof/>
        </w:rPr>
      </w:pPr>
      <w:r>
        <w:rPr>
          <w:noProof/>
        </w:rPr>
        <w:t>Larval source management (LSM)</w:t>
      </w:r>
      <w:r w:rsidRPr="00092331">
        <w:rPr>
          <w:noProof/>
        </w:rPr>
        <w:t xml:space="preserve"> was simulated assuming larviciding rounds every two weeks for three months during the dry season</w:t>
      </w:r>
      <w:r w:rsidRPr="00D6143D">
        <w:t>.</w:t>
      </w:r>
      <w:r w:rsidRPr="00092331">
        <w:rPr>
          <w:noProof/>
        </w:rPr>
        <w:t xml:space="preserve"> The effect was simulated with a constant reduction of </w:t>
      </w:r>
      <w:r w:rsidR="003958CE">
        <w:rPr>
          <w:noProof/>
        </w:rPr>
        <w:t>6</w:t>
      </w:r>
      <w:r w:rsidRPr="00092331">
        <w:rPr>
          <w:noProof/>
        </w:rPr>
        <w:t xml:space="preserve">0% in the emergence rate of adult mosquitoes for fourteen days after deployment, irrespective of vector species. </w:t>
      </w:r>
    </w:p>
    <w:p w14:paraId="4BAE0192" w14:textId="5C211D28" w:rsidR="003A65A2" w:rsidRPr="00092331" w:rsidRDefault="003A65A2" w:rsidP="00810E50">
      <w:pPr>
        <w:pStyle w:val="ListParagraph"/>
        <w:numPr>
          <w:ilvl w:val="0"/>
          <w:numId w:val="7"/>
        </w:numPr>
        <w:spacing w:after="0" w:line="360" w:lineRule="auto"/>
        <w:jc w:val="both"/>
        <w:rPr>
          <w:noProof/>
        </w:rPr>
      </w:pPr>
      <w:r>
        <w:rPr>
          <w:noProof/>
        </w:rPr>
        <w:t>Mass drug administration (MDA)</w:t>
      </w:r>
      <w:r w:rsidR="0084749F">
        <w:rPr>
          <w:noProof/>
        </w:rPr>
        <w:t xml:space="preserve"> </w:t>
      </w:r>
      <w:r w:rsidR="0084749F" w:rsidRPr="00092331">
        <w:rPr>
          <w:noProof/>
        </w:rPr>
        <w:t xml:space="preserve">was simulated assuming deployment of three rounds per year for the years 2017 to 2020. The deployment rounds were in June, August and October. The effectiveness, not parameterised to field data, was simulated with immediate blood-stage clearance without protective effect. A previous MDA modelling study concluding </w:t>
      </w:r>
      <w:r w:rsidR="0084749F">
        <w:rPr>
          <w:noProof/>
        </w:rPr>
        <w:t>t</w:t>
      </w:r>
      <w:r w:rsidR="0084749F" w:rsidRPr="00092331">
        <w:rPr>
          <w:noProof/>
        </w:rPr>
        <w:t xml:space="preserve">hat coverage </w:t>
      </w:r>
      <w:r w:rsidR="0084749F" w:rsidRPr="00092331">
        <w:rPr>
          <w:noProof/>
        </w:rPr>
        <w:lastRenderedPageBreak/>
        <w:t xml:space="preserve">needs to be very high for MDA to be effective </w:t>
      </w:r>
      <w:r w:rsidR="0084749F" w:rsidRPr="00092331">
        <w:rPr>
          <w:noProof/>
        </w:rPr>
        <w:fldChar w:fldCharType="begin"/>
      </w:r>
      <w:r w:rsidR="00042DCE">
        <w:rPr>
          <w:noProof/>
        </w:rPr>
        <w:instrText xml:space="preserve"> ADDIN ZOTERO_ITEM CSL_CITATION {"citationID":"ex7G9blG","properties":{"formattedCitation":"[42]","plainCitation":"[42]","noteIndex":0},"citationItems":[{"id":24064,"uris":["http://zotero.org/users/3516901/items/TNU4H9V6"],"uri":["http://zotero.org/users/3516901/items/TNU4H9V6"],"itemData":{"id":24064,"type":"article-journal","title":"A stochastic model for the probability of malaria extinction by mass drug administration","container-title":"Malaria Journal","volume":"16","source":"PubMed Central","abstract":"Background\nMass drug administration (MDA) has been proposed as an intervention to achieve local extinction of malaria. Although its effect on the reproduction number is short lived, extinction may subsequently occur in a small population due to stochastic fluctuations. This paper examines how the probability of stochastic extinction depends on population size, MDA coverage and the reproduction number under control, R\nc. A simple compartmental model is developed which is used to compute the probability of extinction using probability generating functions. The expected time to extinction in small populations after MDA for various scenarios in this model is calculated analytically.\n\nResults\nThe results indicate that mass drug administration (Firstly, R\nc must be sustained at R\nc &lt; 1.2 to avoid the rapid re-establishment of infections in the population. Secondly, the MDA must produce effective cure rates of &gt;95% to have a non-negligible probability of successful elimination. Stochastic fluctuations only significantly affect the probability of extinction in populations of about 1000 individuals or less. The expected time to extinction via stochastic fluctuation is less than 10 years only in populations less than about 150 individuals. Clustering of secondary infections and of MDA distribution both contribute positively to the potential probability of success, indicating that MDA would most effectively be administered at the household level.\n\nConclusions\nThere are very limited circumstances in which MDA will lead to local malaria elimination with a substantial probability.\n\nElectronic supplementary material\nThe online version of this article (doi:10.1186/s12936-017-2010-x) contains supplementary material, which is available to authorized users.","URL":"https://www.ncbi.nlm.nih.gov/pmc/articles/PMC5604301/","DOI":"10.1186/s12936-017-2010-x","ISSN":"1475-2875","note":"PMID: 28923063\nPMCID: PMC5604301","journalAbbreviation":"Malar J","author":[{"family":"Pemberton-Ross","given":"Peter"},{"family":"Chitnis","given":"Nakul"},{"family":"Pothin","given":"Emilie"},{"family":"Smith","given":"Thomas A."}],"issued":{"date-parts":[["2017",9,18]]},"accessed":{"date-parts":[["2017",10,11]]}}}],"schema":"https://github.com/citation-style-language/schema/raw/master/csl-citation.json"} </w:instrText>
      </w:r>
      <w:r w:rsidR="0084749F" w:rsidRPr="00092331">
        <w:rPr>
          <w:noProof/>
        </w:rPr>
        <w:fldChar w:fldCharType="separate"/>
      </w:r>
      <w:r w:rsidR="00042DCE" w:rsidRPr="00042DCE">
        <w:rPr>
          <w:rFonts w:ascii="Calibri" w:hAnsi="Calibri"/>
        </w:rPr>
        <w:t>[42]</w:t>
      </w:r>
      <w:r w:rsidR="0084749F" w:rsidRPr="00092331">
        <w:rPr>
          <w:noProof/>
        </w:rPr>
        <w:fldChar w:fldCharType="end"/>
      </w:r>
      <w:r w:rsidR="0084749F">
        <w:rPr>
          <w:noProof/>
        </w:rPr>
        <w:t>.</w:t>
      </w:r>
      <w:r w:rsidR="0084749F" w:rsidRPr="00092331">
        <w:rPr>
          <w:noProof/>
        </w:rPr>
        <w:t xml:space="preserve"> However, not all in the population are eligible for MDA deployment or can be reached</w:t>
      </w:r>
      <w:r w:rsidR="0084749F">
        <w:rPr>
          <w:noProof/>
        </w:rPr>
        <w:t>,</w:t>
      </w:r>
      <w:r w:rsidR="0084749F" w:rsidRPr="00092331">
        <w:rPr>
          <w:noProof/>
        </w:rPr>
        <w:t xml:space="preserve"> and a moderate to target coverage of 80% was </w:t>
      </w:r>
      <w:r w:rsidR="006726D9">
        <w:rPr>
          <w:noProof/>
        </w:rPr>
        <w:t>used</w:t>
      </w:r>
      <w:r w:rsidR="0084749F" w:rsidRPr="00092331">
        <w:rPr>
          <w:noProof/>
        </w:rPr>
        <w:t>.</w:t>
      </w:r>
    </w:p>
    <w:p w14:paraId="31FFEE55" w14:textId="77777777" w:rsidR="003A65A2" w:rsidRDefault="003A65A2" w:rsidP="003A65A2">
      <w:pPr>
        <w:spacing w:after="0" w:line="360" w:lineRule="auto"/>
        <w:jc w:val="both"/>
        <w:rPr>
          <w:noProof/>
        </w:rPr>
      </w:pPr>
    </w:p>
    <w:p w14:paraId="0D35BE2A" w14:textId="77777777" w:rsidR="00F20FCE" w:rsidRPr="00092331" w:rsidRDefault="00F56CFA" w:rsidP="001C4413">
      <w:pPr>
        <w:pStyle w:val="Heading1"/>
        <w:numPr>
          <w:ilvl w:val="0"/>
          <w:numId w:val="0"/>
        </w:numPr>
        <w:spacing w:before="0" w:line="360" w:lineRule="auto"/>
        <w:ind w:left="432" w:hanging="432"/>
        <w:jc w:val="both"/>
      </w:pPr>
      <w:bookmarkStart w:id="40" w:name="_Toc22121213"/>
      <w:bookmarkStart w:id="41" w:name="_Toc22367558"/>
      <w:r w:rsidRPr="00092331">
        <w:t>References</w:t>
      </w:r>
      <w:bookmarkEnd w:id="40"/>
      <w:bookmarkEnd w:id="41"/>
    </w:p>
    <w:p w14:paraId="1E6799F4" w14:textId="77777777" w:rsidR="00215A11" w:rsidRPr="00215A11" w:rsidRDefault="00F56CFA" w:rsidP="00215A11">
      <w:pPr>
        <w:pStyle w:val="Bibliography"/>
        <w:rPr>
          <w:rFonts w:ascii="Calibri" w:hAnsi="Calibri"/>
        </w:rPr>
      </w:pPr>
      <w:r w:rsidRPr="00092331">
        <w:fldChar w:fldCharType="begin"/>
      </w:r>
      <w:r w:rsidR="00215A11">
        <w:instrText xml:space="preserve"> ADDIN ZOTERO_BIBL {"uncited":[],"omitted":[],"custom":[]} CSL_BIBLIOGRAPHY </w:instrText>
      </w:r>
      <w:r w:rsidRPr="00092331">
        <w:fldChar w:fldCharType="separate"/>
      </w:r>
      <w:r w:rsidR="00215A11" w:rsidRPr="00215A11">
        <w:rPr>
          <w:rFonts w:ascii="Calibri" w:hAnsi="Calibri"/>
        </w:rPr>
        <w:t xml:space="preserve">1. </w:t>
      </w:r>
      <w:r w:rsidR="00215A11" w:rsidRPr="00215A11">
        <w:rPr>
          <w:rFonts w:ascii="Calibri" w:hAnsi="Calibri"/>
        </w:rPr>
        <w:tab/>
        <w:t xml:space="preserve">National Bureau of Statistics (NBS), Tanzania, Office of Chief Government Statistician (OCGS), Zanzibar. 2012 Population and Housing Census. Dar Es Salaam, Tanzania: NBS and OCGS; 2013. </w:t>
      </w:r>
    </w:p>
    <w:p w14:paraId="0789DA05" w14:textId="77777777" w:rsidR="00215A11" w:rsidRPr="00215A11" w:rsidRDefault="00215A11" w:rsidP="00215A11">
      <w:pPr>
        <w:pStyle w:val="Bibliography"/>
        <w:rPr>
          <w:rFonts w:ascii="Calibri" w:hAnsi="Calibri"/>
        </w:rPr>
      </w:pPr>
      <w:r w:rsidRPr="00215A11">
        <w:rPr>
          <w:rFonts w:ascii="Calibri" w:hAnsi="Calibri"/>
        </w:rPr>
        <w:t xml:space="preserve">2. </w:t>
      </w:r>
      <w:r w:rsidRPr="00215A11">
        <w:rPr>
          <w:rFonts w:ascii="Calibri" w:hAnsi="Calibri"/>
        </w:rPr>
        <w:tab/>
        <w:t>Grover-Kopec EK, Blumenthal MB, Ceccato P, Dinku T, Omumbo JA, Connor SJ. Web-based climate information resources for malaria control in Africa. Malar J. 2006;5: 38. doi:10.1186/1475-2875-5-38</w:t>
      </w:r>
    </w:p>
    <w:p w14:paraId="4E7DA405" w14:textId="77777777" w:rsidR="00215A11" w:rsidRPr="00215A11" w:rsidRDefault="00215A11" w:rsidP="00215A11">
      <w:pPr>
        <w:pStyle w:val="Bibliography"/>
        <w:rPr>
          <w:rFonts w:ascii="Calibri" w:hAnsi="Calibri"/>
        </w:rPr>
      </w:pPr>
      <w:r w:rsidRPr="00215A11">
        <w:rPr>
          <w:rFonts w:ascii="Calibri" w:hAnsi="Calibri"/>
        </w:rPr>
        <w:t xml:space="preserve">3. </w:t>
      </w:r>
      <w:r w:rsidRPr="00215A11">
        <w:rPr>
          <w:rFonts w:ascii="Calibri" w:hAnsi="Calibri"/>
        </w:rPr>
        <w:tab/>
        <w:t>Ngowo HS, Kaindoa EW, Matthiopoulos J, Ferguson HM, Okumu FO. Variations in household microclimate affect outdoor-biting behaviour of malaria vectors. Wellcome Open Res. 2017;2: 102. doi:10.12688/wellcomeopenres.12928.1</w:t>
      </w:r>
    </w:p>
    <w:p w14:paraId="450A221E" w14:textId="77777777" w:rsidR="00215A11" w:rsidRPr="00215A11" w:rsidRDefault="00215A11" w:rsidP="00215A11">
      <w:pPr>
        <w:pStyle w:val="Bibliography"/>
        <w:rPr>
          <w:rFonts w:ascii="Calibri" w:hAnsi="Calibri"/>
        </w:rPr>
      </w:pPr>
      <w:r w:rsidRPr="00215A11">
        <w:rPr>
          <w:rFonts w:ascii="Calibri" w:hAnsi="Calibri"/>
        </w:rPr>
        <w:t xml:space="preserve">4. </w:t>
      </w:r>
      <w:r w:rsidRPr="00215A11">
        <w:rPr>
          <w:rFonts w:ascii="Calibri" w:hAnsi="Calibri"/>
        </w:rPr>
        <w:tab/>
        <w:t xml:space="preserve">Kisinza W, Nkya T, Msangi S, Mbilu T, Batengana B, Lyimo E, et al. Detection and Monitoring of Insecticide Resistance in Malaria Vectors in Tanzania Mainland. Dar es Salaam, Tanzania: National Institute for Medical Research; 2015. </w:t>
      </w:r>
    </w:p>
    <w:p w14:paraId="30CBAB9F" w14:textId="77777777" w:rsidR="00215A11" w:rsidRPr="00215A11" w:rsidRDefault="00215A11" w:rsidP="00215A11">
      <w:pPr>
        <w:pStyle w:val="Bibliography"/>
        <w:rPr>
          <w:rFonts w:ascii="Calibri" w:hAnsi="Calibri"/>
        </w:rPr>
      </w:pPr>
      <w:r w:rsidRPr="00215A11">
        <w:rPr>
          <w:rFonts w:ascii="Calibri" w:hAnsi="Calibri"/>
        </w:rPr>
        <w:t xml:space="preserve">5. </w:t>
      </w:r>
      <w:r w:rsidRPr="00215A11">
        <w:rPr>
          <w:rFonts w:ascii="Calibri" w:hAnsi="Calibri"/>
        </w:rPr>
        <w:tab/>
        <w:t xml:space="preserve">Kisinza W, Tungu P, Nkya T, Malima R, Zawadi M, Msangi S, et al. Detection and Monitoring of Insecticide Resistance to Malaria Vectors in Tanzania Mainland. Dar es Salaam, Tanzania: National Institute for Medical Research; 2014. </w:t>
      </w:r>
    </w:p>
    <w:p w14:paraId="1083BA9F" w14:textId="77777777" w:rsidR="00215A11" w:rsidRPr="00215A11" w:rsidRDefault="00215A11" w:rsidP="00215A11">
      <w:pPr>
        <w:pStyle w:val="Bibliography"/>
        <w:rPr>
          <w:rFonts w:ascii="Calibri" w:hAnsi="Calibri"/>
        </w:rPr>
      </w:pPr>
      <w:r w:rsidRPr="00215A11">
        <w:rPr>
          <w:rFonts w:ascii="Calibri" w:hAnsi="Calibri"/>
        </w:rPr>
        <w:t xml:space="preserve">6. </w:t>
      </w:r>
      <w:r w:rsidRPr="00215A11">
        <w:rPr>
          <w:rFonts w:ascii="Calibri" w:hAnsi="Calibri"/>
        </w:rPr>
        <w:tab/>
        <w:t>Africa IRS (AIRS) Project, PMI. Tanzania end of spray report spray campaign: February 3 – April 4, 2016. Bethesda, MD: Abt Associates Inc; 2016. Available: https://www.pmi.gov/docs/default-source/default-document-library/implementing-partner-reports/tanzania-end-of-spray-report-2016-airs.pdf</w:t>
      </w:r>
    </w:p>
    <w:p w14:paraId="289B20A8" w14:textId="77777777" w:rsidR="00215A11" w:rsidRPr="00215A11" w:rsidRDefault="00215A11" w:rsidP="00215A11">
      <w:pPr>
        <w:pStyle w:val="Bibliography"/>
        <w:rPr>
          <w:rFonts w:ascii="Calibri" w:hAnsi="Calibri"/>
        </w:rPr>
      </w:pPr>
      <w:r w:rsidRPr="00215A11">
        <w:rPr>
          <w:rFonts w:ascii="Calibri" w:hAnsi="Calibri"/>
        </w:rPr>
        <w:t xml:space="preserve">7. </w:t>
      </w:r>
      <w:r w:rsidRPr="00215A11">
        <w:rPr>
          <w:rFonts w:ascii="Calibri" w:hAnsi="Calibri"/>
        </w:rPr>
        <w:tab/>
        <w:t>Koenker HM, Yukich JO, Mkindi A, Mandike R, Brown N, Kilian A, et al. Analysing and recommending options for maintaining universal coverage with long-lasting insecticidal nets: the case of Tanzania in 2011. Malar J. 2013;12: 150. doi:10.1186/1475-2875-12-150</w:t>
      </w:r>
    </w:p>
    <w:p w14:paraId="62409E07" w14:textId="77777777" w:rsidR="00215A11" w:rsidRPr="00215A11" w:rsidRDefault="00215A11" w:rsidP="00215A11">
      <w:pPr>
        <w:pStyle w:val="Bibliography"/>
        <w:rPr>
          <w:rFonts w:ascii="Calibri" w:hAnsi="Calibri"/>
        </w:rPr>
      </w:pPr>
      <w:r w:rsidRPr="00215A11">
        <w:rPr>
          <w:rFonts w:ascii="Calibri" w:hAnsi="Calibri"/>
        </w:rPr>
        <w:t xml:space="preserve">8. </w:t>
      </w:r>
      <w:r w:rsidRPr="00215A11">
        <w:rPr>
          <w:rFonts w:ascii="Calibri" w:hAnsi="Calibri"/>
        </w:rPr>
        <w:tab/>
        <w:t>Briët OJ, Hardy D, Smith TA. Importance of factors determining the effective lifetime of a mass, long-lasting, insecticidal net distribution: a sensitivity analysis. Malar J. 2012;11: 20. doi:10.1186/1475-2875-11-20</w:t>
      </w:r>
    </w:p>
    <w:p w14:paraId="63FB59F1" w14:textId="77777777" w:rsidR="00215A11" w:rsidRPr="00215A11" w:rsidRDefault="00215A11" w:rsidP="00215A11">
      <w:pPr>
        <w:pStyle w:val="Bibliography"/>
        <w:rPr>
          <w:rFonts w:ascii="Calibri" w:hAnsi="Calibri"/>
        </w:rPr>
      </w:pPr>
      <w:r w:rsidRPr="00215A11">
        <w:rPr>
          <w:rFonts w:ascii="Calibri" w:hAnsi="Calibri"/>
        </w:rPr>
        <w:t xml:space="preserve">9. </w:t>
      </w:r>
      <w:r w:rsidRPr="00215A11">
        <w:rPr>
          <w:rFonts w:ascii="Calibri" w:hAnsi="Calibri"/>
        </w:rPr>
        <w:tab/>
        <w:t xml:space="preserve">TACAIDS, Zanzibar AIDS Commission (ZAC), National Bureau of Statistics (NBS) [Tanzania], MEASURE DHS, Macro International Inc. Tanzania HIV/AIDS and Malaria Indicator Survey 2007-08. Dar Es Salaam,Tanzania: Tanzania Commission for AIDS (TACAIDS); 2008. </w:t>
      </w:r>
    </w:p>
    <w:p w14:paraId="3CB665DE" w14:textId="77777777" w:rsidR="00215A11" w:rsidRPr="00215A11" w:rsidRDefault="00215A11" w:rsidP="00215A11">
      <w:pPr>
        <w:pStyle w:val="Bibliography"/>
        <w:rPr>
          <w:rFonts w:ascii="Calibri" w:hAnsi="Calibri"/>
          <w:lang w:val="fr-CH"/>
        </w:rPr>
      </w:pPr>
      <w:r w:rsidRPr="00215A11">
        <w:rPr>
          <w:rFonts w:ascii="Calibri" w:hAnsi="Calibri"/>
        </w:rPr>
        <w:t xml:space="preserve">10. </w:t>
      </w:r>
      <w:r w:rsidRPr="00215A11">
        <w:rPr>
          <w:rFonts w:ascii="Calibri" w:hAnsi="Calibri"/>
        </w:rPr>
        <w:tab/>
        <w:t xml:space="preserve">NBS/Tanzania NB of S-, Macro ICF. Tanzania Demographic and Health Survey 2010. </w:t>
      </w:r>
      <w:r w:rsidRPr="00215A11">
        <w:rPr>
          <w:rFonts w:ascii="Calibri" w:hAnsi="Calibri"/>
          <w:lang w:val="fr-CH"/>
        </w:rPr>
        <w:t>2011. Available: http://dhsprogram.com/publications/publication-FR243-DHS-Final-Reports.cfm</w:t>
      </w:r>
    </w:p>
    <w:p w14:paraId="3C6EBE08" w14:textId="77777777" w:rsidR="00215A11" w:rsidRPr="00215A11" w:rsidRDefault="00215A11" w:rsidP="00215A11">
      <w:pPr>
        <w:pStyle w:val="Bibliography"/>
        <w:rPr>
          <w:rFonts w:ascii="Calibri" w:hAnsi="Calibri"/>
        </w:rPr>
      </w:pPr>
      <w:r w:rsidRPr="00215A11">
        <w:rPr>
          <w:rFonts w:ascii="Calibri" w:hAnsi="Calibri"/>
        </w:rPr>
        <w:t xml:space="preserve">11. </w:t>
      </w:r>
      <w:r w:rsidRPr="00215A11">
        <w:rPr>
          <w:rFonts w:ascii="Calibri" w:hAnsi="Calibri"/>
        </w:rPr>
        <w:tab/>
        <w:t xml:space="preserve">TACAIDS, Zanzibar AIDS Commission (ZAC), National Bureau of Statistics (NBS) [Tanzania], Office of the Chief Government Statistician (OCGS), ICF International 2013. Tanzania HIV/AIDS and Malaria Indicator Survey 2011-12. Dar Es Salaam, Tanzania: TACAIDS, ZAC,  NBS, OCGS, and ICF International; 2013. </w:t>
      </w:r>
    </w:p>
    <w:p w14:paraId="7F7CFE36" w14:textId="77777777" w:rsidR="00215A11" w:rsidRPr="00215A11" w:rsidRDefault="00215A11" w:rsidP="00215A11">
      <w:pPr>
        <w:pStyle w:val="Bibliography"/>
        <w:rPr>
          <w:rFonts w:ascii="Calibri" w:hAnsi="Calibri"/>
        </w:rPr>
      </w:pPr>
      <w:r w:rsidRPr="00215A11">
        <w:rPr>
          <w:rFonts w:ascii="Calibri" w:hAnsi="Calibri"/>
        </w:rPr>
        <w:t xml:space="preserve">12. </w:t>
      </w:r>
      <w:r w:rsidRPr="00215A11">
        <w:rPr>
          <w:rFonts w:ascii="Calibri" w:hAnsi="Calibri"/>
        </w:rPr>
        <w:tab/>
        <w:t xml:space="preserve">MoHCDGEC, Ministry of Health (MoH) (Zanzibar), National Bureau of Statistics (NBS) [Tanzania], Office of Chief Government Statistician (OCGS), ICF International. Tanzania Demographic and </w:t>
      </w:r>
      <w:r w:rsidRPr="00215A11">
        <w:rPr>
          <w:rFonts w:ascii="Calibri" w:hAnsi="Calibri"/>
        </w:rPr>
        <w:lastRenderedPageBreak/>
        <w:t xml:space="preserve">Health Survey and Malaria Indicator Survey (TDHS-MIS) 2015-2016. Dar es Salaam, Tanzania and Rockville, Maryland, USA: MoHSW, MoH, NBS, OCGS, and ICF International; 2016. </w:t>
      </w:r>
    </w:p>
    <w:p w14:paraId="79315E7E" w14:textId="77777777" w:rsidR="00215A11" w:rsidRPr="00215A11" w:rsidRDefault="00215A11" w:rsidP="00215A11">
      <w:pPr>
        <w:pStyle w:val="Bibliography"/>
        <w:rPr>
          <w:rFonts w:ascii="Calibri" w:hAnsi="Calibri"/>
        </w:rPr>
      </w:pPr>
      <w:r w:rsidRPr="00215A11">
        <w:rPr>
          <w:rFonts w:ascii="Calibri" w:hAnsi="Calibri"/>
        </w:rPr>
        <w:t xml:space="preserve">13. </w:t>
      </w:r>
      <w:r w:rsidRPr="00215A11">
        <w:rPr>
          <w:rFonts w:ascii="Calibri" w:hAnsi="Calibri"/>
        </w:rPr>
        <w:tab/>
        <w:t>Bhatt S, Weiss DJ, Mappin B, Dalrymple U, Cameron E, Bisanzio D, et al. Coverage and system efficiencies of insecticide-treated nets in Africa from 2000 to 2017. eLife. 2015;4: e09672. doi:10.7554/eLife.09672</w:t>
      </w:r>
    </w:p>
    <w:p w14:paraId="7602F1CB" w14:textId="77777777" w:rsidR="00215A11" w:rsidRPr="00215A11" w:rsidRDefault="00215A11" w:rsidP="00215A11">
      <w:pPr>
        <w:pStyle w:val="Bibliography"/>
        <w:rPr>
          <w:rFonts w:ascii="Calibri" w:hAnsi="Calibri"/>
        </w:rPr>
      </w:pPr>
      <w:r w:rsidRPr="00215A11">
        <w:rPr>
          <w:rFonts w:ascii="Calibri" w:hAnsi="Calibri"/>
        </w:rPr>
        <w:t xml:space="preserve">14. </w:t>
      </w:r>
      <w:r w:rsidRPr="00215A11">
        <w:rPr>
          <w:rFonts w:ascii="Calibri" w:hAnsi="Calibri"/>
        </w:rPr>
        <w:tab/>
        <w:t>Chitnis N, Smith T, Schapira A. Parameter Values for Transmission Model. 2010. Available: https://github.com/SwissTPH/openmalaria/wiki/XmlEntoVector</w:t>
      </w:r>
    </w:p>
    <w:p w14:paraId="6A02F9D8" w14:textId="77777777" w:rsidR="00215A11" w:rsidRPr="00215A11" w:rsidRDefault="00215A11" w:rsidP="00215A11">
      <w:pPr>
        <w:pStyle w:val="Bibliography"/>
        <w:rPr>
          <w:rFonts w:ascii="Calibri" w:hAnsi="Calibri"/>
        </w:rPr>
      </w:pPr>
      <w:r w:rsidRPr="00215A11">
        <w:rPr>
          <w:rFonts w:ascii="Calibri" w:hAnsi="Calibri"/>
        </w:rPr>
        <w:t xml:space="preserve">15. </w:t>
      </w:r>
      <w:r w:rsidRPr="00215A11">
        <w:rPr>
          <w:rFonts w:ascii="Calibri" w:hAnsi="Calibri"/>
        </w:rPr>
        <w:tab/>
        <w:t>Chitnis N, Smith T, Steketee R. A mathematical model for the dynamics of malaria in mosquitoes feeding on a heterogeneous host population. J Biol Dyn. 2008;2: 259–285. doi:10.1080/17513750701769857</w:t>
      </w:r>
    </w:p>
    <w:p w14:paraId="0F37D27A" w14:textId="77777777" w:rsidR="00215A11" w:rsidRPr="00215A11" w:rsidRDefault="00215A11" w:rsidP="00215A11">
      <w:pPr>
        <w:pStyle w:val="Bibliography"/>
        <w:rPr>
          <w:rFonts w:ascii="Calibri" w:hAnsi="Calibri"/>
        </w:rPr>
      </w:pPr>
      <w:r w:rsidRPr="00215A11">
        <w:rPr>
          <w:rFonts w:ascii="Calibri" w:hAnsi="Calibri"/>
        </w:rPr>
        <w:t xml:space="preserve">16. </w:t>
      </w:r>
      <w:r w:rsidRPr="00215A11">
        <w:rPr>
          <w:rFonts w:ascii="Calibri" w:hAnsi="Calibri"/>
        </w:rPr>
        <w:tab/>
        <w:t xml:space="preserve">Kabula B, Derua YA, Tungui P, Massue DJ, Sambu E, Stanley G, et al. Malaria entomological profile in Tanzania from 1950 to 2010: a review of mosquito distribution, vectorial capacity and insecticide resistance. Tanzan J Health Res. 2011;13: 319–331. </w:t>
      </w:r>
    </w:p>
    <w:p w14:paraId="6B924139" w14:textId="77777777" w:rsidR="00215A11" w:rsidRPr="00215A11" w:rsidRDefault="00215A11" w:rsidP="00215A11">
      <w:pPr>
        <w:pStyle w:val="Bibliography"/>
        <w:rPr>
          <w:rFonts w:ascii="Calibri" w:hAnsi="Calibri"/>
        </w:rPr>
      </w:pPr>
      <w:r w:rsidRPr="00215A11">
        <w:rPr>
          <w:rFonts w:ascii="Calibri" w:hAnsi="Calibri"/>
        </w:rPr>
        <w:t xml:space="preserve">17. </w:t>
      </w:r>
      <w:r w:rsidRPr="00215A11">
        <w:rPr>
          <w:rFonts w:ascii="Calibri" w:hAnsi="Calibri"/>
        </w:rPr>
        <w:tab/>
        <w:t>Lwetoijera D, Harris C, Kiware S, Dongus S, Devine GJ, McCall PJ, et al. Effective autodissemination of pyriproxyfen to breeding sites by the exophilic malaria vector Anopheles arabiensis in semi-field settings in Tanzania. Malar J. 2014;13: 161. doi:10.1186/1475-2875-13-161</w:t>
      </w:r>
    </w:p>
    <w:p w14:paraId="64DD1CAB" w14:textId="77777777" w:rsidR="00215A11" w:rsidRPr="00215A11" w:rsidRDefault="00215A11" w:rsidP="00215A11">
      <w:pPr>
        <w:pStyle w:val="Bibliography"/>
        <w:rPr>
          <w:rFonts w:ascii="Calibri" w:hAnsi="Calibri"/>
        </w:rPr>
      </w:pPr>
      <w:r w:rsidRPr="00215A11">
        <w:rPr>
          <w:rFonts w:ascii="Calibri" w:hAnsi="Calibri"/>
        </w:rPr>
        <w:t xml:space="preserve">18. </w:t>
      </w:r>
      <w:r w:rsidRPr="00215A11">
        <w:rPr>
          <w:rFonts w:ascii="Calibri" w:hAnsi="Calibri"/>
        </w:rPr>
        <w:tab/>
        <w:t>Kisinza WN, Nkya TE, Kabula B, Overgaard HJ, Massue DJ, Mageni Z, et al. Multiple insecticide resistance in Anopheles gambiae from Tanzania: a major concern for malaria vector control. Malar J. 2017;16: 439. doi:10.1186/s12936-017-2087-2</w:t>
      </w:r>
    </w:p>
    <w:p w14:paraId="11A1BACB" w14:textId="77777777" w:rsidR="00215A11" w:rsidRPr="00215A11" w:rsidRDefault="00215A11" w:rsidP="00215A11">
      <w:pPr>
        <w:pStyle w:val="Bibliography"/>
        <w:rPr>
          <w:rFonts w:ascii="Calibri" w:hAnsi="Calibri"/>
        </w:rPr>
      </w:pPr>
      <w:r w:rsidRPr="00215A11">
        <w:rPr>
          <w:rFonts w:ascii="Calibri" w:hAnsi="Calibri"/>
        </w:rPr>
        <w:t xml:space="preserve">19. </w:t>
      </w:r>
      <w:r w:rsidRPr="00215A11">
        <w:rPr>
          <w:rFonts w:ascii="Calibri" w:hAnsi="Calibri"/>
        </w:rPr>
        <w:tab/>
        <w:t>Kabula B, Tungu P, Matowo J, Kitau J, Mweya C, Emidi B, et al. Susceptibility status of malaria vectors to insecticides commonly used for malaria control in Tanzania. Trop Med Int Health. 2012;17: 742–750. doi:10.1111/j.1365-3156.2012.02986.x</w:t>
      </w:r>
    </w:p>
    <w:p w14:paraId="0487BC17" w14:textId="77777777" w:rsidR="00215A11" w:rsidRPr="00215A11" w:rsidRDefault="00215A11" w:rsidP="00215A11">
      <w:pPr>
        <w:pStyle w:val="Bibliography"/>
        <w:rPr>
          <w:rFonts w:ascii="Calibri" w:hAnsi="Calibri"/>
        </w:rPr>
      </w:pPr>
      <w:r w:rsidRPr="00215A11">
        <w:rPr>
          <w:rFonts w:ascii="Calibri" w:hAnsi="Calibri"/>
        </w:rPr>
        <w:t xml:space="preserve">20. </w:t>
      </w:r>
      <w:r w:rsidRPr="00215A11">
        <w:rPr>
          <w:rFonts w:ascii="Calibri" w:hAnsi="Calibri"/>
        </w:rPr>
        <w:tab/>
        <w:t xml:space="preserve">Mwanziva CE, Kitau J, Tungu PK, Mweya CN, Mkali H, Ndege CM, et al. Transmission intensity and malaria vector population structure in Magugu, Babati District in northern Tanzania. Tanzan J Health Res. 2011;13: 54–61. </w:t>
      </w:r>
    </w:p>
    <w:p w14:paraId="664776A0" w14:textId="77777777" w:rsidR="00215A11" w:rsidRPr="00215A11" w:rsidRDefault="00215A11" w:rsidP="00215A11">
      <w:pPr>
        <w:pStyle w:val="Bibliography"/>
        <w:rPr>
          <w:rFonts w:ascii="Calibri" w:hAnsi="Calibri"/>
        </w:rPr>
      </w:pPr>
      <w:r w:rsidRPr="00215A11">
        <w:rPr>
          <w:rFonts w:ascii="Calibri" w:hAnsi="Calibri"/>
        </w:rPr>
        <w:t xml:space="preserve">21. </w:t>
      </w:r>
      <w:r w:rsidRPr="00215A11">
        <w:rPr>
          <w:rFonts w:ascii="Calibri" w:hAnsi="Calibri"/>
        </w:rPr>
        <w:tab/>
        <w:t>Killeen GF, Smith TA, Ferguson HM, Mshinda H, Abdulla S, Lengeler C, et al. Preventing Childhood Malaria in Africa by Protecting Adults from Mosquitoes with Insecticide-Treated Nets. PLoS Med. 2007;4. doi:10.1371/journal.pmed.0040229</w:t>
      </w:r>
    </w:p>
    <w:p w14:paraId="5E9EC1C6" w14:textId="77777777" w:rsidR="00215A11" w:rsidRPr="00215A11" w:rsidRDefault="00215A11" w:rsidP="00215A11">
      <w:pPr>
        <w:pStyle w:val="Bibliography"/>
        <w:rPr>
          <w:rFonts w:ascii="Calibri" w:hAnsi="Calibri"/>
        </w:rPr>
      </w:pPr>
      <w:r w:rsidRPr="00215A11">
        <w:rPr>
          <w:rFonts w:ascii="Calibri" w:hAnsi="Calibri"/>
        </w:rPr>
        <w:t xml:space="preserve">22. </w:t>
      </w:r>
      <w:r w:rsidRPr="00215A11">
        <w:rPr>
          <w:rFonts w:ascii="Calibri" w:hAnsi="Calibri"/>
        </w:rPr>
        <w:tab/>
        <w:t xml:space="preserve">Charlwood JD, Smith T, Lyimo E, Kitua AY, Masanja H, Booth M, et al. Incidence of Plasmodium falciparum infection in infants in relation to exposure to sporozoite-infected anophelines. Am J Trop Med Hyg. 1998;59: 243–251. </w:t>
      </w:r>
    </w:p>
    <w:p w14:paraId="0B7CA71E" w14:textId="77777777" w:rsidR="00215A11" w:rsidRPr="00215A11" w:rsidRDefault="00215A11" w:rsidP="00215A11">
      <w:pPr>
        <w:pStyle w:val="Bibliography"/>
        <w:rPr>
          <w:rFonts w:ascii="Calibri" w:hAnsi="Calibri"/>
        </w:rPr>
      </w:pPr>
      <w:r w:rsidRPr="00215A11">
        <w:rPr>
          <w:rFonts w:ascii="Calibri" w:hAnsi="Calibri"/>
        </w:rPr>
        <w:t xml:space="preserve">23. </w:t>
      </w:r>
      <w:r w:rsidRPr="00215A11">
        <w:rPr>
          <w:rFonts w:ascii="Calibri" w:hAnsi="Calibri"/>
        </w:rPr>
        <w:tab/>
        <w:t xml:space="preserve">Biro S. Investigations on the Bionomics of Anopheline Vectors in the Ifakara Area (Kilombero District, Tanzania). BSBS, Basler Schnelldr. Schlattmann. 1987. </w:t>
      </w:r>
    </w:p>
    <w:p w14:paraId="4823E9BD" w14:textId="77777777" w:rsidR="00215A11" w:rsidRPr="00215A11" w:rsidRDefault="00215A11" w:rsidP="00215A11">
      <w:pPr>
        <w:pStyle w:val="Bibliography"/>
        <w:rPr>
          <w:rFonts w:ascii="Calibri" w:hAnsi="Calibri"/>
        </w:rPr>
      </w:pPr>
      <w:r w:rsidRPr="00215A11">
        <w:rPr>
          <w:rFonts w:ascii="Calibri" w:hAnsi="Calibri"/>
        </w:rPr>
        <w:t xml:space="preserve">24. </w:t>
      </w:r>
      <w:r w:rsidRPr="00215A11">
        <w:rPr>
          <w:rFonts w:ascii="Calibri" w:hAnsi="Calibri"/>
        </w:rPr>
        <w:tab/>
        <w:t>Kaindoa EW, Matowo NS, Ngowo HS, Mkandawile G, Mmbando A, Finda M, et al. Interventions that effectively target Anopheles funestus mosquitoes could significantly improve control of persistent malaria transmission in south–eastern Tanzania. PLoS ONE. 2017;12. doi:10.1371/journal.pone.0177807</w:t>
      </w:r>
    </w:p>
    <w:p w14:paraId="24CAC836" w14:textId="77777777" w:rsidR="00215A11" w:rsidRPr="00215A11" w:rsidRDefault="00215A11" w:rsidP="00215A11">
      <w:pPr>
        <w:pStyle w:val="Bibliography"/>
        <w:rPr>
          <w:rFonts w:ascii="Calibri" w:hAnsi="Calibri"/>
        </w:rPr>
      </w:pPr>
      <w:r w:rsidRPr="00215A11">
        <w:rPr>
          <w:rFonts w:ascii="Calibri" w:hAnsi="Calibri"/>
        </w:rPr>
        <w:t xml:space="preserve">25. </w:t>
      </w:r>
      <w:r w:rsidRPr="00215A11">
        <w:rPr>
          <w:rFonts w:ascii="Calibri" w:hAnsi="Calibri"/>
        </w:rPr>
        <w:tab/>
        <w:t>Smith T, Charlwood JD, Kihonda J, Mwankusye S, Billingsley P, Meuwissen J, et al. Absence of seasonal variation in malaria parasitaemia in an area of intense seasonal transmission. Acta Trop. 1993;54: 55–72. doi:10.1016/0001-706X(93)90068-M</w:t>
      </w:r>
    </w:p>
    <w:p w14:paraId="126F7D36" w14:textId="77777777" w:rsidR="00215A11" w:rsidRPr="00215A11" w:rsidRDefault="00215A11" w:rsidP="00215A11">
      <w:pPr>
        <w:pStyle w:val="Bibliography"/>
        <w:rPr>
          <w:rFonts w:ascii="Calibri" w:hAnsi="Calibri"/>
        </w:rPr>
      </w:pPr>
      <w:r w:rsidRPr="00215A11">
        <w:rPr>
          <w:rFonts w:ascii="Calibri" w:hAnsi="Calibri"/>
        </w:rPr>
        <w:lastRenderedPageBreak/>
        <w:t xml:space="preserve">26. </w:t>
      </w:r>
      <w:r w:rsidRPr="00215A11">
        <w:rPr>
          <w:rFonts w:ascii="Calibri" w:hAnsi="Calibri"/>
        </w:rPr>
        <w:tab/>
        <w:t xml:space="preserve">Temu EA, Minjas JN, Coetzee M, Hunt RH, Shift CJ. The role of four anopheline species (Diptera: Culicidae) in malaria transmission in coastal Tanzania. Trans R Soc Trop Med Hyg. 1998;92: 152–158. </w:t>
      </w:r>
    </w:p>
    <w:p w14:paraId="5A233FEE" w14:textId="77777777" w:rsidR="00215A11" w:rsidRPr="00215A11" w:rsidRDefault="00215A11" w:rsidP="00215A11">
      <w:pPr>
        <w:pStyle w:val="Bibliography"/>
        <w:rPr>
          <w:rFonts w:ascii="Calibri" w:hAnsi="Calibri"/>
        </w:rPr>
      </w:pPr>
      <w:r w:rsidRPr="00215A11">
        <w:rPr>
          <w:rFonts w:ascii="Calibri" w:hAnsi="Calibri"/>
        </w:rPr>
        <w:t xml:space="preserve">27. </w:t>
      </w:r>
      <w:r w:rsidRPr="00215A11">
        <w:rPr>
          <w:rFonts w:ascii="Calibri" w:hAnsi="Calibri"/>
        </w:rPr>
        <w:tab/>
        <w:t>Huho B, Briët O, Seyoum A, Sikaala C, Bayoh N, Gimnig J, et al. Consistently high estimates for the proportion of human exposure to malaria vector populations occurring indoors in rural Africa. Int J Epidemiol. 2013; dys214. doi:10.1093/ije/dys214</w:t>
      </w:r>
    </w:p>
    <w:p w14:paraId="155879F6" w14:textId="77777777" w:rsidR="00215A11" w:rsidRPr="00215A11" w:rsidRDefault="00215A11" w:rsidP="00215A11">
      <w:pPr>
        <w:pStyle w:val="Bibliography"/>
        <w:rPr>
          <w:rFonts w:ascii="Calibri" w:hAnsi="Calibri"/>
        </w:rPr>
      </w:pPr>
      <w:r w:rsidRPr="00215A11">
        <w:rPr>
          <w:rFonts w:ascii="Calibri" w:hAnsi="Calibri"/>
        </w:rPr>
        <w:t xml:space="preserve">28. </w:t>
      </w:r>
      <w:r w:rsidRPr="00215A11">
        <w:rPr>
          <w:rFonts w:ascii="Calibri" w:hAnsi="Calibri"/>
        </w:rPr>
        <w:tab/>
        <w:t>Chitnis N, Hardy D, Smith T. A Periodically-Forced Mathematical Model for the Seasonal Dynamics of Malaria in Mosquitoes. Bull Math Biol. 2012;74: 1098–1124. doi:10.1007/s11538-011-9710-0</w:t>
      </w:r>
    </w:p>
    <w:p w14:paraId="7E4B8670" w14:textId="77777777" w:rsidR="00215A11" w:rsidRPr="00215A11" w:rsidRDefault="00215A11" w:rsidP="00215A11">
      <w:pPr>
        <w:pStyle w:val="Bibliography"/>
        <w:rPr>
          <w:rFonts w:ascii="Calibri" w:hAnsi="Calibri"/>
        </w:rPr>
      </w:pPr>
      <w:r w:rsidRPr="00215A11">
        <w:rPr>
          <w:rFonts w:ascii="Calibri" w:hAnsi="Calibri"/>
        </w:rPr>
        <w:t xml:space="preserve">29. </w:t>
      </w:r>
      <w:r w:rsidRPr="00215A11">
        <w:rPr>
          <w:rFonts w:ascii="Calibri" w:hAnsi="Calibri"/>
        </w:rPr>
        <w:tab/>
        <w:t>Lengeler C, Armstrong‐Schellenberg J, D’Alessandro U, Binka F, Cattani J. Relative versus absolute risk of dying reduction after using insecticide-treated nets for malaria control in Africa. Trop Med Int Health. 1998;3: 286–290. doi:10.1046/j.1365-3156.1998.00236.x</w:t>
      </w:r>
    </w:p>
    <w:p w14:paraId="3271801B" w14:textId="77777777" w:rsidR="00215A11" w:rsidRPr="00215A11" w:rsidRDefault="00215A11" w:rsidP="00215A11">
      <w:pPr>
        <w:pStyle w:val="Bibliography"/>
        <w:rPr>
          <w:rFonts w:ascii="Calibri" w:hAnsi="Calibri"/>
        </w:rPr>
      </w:pPr>
      <w:r w:rsidRPr="00215A11">
        <w:rPr>
          <w:rFonts w:ascii="Calibri" w:hAnsi="Calibri"/>
        </w:rPr>
        <w:t xml:space="preserve">30. </w:t>
      </w:r>
      <w:r w:rsidRPr="00215A11">
        <w:rPr>
          <w:rFonts w:ascii="Calibri" w:hAnsi="Calibri"/>
        </w:rPr>
        <w:tab/>
        <w:t xml:space="preserve">Beier JC, Killeen GF, Githure JI. Short report: entomologic inoculation rates and Plasmodium falciparum malaria prevalence in Africa. Am J Trop Med Hyg. 1999;61: 109–113. </w:t>
      </w:r>
    </w:p>
    <w:p w14:paraId="474C6A98" w14:textId="77777777" w:rsidR="00215A11" w:rsidRPr="00215A11" w:rsidRDefault="00215A11" w:rsidP="00215A11">
      <w:pPr>
        <w:pStyle w:val="Bibliography"/>
        <w:rPr>
          <w:rFonts w:ascii="Calibri" w:hAnsi="Calibri"/>
        </w:rPr>
      </w:pPr>
      <w:r w:rsidRPr="00215A11">
        <w:rPr>
          <w:rFonts w:ascii="Calibri" w:hAnsi="Calibri"/>
        </w:rPr>
        <w:t xml:space="preserve">31. </w:t>
      </w:r>
      <w:r w:rsidRPr="00215A11">
        <w:rPr>
          <w:rFonts w:ascii="Calibri" w:hAnsi="Calibri"/>
        </w:rPr>
        <w:tab/>
        <w:t>Penny MA, Maire N, Bever CA, Pemberton-Ross P, Briët OJT, Smith DL, et al. Distribution of malaria exposure in endemic countries in Africa considering country levels of effective treatment. Malar J. 2015;14: 384. doi:10.1186/s12936-015-0864-3</w:t>
      </w:r>
    </w:p>
    <w:p w14:paraId="59A21A71" w14:textId="77777777" w:rsidR="00215A11" w:rsidRPr="00215A11" w:rsidRDefault="00215A11" w:rsidP="00215A11">
      <w:pPr>
        <w:pStyle w:val="Bibliography"/>
        <w:rPr>
          <w:rFonts w:ascii="Calibri" w:hAnsi="Calibri"/>
        </w:rPr>
      </w:pPr>
      <w:r w:rsidRPr="00215A11">
        <w:rPr>
          <w:rFonts w:ascii="Calibri" w:hAnsi="Calibri"/>
        </w:rPr>
        <w:t xml:space="preserve">32. </w:t>
      </w:r>
      <w:r w:rsidRPr="00215A11">
        <w:rPr>
          <w:rFonts w:ascii="Calibri" w:hAnsi="Calibri"/>
        </w:rPr>
        <w:tab/>
        <w:t>Stuckey EM, Smith TA, Chitnis N. Estimating malaria transmission through mathematical models. Trends Parasitol. 2013;29: 477–482. doi:10.1016/j.pt.2013.08.001</w:t>
      </w:r>
    </w:p>
    <w:p w14:paraId="3ADD36FF" w14:textId="77777777" w:rsidR="00215A11" w:rsidRPr="00215A11" w:rsidRDefault="00215A11" w:rsidP="00215A11">
      <w:pPr>
        <w:pStyle w:val="Bibliography"/>
        <w:rPr>
          <w:rFonts w:ascii="Calibri" w:hAnsi="Calibri"/>
        </w:rPr>
      </w:pPr>
      <w:r w:rsidRPr="00215A11">
        <w:rPr>
          <w:rFonts w:ascii="Calibri" w:hAnsi="Calibri"/>
        </w:rPr>
        <w:t xml:space="preserve">33. </w:t>
      </w:r>
      <w:r w:rsidRPr="00215A11">
        <w:rPr>
          <w:rFonts w:ascii="Calibri" w:hAnsi="Calibri"/>
        </w:rPr>
        <w:tab/>
        <w:t>Tanzania Meteorological Agency. Seasonal Climatic Suitability for Malaria Transmission. [cited 9 Mar 2018]. Available: http://maproom.meteo.go.tz/maproom/Health/CSMT/index.html?resolution=.0375</w:t>
      </w:r>
    </w:p>
    <w:p w14:paraId="53939539" w14:textId="77777777" w:rsidR="00215A11" w:rsidRPr="00215A11" w:rsidRDefault="00215A11" w:rsidP="00215A11">
      <w:pPr>
        <w:pStyle w:val="Bibliography"/>
        <w:rPr>
          <w:rFonts w:ascii="Calibri" w:hAnsi="Calibri"/>
        </w:rPr>
      </w:pPr>
      <w:r w:rsidRPr="00215A11">
        <w:rPr>
          <w:rFonts w:ascii="Calibri" w:hAnsi="Calibri"/>
        </w:rPr>
        <w:t xml:space="preserve">34. </w:t>
      </w:r>
      <w:r w:rsidRPr="00215A11">
        <w:rPr>
          <w:rFonts w:ascii="Calibri" w:hAnsi="Calibri"/>
        </w:rPr>
        <w:tab/>
        <w:t xml:space="preserve">Ministry of Health, Community Development, Gender, Elderly and Children (MoHCDGEC), Ministry of Health (MoH) (Zanzibar), National Bureau of Statistics (NBS) [Tanzania], Office of Chief Government Statistician (OCGS), ICF International. Tanzania Demographic and Health Survey and Malaria Indicator Survey (TDHS-MIS) 2015-2016. Dar es Salaam, Tanzania and Rockville, Maryland, USA: MoHSW, MoH, NBS, OCGS, and ICF International; 2016. </w:t>
      </w:r>
    </w:p>
    <w:p w14:paraId="5FD09B93" w14:textId="77777777" w:rsidR="00215A11" w:rsidRPr="00215A11" w:rsidRDefault="00215A11" w:rsidP="00215A11">
      <w:pPr>
        <w:pStyle w:val="Bibliography"/>
        <w:rPr>
          <w:rFonts w:ascii="Calibri" w:hAnsi="Calibri"/>
        </w:rPr>
      </w:pPr>
      <w:r w:rsidRPr="00215A11">
        <w:rPr>
          <w:rFonts w:ascii="Calibri" w:hAnsi="Calibri"/>
        </w:rPr>
        <w:t xml:space="preserve">35. </w:t>
      </w:r>
      <w:r w:rsidRPr="00215A11">
        <w:rPr>
          <w:rFonts w:ascii="Calibri" w:hAnsi="Calibri"/>
        </w:rPr>
        <w:tab/>
        <w:t>Galactionova K, Tediosi F, Savigny D de, Smith T, Tanner M. Effective Coverage and Systems Effectiveness for Malaria Case Management in Sub-Saharan African Countries. PLOS ONE. 2015;10: e0127818. doi:10.1371/journal.pone.0127818</w:t>
      </w:r>
    </w:p>
    <w:p w14:paraId="60ED3782" w14:textId="77777777" w:rsidR="00215A11" w:rsidRPr="00215A11" w:rsidRDefault="00215A11" w:rsidP="00215A11">
      <w:pPr>
        <w:pStyle w:val="Bibliography"/>
        <w:rPr>
          <w:rFonts w:ascii="Calibri" w:hAnsi="Calibri"/>
        </w:rPr>
      </w:pPr>
      <w:r w:rsidRPr="00215A11">
        <w:rPr>
          <w:rFonts w:ascii="Calibri" w:hAnsi="Calibri"/>
        </w:rPr>
        <w:t xml:space="preserve">36. </w:t>
      </w:r>
      <w:r w:rsidRPr="00215A11">
        <w:rPr>
          <w:rFonts w:ascii="Calibri" w:hAnsi="Calibri"/>
        </w:rPr>
        <w:tab/>
        <w:t>Kilian A, Byamukama W, Pigeon O, Atieli F, Duchon S, Phan C. Long-term field performance of a polyester-based long-lasting insecticidal mosquito net in rural Uganda. Malar J. 2008;7: 49. doi:10.1186/1475-2875-7-49</w:t>
      </w:r>
    </w:p>
    <w:p w14:paraId="07775FA8" w14:textId="77777777" w:rsidR="00215A11" w:rsidRPr="00215A11" w:rsidRDefault="00215A11" w:rsidP="00215A11">
      <w:pPr>
        <w:pStyle w:val="Bibliography"/>
        <w:rPr>
          <w:rFonts w:ascii="Calibri" w:hAnsi="Calibri"/>
        </w:rPr>
      </w:pPr>
      <w:r w:rsidRPr="00215A11">
        <w:rPr>
          <w:rFonts w:ascii="Calibri" w:hAnsi="Calibri"/>
        </w:rPr>
        <w:t xml:space="preserve">37. </w:t>
      </w:r>
      <w:r w:rsidRPr="00215A11">
        <w:rPr>
          <w:rFonts w:ascii="Calibri" w:hAnsi="Calibri"/>
        </w:rPr>
        <w:tab/>
        <w:t xml:space="preserve">WHO. Achieving and maintaining universal coverage with long-lasting insecticidal nets for malaria control. World Health Organization; 2017. </w:t>
      </w:r>
    </w:p>
    <w:p w14:paraId="099D52F4" w14:textId="77777777" w:rsidR="00215A11" w:rsidRPr="00215A11" w:rsidRDefault="00215A11" w:rsidP="00215A11">
      <w:pPr>
        <w:pStyle w:val="Bibliography"/>
        <w:rPr>
          <w:rFonts w:ascii="Calibri" w:hAnsi="Calibri"/>
        </w:rPr>
      </w:pPr>
      <w:r w:rsidRPr="00215A11">
        <w:rPr>
          <w:rFonts w:ascii="Calibri" w:hAnsi="Calibri"/>
        </w:rPr>
        <w:t xml:space="preserve">38. </w:t>
      </w:r>
      <w:r w:rsidRPr="00215A11">
        <w:rPr>
          <w:rFonts w:ascii="Calibri" w:hAnsi="Calibri"/>
        </w:rPr>
        <w:tab/>
        <w:t>Malaria Atlas Project. Malaria Atlas Project. 2016 [cited 18 Aug 2016]. Available: http://www.map.ox.ac.uk</w:t>
      </w:r>
    </w:p>
    <w:p w14:paraId="7384007A" w14:textId="77777777" w:rsidR="00215A11" w:rsidRPr="00215A11" w:rsidRDefault="00215A11" w:rsidP="00215A11">
      <w:pPr>
        <w:pStyle w:val="Bibliography"/>
        <w:rPr>
          <w:rFonts w:ascii="Calibri" w:hAnsi="Calibri"/>
        </w:rPr>
      </w:pPr>
      <w:r w:rsidRPr="00215A11">
        <w:rPr>
          <w:rFonts w:ascii="Calibri" w:hAnsi="Calibri"/>
        </w:rPr>
        <w:t xml:space="preserve">39. </w:t>
      </w:r>
      <w:r w:rsidRPr="00215A11">
        <w:rPr>
          <w:rFonts w:ascii="Calibri" w:hAnsi="Calibri"/>
        </w:rPr>
        <w:tab/>
        <w:t>Tatem AJ. WorldPop, open data for spatial demography. Sci Data. 2017;4: 170004. doi:10.1038/sdata.2017.4</w:t>
      </w:r>
    </w:p>
    <w:p w14:paraId="2A133E1C" w14:textId="77777777" w:rsidR="00215A11" w:rsidRPr="00215A11" w:rsidRDefault="00215A11" w:rsidP="00215A11">
      <w:pPr>
        <w:pStyle w:val="Bibliography"/>
        <w:rPr>
          <w:rFonts w:ascii="Calibri" w:hAnsi="Calibri"/>
        </w:rPr>
      </w:pPr>
      <w:r w:rsidRPr="00215A11">
        <w:rPr>
          <w:rFonts w:ascii="Calibri" w:hAnsi="Calibri"/>
        </w:rPr>
        <w:lastRenderedPageBreak/>
        <w:t xml:space="preserve">40. </w:t>
      </w:r>
      <w:r w:rsidRPr="00215A11">
        <w:rPr>
          <w:rFonts w:ascii="Calibri" w:hAnsi="Calibri"/>
        </w:rPr>
        <w:tab/>
        <w:t>Lalji S, Ngondi JM, Thawer NG, Tembo A, Mandike R, Mohamed A, et al. School Distribution as Keep-Up Strategy to Maintain Universal Coverage of Long-Lasting Insecticidal Nets: Implementation and Results of a Program in Southern Tanzania. Glob Health Sci Pract. 2016;4: 251–263. doi:10.9745/GHSP-D-16-00040</w:t>
      </w:r>
    </w:p>
    <w:p w14:paraId="3F428054" w14:textId="77777777" w:rsidR="00215A11" w:rsidRPr="00215A11" w:rsidRDefault="00215A11" w:rsidP="00215A11">
      <w:pPr>
        <w:pStyle w:val="Bibliography"/>
        <w:rPr>
          <w:rFonts w:ascii="Calibri" w:hAnsi="Calibri"/>
        </w:rPr>
      </w:pPr>
      <w:r w:rsidRPr="00215A11">
        <w:rPr>
          <w:rFonts w:ascii="Calibri" w:hAnsi="Calibri"/>
        </w:rPr>
        <w:t xml:space="preserve">41. </w:t>
      </w:r>
      <w:r w:rsidRPr="00215A11">
        <w:rPr>
          <w:rFonts w:ascii="Calibri" w:hAnsi="Calibri"/>
        </w:rPr>
        <w:tab/>
        <w:t>RTI International. Tanzania Vector Control Scale-up Project: Spray Performance Report. November 2011–May 2012. RTI International; 2012. Available: https://www.pmi.gov/docs/default-source/default-document-library/implementing-partner-reports/tanzania-vector-control-scale-up-project-spray-performance-report-november-2011-may-2012.pdf?sfvrsn=5</w:t>
      </w:r>
    </w:p>
    <w:p w14:paraId="7541ED48" w14:textId="77777777" w:rsidR="00215A11" w:rsidRPr="00215A11" w:rsidRDefault="00215A11" w:rsidP="00215A11">
      <w:pPr>
        <w:pStyle w:val="Bibliography"/>
        <w:rPr>
          <w:rFonts w:ascii="Calibri" w:hAnsi="Calibri"/>
        </w:rPr>
      </w:pPr>
      <w:r w:rsidRPr="00215A11">
        <w:rPr>
          <w:rFonts w:ascii="Calibri" w:hAnsi="Calibri"/>
        </w:rPr>
        <w:t xml:space="preserve">42. </w:t>
      </w:r>
      <w:r w:rsidRPr="00215A11">
        <w:rPr>
          <w:rFonts w:ascii="Calibri" w:hAnsi="Calibri"/>
        </w:rPr>
        <w:tab/>
        <w:t>Pemberton-Ross P, Chitnis N, Pothin E, Smith TA. A stochastic model for the probability of malaria extinction by mass drug administration. Malar J. 2017;16. doi:10.1186/s12936-017-2010-x</w:t>
      </w:r>
    </w:p>
    <w:p w14:paraId="5301DD3A" w14:textId="599C6225" w:rsidR="00F56CFA" w:rsidRPr="00092331" w:rsidRDefault="00F56CFA" w:rsidP="008F0058">
      <w:pPr>
        <w:pStyle w:val="Bibliography"/>
        <w:spacing w:after="200" w:line="276" w:lineRule="auto"/>
      </w:pPr>
      <w:r w:rsidRPr="00092331">
        <w:fldChar w:fldCharType="end"/>
      </w:r>
    </w:p>
    <w:sectPr w:rsidR="00F56CFA" w:rsidRPr="00092331" w:rsidSect="00A24FF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647DE" w14:textId="77777777" w:rsidR="00B90DEF" w:rsidRDefault="00B90DEF" w:rsidP="00731B21">
      <w:pPr>
        <w:spacing w:after="0" w:line="240" w:lineRule="auto"/>
      </w:pPr>
      <w:r>
        <w:separator/>
      </w:r>
    </w:p>
    <w:p w14:paraId="783FE67D" w14:textId="77777777" w:rsidR="00B90DEF" w:rsidRDefault="00B90DEF"/>
    <w:p w14:paraId="467A3741" w14:textId="77777777" w:rsidR="00B90DEF" w:rsidRDefault="00B90DEF"/>
  </w:endnote>
  <w:endnote w:type="continuationSeparator" w:id="0">
    <w:p w14:paraId="67F6AAAC" w14:textId="77777777" w:rsidR="00B90DEF" w:rsidRDefault="00B90DEF" w:rsidP="00731B21">
      <w:pPr>
        <w:spacing w:after="0" w:line="240" w:lineRule="auto"/>
      </w:pPr>
      <w:r>
        <w:continuationSeparator/>
      </w:r>
    </w:p>
    <w:p w14:paraId="7CFE65C4" w14:textId="77777777" w:rsidR="00B90DEF" w:rsidRDefault="00B90DEF"/>
    <w:p w14:paraId="469315E0" w14:textId="77777777" w:rsidR="00B90DEF" w:rsidRDefault="00B90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MR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715815"/>
      <w:docPartObj>
        <w:docPartGallery w:val="Page Numbers (Bottom of Page)"/>
        <w:docPartUnique/>
      </w:docPartObj>
    </w:sdtPr>
    <w:sdtEndPr>
      <w:rPr>
        <w:noProof/>
      </w:rPr>
    </w:sdtEndPr>
    <w:sdtContent>
      <w:p w14:paraId="140B532F" w14:textId="1D5ABC95" w:rsidR="00C24AEF" w:rsidRDefault="00C24AEF">
        <w:pPr>
          <w:pStyle w:val="Footer"/>
          <w:jc w:val="right"/>
        </w:pPr>
        <w:r>
          <w:fldChar w:fldCharType="begin"/>
        </w:r>
        <w:r>
          <w:instrText xml:space="preserve"> PAGE   \* MERGEFORMAT </w:instrText>
        </w:r>
        <w:r>
          <w:fldChar w:fldCharType="separate"/>
        </w:r>
        <w:r w:rsidR="002C3C43">
          <w:rPr>
            <w:noProof/>
          </w:rPr>
          <w:t>19</w:t>
        </w:r>
        <w:r>
          <w:rPr>
            <w:noProof/>
          </w:rPr>
          <w:fldChar w:fldCharType="end"/>
        </w:r>
      </w:p>
    </w:sdtContent>
  </w:sdt>
  <w:p w14:paraId="1182FE0E" w14:textId="77777777" w:rsidR="00C24AEF" w:rsidRDefault="00C24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FD57D" w14:textId="77777777" w:rsidR="00B90DEF" w:rsidRDefault="00B90DEF" w:rsidP="00731B21">
      <w:pPr>
        <w:spacing w:after="0" w:line="240" w:lineRule="auto"/>
      </w:pPr>
      <w:r>
        <w:separator/>
      </w:r>
    </w:p>
    <w:p w14:paraId="645DE397" w14:textId="77777777" w:rsidR="00B90DEF" w:rsidRDefault="00B90DEF"/>
    <w:p w14:paraId="00F10721" w14:textId="77777777" w:rsidR="00B90DEF" w:rsidRDefault="00B90DEF"/>
  </w:footnote>
  <w:footnote w:type="continuationSeparator" w:id="0">
    <w:p w14:paraId="75EB085C" w14:textId="77777777" w:rsidR="00B90DEF" w:rsidRDefault="00B90DEF" w:rsidP="00731B21">
      <w:pPr>
        <w:spacing w:after="0" w:line="240" w:lineRule="auto"/>
      </w:pPr>
      <w:r>
        <w:continuationSeparator/>
      </w:r>
    </w:p>
    <w:p w14:paraId="54ACA988" w14:textId="77777777" w:rsidR="00B90DEF" w:rsidRDefault="00B90DEF"/>
    <w:p w14:paraId="7EF0A6D6" w14:textId="77777777" w:rsidR="00B90DEF" w:rsidRDefault="00B90D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90B29"/>
    <w:multiLevelType w:val="hybridMultilevel"/>
    <w:tmpl w:val="3872E46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BAF24E5"/>
    <w:multiLevelType w:val="hybridMultilevel"/>
    <w:tmpl w:val="DF0A07D0"/>
    <w:lvl w:ilvl="0" w:tplc="FF1EEA86">
      <w:start w:val="5"/>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B2444C7"/>
    <w:multiLevelType w:val="multilevel"/>
    <w:tmpl w:val="97948C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7D81D23"/>
    <w:multiLevelType w:val="multilevel"/>
    <w:tmpl w:val="AF9445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85D0348"/>
    <w:multiLevelType w:val="hybridMultilevel"/>
    <w:tmpl w:val="19A08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6B1E9D"/>
    <w:multiLevelType w:val="hybridMultilevel"/>
    <w:tmpl w:val="DFCC3B62"/>
    <w:lvl w:ilvl="0" w:tplc="58681534">
      <w:start w:val="1"/>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zMzIyMTIwMzE3NbFQ0lEKTi0uzszPAykwMagFAKWtVy0tAAAA"/>
  </w:docVars>
  <w:rsids>
    <w:rsidRoot w:val="001E7311"/>
    <w:rsid w:val="00006056"/>
    <w:rsid w:val="000137A5"/>
    <w:rsid w:val="00014C57"/>
    <w:rsid w:val="000251CE"/>
    <w:rsid w:val="00026E32"/>
    <w:rsid w:val="0002749D"/>
    <w:rsid w:val="000344C9"/>
    <w:rsid w:val="0004194B"/>
    <w:rsid w:val="00042DCE"/>
    <w:rsid w:val="000454D6"/>
    <w:rsid w:val="00046237"/>
    <w:rsid w:val="00050AED"/>
    <w:rsid w:val="000738E1"/>
    <w:rsid w:val="000776DF"/>
    <w:rsid w:val="000807CD"/>
    <w:rsid w:val="000818CD"/>
    <w:rsid w:val="00082071"/>
    <w:rsid w:val="00091B60"/>
    <w:rsid w:val="00092331"/>
    <w:rsid w:val="00094984"/>
    <w:rsid w:val="00096916"/>
    <w:rsid w:val="00097E58"/>
    <w:rsid w:val="000A0E7D"/>
    <w:rsid w:val="000A2950"/>
    <w:rsid w:val="000A50D0"/>
    <w:rsid w:val="000A7E05"/>
    <w:rsid w:val="000B1CA4"/>
    <w:rsid w:val="000B28A0"/>
    <w:rsid w:val="000B3E82"/>
    <w:rsid w:val="000B4839"/>
    <w:rsid w:val="000C234B"/>
    <w:rsid w:val="000C4780"/>
    <w:rsid w:val="000C5839"/>
    <w:rsid w:val="000C62C7"/>
    <w:rsid w:val="000D011F"/>
    <w:rsid w:val="000D04AC"/>
    <w:rsid w:val="000D22EF"/>
    <w:rsid w:val="000D7092"/>
    <w:rsid w:val="000E744D"/>
    <w:rsid w:val="000F5A9A"/>
    <w:rsid w:val="000F6C9F"/>
    <w:rsid w:val="001026FB"/>
    <w:rsid w:val="00103F12"/>
    <w:rsid w:val="00105807"/>
    <w:rsid w:val="00117F1A"/>
    <w:rsid w:val="00120501"/>
    <w:rsid w:val="001248C9"/>
    <w:rsid w:val="00125815"/>
    <w:rsid w:val="0013714A"/>
    <w:rsid w:val="00141719"/>
    <w:rsid w:val="00141D93"/>
    <w:rsid w:val="00142E9A"/>
    <w:rsid w:val="00147323"/>
    <w:rsid w:val="001473C5"/>
    <w:rsid w:val="00157D27"/>
    <w:rsid w:val="00163B63"/>
    <w:rsid w:val="001714BD"/>
    <w:rsid w:val="001727AD"/>
    <w:rsid w:val="00175777"/>
    <w:rsid w:val="00176E49"/>
    <w:rsid w:val="001773CE"/>
    <w:rsid w:val="00177A87"/>
    <w:rsid w:val="0018184E"/>
    <w:rsid w:val="001835FB"/>
    <w:rsid w:val="00183B48"/>
    <w:rsid w:val="001847E6"/>
    <w:rsid w:val="0018628A"/>
    <w:rsid w:val="00191A6C"/>
    <w:rsid w:val="001922DD"/>
    <w:rsid w:val="00194713"/>
    <w:rsid w:val="00196F98"/>
    <w:rsid w:val="00197D06"/>
    <w:rsid w:val="001B2098"/>
    <w:rsid w:val="001C4413"/>
    <w:rsid w:val="001D1269"/>
    <w:rsid w:val="001D24E7"/>
    <w:rsid w:val="001E2BA3"/>
    <w:rsid w:val="001E7311"/>
    <w:rsid w:val="001F7549"/>
    <w:rsid w:val="001F790B"/>
    <w:rsid w:val="002017B4"/>
    <w:rsid w:val="00202AA2"/>
    <w:rsid w:val="00211D0C"/>
    <w:rsid w:val="00211D43"/>
    <w:rsid w:val="0021370A"/>
    <w:rsid w:val="0021539B"/>
    <w:rsid w:val="00215A11"/>
    <w:rsid w:val="002171C1"/>
    <w:rsid w:val="00217411"/>
    <w:rsid w:val="00220602"/>
    <w:rsid w:val="00222217"/>
    <w:rsid w:val="002277E9"/>
    <w:rsid w:val="002305AE"/>
    <w:rsid w:val="00231E16"/>
    <w:rsid w:val="00232F4D"/>
    <w:rsid w:val="0024264A"/>
    <w:rsid w:val="00244EB8"/>
    <w:rsid w:val="00253097"/>
    <w:rsid w:val="00254E91"/>
    <w:rsid w:val="002564E3"/>
    <w:rsid w:val="00264733"/>
    <w:rsid w:val="0026642C"/>
    <w:rsid w:val="0026780E"/>
    <w:rsid w:val="00270704"/>
    <w:rsid w:val="0027290B"/>
    <w:rsid w:val="00286878"/>
    <w:rsid w:val="00290308"/>
    <w:rsid w:val="002955ED"/>
    <w:rsid w:val="00296406"/>
    <w:rsid w:val="002A153F"/>
    <w:rsid w:val="002A2D05"/>
    <w:rsid w:val="002A5382"/>
    <w:rsid w:val="002A5E29"/>
    <w:rsid w:val="002B541E"/>
    <w:rsid w:val="002C0982"/>
    <w:rsid w:val="002C26A2"/>
    <w:rsid w:val="002C2B28"/>
    <w:rsid w:val="002C3770"/>
    <w:rsid w:val="002C3C43"/>
    <w:rsid w:val="002C3C68"/>
    <w:rsid w:val="002C506D"/>
    <w:rsid w:val="002D1173"/>
    <w:rsid w:val="002D1B20"/>
    <w:rsid w:val="002D4C3E"/>
    <w:rsid w:val="002D4E1E"/>
    <w:rsid w:val="002D7598"/>
    <w:rsid w:val="002E1069"/>
    <w:rsid w:val="002E389B"/>
    <w:rsid w:val="002E3DE8"/>
    <w:rsid w:val="002E4329"/>
    <w:rsid w:val="002E46AD"/>
    <w:rsid w:val="002E5988"/>
    <w:rsid w:val="002E5A66"/>
    <w:rsid w:val="002F6E91"/>
    <w:rsid w:val="0030584F"/>
    <w:rsid w:val="00305FB7"/>
    <w:rsid w:val="00311224"/>
    <w:rsid w:val="00320DAF"/>
    <w:rsid w:val="003236F5"/>
    <w:rsid w:val="003267AF"/>
    <w:rsid w:val="00333BD6"/>
    <w:rsid w:val="00336E42"/>
    <w:rsid w:val="0033740A"/>
    <w:rsid w:val="0034399F"/>
    <w:rsid w:val="00346783"/>
    <w:rsid w:val="00354630"/>
    <w:rsid w:val="0035525B"/>
    <w:rsid w:val="00360261"/>
    <w:rsid w:val="00363A1D"/>
    <w:rsid w:val="00364E2E"/>
    <w:rsid w:val="00366DA2"/>
    <w:rsid w:val="00373891"/>
    <w:rsid w:val="0037789F"/>
    <w:rsid w:val="00377A1B"/>
    <w:rsid w:val="00380545"/>
    <w:rsid w:val="0038088E"/>
    <w:rsid w:val="003840B0"/>
    <w:rsid w:val="00387358"/>
    <w:rsid w:val="00393804"/>
    <w:rsid w:val="00393F9A"/>
    <w:rsid w:val="003958CE"/>
    <w:rsid w:val="00396DDA"/>
    <w:rsid w:val="003A0A48"/>
    <w:rsid w:val="003A1D5D"/>
    <w:rsid w:val="003A2A3D"/>
    <w:rsid w:val="003A4E1C"/>
    <w:rsid w:val="003A65A2"/>
    <w:rsid w:val="003B03CB"/>
    <w:rsid w:val="003B4AA5"/>
    <w:rsid w:val="003B5AD4"/>
    <w:rsid w:val="003C1B30"/>
    <w:rsid w:val="003C269A"/>
    <w:rsid w:val="003C480F"/>
    <w:rsid w:val="003C5DB4"/>
    <w:rsid w:val="003D0DC5"/>
    <w:rsid w:val="003D253B"/>
    <w:rsid w:val="003D30F5"/>
    <w:rsid w:val="003D6AD6"/>
    <w:rsid w:val="003D79DA"/>
    <w:rsid w:val="003E552C"/>
    <w:rsid w:val="003E69EF"/>
    <w:rsid w:val="003F24E0"/>
    <w:rsid w:val="003F375B"/>
    <w:rsid w:val="003F3A29"/>
    <w:rsid w:val="003F5DF8"/>
    <w:rsid w:val="004019CA"/>
    <w:rsid w:val="00410456"/>
    <w:rsid w:val="0042528A"/>
    <w:rsid w:val="00425AA6"/>
    <w:rsid w:val="00426366"/>
    <w:rsid w:val="00431367"/>
    <w:rsid w:val="00432B5D"/>
    <w:rsid w:val="004330A8"/>
    <w:rsid w:val="00433121"/>
    <w:rsid w:val="00434C40"/>
    <w:rsid w:val="00437DE0"/>
    <w:rsid w:val="00441CC0"/>
    <w:rsid w:val="0044314B"/>
    <w:rsid w:val="0045395E"/>
    <w:rsid w:val="004539C1"/>
    <w:rsid w:val="004577E8"/>
    <w:rsid w:val="00462B81"/>
    <w:rsid w:val="00464577"/>
    <w:rsid w:val="0046663E"/>
    <w:rsid w:val="004759EB"/>
    <w:rsid w:val="00481449"/>
    <w:rsid w:val="00484017"/>
    <w:rsid w:val="004910D5"/>
    <w:rsid w:val="00494004"/>
    <w:rsid w:val="00494118"/>
    <w:rsid w:val="00494FFC"/>
    <w:rsid w:val="004A469B"/>
    <w:rsid w:val="004A59DA"/>
    <w:rsid w:val="004A64DD"/>
    <w:rsid w:val="004B6D67"/>
    <w:rsid w:val="004C469B"/>
    <w:rsid w:val="004D3D95"/>
    <w:rsid w:val="004D4A81"/>
    <w:rsid w:val="004E292F"/>
    <w:rsid w:val="004E366B"/>
    <w:rsid w:val="004E4070"/>
    <w:rsid w:val="004F6D8F"/>
    <w:rsid w:val="00503CA2"/>
    <w:rsid w:val="005048EF"/>
    <w:rsid w:val="00506E00"/>
    <w:rsid w:val="00507CEF"/>
    <w:rsid w:val="005124B5"/>
    <w:rsid w:val="0051487D"/>
    <w:rsid w:val="00514F31"/>
    <w:rsid w:val="00516C57"/>
    <w:rsid w:val="00520430"/>
    <w:rsid w:val="00521150"/>
    <w:rsid w:val="00523A89"/>
    <w:rsid w:val="00525CA3"/>
    <w:rsid w:val="00530690"/>
    <w:rsid w:val="00531B08"/>
    <w:rsid w:val="00531D90"/>
    <w:rsid w:val="005330BA"/>
    <w:rsid w:val="00535872"/>
    <w:rsid w:val="00541680"/>
    <w:rsid w:val="005421EC"/>
    <w:rsid w:val="00543032"/>
    <w:rsid w:val="00550F80"/>
    <w:rsid w:val="00552165"/>
    <w:rsid w:val="00553702"/>
    <w:rsid w:val="005563CE"/>
    <w:rsid w:val="00556EA8"/>
    <w:rsid w:val="005574AD"/>
    <w:rsid w:val="005627FF"/>
    <w:rsid w:val="00563DB4"/>
    <w:rsid w:val="00571E0F"/>
    <w:rsid w:val="00575C3B"/>
    <w:rsid w:val="00580B38"/>
    <w:rsid w:val="00581EC7"/>
    <w:rsid w:val="00583417"/>
    <w:rsid w:val="005900F5"/>
    <w:rsid w:val="00590538"/>
    <w:rsid w:val="0059113D"/>
    <w:rsid w:val="005A0E7D"/>
    <w:rsid w:val="005A2E0B"/>
    <w:rsid w:val="005B11B3"/>
    <w:rsid w:val="005B43AE"/>
    <w:rsid w:val="005B7642"/>
    <w:rsid w:val="005C1D5E"/>
    <w:rsid w:val="005C5D5F"/>
    <w:rsid w:val="005C67C8"/>
    <w:rsid w:val="005D575C"/>
    <w:rsid w:val="005E5A43"/>
    <w:rsid w:val="005E65E4"/>
    <w:rsid w:val="005F614D"/>
    <w:rsid w:val="00605234"/>
    <w:rsid w:val="006078A9"/>
    <w:rsid w:val="006139D6"/>
    <w:rsid w:val="00624208"/>
    <w:rsid w:val="006272C8"/>
    <w:rsid w:val="0062771A"/>
    <w:rsid w:val="0064331D"/>
    <w:rsid w:val="00646657"/>
    <w:rsid w:val="00655B5C"/>
    <w:rsid w:val="00657849"/>
    <w:rsid w:val="006726D9"/>
    <w:rsid w:val="00672F56"/>
    <w:rsid w:val="00673603"/>
    <w:rsid w:val="00674B04"/>
    <w:rsid w:val="00675146"/>
    <w:rsid w:val="00680318"/>
    <w:rsid w:val="00683B1E"/>
    <w:rsid w:val="0068614F"/>
    <w:rsid w:val="00690337"/>
    <w:rsid w:val="006963E5"/>
    <w:rsid w:val="006A4CC8"/>
    <w:rsid w:val="006A4F76"/>
    <w:rsid w:val="006A5591"/>
    <w:rsid w:val="006A6E8D"/>
    <w:rsid w:val="006B0EDF"/>
    <w:rsid w:val="006B7C6D"/>
    <w:rsid w:val="006C511E"/>
    <w:rsid w:val="006D01CC"/>
    <w:rsid w:val="006D5117"/>
    <w:rsid w:val="006D5995"/>
    <w:rsid w:val="006E4118"/>
    <w:rsid w:val="006E4223"/>
    <w:rsid w:val="006F30C8"/>
    <w:rsid w:val="006F7CB2"/>
    <w:rsid w:val="00706E43"/>
    <w:rsid w:val="00711E55"/>
    <w:rsid w:val="007129A5"/>
    <w:rsid w:val="00714ECA"/>
    <w:rsid w:val="00731B21"/>
    <w:rsid w:val="00732F8B"/>
    <w:rsid w:val="00740880"/>
    <w:rsid w:val="00741263"/>
    <w:rsid w:val="0074371A"/>
    <w:rsid w:val="00750F10"/>
    <w:rsid w:val="00757FA0"/>
    <w:rsid w:val="0076338D"/>
    <w:rsid w:val="00772829"/>
    <w:rsid w:val="007749A9"/>
    <w:rsid w:val="00775048"/>
    <w:rsid w:val="00776BB3"/>
    <w:rsid w:val="00784812"/>
    <w:rsid w:val="00791E4B"/>
    <w:rsid w:val="00792DDF"/>
    <w:rsid w:val="00795D19"/>
    <w:rsid w:val="007A1690"/>
    <w:rsid w:val="007A3D5F"/>
    <w:rsid w:val="007A433D"/>
    <w:rsid w:val="007A6ACD"/>
    <w:rsid w:val="007B2811"/>
    <w:rsid w:val="007B2CC4"/>
    <w:rsid w:val="007B2CED"/>
    <w:rsid w:val="007B502B"/>
    <w:rsid w:val="007B5BD9"/>
    <w:rsid w:val="007C655C"/>
    <w:rsid w:val="007D5623"/>
    <w:rsid w:val="007D672A"/>
    <w:rsid w:val="007D76A6"/>
    <w:rsid w:val="007E36D2"/>
    <w:rsid w:val="007E3C57"/>
    <w:rsid w:val="007E54FF"/>
    <w:rsid w:val="007E5F00"/>
    <w:rsid w:val="007F079A"/>
    <w:rsid w:val="007F15C4"/>
    <w:rsid w:val="00800B7C"/>
    <w:rsid w:val="008102BA"/>
    <w:rsid w:val="00810C38"/>
    <w:rsid w:val="00810E50"/>
    <w:rsid w:val="00814376"/>
    <w:rsid w:val="00822B9C"/>
    <w:rsid w:val="008231F5"/>
    <w:rsid w:val="00825585"/>
    <w:rsid w:val="00842E3F"/>
    <w:rsid w:val="00843AF1"/>
    <w:rsid w:val="00846BFA"/>
    <w:rsid w:val="00846C5D"/>
    <w:rsid w:val="0084749F"/>
    <w:rsid w:val="00864120"/>
    <w:rsid w:val="008678BB"/>
    <w:rsid w:val="00870430"/>
    <w:rsid w:val="00871FAE"/>
    <w:rsid w:val="0087383C"/>
    <w:rsid w:val="008766C7"/>
    <w:rsid w:val="0087679F"/>
    <w:rsid w:val="00895D9F"/>
    <w:rsid w:val="008A19A8"/>
    <w:rsid w:val="008A406E"/>
    <w:rsid w:val="008A7103"/>
    <w:rsid w:val="008B7160"/>
    <w:rsid w:val="008C1ECE"/>
    <w:rsid w:val="008C40C5"/>
    <w:rsid w:val="008C56C1"/>
    <w:rsid w:val="008C715A"/>
    <w:rsid w:val="008C77E2"/>
    <w:rsid w:val="008D3347"/>
    <w:rsid w:val="008D38F2"/>
    <w:rsid w:val="008D7B32"/>
    <w:rsid w:val="008E37A5"/>
    <w:rsid w:val="008F0058"/>
    <w:rsid w:val="008F5504"/>
    <w:rsid w:val="008F6579"/>
    <w:rsid w:val="00900C11"/>
    <w:rsid w:val="00904244"/>
    <w:rsid w:val="00906097"/>
    <w:rsid w:val="0090705E"/>
    <w:rsid w:val="00913F32"/>
    <w:rsid w:val="00921932"/>
    <w:rsid w:val="00926200"/>
    <w:rsid w:val="00927FDB"/>
    <w:rsid w:val="00930C3B"/>
    <w:rsid w:val="009353DD"/>
    <w:rsid w:val="00936FC6"/>
    <w:rsid w:val="009425C8"/>
    <w:rsid w:val="00942A97"/>
    <w:rsid w:val="009552E5"/>
    <w:rsid w:val="00957EEE"/>
    <w:rsid w:val="009602C1"/>
    <w:rsid w:val="00963CE2"/>
    <w:rsid w:val="00974066"/>
    <w:rsid w:val="00975E82"/>
    <w:rsid w:val="00984264"/>
    <w:rsid w:val="0098760D"/>
    <w:rsid w:val="00987C18"/>
    <w:rsid w:val="00990A03"/>
    <w:rsid w:val="00991E04"/>
    <w:rsid w:val="009A0644"/>
    <w:rsid w:val="009A3BD5"/>
    <w:rsid w:val="009A5B41"/>
    <w:rsid w:val="009A6A3A"/>
    <w:rsid w:val="009B1DF3"/>
    <w:rsid w:val="009B798A"/>
    <w:rsid w:val="009B7BF5"/>
    <w:rsid w:val="009C0D67"/>
    <w:rsid w:val="009C3D40"/>
    <w:rsid w:val="009C47B0"/>
    <w:rsid w:val="009E475E"/>
    <w:rsid w:val="009E62DA"/>
    <w:rsid w:val="009F0A31"/>
    <w:rsid w:val="009F1C23"/>
    <w:rsid w:val="009F2D63"/>
    <w:rsid w:val="00A066E6"/>
    <w:rsid w:val="00A07A56"/>
    <w:rsid w:val="00A07EC8"/>
    <w:rsid w:val="00A132E0"/>
    <w:rsid w:val="00A13E87"/>
    <w:rsid w:val="00A14675"/>
    <w:rsid w:val="00A14E4B"/>
    <w:rsid w:val="00A14E85"/>
    <w:rsid w:val="00A16284"/>
    <w:rsid w:val="00A24FF7"/>
    <w:rsid w:val="00A2681C"/>
    <w:rsid w:val="00A27761"/>
    <w:rsid w:val="00A309FD"/>
    <w:rsid w:val="00A34192"/>
    <w:rsid w:val="00A35D4A"/>
    <w:rsid w:val="00A4592E"/>
    <w:rsid w:val="00A541E8"/>
    <w:rsid w:val="00A62E27"/>
    <w:rsid w:val="00A6436E"/>
    <w:rsid w:val="00A650DD"/>
    <w:rsid w:val="00A66E2C"/>
    <w:rsid w:val="00A672A8"/>
    <w:rsid w:val="00A73768"/>
    <w:rsid w:val="00A7745D"/>
    <w:rsid w:val="00A776ED"/>
    <w:rsid w:val="00A80A43"/>
    <w:rsid w:val="00A86F99"/>
    <w:rsid w:val="00A90B92"/>
    <w:rsid w:val="00A91C88"/>
    <w:rsid w:val="00A93D52"/>
    <w:rsid w:val="00AA285D"/>
    <w:rsid w:val="00AA3DC9"/>
    <w:rsid w:val="00AB3979"/>
    <w:rsid w:val="00AB7FE6"/>
    <w:rsid w:val="00AC27AD"/>
    <w:rsid w:val="00AC3078"/>
    <w:rsid w:val="00AC3994"/>
    <w:rsid w:val="00AC59B9"/>
    <w:rsid w:val="00AC5FF4"/>
    <w:rsid w:val="00AD5864"/>
    <w:rsid w:val="00AE002B"/>
    <w:rsid w:val="00AE0C05"/>
    <w:rsid w:val="00AE2114"/>
    <w:rsid w:val="00AE2BB5"/>
    <w:rsid w:val="00AE37CB"/>
    <w:rsid w:val="00AF106F"/>
    <w:rsid w:val="00AF19D3"/>
    <w:rsid w:val="00AF1C23"/>
    <w:rsid w:val="00AF450E"/>
    <w:rsid w:val="00AF4FB6"/>
    <w:rsid w:val="00AF78A1"/>
    <w:rsid w:val="00B000AC"/>
    <w:rsid w:val="00B00961"/>
    <w:rsid w:val="00B029F2"/>
    <w:rsid w:val="00B11753"/>
    <w:rsid w:val="00B1369A"/>
    <w:rsid w:val="00B17480"/>
    <w:rsid w:val="00B21421"/>
    <w:rsid w:val="00B23BE0"/>
    <w:rsid w:val="00B27E6D"/>
    <w:rsid w:val="00B308CA"/>
    <w:rsid w:val="00B31958"/>
    <w:rsid w:val="00B34D70"/>
    <w:rsid w:val="00B3644B"/>
    <w:rsid w:val="00B41A55"/>
    <w:rsid w:val="00B51A34"/>
    <w:rsid w:val="00B52274"/>
    <w:rsid w:val="00B57DD5"/>
    <w:rsid w:val="00B64DBF"/>
    <w:rsid w:val="00B75F53"/>
    <w:rsid w:val="00B776B0"/>
    <w:rsid w:val="00B7779B"/>
    <w:rsid w:val="00B808D0"/>
    <w:rsid w:val="00B8106D"/>
    <w:rsid w:val="00B82655"/>
    <w:rsid w:val="00B8603A"/>
    <w:rsid w:val="00B90DEF"/>
    <w:rsid w:val="00B929E7"/>
    <w:rsid w:val="00B938ED"/>
    <w:rsid w:val="00B967ED"/>
    <w:rsid w:val="00BA1588"/>
    <w:rsid w:val="00BA41A1"/>
    <w:rsid w:val="00BA773E"/>
    <w:rsid w:val="00BB22A1"/>
    <w:rsid w:val="00BB3463"/>
    <w:rsid w:val="00BB44F3"/>
    <w:rsid w:val="00BB5FE6"/>
    <w:rsid w:val="00BB6714"/>
    <w:rsid w:val="00BC384C"/>
    <w:rsid w:val="00BC4E8E"/>
    <w:rsid w:val="00BD0B47"/>
    <w:rsid w:val="00BE4443"/>
    <w:rsid w:val="00BE50E3"/>
    <w:rsid w:val="00BE62BF"/>
    <w:rsid w:val="00BF27D4"/>
    <w:rsid w:val="00BF7134"/>
    <w:rsid w:val="00C0231D"/>
    <w:rsid w:val="00C05459"/>
    <w:rsid w:val="00C066DD"/>
    <w:rsid w:val="00C11E98"/>
    <w:rsid w:val="00C210D2"/>
    <w:rsid w:val="00C234A4"/>
    <w:rsid w:val="00C24AEF"/>
    <w:rsid w:val="00C26F26"/>
    <w:rsid w:val="00C325CF"/>
    <w:rsid w:val="00C34844"/>
    <w:rsid w:val="00C36591"/>
    <w:rsid w:val="00C42EAE"/>
    <w:rsid w:val="00C46535"/>
    <w:rsid w:val="00C471AB"/>
    <w:rsid w:val="00C47324"/>
    <w:rsid w:val="00C50BA9"/>
    <w:rsid w:val="00C50D10"/>
    <w:rsid w:val="00C52486"/>
    <w:rsid w:val="00C64F2E"/>
    <w:rsid w:val="00C66091"/>
    <w:rsid w:val="00C66991"/>
    <w:rsid w:val="00C72AA8"/>
    <w:rsid w:val="00C75965"/>
    <w:rsid w:val="00C80AAF"/>
    <w:rsid w:val="00C834FF"/>
    <w:rsid w:val="00C872F9"/>
    <w:rsid w:val="00C87C3E"/>
    <w:rsid w:val="00C9098D"/>
    <w:rsid w:val="00C909D9"/>
    <w:rsid w:val="00C926F5"/>
    <w:rsid w:val="00C94CDD"/>
    <w:rsid w:val="00C967BA"/>
    <w:rsid w:val="00C9729E"/>
    <w:rsid w:val="00CA75D5"/>
    <w:rsid w:val="00CC08E6"/>
    <w:rsid w:val="00CC249A"/>
    <w:rsid w:val="00CD0113"/>
    <w:rsid w:val="00CD1C77"/>
    <w:rsid w:val="00CD1F33"/>
    <w:rsid w:val="00CD5F63"/>
    <w:rsid w:val="00CE4F20"/>
    <w:rsid w:val="00CE7068"/>
    <w:rsid w:val="00CF1F3E"/>
    <w:rsid w:val="00CF2A83"/>
    <w:rsid w:val="00CF50BA"/>
    <w:rsid w:val="00D074FA"/>
    <w:rsid w:val="00D10198"/>
    <w:rsid w:val="00D10B39"/>
    <w:rsid w:val="00D124B4"/>
    <w:rsid w:val="00D15061"/>
    <w:rsid w:val="00D15BC7"/>
    <w:rsid w:val="00D26285"/>
    <w:rsid w:val="00D26EF0"/>
    <w:rsid w:val="00D27972"/>
    <w:rsid w:val="00D3177E"/>
    <w:rsid w:val="00D32120"/>
    <w:rsid w:val="00D33B1B"/>
    <w:rsid w:val="00D3609F"/>
    <w:rsid w:val="00D36B85"/>
    <w:rsid w:val="00D37658"/>
    <w:rsid w:val="00D3771C"/>
    <w:rsid w:val="00D41B50"/>
    <w:rsid w:val="00D43C2A"/>
    <w:rsid w:val="00D441A2"/>
    <w:rsid w:val="00D542B4"/>
    <w:rsid w:val="00D60EDE"/>
    <w:rsid w:val="00D76856"/>
    <w:rsid w:val="00D809E2"/>
    <w:rsid w:val="00D82BAC"/>
    <w:rsid w:val="00D82F08"/>
    <w:rsid w:val="00D83EC6"/>
    <w:rsid w:val="00D85F7C"/>
    <w:rsid w:val="00D87D36"/>
    <w:rsid w:val="00D92478"/>
    <w:rsid w:val="00D92EF8"/>
    <w:rsid w:val="00D961C4"/>
    <w:rsid w:val="00D9661B"/>
    <w:rsid w:val="00D96F27"/>
    <w:rsid w:val="00DA33EC"/>
    <w:rsid w:val="00DA3866"/>
    <w:rsid w:val="00DA662F"/>
    <w:rsid w:val="00DA7103"/>
    <w:rsid w:val="00DB0765"/>
    <w:rsid w:val="00DB0EFA"/>
    <w:rsid w:val="00DB1024"/>
    <w:rsid w:val="00DB1665"/>
    <w:rsid w:val="00DB45BC"/>
    <w:rsid w:val="00DB4E89"/>
    <w:rsid w:val="00DB5651"/>
    <w:rsid w:val="00DB74D4"/>
    <w:rsid w:val="00DB7CD0"/>
    <w:rsid w:val="00DC11FA"/>
    <w:rsid w:val="00DC1F43"/>
    <w:rsid w:val="00DC7869"/>
    <w:rsid w:val="00DC7D98"/>
    <w:rsid w:val="00DD050B"/>
    <w:rsid w:val="00DD0FBD"/>
    <w:rsid w:val="00DD2299"/>
    <w:rsid w:val="00DD3563"/>
    <w:rsid w:val="00DD7D99"/>
    <w:rsid w:val="00DE11C5"/>
    <w:rsid w:val="00DE2D83"/>
    <w:rsid w:val="00DE3047"/>
    <w:rsid w:val="00DE4079"/>
    <w:rsid w:val="00DE5DFE"/>
    <w:rsid w:val="00DF33CF"/>
    <w:rsid w:val="00E00C66"/>
    <w:rsid w:val="00E013DB"/>
    <w:rsid w:val="00E06B08"/>
    <w:rsid w:val="00E118E7"/>
    <w:rsid w:val="00E1418F"/>
    <w:rsid w:val="00E1464A"/>
    <w:rsid w:val="00E22D42"/>
    <w:rsid w:val="00E262FD"/>
    <w:rsid w:val="00E30D1C"/>
    <w:rsid w:val="00E35DFB"/>
    <w:rsid w:val="00E40467"/>
    <w:rsid w:val="00E4058C"/>
    <w:rsid w:val="00E42871"/>
    <w:rsid w:val="00E4326F"/>
    <w:rsid w:val="00E527B2"/>
    <w:rsid w:val="00E54B0F"/>
    <w:rsid w:val="00E72FE5"/>
    <w:rsid w:val="00E758DE"/>
    <w:rsid w:val="00E80027"/>
    <w:rsid w:val="00E8422D"/>
    <w:rsid w:val="00E84583"/>
    <w:rsid w:val="00E85820"/>
    <w:rsid w:val="00E85B37"/>
    <w:rsid w:val="00E85FFB"/>
    <w:rsid w:val="00E91114"/>
    <w:rsid w:val="00EA0B07"/>
    <w:rsid w:val="00EA2338"/>
    <w:rsid w:val="00EA3AFD"/>
    <w:rsid w:val="00EA5468"/>
    <w:rsid w:val="00EA7E0C"/>
    <w:rsid w:val="00EB1333"/>
    <w:rsid w:val="00EC2525"/>
    <w:rsid w:val="00EC3A4A"/>
    <w:rsid w:val="00EC5E85"/>
    <w:rsid w:val="00ED20DB"/>
    <w:rsid w:val="00ED789D"/>
    <w:rsid w:val="00EE0DE7"/>
    <w:rsid w:val="00EE5BB9"/>
    <w:rsid w:val="00EF17E9"/>
    <w:rsid w:val="00EF44A0"/>
    <w:rsid w:val="00EF6B5E"/>
    <w:rsid w:val="00F05A70"/>
    <w:rsid w:val="00F11D6B"/>
    <w:rsid w:val="00F12CB6"/>
    <w:rsid w:val="00F17012"/>
    <w:rsid w:val="00F177F9"/>
    <w:rsid w:val="00F209CF"/>
    <w:rsid w:val="00F20FCE"/>
    <w:rsid w:val="00F21D69"/>
    <w:rsid w:val="00F24BCC"/>
    <w:rsid w:val="00F25658"/>
    <w:rsid w:val="00F25CF9"/>
    <w:rsid w:val="00F25FCA"/>
    <w:rsid w:val="00F2618E"/>
    <w:rsid w:val="00F26419"/>
    <w:rsid w:val="00F54A0C"/>
    <w:rsid w:val="00F56CFA"/>
    <w:rsid w:val="00F70E21"/>
    <w:rsid w:val="00F70E88"/>
    <w:rsid w:val="00F73C21"/>
    <w:rsid w:val="00F80002"/>
    <w:rsid w:val="00F814AD"/>
    <w:rsid w:val="00F852C0"/>
    <w:rsid w:val="00F8686F"/>
    <w:rsid w:val="00F96C5F"/>
    <w:rsid w:val="00FA0B39"/>
    <w:rsid w:val="00FA49D3"/>
    <w:rsid w:val="00FA7622"/>
    <w:rsid w:val="00FB4136"/>
    <w:rsid w:val="00FB4C79"/>
    <w:rsid w:val="00FB5494"/>
    <w:rsid w:val="00FB7E5A"/>
    <w:rsid w:val="00FC43F8"/>
    <w:rsid w:val="00FC7356"/>
    <w:rsid w:val="00FC7B23"/>
    <w:rsid w:val="00FD2510"/>
    <w:rsid w:val="00FD2FB3"/>
    <w:rsid w:val="00FD3C9D"/>
    <w:rsid w:val="00FD5EB1"/>
    <w:rsid w:val="00FE1CB0"/>
    <w:rsid w:val="00FE20C5"/>
    <w:rsid w:val="00FE5579"/>
    <w:rsid w:val="00FE5708"/>
    <w:rsid w:val="00FE57F0"/>
    <w:rsid w:val="00FE6ECD"/>
    <w:rsid w:val="00FF2152"/>
    <w:rsid w:val="00FF6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FC59B"/>
  <w15:docId w15:val="{1C6BF20C-C80C-40F1-AB93-1FFF51AB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118"/>
  </w:style>
  <w:style w:type="paragraph" w:styleId="Heading1">
    <w:name w:val="heading 1"/>
    <w:basedOn w:val="Normal"/>
    <w:next w:val="Normal"/>
    <w:link w:val="Heading1Char"/>
    <w:uiPriority w:val="9"/>
    <w:qFormat/>
    <w:rsid w:val="00CE7068"/>
    <w:pPr>
      <w:keepNext/>
      <w:keepLines/>
      <w:numPr>
        <w:numId w:val="4"/>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E7068"/>
    <w:pPr>
      <w:keepNext/>
      <w:keepLines/>
      <w:numPr>
        <w:ilvl w:val="1"/>
        <w:numId w:val="4"/>
      </w:numPr>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810E50"/>
    <w:pPr>
      <w:keepNext/>
      <w:keepLines/>
      <w:numPr>
        <w:ilvl w:val="2"/>
        <w:numId w:val="4"/>
      </w:numPr>
      <w:spacing w:after="0"/>
      <w:outlineLvl w:val="2"/>
    </w:pPr>
    <w:rPr>
      <w:rFonts w:eastAsiaTheme="majorEastAsia" w:cstheme="majorBidi"/>
      <w:bCs/>
    </w:rPr>
  </w:style>
  <w:style w:type="paragraph" w:styleId="Heading4">
    <w:name w:val="heading 4"/>
    <w:basedOn w:val="Normal"/>
    <w:next w:val="Normal"/>
    <w:link w:val="Heading4Char"/>
    <w:uiPriority w:val="9"/>
    <w:unhideWhenUsed/>
    <w:qFormat/>
    <w:rsid w:val="006F30C8"/>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F30C8"/>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4118"/>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4118"/>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4118"/>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94118"/>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525"/>
    <w:rPr>
      <w:rFonts w:ascii="Tahoma" w:hAnsi="Tahoma" w:cs="Tahoma"/>
      <w:sz w:val="16"/>
      <w:szCs w:val="16"/>
    </w:rPr>
  </w:style>
  <w:style w:type="character" w:customStyle="1" w:styleId="Heading1Char">
    <w:name w:val="Heading 1 Char"/>
    <w:basedOn w:val="DefaultParagraphFont"/>
    <w:link w:val="Heading1"/>
    <w:uiPriority w:val="9"/>
    <w:rsid w:val="00CE7068"/>
    <w:rPr>
      <w:rFonts w:eastAsiaTheme="majorEastAsia" w:cstheme="majorBidi"/>
      <w:b/>
      <w:bCs/>
      <w:sz w:val="28"/>
      <w:szCs w:val="28"/>
    </w:rPr>
  </w:style>
  <w:style w:type="paragraph" w:styleId="TOCHeading">
    <w:name w:val="TOC Heading"/>
    <w:basedOn w:val="Heading1"/>
    <w:next w:val="Normal"/>
    <w:uiPriority w:val="39"/>
    <w:unhideWhenUsed/>
    <w:qFormat/>
    <w:rsid w:val="00731B21"/>
    <w:pPr>
      <w:outlineLvl w:val="9"/>
    </w:pPr>
    <w:rPr>
      <w:lang w:val="en-US" w:eastAsia="ja-JP"/>
    </w:rPr>
  </w:style>
  <w:style w:type="paragraph" w:styleId="TOC1">
    <w:name w:val="toc 1"/>
    <w:basedOn w:val="Normal"/>
    <w:next w:val="Normal"/>
    <w:autoRedefine/>
    <w:uiPriority w:val="39"/>
    <w:unhideWhenUsed/>
    <w:rsid w:val="00731B21"/>
    <w:pPr>
      <w:spacing w:after="100"/>
    </w:pPr>
  </w:style>
  <w:style w:type="character" w:styleId="Hyperlink">
    <w:name w:val="Hyperlink"/>
    <w:basedOn w:val="DefaultParagraphFont"/>
    <w:uiPriority w:val="99"/>
    <w:unhideWhenUsed/>
    <w:rsid w:val="00731B21"/>
    <w:rPr>
      <w:color w:val="0000FF" w:themeColor="hyperlink"/>
      <w:u w:val="single"/>
    </w:rPr>
  </w:style>
  <w:style w:type="paragraph" w:styleId="Header">
    <w:name w:val="header"/>
    <w:basedOn w:val="Normal"/>
    <w:link w:val="HeaderChar"/>
    <w:uiPriority w:val="99"/>
    <w:unhideWhenUsed/>
    <w:rsid w:val="00731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B21"/>
  </w:style>
  <w:style w:type="paragraph" w:styleId="Footer">
    <w:name w:val="footer"/>
    <w:basedOn w:val="Normal"/>
    <w:link w:val="FooterChar"/>
    <w:uiPriority w:val="99"/>
    <w:unhideWhenUsed/>
    <w:rsid w:val="00731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B21"/>
  </w:style>
  <w:style w:type="character" w:customStyle="1" w:styleId="Heading2Char">
    <w:name w:val="Heading 2 Char"/>
    <w:basedOn w:val="DefaultParagraphFont"/>
    <w:link w:val="Heading2"/>
    <w:uiPriority w:val="9"/>
    <w:rsid w:val="00CE7068"/>
    <w:rPr>
      <w:rFonts w:eastAsiaTheme="majorEastAsia" w:cstheme="majorBidi"/>
      <w:b/>
      <w:bCs/>
      <w:sz w:val="24"/>
      <w:szCs w:val="26"/>
    </w:rPr>
  </w:style>
  <w:style w:type="character" w:customStyle="1" w:styleId="Heading3Char">
    <w:name w:val="Heading 3 Char"/>
    <w:basedOn w:val="DefaultParagraphFont"/>
    <w:link w:val="Heading3"/>
    <w:uiPriority w:val="9"/>
    <w:rsid w:val="00810E50"/>
    <w:rPr>
      <w:rFonts w:eastAsiaTheme="majorEastAsia" w:cstheme="majorBidi"/>
      <w:bCs/>
    </w:rPr>
  </w:style>
  <w:style w:type="paragraph" w:styleId="TOC2">
    <w:name w:val="toc 2"/>
    <w:basedOn w:val="Normal"/>
    <w:next w:val="Normal"/>
    <w:autoRedefine/>
    <w:uiPriority w:val="39"/>
    <w:unhideWhenUsed/>
    <w:rsid w:val="00C967BA"/>
    <w:pPr>
      <w:spacing w:after="100"/>
      <w:ind w:left="220"/>
    </w:pPr>
  </w:style>
  <w:style w:type="paragraph" w:styleId="TOC3">
    <w:name w:val="toc 3"/>
    <w:basedOn w:val="Normal"/>
    <w:next w:val="Normal"/>
    <w:autoRedefine/>
    <w:uiPriority w:val="39"/>
    <w:unhideWhenUsed/>
    <w:rsid w:val="00C967BA"/>
    <w:pPr>
      <w:spacing w:after="100"/>
      <w:ind w:left="440"/>
    </w:pPr>
  </w:style>
  <w:style w:type="paragraph" w:styleId="CommentText">
    <w:name w:val="annotation text"/>
    <w:basedOn w:val="Normal"/>
    <w:link w:val="CommentTextChar"/>
    <w:uiPriority w:val="99"/>
    <w:unhideWhenUsed/>
    <w:rsid w:val="006F30C8"/>
    <w:pPr>
      <w:spacing w:line="360" w:lineRule="auto"/>
    </w:pPr>
    <w:rPr>
      <w:sz w:val="20"/>
      <w:szCs w:val="20"/>
    </w:rPr>
  </w:style>
  <w:style w:type="character" w:customStyle="1" w:styleId="CommentTextChar">
    <w:name w:val="Comment Text Char"/>
    <w:basedOn w:val="DefaultParagraphFont"/>
    <w:link w:val="CommentText"/>
    <w:uiPriority w:val="99"/>
    <w:rsid w:val="006F30C8"/>
    <w:rPr>
      <w:sz w:val="20"/>
      <w:szCs w:val="20"/>
    </w:rPr>
  </w:style>
  <w:style w:type="paragraph" w:styleId="Caption">
    <w:name w:val="caption"/>
    <w:basedOn w:val="Normal"/>
    <w:next w:val="Normal"/>
    <w:uiPriority w:val="35"/>
    <w:unhideWhenUsed/>
    <w:qFormat/>
    <w:rsid w:val="006F30C8"/>
    <w:pPr>
      <w:tabs>
        <w:tab w:val="left" w:pos="851"/>
      </w:tabs>
      <w:spacing w:before="120" w:after="240" w:line="288" w:lineRule="auto"/>
      <w:jc w:val="both"/>
    </w:pPr>
    <w:rPr>
      <w:rFonts w:ascii="Arial" w:eastAsia="Times New Roman" w:hAnsi="Arial" w:cs="Times New Roman"/>
      <w:bCs/>
      <w:sz w:val="20"/>
      <w:szCs w:val="20"/>
      <w:lang w:eastAsia="de-DE"/>
    </w:rPr>
  </w:style>
  <w:style w:type="character" w:styleId="CommentReference">
    <w:name w:val="annotation reference"/>
    <w:basedOn w:val="DefaultParagraphFont"/>
    <w:uiPriority w:val="99"/>
    <w:semiHidden/>
    <w:unhideWhenUsed/>
    <w:rsid w:val="006F30C8"/>
    <w:rPr>
      <w:sz w:val="16"/>
      <w:szCs w:val="16"/>
    </w:rPr>
  </w:style>
  <w:style w:type="paragraph" w:styleId="FootnoteText">
    <w:name w:val="footnote text"/>
    <w:basedOn w:val="Normal"/>
    <w:link w:val="FootnoteTextChar"/>
    <w:uiPriority w:val="99"/>
    <w:semiHidden/>
    <w:unhideWhenUsed/>
    <w:rsid w:val="006F30C8"/>
    <w:pPr>
      <w:tabs>
        <w:tab w:val="left" w:pos="851"/>
      </w:tabs>
      <w:spacing w:after="120" w:line="360" w:lineRule="auto"/>
      <w:jc w:val="both"/>
    </w:pPr>
    <w:rPr>
      <w:rFonts w:ascii="Arial" w:eastAsia="Times New Roman" w:hAnsi="Arial" w:cs="Times New Roman"/>
      <w:sz w:val="16"/>
      <w:szCs w:val="20"/>
      <w:lang w:eastAsia="de-DE"/>
    </w:rPr>
  </w:style>
  <w:style w:type="character" w:customStyle="1" w:styleId="FootnoteTextChar">
    <w:name w:val="Footnote Text Char"/>
    <w:basedOn w:val="DefaultParagraphFont"/>
    <w:link w:val="FootnoteText"/>
    <w:uiPriority w:val="99"/>
    <w:semiHidden/>
    <w:rsid w:val="006F30C8"/>
    <w:rPr>
      <w:rFonts w:ascii="Arial" w:eastAsia="Times New Roman" w:hAnsi="Arial" w:cs="Times New Roman"/>
      <w:sz w:val="16"/>
      <w:szCs w:val="20"/>
      <w:lang w:eastAsia="de-DE"/>
    </w:rPr>
  </w:style>
  <w:style w:type="character" w:styleId="FootnoteReference">
    <w:name w:val="footnote reference"/>
    <w:basedOn w:val="DefaultParagraphFont"/>
    <w:uiPriority w:val="99"/>
    <w:semiHidden/>
    <w:unhideWhenUsed/>
    <w:rsid w:val="006F30C8"/>
    <w:rPr>
      <w:rFonts w:ascii="Arial" w:hAnsi="Arial" w:cs="Arial" w:hint="default"/>
      <w:vertAlign w:val="superscript"/>
    </w:rPr>
  </w:style>
  <w:style w:type="table" w:styleId="TableGrid">
    <w:name w:val="Table Grid"/>
    <w:basedOn w:val="TableNormal"/>
    <w:uiPriority w:val="59"/>
    <w:rsid w:val="006F30C8"/>
    <w:pPr>
      <w:keepLines/>
      <w:spacing w:before="100" w:beforeAutospacing="1" w:after="100" w:afterAutospacing="1" w:line="240" w:lineRule="auto"/>
      <w:ind w:left="57" w:right="85"/>
      <w:contextualSpacing/>
    </w:pPr>
    <w:rPr>
      <w:rFonts w:ascii="Arial" w:eastAsia="Batang" w:hAnsi="Arial" w:cs="Times New Roman"/>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28" w:type="dxa"/>
        <w:bottom w:w="57" w:type="dxa"/>
        <w:right w:w="0" w:type="dxa"/>
      </w:tblCellMar>
    </w:tblPr>
    <w:tcPr>
      <w:shd w:val="clear" w:color="auto" w:fill="FFFFFF"/>
    </w:tcPr>
    <w:tblStylePr w:type="firstRow">
      <w:pPr>
        <w:wordWrap/>
      </w:pPr>
      <w:rPr>
        <w:rFonts w:asciiTheme="minorHAnsi" w:hAnsiTheme="minorHAnsi" w:cs="Arial" w:hint="default"/>
        <w:b/>
        <w:sz w:val="18"/>
        <w:szCs w:val="20"/>
      </w:rPr>
      <w:tblPr/>
      <w:tcPr>
        <w:shd w:val="clear" w:color="auto" w:fill="E5E5D0"/>
      </w:tcPr>
    </w:tblStylePr>
  </w:style>
  <w:style w:type="character" w:customStyle="1" w:styleId="Heading5Char">
    <w:name w:val="Heading 5 Char"/>
    <w:basedOn w:val="DefaultParagraphFont"/>
    <w:link w:val="Heading5"/>
    <w:uiPriority w:val="9"/>
    <w:rsid w:val="006F30C8"/>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6F30C8"/>
    <w:rPr>
      <w:i/>
      <w:iCs/>
    </w:rPr>
  </w:style>
  <w:style w:type="character" w:customStyle="1" w:styleId="Heading4Char">
    <w:name w:val="Heading 4 Char"/>
    <w:basedOn w:val="DefaultParagraphFont"/>
    <w:link w:val="Heading4"/>
    <w:uiPriority w:val="9"/>
    <w:rsid w:val="006F30C8"/>
    <w:rPr>
      <w:rFonts w:asciiTheme="majorHAnsi" w:eastAsiaTheme="majorEastAsia" w:hAnsiTheme="majorHAnsi" w:cstheme="majorBidi"/>
      <w:b/>
      <w:bCs/>
      <w:i/>
      <w:iCs/>
      <w:color w:val="4F81BD" w:themeColor="accent1"/>
    </w:rPr>
  </w:style>
  <w:style w:type="paragraph" w:styleId="CommentSubject">
    <w:name w:val="annotation subject"/>
    <w:basedOn w:val="CommentText"/>
    <w:next w:val="CommentText"/>
    <w:link w:val="CommentSubjectChar"/>
    <w:uiPriority w:val="99"/>
    <w:semiHidden/>
    <w:unhideWhenUsed/>
    <w:rsid w:val="003E69EF"/>
    <w:pPr>
      <w:spacing w:line="240" w:lineRule="auto"/>
    </w:pPr>
    <w:rPr>
      <w:b/>
      <w:bCs/>
    </w:rPr>
  </w:style>
  <w:style w:type="character" w:customStyle="1" w:styleId="CommentSubjectChar">
    <w:name w:val="Comment Subject Char"/>
    <w:basedOn w:val="CommentTextChar"/>
    <w:link w:val="CommentSubject"/>
    <w:uiPriority w:val="99"/>
    <w:semiHidden/>
    <w:rsid w:val="003E69EF"/>
    <w:rPr>
      <w:b/>
      <w:bCs/>
      <w:sz w:val="20"/>
      <w:szCs w:val="20"/>
    </w:rPr>
  </w:style>
  <w:style w:type="character" w:styleId="EndnoteReference">
    <w:name w:val="endnote reference"/>
    <w:basedOn w:val="DefaultParagraphFont"/>
    <w:uiPriority w:val="99"/>
    <w:semiHidden/>
    <w:unhideWhenUsed/>
    <w:rsid w:val="0018184E"/>
    <w:rPr>
      <w:vertAlign w:val="superscript"/>
    </w:rPr>
  </w:style>
  <w:style w:type="character" w:styleId="PlaceholderText">
    <w:name w:val="Placeholder Text"/>
    <w:basedOn w:val="DefaultParagraphFont"/>
    <w:uiPriority w:val="99"/>
    <w:semiHidden/>
    <w:rsid w:val="00895D9F"/>
    <w:rPr>
      <w:color w:val="808080"/>
    </w:rPr>
  </w:style>
  <w:style w:type="character" w:styleId="HTMLCode">
    <w:name w:val="HTML Code"/>
    <w:basedOn w:val="DefaultParagraphFont"/>
    <w:uiPriority w:val="99"/>
    <w:semiHidden/>
    <w:unhideWhenUsed/>
    <w:rsid w:val="00895D9F"/>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FB5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B5494"/>
    <w:rPr>
      <w:rFonts w:ascii="Courier New" w:eastAsia="Times New Roman" w:hAnsi="Courier New" w:cs="Courier New"/>
      <w:sz w:val="20"/>
      <w:szCs w:val="20"/>
      <w:lang w:eastAsia="en-GB"/>
    </w:rPr>
  </w:style>
  <w:style w:type="paragraph" w:styleId="Bibliography">
    <w:name w:val="Bibliography"/>
    <w:basedOn w:val="Normal"/>
    <w:next w:val="Normal"/>
    <w:uiPriority w:val="37"/>
    <w:unhideWhenUsed/>
    <w:rsid w:val="00F56CFA"/>
    <w:pPr>
      <w:tabs>
        <w:tab w:val="left" w:pos="504"/>
      </w:tabs>
      <w:spacing w:after="240" w:line="240" w:lineRule="auto"/>
      <w:ind w:left="504" w:hanging="504"/>
    </w:pPr>
  </w:style>
  <w:style w:type="character" w:styleId="LineNumber">
    <w:name w:val="line number"/>
    <w:basedOn w:val="DefaultParagraphFont"/>
    <w:uiPriority w:val="99"/>
    <w:semiHidden/>
    <w:unhideWhenUsed/>
    <w:rsid w:val="00D37658"/>
  </w:style>
  <w:style w:type="character" w:styleId="FollowedHyperlink">
    <w:name w:val="FollowedHyperlink"/>
    <w:basedOn w:val="DefaultParagraphFont"/>
    <w:uiPriority w:val="99"/>
    <w:semiHidden/>
    <w:unhideWhenUsed/>
    <w:rsid w:val="007B2CC4"/>
    <w:rPr>
      <w:color w:val="800080" w:themeColor="followedHyperlink"/>
      <w:u w:val="single"/>
    </w:rPr>
  </w:style>
  <w:style w:type="paragraph" w:styleId="NormalWeb">
    <w:name w:val="Normal (Web)"/>
    <w:basedOn w:val="Normal"/>
    <w:uiPriority w:val="99"/>
    <w:unhideWhenUsed/>
    <w:rsid w:val="000D01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7E54FF"/>
    <w:pPr>
      <w:spacing w:after="0" w:line="240" w:lineRule="auto"/>
    </w:pPr>
  </w:style>
  <w:style w:type="paragraph" w:styleId="ListParagraph">
    <w:name w:val="List Paragraph"/>
    <w:basedOn w:val="Normal"/>
    <w:uiPriority w:val="34"/>
    <w:qFormat/>
    <w:rsid w:val="0026780E"/>
    <w:pPr>
      <w:ind w:left="720"/>
      <w:contextualSpacing/>
    </w:pPr>
  </w:style>
  <w:style w:type="character" w:customStyle="1" w:styleId="Heading6Char">
    <w:name w:val="Heading 6 Char"/>
    <w:basedOn w:val="DefaultParagraphFont"/>
    <w:link w:val="Heading6"/>
    <w:uiPriority w:val="9"/>
    <w:semiHidden/>
    <w:rsid w:val="0049411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941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941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4118"/>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87170">
      <w:bodyDiv w:val="1"/>
      <w:marLeft w:val="0"/>
      <w:marRight w:val="0"/>
      <w:marTop w:val="0"/>
      <w:marBottom w:val="0"/>
      <w:divBdr>
        <w:top w:val="none" w:sz="0" w:space="0" w:color="auto"/>
        <w:left w:val="none" w:sz="0" w:space="0" w:color="auto"/>
        <w:bottom w:val="none" w:sz="0" w:space="0" w:color="auto"/>
        <w:right w:val="none" w:sz="0" w:space="0" w:color="auto"/>
      </w:divBdr>
    </w:div>
    <w:div w:id="168494859">
      <w:bodyDiv w:val="1"/>
      <w:marLeft w:val="0"/>
      <w:marRight w:val="0"/>
      <w:marTop w:val="0"/>
      <w:marBottom w:val="0"/>
      <w:divBdr>
        <w:top w:val="none" w:sz="0" w:space="0" w:color="auto"/>
        <w:left w:val="none" w:sz="0" w:space="0" w:color="auto"/>
        <w:bottom w:val="none" w:sz="0" w:space="0" w:color="auto"/>
        <w:right w:val="none" w:sz="0" w:space="0" w:color="auto"/>
      </w:divBdr>
    </w:div>
    <w:div w:id="572543567">
      <w:bodyDiv w:val="1"/>
      <w:marLeft w:val="0"/>
      <w:marRight w:val="0"/>
      <w:marTop w:val="0"/>
      <w:marBottom w:val="0"/>
      <w:divBdr>
        <w:top w:val="none" w:sz="0" w:space="0" w:color="auto"/>
        <w:left w:val="none" w:sz="0" w:space="0" w:color="auto"/>
        <w:bottom w:val="none" w:sz="0" w:space="0" w:color="auto"/>
        <w:right w:val="none" w:sz="0" w:space="0" w:color="auto"/>
      </w:divBdr>
    </w:div>
    <w:div w:id="751974461">
      <w:bodyDiv w:val="1"/>
      <w:marLeft w:val="0"/>
      <w:marRight w:val="0"/>
      <w:marTop w:val="0"/>
      <w:marBottom w:val="0"/>
      <w:divBdr>
        <w:top w:val="none" w:sz="0" w:space="0" w:color="auto"/>
        <w:left w:val="none" w:sz="0" w:space="0" w:color="auto"/>
        <w:bottom w:val="none" w:sz="0" w:space="0" w:color="auto"/>
        <w:right w:val="none" w:sz="0" w:space="0" w:color="auto"/>
      </w:divBdr>
    </w:div>
    <w:div w:id="1002004965">
      <w:bodyDiv w:val="1"/>
      <w:marLeft w:val="0"/>
      <w:marRight w:val="0"/>
      <w:marTop w:val="0"/>
      <w:marBottom w:val="0"/>
      <w:divBdr>
        <w:top w:val="none" w:sz="0" w:space="0" w:color="auto"/>
        <w:left w:val="none" w:sz="0" w:space="0" w:color="auto"/>
        <w:bottom w:val="none" w:sz="0" w:space="0" w:color="auto"/>
        <w:right w:val="none" w:sz="0" w:space="0" w:color="auto"/>
      </w:divBdr>
    </w:div>
    <w:div w:id="1055662520">
      <w:bodyDiv w:val="1"/>
      <w:marLeft w:val="0"/>
      <w:marRight w:val="0"/>
      <w:marTop w:val="0"/>
      <w:marBottom w:val="0"/>
      <w:divBdr>
        <w:top w:val="none" w:sz="0" w:space="0" w:color="auto"/>
        <w:left w:val="none" w:sz="0" w:space="0" w:color="auto"/>
        <w:bottom w:val="none" w:sz="0" w:space="0" w:color="auto"/>
        <w:right w:val="none" w:sz="0" w:space="0" w:color="auto"/>
      </w:divBdr>
    </w:div>
    <w:div w:id="1141113785">
      <w:bodyDiv w:val="1"/>
      <w:marLeft w:val="0"/>
      <w:marRight w:val="0"/>
      <w:marTop w:val="0"/>
      <w:marBottom w:val="0"/>
      <w:divBdr>
        <w:top w:val="none" w:sz="0" w:space="0" w:color="auto"/>
        <w:left w:val="none" w:sz="0" w:space="0" w:color="auto"/>
        <w:bottom w:val="none" w:sz="0" w:space="0" w:color="auto"/>
        <w:right w:val="none" w:sz="0" w:space="0" w:color="auto"/>
      </w:divBdr>
    </w:div>
    <w:div w:id="1927495351">
      <w:bodyDiv w:val="1"/>
      <w:marLeft w:val="0"/>
      <w:marRight w:val="0"/>
      <w:marTop w:val="0"/>
      <w:marBottom w:val="0"/>
      <w:divBdr>
        <w:top w:val="none" w:sz="0" w:space="0" w:color="auto"/>
        <w:left w:val="none" w:sz="0" w:space="0" w:color="auto"/>
        <w:bottom w:val="none" w:sz="0" w:space="0" w:color="auto"/>
        <w:right w:val="none" w:sz="0" w:space="0" w:color="auto"/>
      </w:divBdr>
    </w:div>
    <w:div w:id="1967736781">
      <w:bodyDiv w:val="1"/>
      <w:marLeft w:val="0"/>
      <w:marRight w:val="0"/>
      <w:marTop w:val="0"/>
      <w:marBottom w:val="0"/>
      <w:divBdr>
        <w:top w:val="none" w:sz="0" w:space="0" w:color="auto"/>
        <w:left w:val="none" w:sz="0" w:space="0" w:color="auto"/>
        <w:bottom w:val="none" w:sz="0" w:space="0" w:color="auto"/>
        <w:right w:val="none" w:sz="0" w:space="0" w:color="auto"/>
      </w:divBdr>
    </w:div>
    <w:div w:id="205403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aproom.meteo.go.tz/%20maproom/index.html" TargetMode="External"/><Relationship Id="rId18" Type="http://schemas.openxmlformats.org/officeDocument/2006/relationships/image" Target="media/image1.png"/><Relationship Id="rId26" Type="http://schemas.openxmlformats.org/officeDocument/2006/relationships/hyperlink" Target="https://github.com/SwissTPH/openmalaria/wiki/ModelDecayFunctions"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tatcompiler.com/" TargetMode="External"/><Relationship Id="rId17" Type="http://schemas.openxmlformats.org/officeDocument/2006/relationships/hyperlink" Target="https://map.ox.ac.uk"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statcompiler.com/"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bs.go.tz/" TargetMode="External"/><Relationship Id="rId24" Type="http://schemas.openxmlformats.org/officeDocument/2006/relationships/hyperlink" Target="https://www.vector-works.org/resources/netcalc-planning-tool/" TargetMode="External"/><Relationship Id="rId5" Type="http://schemas.openxmlformats.org/officeDocument/2006/relationships/webSettings" Target="webSettings.xml"/><Relationship Id="rId15" Type="http://schemas.openxmlformats.org/officeDocument/2006/relationships/hyperlink" Target="https://www.vector-works.org/resources/netcalc-planning-tool/"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https://www.nbs.go.tz/"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worldpop.org.uk/" TargetMode="External"/><Relationship Id="rId14" Type="http://schemas.openxmlformats.org/officeDocument/2006/relationships/hyperlink" Target="https://www.statcompiler.com/"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763DB-00B8-49E1-82AD-8B3EB547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27673</Words>
  <Characters>157741</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
    </vt:vector>
  </TitlesOfParts>
  <Company>Swiss TPH</Company>
  <LinksUpToDate>false</LinksUpToDate>
  <CharactersWithSpaces>185044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 Runge</dc:creator>
  <cp:lastModifiedBy>Manuela Runge</cp:lastModifiedBy>
  <cp:revision>2</cp:revision>
  <cp:lastPrinted>2019-06-29T11:44:00Z</cp:lastPrinted>
  <dcterms:created xsi:type="dcterms:W3CDTF">2020-01-22T01:41:00Z</dcterms:created>
  <dcterms:modified xsi:type="dcterms:W3CDTF">2020-01-22T01:41:00Z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zotero-version="5.0.76"&gt;&lt;session id="X8hKCoim"/&gt;&lt;style id="http://www.zotero.org/styles/plos-one"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