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D1B0" w14:textId="081376A8" w:rsidR="009B71CB" w:rsidRDefault="002F0768" w:rsidP="00861E3B">
      <w:pPr>
        <w:pStyle w:val="Title"/>
      </w:pPr>
      <w:bookmarkStart w:id="0" w:name="_Hlk513729074"/>
      <w:r w:rsidRPr="002F0768">
        <w:t>Improving Australian National Bowel Cancer Screening Program outcomes through increased participation and cost-effective investment</w:t>
      </w:r>
      <w:r w:rsidR="00016FDD" w:rsidRPr="0092774E">
        <w:t xml:space="preserve"> </w:t>
      </w:r>
      <w:bookmarkEnd w:id="0"/>
      <w:r w:rsidR="00E60821">
        <w:t>– Technical Appendix</w:t>
      </w:r>
    </w:p>
    <w:p w14:paraId="08EF04AB" w14:textId="3B75F451" w:rsidR="0064442B" w:rsidRDefault="0064442B" w:rsidP="00262E48">
      <w:pPr>
        <w:pStyle w:val="Heading1"/>
        <w:tabs>
          <w:tab w:val="right" w:pos="9026"/>
        </w:tabs>
      </w:pPr>
      <w:bookmarkStart w:id="1" w:name="_Toc503369589"/>
      <w:r>
        <w:t xml:space="preserve">Appendix A – </w:t>
      </w:r>
      <w:r w:rsidRPr="0064442B">
        <w:rPr>
          <w:i/>
        </w:rPr>
        <w:t>Policy1-Bowel</w:t>
      </w:r>
      <w:r>
        <w:t xml:space="preserve"> Natural History Diagram</w:t>
      </w:r>
      <w:r w:rsidR="00262E48">
        <w:tab/>
      </w:r>
    </w:p>
    <w:p w14:paraId="390F7FFA" w14:textId="0C47F309" w:rsidR="0064442B" w:rsidRDefault="0095770B" w:rsidP="0064442B">
      <w:pPr>
        <w:keepNext/>
      </w:pPr>
      <w:r>
        <w:rPr>
          <w:noProof/>
        </w:rPr>
        <w:drawing>
          <wp:inline distT="0" distB="0" distL="0" distR="0" wp14:anchorId="03B4DAC0" wp14:editId="01CEA762">
            <wp:extent cx="5727530" cy="4381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727530" cy="4381500"/>
                    </a:xfrm>
                    <a:prstGeom prst="rect">
                      <a:avLst/>
                    </a:prstGeom>
                    <a:noFill/>
                    <a:ln>
                      <a:noFill/>
                    </a:ln>
                  </pic:spPr>
                </pic:pic>
              </a:graphicData>
            </a:graphic>
          </wp:inline>
        </w:drawing>
      </w:r>
    </w:p>
    <w:p w14:paraId="16172971" w14:textId="22F46E11" w:rsidR="0064442B" w:rsidRDefault="0064442B" w:rsidP="0064442B">
      <w:pPr>
        <w:pStyle w:val="Caption"/>
      </w:pPr>
      <w:r>
        <w:t>Figure A</w:t>
      </w:r>
      <w:r w:rsidR="000919FE">
        <w:rPr>
          <w:noProof/>
        </w:rPr>
        <w:fldChar w:fldCharType="begin"/>
      </w:r>
      <w:r w:rsidR="000919FE">
        <w:rPr>
          <w:noProof/>
        </w:rPr>
        <w:instrText xml:space="preserve"> SEQ Figure \* ARABIC </w:instrText>
      </w:r>
      <w:r w:rsidR="000919FE">
        <w:rPr>
          <w:noProof/>
        </w:rPr>
        <w:fldChar w:fldCharType="separate"/>
      </w:r>
      <w:r w:rsidR="003B6A3A">
        <w:rPr>
          <w:noProof/>
        </w:rPr>
        <w:t>1</w:t>
      </w:r>
      <w:r w:rsidR="000919FE">
        <w:rPr>
          <w:noProof/>
        </w:rPr>
        <w:fldChar w:fldCharType="end"/>
      </w:r>
      <w:r>
        <w:t xml:space="preserve"> – Modelled precancer natural history pathway in </w:t>
      </w:r>
      <w:r w:rsidRPr="0064442B">
        <w:rPr>
          <w:i/>
        </w:rPr>
        <w:t>Policy1-Bowel</w:t>
      </w:r>
      <w:r>
        <w:t xml:space="preserve">. HP – hyperplastic polyp; </w:t>
      </w:r>
      <w:r w:rsidR="00262E48">
        <w:t xml:space="preserve">SSP </w:t>
      </w:r>
      <w:r>
        <w:t xml:space="preserve">– sessile serrated </w:t>
      </w:r>
      <w:r w:rsidR="00262E48">
        <w:t xml:space="preserve">polyp </w:t>
      </w:r>
      <w:r w:rsidR="00F73913">
        <w:t xml:space="preserve">(also known as sessile serrated </w:t>
      </w:r>
      <w:r w:rsidR="00262E48">
        <w:t>adenoma</w:t>
      </w:r>
      <w:r w:rsidR="00F73913">
        <w:t>)</w:t>
      </w:r>
      <w:r>
        <w:t xml:space="preserve">. </w:t>
      </w:r>
    </w:p>
    <w:p w14:paraId="1595CA18" w14:textId="77777777" w:rsidR="00BE2E27" w:rsidRPr="00BE2E27" w:rsidRDefault="00BE2E27" w:rsidP="00BE2E27"/>
    <w:p w14:paraId="7632E81C" w14:textId="77777777" w:rsidR="0064442B" w:rsidRDefault="0064442B" w:rsidP="0064442B">
      <w:pPr>
        <w:keepNext/>
      </w:pPr>
      <w:r>
        <w:rPr>
          <w:noProof/>
        </w:rPr>
        <w:lastRenderedPageBreak/>
        <w:drawing>
          <wp:inline distT="0" distB="0" distL="0" distR="0" wp14:anchorId="7508FD36" wp14:editId="17E022B5">
            <wp:extent cx="5807056" cy="3361720"/>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0957" cy="3387134"/>
                    </a:xfrm>
                    <a:prstGeom prst="rect">
                      <a:avLst/>
                    </a:prstGeom>
                    <a:noFill/>
                  </pic:spPr>
                </pic:pic>
              </a:graphicData>
            </a:graphic>
          </wp:inline>
        </w:drawing>
      </w:r>
    </w:p>
    <w:p w14:paraId="519686F3" w14:textId="723A923D" w:rsidR="0064442B" w:rsidRDefault="0064442B" w:rsidP="0064442B">
      <w:pPr>
        <w:pStyle w:val="Caption"/>
      </w:pPr>
      <w:r>
        <w:t>Figure A</w:t>
      </w:r>
      <w:r w:rsidR="000919FE">
        <w:rPr>
          <w:noProof/>
        </w:rPr>
        <w:fldChar w:fldCharType="begin"/>
      </w:r>
      <w:r w:rsidR="000919FE">
        <w:rPr>
          <w:noProof/>
        </w:rPr>
        <w:instrText xml:space="preserve"> SEQ Figure \* ARABIC </w:instrText>
      </w:r>
      <w:r w:rsidR="000919FE">
        <w:rPr>
          <w:noProof/>
        </w:rPr>
        <w:fldChar w:fldCharType="separate"/>
      </w:r>
      <w:r w:rsidR="003B6A3A">
        <w:rPr>
          <w:noProof/>
        </w:rPr>
        <w:t>2</w:t>
      </w:r>
      <w:r w:rsidR="000919FE">
        <w:rPr>
          <w:noProof/>
        </w:rPr>
        <w:fldChar w:fldCharType="end"/>
      </w:r>
      <w:r>
        <w:t xml:space="preserve"> – Modelled colorectal cancer natural history in </w:t>
      </w:r>
      <w:r>
        <w:rPr>
          <w:i/>
        </w:rPr>
        <w:t>Policy1-Bowel</w:t>
      </w:r>
      <w:r>
        <w:t xml:space="preserve">. </w:t>
      </w:r>
    </w:p>
    <w:p w14:paraId="2EA52AD8" w14:textId="11697D76" w:rsidR="0095770B" w:rsidRPr="0095770B" w:rsidRDefault="0095770B" w:rsidP="0095770B">
      <w:r>
        <w:rPr>
          <w:i/>
          <w:iCs/>
          <w:sz w:val="20"/>
          <w:szCs w:val="20"/>
        </w:rPr>
        <w:t>* Cancer patients surviving five years after diagnosis and treatment become cancer survivors. Cancer survivors in the model were assumed to have no additional risk of death due to colorectal cancer compared with the average population with no colorectal cancer.</w:t>
      </w:r>
    </w:p>
    <w:p w14:paraId="05588C83" w14:textId="77777777" w:rsidR="002C53CC" w:rsidRDefault="002C53CC" w:rsidP="006726DF">
      <w:pPr>
        <w:keepNext/>
        <w:spacing w:after="0"/>
      </w:pPr>
      <w:r>
        <w:rPr>
          <w:noProof/>
        </w:rPr>
        <w:lastRenderedPageBreak/>
        <w:drawing>
          <wp:inline distT="0" distB="0" distL="0" distR="0" wp14:anchorId="166A125B" wp14:editId="083B8E1C">
            <wp:extent cx="5239074" cy="392930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239074" cy="3929306"/>
                    </a:xfrm>
                    <a:prstGeom prst="rect">
                      <a:avLst/>
                    </a:prstGeom>
                    <a:noFill/>
                    <a:ln>
                      <a:noFill/>
                    </a:ln>
                    <a:extLst>
                      <a:ext uri="{53640926-AAD7-44D8-BBD7-CCE9431645EC}">
                        <a14:shadowObscured xmlns:a14="http://schemas.microsoft.com/office/drawing/2010/main"/>
                      </a:ext>
                    </a:extLst>
                  </pic:spPr>
                </pic:pic>
              </a:graphicData>
            </a:graphic>
          </wp:inline>
        </w:drawing>
      </w:r>
    </w:p>
    <w:p w14:paraId="20917F79" w14:textId="555ED47C" w:rsidR="00420E32" w:rsidRDefault="002C53CC" w:rsidP="002C53CC">
      <w:pPr>
        <w:pStyle w:val="Caption"/>
      </w:pPr>
      <w:r>
        <w:t>Figure A</w:t>
      </w:r>
      <w:r w:rsidR="000919FE">
        <w:rPr>
          <w:noProof/>
        </w:rPr>
        <w:fldChar w:fldCharType="begin"/>
      </w:r>
      <w:r w:rsidR="000919FE">
        <w:rPr>
          <w:noProof/>
        </w:rPr>
        <w:instrText xml:space="preserve"> SEQ Figure \* ARABIC </w:instrText>
      </w:r>
      <w:r w:rsidR="000919FE">
        <w:rPr>
          <w:noProof/>
        </w:rPr>
        <w:fldChar w:fldCharType="separate"/>
      </w:r>
      <w:r w:rsidR="003B6A3A">
        <w:rPr>
          <w:noProof/>
        </w:rPr>
        <w:t>3</w:t>
      </w:r>
      <w:r w:rsidR="000919FE">
        <w:rPr>
          <w:noProof/>
        </w:rPr>
        <w:fldChar w:fldCharType="end"/>
      </w:r>
      <w:r>
        <w:t xml:space="preserve"> – Modelled NBCSP screening management.</w:t>
      </w:r>
    </w:p>
    <w:p w14:paraId="6B996AAA" w14:textId="34079260" w:rsidR="006726DF" w:rsidRPr="0095770B" w:rsidRDefault="006726DF" w:rsidP="006726DF">
      <w:pPr>
        <w:pStyle w:val="Footnote0"/>
        <w:rPr>
          <w:i/>
          <w:sz w:val="22"/>
        </w:rPr>
      </w:pPr>
      <w:r w:rsidRPr="0095770B">
        <w:rPr>
          <w:i/>
          <w:sz w:val="22"/>
        </w:rPr>
        <w:t>AA- advanced adenoma; SS</w:t>
      </w:r>
      <w:r w:rsidR="00EE2605">
        <w:rPr>
          <w:i/>
          <w:sz w:val="22"/>
        </w:rPr>
        <w:t>P</w:t>
      </w:r>
      <w:r w:rsidRPr="0095770B">
        <w:rPr>
          <w:i/>
          <w:sz w:val="22"/>
        </w:rPr>
        <w:t xml:space="preserve"> – sessile serrated </w:t>
      </w:r>
      <w:r w:rsidR="00EE2605">
        <w:rPr>
          <w:i/>
          <w:sz w:val="22"/>
        </w:rPr>
        <w:t>polyp</w:t>
      </w:r>
      <w:r w:rsidRPr="0095770B">
        <w:rPr>
          <w:i/>
          <w:sz w:val="22"/>
        </w:rPr>
        <w:t>;</w:t>
      </w:r>
    </w:p>
    <w:p w14:paraId="779DDDFC" w14:textId="21872EE4" w:rsidR="006726DF" w:rsidRPr="0095770B" w:rsidRDefault="006726DF" w:rsidP="006726DF">
      <w:pPr>
        <w:pStyle w:val="Footnote0"/>
        <w:rPr>
          <w:i/>
          <w:sz w:val="22"/>
        </w:rPr>
      </w:pPr>
      <w:proofErr w:type="gramStart"/>
      <w:r w:rsidRPr="0095770B">
        <w:rPr>
          <w:i/>
          <w:sz w:val="22"/>
          <w:vertAlign w:val="superscript"/>
        </w:rPr>
        <w:t>a</w:t>
      </w:r>
      <w:proofErr w:type="gramEnd"/>
      <w:r w:rsidRPr="0095770B">
        <w:rPr>
          <w:i/>
          <w:sz w:val="22"/>
        </w:rPr>
        <w:t xml:space="preserve"> iFOBT kits </w:t>
      </w:r>
      <w:r w:rsidR="00EE2605">
        <w:rPr>
          <w:i/>
          <w:sz w:val="22"/>
        </w:rPr>
        <w:t>were</w:t>
      </w:r>
      <w:r w:rsidR="00EE2605" w:rsidRPr="0095770B">
        <w:rPr>
          <w:i/>
          <w:sz w:val="22"/>
        </w:rPr>
        <w:t xml:space="preserve"> </w:t>
      </w:r>
      <w:r w:rsidRPr="0095770B">
        <w:rPr>
          <w:i/>
          <w:sz w:val="22"/>
        </w:rPr>
        <w:t xml:space="preserve">assumed to </w:t>
      </w:r>
      <w:r w:rsidR="0095770B">
        <w:rPr>
          <w:i/>
          <w:sz w:val="22"/>
        </w:rPr>
        <w:t>be sent</w:t>
      </w:r>
      <w:r w:rsidRPr="0095770B">
        <w:rPr>
          <w:i/>
          <w:sz w:val="22"/>
        </w:rPr>
        <w:t xml:space="preserve"> to all individuals at eligible age</w:t>
      </w:r>
      <w:r w:rsidR="00EE2605">
        <w:rPr>
          <w:i/>
          <w:sz w:val="22"/>
        </w:rPr>
        <w:t>s</w:t>
      </w:r>
      <w:r w:rsidRPr="0095770B">
        <w:rPr>
          <w:i/>
          <w:sz w:val="22"/>
        </w:rPr>
        <w:t xml:space="preserve"> regardless of whether individuals were under surveillance colonoscopy management due to a previous positive colonoscopy finding. </w:t>
      </w:r>
    </w:p>
    <w:p w14:paraId="7E5A11D7" w14:textId="5A1E9547" w:rsidR="006726DF" w:rsidRPr="0095770B" w:rsidRDefault="006726DF" w:rsidP="006726DF">
      <w:pPr>
        <w:pStyle w:val="Footnote0"/>
        <w:rPr>
          <w:i/>
          <w:sz w:val="22"/>
        </w:rPr>
      </w:pPr>
      <w:r w:rsidRPr="0095770B">
        <w:rPr>
          <w:i/>
          <w:sz w:val="22"/>
          <w:vertAlign w:val="superscript"/>
        </w:rPr>
        <w:t>b</w:t>
      </w:r>
      <w:r w:rsidRPr="0095770B">
        <w:rPr>
          <w:i/>
          <w:sz w:val="22"/>
        </w:rPr>
        <w:t xml:space="preserve"> Among the returned kits, about 1.6% were assumed to be incorrectly completed; a new kit would be sent out to these cases for re-testing and the second test was assumed to always be correctly completed.</w:t>
      </w:r>
      <w:r w:rsidRPr="0095770B">
        <w:rPr>
          <w:i/>
          <w:sz w:val="22"/>
        </w:rPr>
        <w:fldChar w:fldCharType="begin"/>
      </w:r>
      <w:r w:rsidRPr="0095770B">
        <w:rPr>
          <w:i/>
          <w:sz w:val="22"/>
        </w:rPr>
        <w:instrText xml:space="preserve"> ADDIN REFMGR.CITE &lt;Refman&gt;&lt;Cite&gt;&lt;Author&gt;Australian Institute of Health and Welfare (AIHW)&lt;/Author&gt;&lt;Year&gt;2015&lt;/Year&gt;&lt;RecNum&gt;964&lt;/RecNum&gt;&lt;IDText&gt;National Bowel Cancer Screening Program: monitoring report 2013-14. Cancer series No. 94. Cat. no. CAN 94.&lt;/IDText&gt;&lt;MDL Ref_Type="Report"&gt;&lt;Ref_Type&gt;Report&lt;/Ref_Type&gt;&lt;Ref_ID&gt;964&lt;/Ref_ID&gt;&lt;Title_Primary&gt;National Bowel Cancer Screening Program: monitoring report 2013-14. Cancer series No. 94. Cat. no. CAN 94.&lt;/Title_Primary&gt;&lt;Authors_Primary&gt;Australian Institute of Health and Welfare (AIHW)&lt;/Authors_Primary&gt;&lt;Date_Primary&gt;2015&lt;/Date_Primary&gt;&lt;Keywords&gt;Neoplasms&lt;/Keywords&gt;&lt;Keywords&gt;bowel cancer&lt;/Keywords&gt;&lt;Keywords&gt;Cancer&lt;/Keywords&gt;&lt;Keywords&gt;Cancer screening&lt;/Keywords&gt;&lt;Keywords&gt;screening&lt;/Keywords&gt;&lt;Pub_Place&gt;Canberra&lt;/Pub_Place&gt;&lt;Publisher&gt;AIHW&lt;/Publisher&gt;&lt;ZZ_WorkformID&gt;24&lt;/ZZ_WorkformID&gt;&lt;/MDL&gt;&lt;/Cite&gt;&lt;/Refman&gt;</w:instrText>
      </w:r>
      <w:r w:rsidRPr="0095770B">
        <w:rPr>
          <w:i/>
          <w:sz w:val="22"/>
        </w:rPr>
        <w:fldChar w:fldCharType="separate"/>
      </w:r>
      <w:r w:rsidRPr="0095770B">
        <w:rPr>
          <w:i/>
          <w:noProof/>
          <w:sz w:val="22"/>
        </w:rPr>
        <w:t>(1)</w:t>
      </w:r>
      <w:r w:rsidRPr="0095770B">
        <w:rPr>
          <w:i/>
          <w:sz w:val="22"/>
        </w:rPr>
        <w:fldChar w:fldCharType="end"/>
      </w:r>
    </w:p>
    <w:p w14:paraId="606B6AB3" w14:textId="73C6D84A" w:rsidR="006726DF" w:rsidRPr="0095770B" w:rsidRDefault="006726DF" w:rsidP="006726DF">
      <w:pPr>
        <w:pStyle w:val="Footnote0"/>
        <w:rPr>
          <w:i/>
          <w:sz w:val="22"/>
        </w:rPr>
      </w:pPr>
      <w:r w:rsidRPr="0095770B">
        <w:rPr>
          <w:i/>
          <w:sz w:val="22"/>
          <w:vertAlign w:val="superscript"/>
        </w:rPr>
        <w:t>c</w:t>
      </w:r>
      <w:r w:rsidRPr="0095770B">
        <w:rPr>
          <w:i/>
          <w:sz w:val="22"/>
        </w:rPr>
        <w:t xml:space="preserve"> Polypectomy was assumed to </w:t>
      </w:r>
      <w:r w:rsidR="00EE2605">
        <w:rPr>
          <w:i/>
          <w:sz w:val="22"/>
        </w:rPr>
        <w:t xml:space="preserve">be </w:t>
      </w:r>
      <w:r w:rsidRPr="0095770B">
        <w:rPr>
          <w:i/>
          <w:sz w:val="22"/>
        </w:rPr>
        <w:t>performed on all detected adenomatous polyps.</w:t>
      </w:r>
    </w:p>
    <w:p w14:paraId="13E95023" w14:textId="0DDF042D" w:rsidR="006726DF" w:rsidRPr="0095770B" w:rsidRDefault="006726DF" w:rsidP="006726DF">
      <w:pPr>
        <w:pStyle w:val="Footnote0"/>
        <w:rPr>
          <w:i/>
          <w:sz w:val="22"/>
        </w:rPr>
      </w:pPr>
      <w:r w:rsidRPr="0095770B">
        <w:rPr>
          <w:i/>
          <w:sz w:val="22"/>
          <w:vertAlign w:val="superscript"/>
        </w:rPr>
        <w:t>d</w:t>
      </w:r>
      <w:r w:rsidRPr="0095770B">
        <w:rPr>
          <w:i/>
          <w:sz w:val="22"/>
        </w:rPr>
        <w:t xml:space="preserve"> Advanced adenoma are adenomas with large </w:t>
      </w:r>
      <w:r w:rsidR="002F0768" w:rsidRPr="0095770B">
        <w:rPr>
          <w:i/>
          <w:sz w:val="22"/>
        </w:rPr>
        <w:t>size or</w:t>
      </w:r>
      <w:r w:rsidRPr="0095770B">
        <w:rPr>
          <w:i/>
          <w:sz w:val="22"/>
        </w:rPr>
        <w:t xml:space="preserve"> possess</w:t>
      </w:r>
      <w:r w:rsidR="00EE2605">
        <w:rPr>
          <w:i/>
          <w:sz w:val="22"/>
        </w:rPr>
        <w:t>ing</w:t>
      </w:r>
      <w:r w:rsidRPr="0095770B">
        <w:rPr>
          <w:i/>
          <w:sz w:val="22"/>
        </w:rPr>
        <w:t xml:space="preserve"> characteristics of tubular villous/villous growth pattern </w:t>
      </w:r>
      <w:r w:rsidR="00EE2605">
        <w:rPr>
          <w:i/>
          <w:sz w:val="22"/>
        </w:rPr>
        <w:t>and/</w:t>
      </w:r>
      <w:r w:rsidRPr="0095770B">
        <w:rPr>
          <w:i/>
          <w:sz w:val="22"/>
        </w:rPr>
        <w:t>or high-grade dysplasia.</w:t>
      </w:r>
    </w:p>
    <w:p w14:paraId="78B412E5" w14:textId="6251A453" w:rsidR="006726DF" w:rsidRPr="0095770B" w:rsidRDefault="006726DF" w:rsidP="006726DF">
      <w:pPr>
        <w:pStyle w:val="Footnote0"/>
        <w:rPr>
          <w:i/>
          <w:sz w:val="22"/>
        </w:rPr>
      </w:pPr>
      <w:r w:rsidRPr="0095770B">
        <w:rPr>
          <w:i/>
          <w:sz w:val="22"/>
          <w:vertAlign w:val="superscript"/>
        </w:rPr>
        <w:t>e</w:t>
      </w:r>
      <w:r w:rsidRPr="0095770B">
        <w:rPr>
          <w:i/>
          <w:sz w:val="22"/>
        </w:rPr>
        <w:t xml:space="preserve"> Management for individuals who attend colonoscopy surveillance </w:t>
      </w:r>
      <w:r w:rsidR="00EE2605">
        <w:rPr>
          <w:i/>
          <w:sz w:val="22"/>
        </w:rPr>
        <w:t>was</w:t>
      </w:r>
      <w:r w:rsidR="00EE2605" w:rsidRPr="0095770B">
        <w:rPr>
          <w:i/>
          <w:sz w:val="22"/>
        </w:rPr>
        <w:t xml:space="preserve"> </w:t>
      </w:r>
      <w:r w:rsidRPr="0095770B">
        <w:rPr>
          <w:i/>
          <w:sz w:val="22"/>
        </w:rPr>
        <w:t xml:space="preserve">modelled based on guideline recommendations and expert consultation (for management not specified by the guideline). </w:t>
      </w:r>
    </w:p>
    <w:p w14:paraId="1850662B" w14:textId="77777777" w:rsidR="006726DF" w:rsidRPr="006726DF" w:rsidRDefault="006726DF" w:rsidP="006726DF"/>
    <w:p w14:paraId="75A41ADE" w14:textId="2448F9A3" w:rsidR="003F5E9F" w:rsidRPr="00E443D9" w:rsidRDefault="000736B8" w:rsidP="00E443D9">
      <w:pPr>
        <w:pStyle w:val="Heading1"/>
      </w:pPr>
      <w:r>
        <w:t xml:space="preserve">Appendix </w:t>
      </w:r>
      <w:r w:rsidR="0064442B">
        <w:t xml:space="preserve">B </w:t>
      </w:r>
      <w:r>
        <w:t xml:space="preserve">- </w:t>
      </w:r>
      <w:r w:rsidR="003F5E9F" w:rsidRPr="00E443D9">
        <w:t>Summary of key model parameters</w:t>
      </w:r>
      <w:bookmarkEnd w:id="1"/>
    </w:p>
    <w:p w14:paraId="7E11F53F" w14:textId="77777777" w:rsidR="003F5E9F" w:rsidRDefault="003F5E9F" w:rsidP="0065136C">
      <w:pPr>
        <w:pStyle w:val="Heading2"/>
      </w:pPr>
      <w:bookmarkStart w:id="2" w:name="_Toc503369590"/>
      <w:r>
        <w:t>Precancer natural history</w:t>
      </w:r>
      <w:bookmarkEnd w:id="2"/>
    </w:p>
    <w:p w14:paraId="1CB6EA44" w14:textId="7119F4B1" w:rsidR="00F73ADF" w:rsidRDefault="003F5E9F" w:rsidP="003F5E9F">
      <w:pPr>
        <w:rPr>
          <w:rFonts w:ascii="Calibri" w:hAnsi="Calibri"/>
        </w:rPr>
      </w:pPr>
      <w:r>
        <w:rPr>
          <w:rFonts w:ascii="Calibri" w:hAnsi="Calibri"/>
        </w:rPr>
        <w:t xml:space="preserve">The modelled precancer natural history assumptions were systematically calibrated to the data observed in COCOS trial (a Dutch trial of colorectal screening with colonoscopy and CT </w:t>
      </w:r>
    </w:p>
    <w:p w14:paraId="11FA6A3A" w14:textId="341CA91C" w:rsidR="003F5E9F" w:rsidRDefault="003F5E9F" w:rsidP="003F5E9F">
      <w:pPr>
        <w:rPr>
          <w:rFonts w:ascii="Calibri" w:hAnsi="Calibri"/>
        </w:rPr>
      </w:pPr>
      <w:r>
        <w:rPr>
          <w:rFonts w:ascii="Calibri" w:hAnsi="Calibri"/>
        </w:rPr>
        <w:lastRenderedPageBreak/>
        <w:t>colonography).</w:t>
      </w:r>
      <w:r w:rsidR="0026156B">
        <w:rPr>
          <w:rFonts w:ascii="Calibri" w:hAnsi="Calibri"/>
        </w:rPr>
        <w:fldChar w:fldCharType="begin">
          <w:fldData xml:space="preserve">PEVuZE5vdGU+PENpdGU+PEF1dGhvcj5TdG9vcDwvQXV0aG9yPjxZZWFyPjIwMTI8L1llYXI+PFJl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==
</w:fldData>
        </w:fldChar>
      </w:r>
      <w:r w:rsidR="001F6FE0">
        <w:rPr>
          <w:rFonts w:ascii="Calibri" w:hAnsi="Calibri"/>
        </w:rPr>
        <w:instrText xml:space="preserve"> ADDIN EN.CITE </w:instrText>
      </w:r>
      <w:r w:rsidR="001F6FE0">
        <w:rPr>
          <w:rFonts w:ascii="Calibri" w:hAnsi="Calibri"/>
        </w:rPr>
        <w:fldChar w:fldCharType="begin">
          <w:fldData xml:space="preserve">PEVuZE5vdGU+PENpdGU+PEF1dGhvcj5TdG9vcDwvQXV0aG9yPjxZZWFyPjIwMTI8L1llYXI+PFJl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==
</w:fldData>
        </w:fldChar>
      </w:r>
      <w:r w:rsidR="001F6FE0">
        <w:rPr>
          <w:rFonts w:ascii="Calibri" w:hAnsi="Calibri"/>
        </w:rPr>
        <w:instrText xml:space="preserve"> ADDIN EN.CITE.DATA </w:instrText>
      </w:r>
      <w:r w:rsidR="001F6FE0">
        <w:rPr>
          <w:rFonts w:ascii="Calibri" w:hAnsi="Calibri"/>
        </w:rPr>
      </w:r>
      <w:r w:rsidR="001F6FE0">
        <w:rPr>
          <w:rFonts w:ascii="Calibri" w:hAnsi="Calibri"/>
        </w:rPr>
        <w:fldChar w:fldCharType="end"/>
      </w:r>
      <w:r w:rsidR="0026156B">
        <w:rPr>
          <w:rFonts w:ascii="Calibri" w:hAnsi="Calibri"/>
        </w:rPr>
      </w:r>
      <w:r w:rsidR="0026156B">
        <w:rPr>
          <w:rFonts w:ascii="Calibri" w:hAnsi="Calibri"/>
        </w:rPr>
        <w:fldChar w:fldCharType="separate"/>
      </w:r>
      <w:r w:rsidR="001F6FE0">
        <w:rPr>
          <w:rFonts w:ascii="Calibri" w:hAnsi="Calibri"/>
          <w:noProof/>
        </w:rPr>
        <w:t>[1]</w:t>
      </w:r>
      <w:r w:rsidR="0026156B">
        <w:rPr>
          <w:rFonts w:ascii="Calibri" w:hAnsi="Calibri"/>
        </w:rPr>
        <w:fldChar w:fldCharType="end"/>
      </w:r>
      <w:r>
        <w:rPr>
          <w:rFonts w:ascii="Calibri" w:hAnsi="Calibri"/>
        </w:rPr>
        <w:t xml:space="preserve"> The calibration targets data including age- , sex- and size- specific prevalence of adenoma, advanced adenoma, and serrated lesions, proportion of adenoma by degree of dysplasia proportion of adenoma by degree of villosity, the distribution of  adenoma multiplicity, advanced adenoma multiplicity and serrated lesion multiplicity among individuals detected with bowel polyps. More than 800,000 scenarios with different natural history assumptions were assessed. The least-squares method was used to examine the goodness-of-fit of the natural history solutions. Detailed model calibration outcomes have been reported elsewhere.</w:t>
      </w:r>
      <w:r w:rsidR="0026156B">
        <w:rPr>
          <w:rFonts w:ascii="Calibri" w:hAnsi="Calibri"/>
        </w:rPr>
        <w:fldChar w:fldCharType="begin"/>
      </w:r>
      <w:r w:rsidR="003E59DC">
        <w:rPr>
          <w:rFonts w:ascii="Calibri" w:hAnsi="Calibri"/>
        </w:rPr>
        <w:instrText xml:space="preserve"> ADDIN EN.CITE &lt;EndNote&gt;&lt;Cite&gt;&lt;Author&gt;Lew&lt;/Author&gt;&lt;Year&gt;2017&lt;/Year&gt;&lt;RecNum&gt;1089&lt;/RecNum&gt;&lt;DisplayText&gt;[2]&lt;/DisplayText&gt;&lt;record&gt;&lt;rec-number&gt;1089&lt;/rec-number&gt;&lt;foreign-keys&gt;&lt;key app="EN" db-id="x50da5ezff5faue2296x5z26twvpfe5wa90e" timestamp="1561088186"&gt;1089&lt;/key&gt;&lt;/foreign-keys&gt;&lt;ref-type name="Journal Article"&gt;17&lt;/ref-type&gt;&lt;contributors&gt;&lt;authors&gt;&lt;author&gt;Lew, Jie Bin&lt;/author&gt;&lt;author&gt;St John, D. James&lt;/author&gt;&lt;author&gt;Xu, Xiang Ming&lt;/author&gt;&lt;author&gt;Greuter, Marjolein J. E.&lt;/author&gt;&lt;author&gt;Caruana, Michael&lt;/author&gt;&lt;author&gt;Cenin, Dayna R.&lt;/author&gt;&lt;author&gt;He, Emily&lt;/author&gt;&lt;author&gt;Saville, Marion&lt;/author&gt;&lt;author&gt;Grogan, Paul&lt;/author&gt;&lt;author&gt;Coup+©, Veerle M. H.&lt;/author&gt;&lt;author&gt;Canfell, Karen&lt;/author&gt;&lt;/authors&gt;&lt;/contributors&gt;&lt;titles&gt;&lt;title&gt;Long-term evaluation of benefits, harms, and cost-effectiveness of the National Bowel Cancer Screening Program in Australia: a modelling study&lt;/title&gt;&lt;secondary-title&gt;Lancet Public Health&lt;/secondary-title&gt;&lt;/titles&gt;&lt;periodical&gt;&lt;full-title&gt;Lancet Public Health&lt;/full-title&gt;&lt;abbr-1&gt;The Lancet. Public health&lt;/abbr-1&gt;&lt;/periodical&gt;&lt;pages&gt;e331-e340&lt;/pages&gt;&lt;volume&gt;2&lt;/volume&gt;&lt;reprint-edition&gt;NOT IN FILE&lt;/reprint-edition&gt;&lt;keywords&gt;&lt;keyword&gt;analysis&lt;/keyword&gt;&lt;keyword&gt;Australia&lt;/keyword&gt;&lt;keyword&gt;blood&lt;/keyword&gt;&lt;keyword&gt;bowel cancer&lt;/keyword&gt;&lt;keyword&gt;Cancer&lt;/keyword&gt;&lt;keyword&gt;Cancer screening&lt;/keyword&gt;&lt;keyword&gt;Colonoscopy&lt;/keyword&gt;&lt;keyword&gt;control&lt;/keyword&gt;&lt;keyword&gt;cost effectiveness&lt;/keyword&gt;&lt;keyword&gt;diagnosis&lt;/keyword&gt;&lt;keyword&gt;Health&lt;/keyword&gt;&lt;keyword&gt;history&lt;/keyword&gt;&lt;keyword&gt;methods&lt;/keyword&gt;&lt;keyword&gt;NSW&lt;/keyword&gt;&lt;keyword&gt;Occult Blood&lt;/keyword&gt;&lt;keyword&gt;Population&lt;/keyword&gt;&lt;keyword&gt;screening&lt;/keyword&gt;&lt;keyword&gt;use&lt;/keyword&gt;&lt;/keywords&gt;&lt;dates&gt;&lt;year&gt;2017&lt;/year&gt;&lt;/dates&gt;&lt;publisher&gt;Elsevier&lt;/publisher&gt;&lt;isbn&gt;2468-2667&lt;/isbn&gt;&lt;urls&gt;&lt;related-urls&gt;&lt;url&gt;http://dx.doi.org/10.1016/S2468-2667(17)30105-6&lt;/url&gt;&lt;/related-urls&gt;&lt;/urls&gt;&lt;electronic-resource-num&gt;10.1016/S2468-2667(17)30105-6&lt;/electronic-resource-num&gt;&lt;/record&gt;&lt;/Cite&gt;&lt;/EndNote&gt;</w:instrText>
      </w:r>
      <w:r w:rsidR="0026156B">
        <w:rPr>
          <w:rFonts w:ascii="Calibri" w:hAnsi="Calibri"/>
        </w:rPr>
        <w:fldChar w:fldCharType="separate"/>
      </w:r>
      <w:r w:rsidR="001F6FE0">
        <w:rPr>
          <w:rFonts w:ascii="Calibri" w:hAnsi="Calibri"/>
          <w:noProof/>
        </w:rPr>
        <w:t>[2]</w:t>
      </w:r>
      <w:r w:rsidR="0026156B">
        <w:rPr>
          <w:rFonts w:ascii="Calibri" w:hAnsi="Calibri"/>
        </w:rPr>
        <w:fldChar w:fldCharType="end"/>
      </w:r>
      <w:r>
        <w:rPr>
          <w:rFonts w:ascii="Calibri" w:hAnsi="Calibri"/>
        </w:rPr>
        <w:t xml:space="preserve"> The set of natural history assumptions which best fitted to the COCOS data was selected for base case analysis; the natural history sets that predicted the highest colorectal cancer incidence/mortality rate among the top 200 best fitted natural history sets were selected for alternative natural history assumptions for uncertainty analysis (</w:t>
      </w:r>
      <w:r w:rsidR="00824A95">
        <w:rPr>
          <w:rFonts w:ascii="Calibri" w:hAnsi="Calibri"/>
        </w:rPr>
        <w:fldChar w:fldCharType="begin"/>
      </w:r>
      <w:r w:rsidR="00824A95">
        <w:rPr>
          <w:rFonts w:ascii="Calibri" w:hAnsi="Calibri"/>
        </w:rPr>
        <w:instrText xml:space="preserve"> REF _Ref451852203 \h  \* MERGEFORMAT </w:instrText>
      </w:r>
      <w:r w:rsidR="00824A95">
        <w:rPr>
          <w:rFonts w:ascii="Calibri" w:hAnsi="Calibri"/>
        </w:rPr>
      </w:r>
      <w:r w:rsidR="00824A95">
        <w:rPr>
          <w:rFonts w:ascii="Calibri" w:hAnsi="Calibri"/>
        </w:rPr>
        <w:fldChar w:fldCharType="separate"/>
      </w:r>
      <w:r w:rsidR="003B6A3A">
        <w:rPr>
          <w:rFonts w:ascii="Calibri" w:hAnsi="Calibri"/>
        </w:rPr>
        <w:t xml:space="preserve">Table </w:t>
      </w:r>
      <w:r w:rsidR="00824A95">
        <w:rPr>
          <w:rFonts w:ascii="Calibri" w:hAnsi="Calibri"/>
        </w:rPr>
        <w:fldChar w:fldCharType="end"/>
      </w:r>
      <w:r w:rsidR="0065136C">
        <w:rPr>
          <w:rFonts w:ascii="Calibri" w:hAnsi="Calibri"/>
        </w:rPr>
        <w:t>B</w:t>
      </w:r>
      <w:r w:rsidR="00824A95">
        <w:rPr>
          <w:rFonts w:ascii="Calibri" w:hAnsi="Calibri"/>
        </w:rPr>
        <w:t>2</w:t>
      </w:r>
      <w:r>
        <w:rPr>
          <w:rFonts w:ascii="Calibri" w:hAnsi="Calibri"/>
        </w:rPr>
        <w:t xml:space="preserve">).  </w:t>
      </w:r>
      <w:r w:rsidR="00824A95">
        <w:rPr>
          <w:rFonts w:ascii="Calibri" w:hAnsi="Calibri"/>
        </w:rPr>
        <w:fldChar w:fldCharType="begin"/>
      </w:r>
      <w:r w:rsidR="00824A95">
        <w:rPr>
          <w:rFonts w:ascii="Calibri" w:hAnsi="Calibri"/>
        </w:rPr>
        <w:instrText xml:space="preserve"> REF _Ref487801336 \h </w:instrText>
      </w:r>
      <w:r w:rsidR="00824A95">
        <w:rPr>
          <w:rFonts w:ascii="Calibri" w:hAnsi="Calibri"/>
        </w:rPr>
      </w:r>
      <w:r w:rsidR="00824A95">
        <w:rPr>
          <w:rFonts w:ascii="Calibri" w:hAnsi="Calibri"/>
        </w:rPr>
        <w:fldChar w:fldCharType="separate"/>
      </w:r>
      <w:r w:rsidR="003B6A3A">
        <w:t>Figure B</w:t>
      </w:r>
      <w:r w:rsidR="00824A95">
        <w:rPr>
          <w:rFonts w:ascii="Calibri" w:hAnsi="Calibri"/>
        </w:rPr>
        <w:fldChar w:fldCharType="end"/>
      </w:r>
      <w:r w:rsidR="00824A95">
        <w:rPr>
          <w:rFonts w:ascii="Calibri" w:hAnsi="Calibri"/>
        </w:rPr>
        <w:t xml:space="preserve">1 </w:t>
      </w:r>
      <w:r>
        <w:rPr>
          <w:rFonts w:ascii="Calibri" w:hAnsi="Calibri"/>
        </w:rPr>
        <w:t xml:space="preserve">compares the modelled age-specific colorectal cancer incidence and mortality rates associated with the base case and the alternative precancer natural history assumptions evaluated in the sensitivity analysis. </w:t>
      </w:r>
      <w:bookmarkStart w:id="3" w:name="_Hlk512352993"/>
      <w:r>
        <w:rPr>
          <w:rFonts w:ascii="Calibri" w:hAnsi="Calibri"/>
        </w:rPr>
        <w:t>The age-standardised colorectal cancer incidence rate and colorectal cancer mortality rate per 100,000 persons associated was 62.5 and 23.1, respectively when assuming the base case natural history assumptions. The corresponding rates were 53.2 and 19.6 respectively when assuming the least aggressive natural history assumptions, and 75.1 and 28.7 respectively when assuming the most aggressive natural history assumptions.</w:t>
      </w:r>
    </w:p>
    <w:p w14:paraId="4EC9DBC1" w14:textId="0C6480C7" w:rsidR="003F5E9F" w:rsidRDefault="003F5E9F" w:rsidP="003F5E9F">
      <w:pPr>
        <w:pStyle w:val="Caption"/>
        <w:rPr>
          <w:rFonts w:ascii="Calibri" w:hAnsi="Calibri"/>
        </w:rPr>
      </w:pPr>
      <w:bookmarkStart w:id="4" w:name="_Ref451852203"/>
      <w:bookmarkEnd w:id="3"/>
      <w:r>
        <w:rPr>
          <w:rFonts w:ascii="Calibri" w:hAnsi="Calibri"/>
        </w:rPr>
        <w:t xml:space="preserve">Table </w:t>
      </w:r>
      <w:bookmarkEnd w:id="4"/>
      <w:r w:rsidR="0064442B">
        <w:rPr>
          <w:rFonts w:ascii="Calibri" w:hAnsi="Calibri"/>
        </w:rPr>
        <w:t>B</w:t>
      </w:r>
      <w:r w:rsidR="0064442B">
        <w:t>2</w:t>
      </w:r>
      <w:r w:rsidR="0064442B">
        <w:rPr>
          <w:rFonts w:ascii="Calibri" w:hAnsi="Calibri"/>
        </w:rPr>
        <w:t xml:space="preserve"> </w:t>
      </w:r>
      <w:r w:rsidR="0065136C">
        <w:rPr>
          <w:rFonts w:ascii="Calibri" w:hAnsi="Calibri"/>
        </w:rPr>
        <w:t xml:space="preserve">- </w:t>
      </w:r>
      <w:r>
        <w:rPr>
          <w:rFonts w:ascii="Calibri" w:hAnsi="Calibri"/>
        </w:rPr>
        <w:t xml:space="preserve">Summary of modelled natural history parameters of the conventional adenoma pathway and serrated </w:t>
      </w:r>
      <w:r w:rsidR="003B6A3A">
        <w:rPr>
          <w:rFonts w:ascii="Calibri" w:hAnsi="Calibri"/>
        </w:rPr>
        <w:t xml:space="preserve">polyp </w:t>
      </w:r>
      <w:r>
        <w:rPr>
          <w:rFonts w:ascii="Calibri" w:hAnsi="Calibri"/>
        </w:rPr>
        <w:t>pathway of colorectal cancer development</w:t>
      </w:r>
      <w:r w:rsidR="00F73ADF">
        <w:rPr>
          <w:rFonts w:ascii="Calibri" w:hAnsi="Calibri"/>
        </w:rPr>
        <w:t>.</w:t>
      </w:r>
    </w:p>
    <w:tbl>
      <w:tblPr>
        <w:tblpPr w:leftFromText="180" w:rightFromText="180" w:vertAnchor="text" w:horzAnchor="margin" w:tblpY="81"/>
        <w:tblW w:w="8926" w:type="dxa"/>
        <w:tblLayout w:type="fixed"/>
        <w:tblLook w:val="04A0" w:firstRow="1" w:lastRow="0" w:firstColumn="1" w:lastColumn="0" w:noHBand="0" w:noVBand="1"/>
      </w:tblPr>
      <w:tblGrid>
        <w:gridCol w:w="265"/>
        <w:gridCol w:w="4447"/>
        <w:gridCol w:w="1134"/>
        <w:gridCol w:w="1520"/>
        <w:gridCol w:w="1560"/>
      </w:tblGrid>
      <w:tr w:rsidR="00F73ADF" w14:paraId="00A0F056" w14:textId="77777777" w:rsidTr="00F73ADF">
        <w:trPr>
          <w:trHeight w:val="300"/>
          <w:tblHeader/>
        </w:trPr>
        <w:tc>
          <w:tcPr>
            <w:tcW w:w="4712" w:type="dxa"/>
            <w:gridSpan w:val="2"/>
            <w:tcBorders>
              <w:top w:val="single" w:sz="4" w:space="0" w:color="auto"/>
              <w:left w:val="single" w:sz="4" w:space="0" w:color="auto"/>
              <w:bottom w:val="single" w:sz="4" w:space="0" w:color="auto"/>
              <w:right w:val="single" w:sz="4" w:space="0" w:color="auto"/>
            </w:tcBorders>
            <w:vAlign w:val="center"/>
          </w:tcPr>
          <w:p w14:paraId="02B2D0EA" w14:textId="77777777" w:rsidR="00F73ADF" w:rsidRPr="00F73ADF" w:rsidRDefault="00F73ADF" w:rsidP="00F73ADF">
            <w:pPr>
              <w:spacing w:after="0" w:line="240" w:lineRule="auto"/>
              <w:rPr>
                <w:rFonts w:ascii="Calibri" w:hAnsi="Calibri" w:cs="Times New Roman"/>
              </w:rPr>
            </w:pPr>
            <w:r w:rsidRPr="00F73ADF">
              <w:rPr>
                <w:rFonts w:ascii="Calibri" w:hAnsi="Calibri" w:cs="Times New Roman"/>
                <w:b/>
                <w:bCs/>
              </w:rPr>
              <w:t>Parameters</w:t>
            </w:r>
          </w:p>
        </w:tc>
        <w:tc>
          <w:tcPr>
            <w:tcW w:w="1134" w:type="dxa"/>
            <w:tcBorders>
              <w:top w:val="single" w:sz="4" w:space="0" w:color="auto"/>
              <w:left w:val="nil"/>
              <w:bottom w:val="single" w:sz="4" w:space="0" w:color="auto"/>
              <w:right w:val="single" w:sz="4" w:space="0" w:color="auto"/>
            </w:tcBorders>
            <w:vAlign w:val="center"/>
          </w:tcPr>
          <w:p w14:paraId="21054773" w14:textId="77777777" w:rsidR="00F73ADF" w:rsidRPr="00F73ADF" w:rsidRDefault="00F73ADF" w:rsidP="00F73ADF">
            <w:pPr>
              <w:spacing w:after="0" w:line="240" w:lineRule="auto"/>
              <w:rPr>
                <w:rFonts w:ascii="Calibri" w:hAnsi="Calibri" w:cs="Times New Roman"/>
              </w:rPr>
            </w:pPr>
            <w:r w:rsidRPr="00F73ADF">
              <w:rPr>
                <w:rFonts w:ascii="Calibri" w:hAnsi="Calibri" w:cs="Times New Roman"/>
                <w:b/>
                <w:bCs/>
              </w:rPr>
              <w:t>Baseline</w:t>
            </w:r>
          </w:p>
        </w:tc>
        <w:tc>
          <w:tcPr>
            <w:tcW w:w="1520" w:type="dxa"/>
            <w:tcBorders>
              <w:top w:val="single" w:sz="4" w:space="0" w:color="auto"/>
              <w:left w:val="nil"/>
              <w:bottom w:val="single" w:sz="4" w:space="0" w:color="auto"/>
              <w:right w:val="single" w:sz="4" w:space="0" w:color="auto"/>
            </w:tcBorders>
            <w:vAlign w:val="bottom"/>
          </w:tcPr>
          <w:p w14:paraId="6292C139" w14:textId="77777777" w:rsidR="00F73ADF" w:rsidRPr="00F73ADF" w:rsidRDefault="00F73ADF" w:rsidP="00F42F36">
            <w:pPr>
              <w:spacing w:after="0" w:line="240" w:lineRule="auto"/>
              <w:rPr>
                <w:rFonts w:ascii="Calibri" w:hAnsi="Calibri" w:cs="Times New Roman"/>
                <w:b/>
                <w:bCs/>
                <w:sz w:val="18"/>
                <w:szCs w:val="18"/>
              </w:rPr>
            </w:pPr>
            <w:r w:rsidRPr="00F73ADF">
              <w:rPr>
                <w:rFonts w:ascii="Calibri" w:hAnsi="Calibri" w:cs="Times New Roman"/>
                <w:b/>
                <w:bCs/>
                <w:sz w:val="18"/>
                <w:szCs w:val="18"/>
              </w:rPr>
              <w:t xml:space="preserve">Most aggressive </w:t>
            </w:r>
          </w:p>
          <w:p w14:paraId="330B8C43" w14:textId="77777777" w:rsidR="00F73ADF" w:rsidRPr="00F73ADF" w:rsidRDefault="00F73ADF" w:rsidP="00F42F36">
            <w:pPr>
              <w:spacing w:after="0" w:line="240" w:lineRule="auto"/>
              <w:rPr>
                <w:rFonts w:ascii="Calibri" w:hAnsi="Calibri" w:cs="Times New Roman"/>
                <w:sz w:val="18"/>
                <w:szCs w:val="18"/>
              </w:rPr>
            </w:pPr>
            <w:r w:rsidRPr="00F73ADF">
              <w:rPr>
                <w:rFonts w:ascii="Calibri" w:hAnsi="Calibri" w:cs="Times New Roman"/>
                <w:b/>
                <w:bCs/>
                <w:sz w:val="18"/>
                <w:szCs w:val="18"/>
              </w:rPr>
              <w:t xml:space="preserve">precancer natural history  </w:t>
            </w:r>
          </w:p>
        </w:tc>
        <w:tc>
          <w:tcPr>
            <w:tcW w:w="1560" w:type="dxa"/>
            <w:tcBorders>
              <w:top w:val="single" w:sz="4" w:space="0" w:color="auto"/>
              <w:left w:val="nil"/>
              <w:bottom w:val="single" w:sz="4" w:space="0" w:color="auto"/>
              <w:right w:val="single" w:sz="4" w:space="0" w:color="auto"/>
            </w:tcBorders>
          </w:tcPr>
          <w:p w14:paraId="5D10B709" w14:textId="77777777" w:rsidR="00F73ADF" w:rsidRPr="00F73ADF" w:rsidRDefault="00F73ADF" w:rsidP="00F42F36">
            <w:pPr>
              <w:spacing w:after="0" w:line="240" w:lineRule="auto"/>
              <w:rPr>
                <w:rFonts w:ascii="Calibri" w:hAnsi="Calibri" w:cs="Times New Roman"/>
                <w:b/>
                <w:bCs/>
                <w:sz w:val="18"/>
                <w:szCs w:val="18"/>
              </w:rPr>
            </w:pPr>
            <w:r w:rsidRPr="00F73ADF">
              <w:rPr>
                <w:rFonts w:ascii="Calibri" w:hAnsi="Calibri" w:cs="Times New Roman"/>
                <w:b/>
                <w:bCs/>
                <w:sz w:val="18"/>
                <w:szCs w:val="18"/>
              </w:rPr>
              <w:t xml:space="preserve">Least aggressive </w:t>
            </w:r>
          </w:p>
          <w:p w14:paraId="654AC629" w14:textId="77777777" w:rsidR="00F73ADF" w:rsidRPr="00F73ADF" w:rsidRDefault="00F73ADF" w:rsidP="00F42F36">
            <w:pPr>
              <w:spacing w:after="0" w:line="240" w:lineRule="auto"/>
              <w:rPr>
                <w:rFonts w:ascii="Calibri" w:hAnsi="Calibri" w:cs="Times New Roman"/>
                <w:b/>
                <w:bCs/>
                <w:sz w:val="18"/>
                <w:szCs w:val="18"/>
              </w:rPr>
            </w:pPr>
            <w:r w:rsidRPr="00F73ADF">
              <w:rPr>
                <w:rFonts w:ascii="Calibri" w:hAnsi="Calibri" w:cs="Times New Roman"/>
                <w:b/>
                <w:bCs/>
                <w:sz w:val="18"/>
                <w:szCs w:val="18"/>
              </w:rPr>
              <w:t>precancer natural history</w:t>
            </w:r>
          </w:p>
        </w:tc>
      </w:tr>
      <w:tr w:rsidR="00F73ADF" w14:paraId="1F87D079" w14:textId="77777777" w:rsidTr="00F73ADF">
        <w:trPr>
          <w:trHeight w:val="300"/>
        </w:trPr>
        <w:tc>
          <w:tcPr>
            <w:tcW w:w="8926" w:type="dxa"/>
            <w:gridSpan w:val="5"/>
            <w:tcBorders>
              <w:top w:val="nil"/>
              <w:left w:val="single" w:sz="4" w:space="0" w:color="auto"/>
              <w:bottom w:val="single" w:sz="4" w:space="0" w:color="auto"/>
              <w:right w:val="single" w:sz="4" w:space="0" w:color="auto"/>
            </w:tcBorders>
            <w:vAlign w:val="center"/>
          </w:tcPr>
          <w:p w14:paraId="1C6D133D" w14:textId="7AFAE32D" w:rsidR="00F73ADF" w:rsidRDefault="00F73ADF" w:rsidP="00F73ADF">
            <w:pPr>
              <w:pStyle w:val="Default"/>
              <w:rPr>
                <w:b/>
                <w:bCs/>
                <w:sz w:val="22"/>
                <w:szCs w:val="22"/>
              </w:rPr>
            </w:pPr>
            <w:r>
              <w:rPr>
                <w:b/>
                <w:bCs/>
                <w:sz w:val="22"/>
                <w:szCs w:val="22"/>
              </w:rPr>
              <w:t xml:space="preserve">Conventional adenoma-carcinoma Pathways </w:t>
            </w:r>
          </w:p>
        </w:tc>
      </w:tr>
      <w:tr w:rsidR="00F73ADF" w14:paraId="560EDD0B"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3F3B03D5" w14:textId="44D4718C" w:rsidR="00F73ADF" w:rsidRDefault="00F73ADF" w:rsidP="00F42F36">
            <w:pPr>
              <w:pStyle w:val="Default"/>
              <w:rPr>
                <w:i/>
                <w:iCs/>
                <w:sz w:val="22"/>
                <w:szCs w:val="22"/>
              </w:rPr>
            </w:pPr>
            <w:r>
              <w:rPr>
                <w:i/>
                <w:iCs/>
                <w:sz w:val="22"/>
                <w:szCs w:val="22"/>
              </w:rPr>
              <w:t xml:space="preserve">Adenoma incidence rate </w:t>
            </w:r>
            <w:r w:rsidRPr="001E1E31">
              <w:rPr>
                <w:i/>
                <w:iCs/>
                <w:sz w:val="22"/>
                <w:szCs w:val="22"/>
                <w:vertAlign w:val="superscript"/>
              </w:rPr>
              <w:t>a</w:t>
            </w:r>
          </w:p>
        </w:tc>
      </w:tr>
      <w:tr w:rsidR="0070545B" w14:paraId="7CA2C3B5" w14:textId="77777777" w:rsidTr="0070545B">
        <w:trPr>
          <w:trHeight w:val="300"/>
        </w:trPr>
        <w:tc>
          <w:tcPr>
            <w:tcW w:w="265" w:type="dxa"/>
            <w:tcBorders>
              <w:top w:val="nil"/>
              <w:left w:val="single" w:sz="4" w:space="0" w:color="auto"/>
              <w:bottom w:val="single" w:sz="4" w:space="0" w:color="auto"/>
              <w:right w:val="nil"/>
            </w:tcBorders>
            <w:vAlign w:val="bottom"/>
            <w:hideMark/>
          </w:tcPr>
          <w:p w14:paraId="1342C099"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2E359A5" w14:textId="77777777" w:rsidR="0070545B" w:rsidRDefault="0070545B" w:rsidP="0070545B">
            <w:pPr>
              <w:spacing w:after="0" w:line="240" w:lineRule="auto"/>
              <w:rPr>
                <w:rFonts w:ascii="Calibri" w:hAnsi="Calibri" w:cs="Times New Roman"/>
              </w:rPr>
            </w:pPr>
            <w:r>
              <w:rPr>
                <w:rFonts w:ascii="Calibri" w:hAnsi="Calibri" w:cs="Times New Roman"/>
              </w:rPr>
              <w:t>Male, 20-39 years</w:t>
            </w:r>
          </w:p>
        </w:tc>
        <w:tc>
          <w:tcPr>
            <w:tcW w:w="1134" w:type="dxa"/>
            <w:tcBorders>
              <w:top w:val="nil"/>
              <w:left w:val="nil"/>
              <w:bottom w:val="single" w:sz="4" w:space="0" w:color="auto"/>
              <w:right w:val="single" w:sz="4" w:space="0" w:color="auto"/>
            </w:tcBorders>
            <w:vAlign w:val="bottom"/>
            <w:hideMark/>
          </w:tcPr>
          <w:p w14:paraId="66F2BAEC" w14:textId="77777777" w:rsidR="0070545B" w:rsidRDefault="0070545B" w:rsidP="0070545B">
            <w:pPr>
              <w:spacing w:after="0" w:line="240" w:lineRule="auto"/>
              <w:jc w:val="center"/>
              <w:rPr>
                <w:rFonts w:ascii="Calibri" w:hAnsi="Calibri" w:cs="Times New Roman"/>
              </w:rPr>
            </w:pPr>
            <w:r>
              <w:rPr>
                <w:rFonts w:ascii="Calibri" w:hAnsi="Calibri" w:cs="Times New Roman"/>
              </w:rPr>
              <w:t>0.01%</w:t>
            </w:r>
          </w:p>
        </w:tc>
        <w:tc>
          <w:tcPr>
            <w:tcW w:w="1520" w:type="dxa"/>
            <w:tcBorders>
              <w:top w:val="nil"/>
              <w:left w:val="nil"/>
              <w:bottom w:val="single" w:sz="4" w:space="0" w:color="auto"/>
              <w:right w:val="single" w:sz="4" w:space="0" w:color="auto"/>
            </w:tcBorders>
            <w:vAlign w:val="bottom"/>
            <w:hideMark/>
          </w:tcPr>
          <w:p w14:paraId="08F9E17B" w14:textId="06FD27D2" w:rsidR="0070545B" w:rsidRDefault="0070545B" w:rsidP="0070545B">
            <w:pPr>
              <w:spacing w:after="0" w:line="240" w:lineRule="auto"/>
              <w:jc w:val="center"/>
              <w:rPr>
                <w:rFonts w:ascii="Calibri" w:hAnsi="Calibri" w:cs="Times New Roman"/>
              </w:rPr>
            </w:pPr>
            <w:r w:rsidRPr="0070545B">
              <w:rPr>
                <w:rFonts w:ascii="Calibri" w:hAnsi="Calibri" w:cs="Times New Roman"/>
              </w:rPr>
              <w:t>0.03% </w:t>
            </w:r>
          </w:p>
        </w:tc>
        <w:tc>
          <w:tcPr>
            <w:tcW w:w="1560" w:type="dxa"/>
            <w:tcBorders>
              <w:top w:val="nil"/>
              <w:left w:val="nil"/>
              <w:bottom w:val="single" w:sz="4" w:space="0" w:color="auto"/>
              <w:right w:val="single" w:sz="4" w:space="0" w:color="auto"/>
            </w:tcBorders>
            <w:vAlign w:val="bottom"/>
          </w:tcPr>
          <w:p w14:paraId="754BEBD2" w14:textId="38ED54E4"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0.01% </w:t>
            </w:r>
          </w:p>
        </w:tc>
      </w:tr>
      <w:tr w:rsidR="0070545B" w14:paraId="417438D5" w14:textId="77777777" w:rsidTr="0070545B">
        <w:trPr>
          <w:trHeight w:val="300"/>
        </w:trPr>
        <w:tc>
          <w:tcPr>
            <w:tcW w:w="265" w:type="dxa"/>
            <w:tcBorders>
              <w:top w:val="nil"/>
              <w:left w:val="single" w:sz="4" w:space="0" w:color="auto"/>
              <w:bottom w:val="single" w:sz="4" w:space="0" w:color="auto"/>
              <w:right w:val="nil"/>
            </w:tcBorders>
            <w:vAlign w:val="bottom"/>
            <w:hideMark/>
          </w:tcPr>
          <w:p w14:paraId="0B3AF0AA"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F2F719D" w14:textId="77777777" w:rsidR="0070545B" w:rsidRDefault="0070545B" w:rsidP="0070545B">
            <w:pPr>
              <w:spacing w:after="0" w:line="240" w:lineRule="auto"/>
              <w:rPr>
                <w:rFonts w:ascii="Calibri" w:hAnsi="Calibri" w:cs="Times New Roman"/>
              </w:rPr>
            </w:pPr>
            <w:r>
              <w:rPr>
                <w:rFonts w:ascii="Calibri" w:hAnsi="Calibri" w:cs="Times New Roman"/>
              </w:rPr>
              <w:t>Male, 40-49 years</w:t>
            </w:r>
          </w:p>
        </w:tc>
        <w:tc>
          <w:tcPr>
            <w:tcW w:w="1134" w:type="dxa"/>
            <w:tcBorders>
              <w:top w:val="nil"/>
              <w:left w:val="nil"/>
              <w:bottom w:val="single" w:sz="4" w:space="0" w:color="auto"/>
              <w:right w:val="single" w:sz="4" w:space="0" w:color="auto"/>
            </w:tcBorders>
            <w:vAlign w:val="bottom"/>
            <w:hideMark/>
          </w:tcPr>
          <w:p w14:paraId="0A26754C" w14:textId="77777777" w:rsidR="0070545B" w:rsidRDefault="0070545B" w:rsidP="0070545B">
            <w:pPr>
              <w:spacing w:after="0" w:line="240" w:lineRule="auto"/>
              <w:jc w:val="center"/>
              <w:rPr>
                <w:rFonts w:ascii="Calibri" w:hAnsi="Calibri" w:cs="Times New Roman"/>
              </w:rPr>
            </w:pPr>
            <w:r>
              <w:rPr>
                <w:rFonts w:ascii="Calibri" w:hAnsi="Calibri" w:cs="Times New Roman"/>
              </w:rPr>
              <w:t>0.07%</w:t>
            </w:r>
          </w:p>
        </w:tc>
        <w:tc>
          <w:tcPr>
            <w:tcW w:w="1520" w:type="dxa"/>
            <w:tcBorders>
              <w:top w:val="nil"/>
              <w:left w:val="nil"/>
              <w:bottom w:val="single" w:sz="4" w:space="0" w:color="auto"/>
              <w:right w:val="single" w:sz="4" w:space="0" w:color="auto"/>
            </w:tcBorders>
            <w:vAlign w:val="bottom"/>
            <w:hideMark/>
          </w:tcPr>
          <w:p w14:paraId="006E8F66" w14:textId="03DE921D" w:rsidR="0070545B" w:rsidRDefault="0070545B" w:rsidP="0070545B">
            <w:pPr>
              <w:spacing w:after="0" w:line="240" w:lineRule="auto"/>
              <w:jc w:val="center"/>
              <w:rPr>
                <w:rFonts w:ascii="Calibri" w:hAnsi="Calibri" w:cs="Times New Roman"/>
              </w:rPr>
            </w:pPr>
            <w:r w:rsidRPr="0070545B">
              <w:rPr>
                <w:rFonts w:ascii="Calibri" w:hAnsi="Calibri" w:cs="Times New Roman"/>
              </w:rPr>
              <w:t>0.09% </w:t>
            </w:r>
          </w:p>
        </w:tc>
        <w:tc>
          <w:tcPr>
            <w:tcW w:w="1560" w:type="dxa"/>
            <w:tcBorders>
              <w:top w:val="nil"/>
              <w:left w:val="nil"/>
              <w:bottom w:val="single" w:sz="4" w:space="0" w:color="auto"/>
              <w:right w:val="single" w:sz="4" w:space="0" w:color="auto"/>
            </w:tcBorders>
            <w:vAlign w:val="bottom"/>
          </w:tcPr>
          <w:p w14:paraId="2C7FE4AB" w14:textId="0C980980"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0.05% </w:t>
            </w:r>
          </w:p>
        </w:tc>
      </w:tr>
      <w:tr w:rsidR="0070545B" w14:paraId="69798C2A" w14:textId="77777777" w:rsidTr="0070545B">
        <w:trPr>
          <w:trHeight w:val="300"/>
        </w:trPr>
        <w:tc>
          <w:tcPr>
            <w:tcW w:w="265" w:type="dxa"/>
            <w:tcBorders>
              <w:top w:val="nil"/>
              <w:left w:val="single" w:sz="4" w:space="0" w:color="auto"/>
              <w:bottom w:val="single" w:sz="4" w:space="0" w:color="auto"/>
              <w:right w:val="nil"/>
            </w:tcBorders>
            <w:vAlign w:val="bottom"/>
            <w:hideMark/>
          </w:tcPr>
          <w:p w14:paraId="22B51803"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866F7F8" w14:textId="77777777" w:rsidR="0070545B" w:rsidRDefault="0070545B" w:rsidP="0070545B">
            <w:pPr>
              <w:spacing w:after="0" w:line="240" w:lineRule="auto"/>
              <w:rPr>
                <w:rFonts w:ascii="Calibri" w:hAnsi="Calibri" w:cs="Times New Roman"/>
              </w:rPr>
            </w:pPr>
            <w:r>
              <w:rPr>
                <w:rFonts w:ascii="Calibri" w:hAnsi="Calibri" w:cs="Times New Roman"/>
              </w:rPr>
              <w:t>Male, 50-54 years</w:t>
            </w:r>
          </w:p>
        </w:tc>
        <w:tc>
          <w:tcPr>
            <w:tcW w:w="1134" w:type="dxa"/>
            <w:tcBorders>
              <w:top w:val="nil"/>
              <w:left w:val="nil"/>
              <w:bottom w:val="single" w:sz="4" w:space="0" w:color="auto"/>
              <w:right w:val="single" w:sz="4" w:space="0" w:color="auto"/>
            </w:tcBorders>
            <w:vAlign w:val="bottom"/>
            <w:hideMark/>
          </w:tcPr>
          <w:p w14:paraId="4143A682" w14:textId="77777777" w:rsidR="0070545B" w:rsidRDefault="0070545B" w:rsidP="0070545B">
            <w:pPr>
              <w:spacing w:after="0" w:line="240" w:lineRule="auto"/>
              <w:jc w:val="center"/>
              <w:rPr>
                <w:rFonts w:ascii="Calibri" w:hAnsi="Calibri" w:cs="Times New Roman"/>
              </w:rPr>
            </w:pPr>
            <w:r>
              <w:rPr>
                <w:rFonts w:ascii="Calibri" w:hAnsi="Calibri" w:cs="Times New Roman"/>
              </w:rPr>
              <w:t>0.10%</w:t>
            </w:r>
          </w:p>
        </w:tc>
        <w:tc>
          <w:tcPr>
            <w:tcW w:w="1520" w:type="dxa"/>
            <w:tcBorders>
              <w:top w:val="nil"/>
              <w:left w:val="nil"/>
              <w:bottom w:val="single" w:sz="4" w:space="0" w:color="auto"/>
              <w:right w:val="single" w:sz="4" w:space="0" w:color="auto"/>
            </w:tcBorders>
            <w:vAlign w:val="bottom"/>
            <w:hideMark/>
          </w:tcPr>
          <w:p w14:paraId="5B5792A8" w14:textId="3FB1385C" w:rsidR="0070545B" w:rsidRDefault="0070545B" w:rsidP="0070545B">
            <w:pPr>
              <w:spacing w:after="0" w:line="240" w:lineRule="auto"/>
              <w:jc w:val="center"/>
              <w:rPr>
                <w:rFonts w:ascii="Calibri" w:hAnsi="Calibri" w:cs="Times New Roman"/>
              </w:rPr>
            </w:pPr>
            <w:r w:rsidRPr="0070545B">
              <w:rPr>
                <w:rFonts w:ascii="Calibri" w:hAnsi="Calibri" w:cs="Times New Roman"/>
              </w:rPr>
              <w:t>0.18% </w:t>
            </w:r>
          </w:p>
        </w:tc>
        <w:tc>
          <w:tcPr>
            <w:tcW w:w="1560" w:type="dxa"/>
            <w:tcBorders>
              <w:top w:val="nil"/>
              <w:left w:val="nil"/>
              <w:bottom w:val="single" w:sz="4" w:space="0" w:color="auto"/>
              <w:right w:val="single" w:sz="4" w:space="0" w:color="auto"/>
            </w:tcBorders>
            <w:vAlign w:val="bottom"/>
          </w:tcPr>
          <w:p w14:paraId="49A2112B" w14:textId="0CCBF87E"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0.11% </w:t>
            </w:r>
          </w:p>
        </w:tc>
      </w:tr>
      <w:tr w:rsidR="0070545B" w14:paraId="3A2F22C7" w14:textId="77777777" w:rsidTr="0070545B">
        <w:trPr>
          <w:trHeight w:val="300"/>
        </w:trPr>
        <w:tc>
          <w:tcPr>
            <w:tcW w:w="265" w:type="dxa"/>
            <w:tcBorders>
              <w:top w:val="nil"/>
              <w:left w:val="single" w:sz="4" w:space="0" w:color="auto"/>
              <w:bottom w:val="single" w:sz="4" w:space="0" w:color="auto"/>
              <w:right w:val="nil"/>
            </w:tcBorders>
            <w:vAlign w:val="bottom"/>
            <w:hideMark/>
          </w:tcPr>
          <w:p w14:paraId="77031686"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C8408C4" w14:textId="77777777" w:rsidR="0070545B" w:rsidRDefault="0070545B" w:rsidP="0070545B">
            <w:pPr>
              <w:spacing w:after="0" w:line="240" w:lineRule="auto"/>
              <w:rPr>
                <w:rFonts w:ascii="Calibri" w:hAnsi="Calibri" w:cs="Times New Roman"/>
              </w:rPr>
            </w:pPr>
            <w:r>
              <w:rPr>
                <w:rFonts w:ascii="Calibri" w:hAnsi="Calibri" w:cs="Times New Roman"/>
              </w:rPr>
              <w:t>Male, 55-59 years</w:t>
            </w:r>
          </w:p>
        </w:tc>
        <w:tc>
          <w:tcPr>
            <w:tcW w:w="1134" w:type="dxa"/>
            <w:tcBorders>
              <w:top w:val="nil"/>
              <w:left w:val="nil"/>
              <w:bottom w:val="single" w:sz="4" w:space="0" w:color="auto"/>
              <w:right w:val="single" w:sz="4" w:space="0" w:color="auto"/>
            </w:tcBorders>
            <w:vAlign w:val="bottom"/>
            <w:hideMark/>
          </w:tcPr>
          <w:p w14:paraId="00512B3D" w14:textId="77777777" w:rsidR="0070545B" w:rsidRDefault="0070545B" w:rsidP="0070545B">
            <w:pPr>
              <w:spacing w:after="0" w:line="240" w:lineRule="auto"/>
              <w:jc w:val="center"/>
              <w:rPr>
                <w:rFonts w:ascii="Calibri" w:hAnsi="Calibri" w:cs="Times New Roman"/>
              </w:rPr>
            </w:pPr>
            <w:r>
              <w:rPr>
                <w:rFonts w:ascii="Calibri" w:hAnsi="Calibri" w:cs="Times New Roman"/>
              </w:rPr>
              <w:t>0.20%</w:t>
            </w:r>
          </w:p>
        </w:tc>
        <w:tc>
          <w:tcPr>
            <w:tcW w:w="1520" w:type="dxa"/>
            <w:tcBorders>
              <w:top w:val="nil"/>
              <w:left w:val="nil"/>
              <w:bottom w:val="single" w:sz="4" w:space="0" w:color="auto"/>
              <w:right w:val="single" w:sz="4" w:space="0" w:color="auto"/>
            </w:tcBorders>
            <w:vAlign w:val="bottom"/>
            <w:hideMark/>
          </w:tcPr>
          <w:p w14:paraId="44F46314" w14:textId="0808AFCD" w:rsidR="0070545B" w:rsidRDefault="0070545B" w:rsidP="0070545B">
            <w:pPr>
              <w:spacing w:after="0" w:line="240" w:lineRule="auto"/>
              <w:jc w:val="center"/>
              <w:rPr>
                <w:rFonts w:ascii="Calibri" w:hAnsi="Calibri" w:cs="Times New Roman"/>
              </w:rPr>
            </w:pPr>
            <w:r w:rsidRPr="0070545B">
              <w:rPr>
                <w:rFonts w:ascii="Calibri" w:hAnsi="Calibri" w:cs="Times New Roman"/>
              </w:rPr>
              <w:t>0.25% </w:t>
            </w:r>
          </w:p>
        </w:tc>
        <w:tc>
          <w:tcPr>
            <w:tcW w:w="1560" w:type="dxa"/>
            <w:tcBorders>
              <w:top w:val="nil"/>
              <w:left w:val="nil"/>
              <w:bottom w:val="single" w:sz="4" w:space="0" w:color="auto"/>
              <w:right w:val="single" w:sz="4" w:space="0" w:color="auto"/>
            </w:tcBorders>
            <w:vAlign w:val="bottom"/>
          </w:tcPr>
          <w:p w14:paraId="6E89DEA4" w14:textId="504CFD86"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0.17% </w:t>
            </w:r>
          </w:p>
        </w:tc>
      </w:tr>
      <w:tr w:rsidR="0070545B" w14:paraId="0467BD5D" w14:textId="77777777" w:rsidTr="0070545B">
        <w:trPr>
          <w:trHeight w:val="300"/>
        </w:trPr>
        <w:tc>
          <w:tcPr>
            <w:tcW w:w="265" w:type="dxa"/>
            <w:tcBorders>
              <w:top w:val="nil"/>
              <w:left w:val="single" w:sz="4" w:space="0" w:color="auto"/>
              <w:bottom w:val="single" w:sz="4" w:space="0" w:color="auto"/>
              <w:right w:val="nil"/>
            </w:tcBorders>
            <w:vAlign w:val="bottom"/>
            <w:hideMark/>
          </w:tcPr>
          <w:p w14:paraId="3D560708"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8589679" w14:textId="77777777" w:rsidR="0070545B" w:rsidRDefault="0070545B" w:rsidP="0070545B">
            <w:pPr>
              <w:spacing w:after="0" w:line="240" w:lineRule="auto"/>
              <w:rPr>
                <w:rFonts w:ascii="Calibri" w:hAnsi="Calibri" w:cs="Times New Roman"/>
              </w:rPr>
            </w:pPr>
            <w:r>
              <w:rPr>
                <w:rFonts w:ascii="Calibri" w:hAnsi="Calibri" w:cs="Times New Roman"/>
              </w:rPr>
              <w:t>Male, 60-64 years</w:t>
            </w:r>
          </w:p>
        </w:tc>
        <w:tc>
          <w:tcPr>
            <w:tcW w:w="1134" w:type="dxa"/>
            <w:tcBorders>
              <w:top w:val="nil"/>
              <w:left w:val="nil"/>
              <w:bottom w:val="single" w:sz="4" w:space="0" w:color="auto"/>
              <w:right w:val="single" w:sz="4" w:space="0" w:color="auto"/>
            </w:tcBorders>
            <w:vAlign w:val="bottom"/>
            <w:hideMark/>
          </w:tcPr>
          <w:p w14:paraId="69916E41" w14:textId="77777777" w:rsidR="0070545B" w:rsidRDefault="0070545B" w:rsidP="0070545B">
            <w:pPr>
              <w:spacing w:after="0" w:line="240" w:lineRule="auto"/>
              <w:jc w:val="center"/>
              <w:rPr>
                <w:rFonts w:ascii="Calibri" w:hAnsi="Calibri" w:cs="Times New Roman"/>
              </w:rPr>
            </w:pPr>
            <w:r>
              <w:rPr>
                <w:rFonts w:ascii="Calibri" w:hAnsi="Calibri" w:cs="Times New Roman"/>
              </w:rPr>
              <w:t>0.25%</w:t>
            </w:r>
          </w:p>
        </w:tc>
        <w:tc>
          <w:tcPr>
            <w:tcW w:w="1520" w:type="dxa"/>
            <w:tcBorders>
              <w:top w:val="nil"/>
              <w:left w:val="nil"/>
              <w:bottom w:val="single" w:sz="4" w:space="0" w:color="auto"/>
              <w:right w:val="single" w:sz="4" w:space="0" w:color="auto"/>
            </w:tcBorders>
            <w:vAlign w:val="bottom"/>
            <w:hideMark/>
          </w:tcPr>
          <w:p w14:paraId="0B3FACB3" w14:textId="34A6E468" w:rsidR="0070545B" w:rsidRDefault="0070545B" w:rsidP="0070545B">
            <w:pPr>
              <w:spacing w:after="0" w:line="240" w:lineRule="auto"/>
              <w:jc w:val="center"/>
              <w:rPr>
                <w:rFonts w:ascii="Calibri" w:hAnsi="Calibri" w:cs="Times New Roman"/>
              </w:rPr>
            </w:pPr>
            <w:r w:rsidRPr="0070545B">
              <w:rPr>
                <w:rFonts w:ascii="Calibri" w:hAnsi="Calibri" w:cs="Times New Roman"/>
              </w:rPr>
              <w:t>0.32% </w:t>
            </w:r>
          </w:p>
        </w:tc>
        <w:tc>
          <w:tcPr>
            <w:tcW w:w="1560" w:type="dxa"/>
            <w:tcBorders>
              <w:top w:val="nil"/>
              <w:left w:val="nil"/>
              <w:bottom w:val="single" w:sz="4" w:space="0" w:color="auto"/>
              <w:right w:val="single" w:sz="4" w:space="0" w:color="auto"/>
            </w:tcBorders>
            <w:vAlign w:val="bottom"/>
          </w:tcPr>
          <w:p w14:paraId="24D116E3" w14:textId="019544C0"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0.21% </w:t>
            </w:r>
          </w:p>
        </w:tc>
      </w:tr>
      <w:tr w:rsidR="0070545B" w14:paraId="774C35D5" w14:textId="77777777" w:rsidTr="0070545B">
        <w:trPr>
          <w:trHeight w:val="300"/>
        </w:trPr>
        <w:tc>
          <w:tcPr>
            <w:tcW w:w="265" w:type="dxa"/>
            <w:tcBorders>
              <w:top w:val="nil"/>
              <w:left w:val="single" w:sz="4" w:space="0" w:color="auto"/>
              <w:bottom w:val="single" w:sz="4" w:space="0" w:color="auto"/>
              <w:right w:val="nil"/>
            </w:tcBorders>
            <w:vAlign w:val="bottom"/>
            <w:hideMark/>
          </w:tcPr>
          <w:p w14:paraId="1AD8436C" w14:textId="77777777" w:rsidR="0070545B" w:rsidRDefault="0070545B" w:rsidP="0070545B">
            <w:pPr>
              <w:spacing w:after="0" w:line="240" w:lineRule="auto"/>
              <w:rPr>
                <w:rFonts w:ascii="Calibri" w:hAnsi="Calibri" w:cs="Times New Roman"/>
              </w:rPr>
            </w:pPr>
            <w:r>
              <w:rPr>
                <w:rFonts w:ascii="Calibri" w:hAnsi="Calibri" w:cs="Times New Roman"/>
              </w:rPr>
              <w:lastRenderedPageBreak/>
              <w:t> </w:t>
            </w:r>
          </w:p>
        </w:tc>
        <w:tc>
          <w:tcPr>
            <w:tcW w:w="4447" w:type="dxa"/>
            <w:tcBorders>
              <w:top w:val="nil"/>
              <w:left w:val="nil"/>
              <w:bottom w:val="single" w:sz="4" w:space="0" w:color="auto"/>
              <w:right w:val="single" w:sz="4" w:space="0" w:color="auto"/>
            </w:tcBorders>
            <w:vAlign w:val="bottom"/>
            <w:hideMark/>
          </w:tcPr>
          <w:p w14:paraId="759F4745" w14:textId="77777777" w:rsidR="0070545B" w:rsidRDefault="0070545B" w:rsidP="0070545B">
            <w:pPr>
              <w:spacing w:after="0" w:line="240" w:lineRule="auto"/>
              <w:rPr>
                <w:rFonts w:ascii="Calibri" w:hAnsi="Calibri" w:cs="Times New Roman"/>
              </w:rPr>
            </w:pPr>
            <w:r>
              <w:rPr>
                <w:rFonts w:ascii="Calibri" w:hAnsi="Calibri" w:cs="Times New Roman"/>
              </w:rPr>
              <w:t>Male, 65-69 years</w:t>
            </w:r>
          </w:p>
        </w:tc>
        <w:tc>
          <w:tcPr>
            <w:tcW w:w="1134" w:type="dxa"/>
            <w:tcBorders>
              <w:top w:val="nil"/>
              <w:left w:val="nil"/>
              <w:bottom w:val="single" w:sz="4" w:space="0" w:color="auto"/>
              <w:right w:val="single" w:sz="4" w:space="0" w:color="auto"/>
            </w:tcBorders>
            <w:vAlign w:val="bottom"/>
            <w:hideMark/>
          </w:tcPr>
          <w:p w14:paraId="7A7E1561" w14:textId="77777777" w:rsidR="0070545B" w:rsidRDefault="0070545B" w:rsidP="0070545B">
            <w:pPr>
              <w:spacing w:after="0" w:line="240" w:lineRule="auto"/>
              <w:jc w:val="center"/>
              <w:rPr>
                <w:rFonts w:ascii="Calibri" w:hAnsi="Calibri" w:cs="Times New Roman"/>
              </w:rPr>
            </w:pPr>
            <w:r>
              <w:rPr>
                <w:rFonts w:ascii="Calibri" w:hAnsi="Calibri" w:cs="Times New Roman"/>
              </w:rPr>
              <w:t>0.28%</w:t>
            </w:r>
          </w:p>
        </w:tc>
        <w:tc>
          <w:tcPr>
            <w:tcW w:w="1520" w:type="dxa"/>
            <w:tcBorders>
              <w:top w:val="nil"/>
              <w:left w:val="nil"/>
              <w:bottom w:val="single" w:sz="4" w:space="0" w:color="auto"/>
              <w:right w:val="single" w:sz="4" w:space="0" w:color="auto"/>
            </w:tcBorders>
            <w:vAlign w:val="bottom"/>
            <w:hideMark/>
          </w:tcPr>
          <w:p w14:paraId="5207190E" w14:textId="567B1A7E" w:rsidR="0070545B" w:rsidRDefault="0070545B" w:rsidP="0070545B">
            <w:pPr>
              <w:spacing w:after="0" w:line="240" w:lineRule="auto"/>
              <w:jc w:val="center"/>
              <w:rPr>
                <w:rFonts w:ascii="Calibri" w:hAnsi="Calibri" w:cs="Times New Roman"/>
              </w:rPr>
            </w:pPr>
            <w:r w:rsidRPr="0070545B">
              <w:rPr>
                <w:rFonts w:ascii="Calibri" w:hAnsi="Calibri" w:cs="Times New Roman"/>
              </w:rPr>
              <w:t>0.34% </w:t>
            </w:r>
          </w:p>
        </w:tc>
        <w:tc>
          <w:tcPr>
            <w:tcW w:w="1560" w:type="dxa"/>
            <w:tcBorders>
              <w:top w:val="nil"/>
              <w:left w:val="nil"/>
              <w:bottom w:val="single" w:sz="4" w:space="0" w:color="auto"/>
              <w:right w:val="single" w:sz="4" w:space="0" w:color="auto"/>
            </w:tcBorders>
            <w:vAlign w:val="bottom"/>
          </w:tcPr>
          <w:p w14:paraId="755920CC" w14:textId="4BB43C13"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0.23% </w:t>
            </w:r>
          </w:p>
        </w:tc>
      </w:tr>
      <w:tr w:rsidR="0070545B" w14:paraId="4EF19680" w14:textId="77777777" w:rsidTr="0070545B">
        <w:trPr>
          <w:trHeight w:val="300"/>
        </w:trPr>
        <w:tc>
          <w:tcPr>
            <w:tcW w:w="265" w:type="dxa"/>
            <w:tcBorders>
              <w:top w:val="nil"/>
              <w:left w:val="single" w:sz="4" w:space="0" w:color="auto"/>
              <w:bottom w:val="single" w:sz="4" w:space="0" w:color="auto"/>
              <w:right w:val="nil"/>
            </w:tcBorders>
            <w:vAlign w:val="bottom"/>
            <w:hideMark/>
          </w:tcPr>
          <w:p w14:paraId="41BA12CE"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A704E5E" w14:textId="77777777" w:rsidR="0070545B" w:rsidRDefault="0070545B" w:rsidP="0070545B">
            <w:pPr>
              <w:spacing w:after="0" w:line="240" w:lineRule="auto"/>
              <w:rPr>
                <w:rFonts w:ascii="Calibri" w:hAnsi="Calibri" w:cs="Times New Roman"/>
              </w:rPr>
            </w:pPr>
            <w:r>
              <w:rPr>
                <w:rFonts w:ascii="Calibri" w:hAnsi="Calibri" w:cs="Times New Roman"/>
              </w:rPr>
              <w:t>Male, 70-94 years</w:t>
            </w:r>
          </w:p>
        </w:tc>
        <w:tc>
          <w:tcPr>
            <w:tcW w:w="1134" w:type="dxa"/>
            <w:tcBorders>
              <w:top w:val="nil"/>
              <w:left w:val="nil"/>
              <w:bottom w:val="single" w:sz="4" w:space="0" w:color="auto"/>
              <w:right w:val="single" w:sz="4" w:space="0" w:color="auto"/>
            </w:tcBorders>
            <w:vAlign w:val="bottom"/>
            <w:hideMark/>
          </w:tcPr>
          <w:p w14:paraId="617B2458" w14:textId="77777777" w:rsidR="0070545B" w:rsidRDefault="0070545B" w:rsidP="0070545B">
            <w:pPr>
              <w:spacing w:after="0" w:line="240" w:lineRule="auto"/>
              <w:jc w:val="center"/>
              <w:rPr>
                <w:rFonts w:ascii="Calibri" w:hAnsi="Calibri" w:cs="Times New Roman"/>
              </w:rPr>
            </w:pPr>
            <w:r>
              <w:rPr>
                <w:rFonts w:ascii="Calibri" w:hAnsi="Calibri" w:cs="Times New Roman"/>
              </w:rPr>
              <w:t>0.31%</w:t>
            </w:r>
          </w:p>
        </w:tc>
        <w:tc>
          <w:tcPr>
            <w:tcW w:w="1520" w:type="dxa"/>
            <w:tcBorders>
              <w:top w:val="nil"/>
              <w:left w:val="nil"/>
              <w:bottom w:val="single" w:sz="4" w:space="0" w:color="auto"/>
              <w:right w:val="single" w:sz="4" w:space="0" w:color="auto"/>
            </w:tcBorders>
            <w:vAlign w:val="bottom"/>
            <w:hideMark/>
          </w:tcPr>
          <w:p w14:paraId="4C2E26A6" w14:textId="5C718436" w:rsidR="0070545B" w:rsidRDefault="0070545B" w:rsidP="0070545B">
            <w:pPr>
              <w:spacing w:after="0" w:line="240" w:lineRule="auto"/>
              <w:jc w:val="center"/>
              <w:rPr>
                <w:rFonts w:ascii="Calibri" w:hAnsi="Calibri" w:cs="Times New Roman"/>
              </w:rPr>
            </w:pPr>
            <w:r w:rsidRPr="0070545B">
              <w:rPr>
                <w:rFonts w:ascii="Calibri" w:hAnsi="Calibri" w:cs="Times New Roman"/>
              </w:rPr>
              <w:t>0.35% </w:t>
            </w:r>
          </w:p>
        </w:tc>
        <w:tc>
          <w:tcPr>
            <w:tcW w:w="1560" w:type="dxa"/>
            <w:tcBorders>
              <w:top w:val="nil"/>
              <w:left w:val="nil"/>
              <w:bottom w:val="single" w:sz="4" w:space="0" w:color="auto"/>
              <w:right w:val="single" w:sz="4" w:space="0" w:color="auto"/>
            </w:tcBorders>
            <w:vAlign w:val="bottom"/>
          </w:tcPr>
          <w:p w14:paraId="218D909D" w14:textId="09E9E742"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0.25% </w:t>
            </w:r>
          </w:p>
        </w:tc>
      </w:tr>
      <w:tr w:rsidR="0070545B" w14:paraId="68FDF79F" w14:textId="77777777" w:rsidTr="0070545B">
        <w:trPr>
          <w:trHeight w:val="300"/>
        </w:trPr>
        <w:tc>
          <w:tcPr>
            <w:tcW w:w="265" w:type="dxa"/>
            <w:tcBorders>
              <w:top w:val="nil"/>
              <w:left w:val="single" w:sz="4" w:space="0" w:color="auto"/>
              <w:bottom w:val="single" w:sz="4" w:space="0" w:color="auto"/>
              <w:right w:val="nil"/>
            </w:tcBorders>
            <w:vAlign w:val="bottom"/>
            <w:hideMark/>
          </w:tcPr>
          <w:p w14:paraId="25278092"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777C333B" w14:textId="77777777" w:rsidR="0070545B" w:rsidRDefault="0070545B" w:rsidP="0070545B">
            <w:pPr>
              <w:spacing w:after="0" w:line="240" w:lineRule="auto"/>
              <w:rPr>
                <w:rFonts w:ascii="Calibri" w:hAnsi="Calibri" w:cs="Times New Roman"/>
              </w:rPr>
            </w:pPr>
            <w:r>
              <w:rPr>
                <w:rFonts w:ascii="Calibri" w:hAnsi="Calibri" w:cs="Times New Roman"/>
              </w:rPr>
              <w:t>Male, 75+ years</w:t>
            </w:r>
          </w:p>
        </w:tc>
        <w:tc>
          <w:tcPr>
            <w:tcW w:w="1134" w:type="dxa"/>
            <w:tcBorders>
              <w:top w:val="nil"/>
              <w:left w:val="nil"/>
              <w:bottom w:val="single" w:sz="4" w:space="0" w:color="auto"/>
              <w:right w:val="single" w:sz="4" w:space="0" w:color="auto"/>
            </w:tcBorders>
            <w:vAlign w:val="bottom"/>
            <w:hideMark/>
          </w:tcPr>
          <w:p w14:paraId="72C66899" w14:textId="77777777" w:rsidR="0070545B" w:rsidRDefault="0070545B" w:rsidP="0070545B">
            <w:pPr>
              <w:spacing w:after="0" w:line="240" w:lineRule="auto"/>
              <w:jc w:val="center"/>
              <w:rPr>
                <w:rFonts w:ascii="Calibri" w:hAnsi="Calibri" w:cs="Times New Roman"/>
              </w:rPr>
            </w:pPr>
            <w:r>
              <w:rPr>
                <w:rFonts w:ascii="Calibri" w:hAnsi="Calibri" w:cs="Times New Roman"/>
              </w:rPr>
              <w:t>0.34%</w:t>
            </w:r>
          </w:p>
        </w:tc>
        <w:tc>
          <w:tcPr>
            <w:tcW w:w="1520" w:type="dxa"/>
            <w:tcBorders>
              <w:top w:val="nil"/>
              <w:left w:val="nil"/>
              <w:bottom w:val="single" w:sz="4" w:space="0" w:color="auto"/>
              <w:right w:val="single" w:sz="4" w:space="0" w:color="auto"/>
            </w:tcBorders>
            <w:vAlign w:val="bottom"/>
            <w:hideMark/>
          </w:tcPr>
          <w:p w14:paraId="40A7B3B0" w14:textId="6D598812" w:rsidR="0070545B" w:rsidRDefault="0070545B" w:rsidP="0070545B">
            <w:pPr>
              <w:spacing w:after="0" w:line="240" w:lineRule="auto"/>
              <w:jc w:val="center"/>
              <w:rPr>
                <w:rFonts w:ascii="Calibri" w:hAnsi="Calibri" w:cs="Times New Roman"/>
              </w:rPr>
            </w:pPr>
            <w:r w:rsidRPr="0070545B">
              <w:rPr>
                <w:rFonts w:ascii="Calibri" w:hAnsi="Calibri" w:cs="Times New Roman"/>
              </w:rPr>
              <w:t>0.38% </w:t>
            </w:r>
          </w:p>
        </w:tc>
        <w:tc>
          <w:tcPr>
            <w:tcW w:w="1560" w:type="dxa"/>
            <w:tcBorders>
              <w:top w:val="nil"/>
              <w:left w:val="nil"/>
              <w:bottom w:val="single" w:sz="4" w:space="0" w:color="auto"/>
              <w:right w:val="single" w:sz="4" w:space="0" w:color="auto"/>
            </w:tcBorders>
            <w:vAlign w:val="bottom"/>
          </w:tcPr>
          <w:p w14:paraId="7CA53562" w14:textId="1EC6041E"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0.27% </w:t>
            </w:r>
          </w:p>
        </w:tc>
      </w:tr>
      <w:tr w:rsidR="0070545B" w14:paraId="5B182060" w14:textId="77777777" w:rsidTr="0070545B">
        <w:trPr>
          <w:trHeight w:val="300"/>
        </w:trPr>
        <w:tc>
          <w:tcPr>
            <w:tcW w:w="265" w:type="dxa"/>
            <w:tcBorders>
              <w:top w:val="nil"/>
              <w:left w:val="single" w:sz="4" w:space="0" w:color="auto"/>
              <w:bottom w:val="single" w:sz="4" w:space="0" w:color="auto"/>
              <w:right w:val="nil"/>
            </w:tcBorders>
            <w:vAlign w:val="bottom"/>
            <w:hideMark/>
          </w:tcPr>
          <w:p w14:paraId="721174E3"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2BE1869" w14:textId="77777777" w:rsidR="0070545B" w:rsidRDefault="0070545B" w:rsidP="0070545B">
            <w:pPr>
              <w:spacing w:after="0" w:line="240" w:lineRule="auto"/>
              <w:rPr>
                <w:rFonts w:ascii="Calibri" w:hAnsi="Calibri" w:cs="Times New Roman"/>
              </w:rPr>
            </w:pPr>
            <w:r>
              <w:rPr>
                <w:rFonts w:ascii="Calibri" w:hAnsi="Calibri" w:cs="Times New Roman"/>
              </w:rPr>
              <w:t>Female, 20-39 years</w:t>
            </w:r>
          </w:p>
        </w:tc>
        <w:tc>
          <w:tcPr>
            <w:tcW w:w="1134" w:type="dxa"/>
            <w:tcBorders>
              <w:top w:val="nil"/>
              <w:left w:val="nil"/>
              <w:bottom w:val="single" w:sz="4" w:space="0" w:color="auto"/>
              <w:right w:val="single" w:sz="4" w:space="0" w:color="auto"/>
            </w:tcBorders>
            <w:vAlign w:val="bottom"/>
            <w:hideMark/>
          </w:tcPr>
          <w:p w14:paraId="71BB3601" w14:textId="77777777" w:rsidR="0070545B" w:rsidRDefault="0070545B" w:rsidP="0070545B">
            <w:pPr>
              <w:spacing w:after="0" w:line="240" w:lineRule="auto"/>
              <w:jc w:val="center"/>
              <w:rPr>
                <w:rFonts w:ascii="Calibri" w:hAnsi="Calibri" w:cs="Times New Roman"/>
              </w:rPr>
            </w:pPr>
            <w:r>
              <w:rPr>
                <w:rFonts w:ascii="Calibri" w:hAnsi="Calibri" w:cs="Times New Roman"/>
              </w:rPr>
              <w:t>0.00%</w:t>
            </w:r>
          </w:p>
        </w:tc>
        <w:tc>
          <w:tcPr>
            <w:tcW w:w="1520" w:type="dxa"/>
            <w:tcBorders>
              <w:top w:val="nil"/>
              <w:left w:val="nil"/>
              <w:bottom w:val="single" w:sz="4" w:space="0" w:color="auto"/>
              <w:right w:val="single" w:sz="4" w:space="0" w:color="auto"/>
            </w:tcBorders>
            <w:vAlign w:val="bottom"/>
            <w:hideMark/>
          </w:tcPr>
          <w:p w14:paraId="3613B79B" w14:textId="2D98A3D4" w:rsidR="0070545B" w:rsidRDefault="0070545B" w:rsidP="0070545B">
            <w:pPr>
              <w:spacing w:after="0" w:line="240" w:lineRule="auto"/>
              <w:jc w:val="center"/>
              <w:rPr>
                <w:rFonts w:ascii="Calibri" w:hAnsi="Calibri" w:cs="Times New Roman"/>
              </w:rPr>
            </w:pPr>
            <w:r w:rsidRPr="0070545B">
              <w:rPr>
                <w:rFonts w:ascii="Calibri" w:hAnsi="Calibri" w:cs="Times New Roman"/>
              </w:rPr>
              <w:t>0.02% </w:t>
            </w:r>
          </w:p>
        </w:tc>
        <w:tc>
          <w:tcPr>
            <w:tcW w:w="1560" w:type="dxa"/>
            <w:tcBorders>
              <w:top w:val="nil"/>
              <w:left w:val="nil"/>
              <w:bottom w:val="single" w:sz="4" w:space="0" w:color="auto"/>
              <w:right w:val="single" w:sz="4" w:space="0" w:color="auto"/>
            </w:tcBorders>
            <w:vAlign w:val="bottom"/>
          </w:tcPr>
          <w:p w14:paraId="2D7776DF" w14:textId="53D1C6F1"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0.01% </w:t>
            </w:r>
          </w:p>
        </w:tc>
      </w:tr>
      <w:tr w:rsidR="0070545B" w14:paraId="231A8A2E" w14:textId="77777777" w:rsidTr="0070545B">
        <w:trPr>
          <w:trHeight w:val="300"/>
        </w:trPr>
        <w:tc>
          <w:tcPr>
            <w:tcW w:w="265" w:type="dxa"/>
            <w:tcBorders>
              <w:top w:val="nil"/>
              <w:left w:val="single" w:sz="4" w:space="0" w:color="auto"/>
              <w:bottom w:val="single" w:sz="4" w:space="0" w:color="auto"/>
              <w:right w:val="nil"/>
            </w:tcBorders>
            <w:vAlign w:val="bottom"/>
            <w:hideMark/>
          </w:tcPr>
          <w:p w14:paraId="479EFB23"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91535A6" w14:textId="77777777" w:rsidR="0070545B" w:rsidRDefault="0070545B" w:rsidP="0070545B">
            <w:pPr>
              <w:spacing w:after="0" w:line="240" w:lineRule="auto"/>
              <w:rPr>
                <w:rFonts w:ascii="Calibri" w:hAnsi="Calibri" w:cs="Times New Roman"/>
              </w:rPr>
            </w:pPr>
            <w:r>
              <w:rPr>
                <w:rFonts w:ascii="Calibri" w:hAnsi="Calibri" w:cs="Times New Roman"/>
              </w:rPr>
              <w:t>Female, 40-49 years</w:t>
            </w:r>
          </w:p>
        </w:tc>
        <w:tc>
          <w:tcPr>
            <w:tcW w:w="1134" w:type="dxa"/>
            <w:tcBorders>
              <w:top w:val="nil"/>
              <w:left w:val="nil"/>
              <w:bottom w:val="single" w:sz="4" w:space="0" w:color="auto"/>
              <w:right w:val="single" w:sz="4" w:space="0" w:color="auto"/>
            </w:tcBorders>
            <w:vAlign w:val="bottom"/>
            <w:hideMark/>
          </w:tcPr>
          <w:p w14:paraId="7DB7E32A" w14:textId="77777777" w:rsidR="0070545B" w:rsidRDefault="0070545B" w:rsidP="0070545B">
            <w:pPr>
              <w:spacing w:after="0" w:line="240" w:lineRule="auto"/>
              <w:jc w:val="center"/>
              <w:rPr>
                <w:rFonts w:ascii="Calibri" w:hAnsi="Calibri" w:cs="Times New Roman"/>
              </w:rPr>
            </w:pPr>
            <w:r>
              <w:rPr>
                <w:rFonts w:ascii="Calibri" w:hAnsi="Calibri" w:cs="Times New Roman"/>
              </w:rPr>
              <w:t>0.05%</w:t>
            </w:r>
          </w:p>
        </w:tc>
        <w:tc>
          <w:tcPr>
            <w:tcW w:w="1520" w:type="dxa"/>
            <w:tcBorders>
              <w:top w:val="nil"/>
              <w:left w:val="nil"/>
              <w:bottom w:val="single" w:sz="4" w:space="0" w:color="auto"/>
              <w:right w:val="single" w:sz="4" w:space="0" w:color="auto"/>
            </w:tcBorders>
            <w:vAlign w:val="bottom"/>
            <w:hideMark/>
          </w:tcPr>
          <w:p w14:paraId="1292B580" w14:textId="31C9FDF8" w:rsidR="0070545B" w:rsidRDefault="0070545B" w:rsidP="0070545B">
            <w:pPr>
              <w:spacing w:after="0" w:line="240" w:lineRule="auto"/>
              <w:jc w:val="center"/>
              <w:rPr>
                <w:rFonts w:ascii="Calibri" w:hAnsi="Calibri" w:cs="Times New Roman"/>
              </w:rPr>
            </w:pPr>
            <w:r w:rsidRPr="0070545B">
              <w:rPr>
                <w:rFonts w:ascii="Calibri" w:hAnsi="Calibri" w:cs="Times New Roman"/>
              </w:rPr>
              <w:t>0.07% </w:t>
            </w:r>
          </w:p>
        </w:tc>
        <w:tc>
          <w:tcPr>
            <w:tcW w:w="1560" w:type="dxa"/>
            <w:tcBorders>
              <w:top w:val="nil"/>
              <w:left w:val="nil"/>
              <w:bottom w:val="single" w:sz="4" w:space="0" w:color="auto"/>
              <w:right w:val="single" w:sz="4" w:space="0" w:color="auto"/>
            </w:tcBorders>
            <w:vAlign w:val="bottom"/>
          </w:tcPr>
          <w:p w14:paraId="2149B111" w14:textId="2D20D495"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0.04% </w:t>
            </w:r>
          </w:p>
        </w:tc>
      </w:tr>
      <w:tr w:rsidR="0070545B" w14:paraId="630F1959" w14:textId="77777777" w:rsidTr="0070545B">
        <w:trPr>
          <w:trHeight w:val="300"/>
        </w:trPr>
        <w:tc>
          <w:tcPr>
            <w:tcW w:w="265" w:type="dxa"/>
            <w:tcBorders>
              <w:top w:val="nil"/>
              <w:left w:val="single" w:sz="4" w:space="0" w:color="auto"/>
              <w:bottom w:val="single" w:sz="4" w:space="0" w:color="auto"/>
              <w:right w:val="nil"/>
            </w:tcBorders>
            <w:vAlign w:val="bottom"/>
            <w:hideMark/>
          </w:tcPr>
          <w:p w14:paraId="4C33D89B"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7C09A09A" w14:textId="77777777" w:rsidR="0070545B" w:rsidRDefault="0070545B" w:rsidP="0070545B">
            <w:pPr>
              <w:spacing w:after="0" w:line="240" w:lineRule="auto"/>
              <w:rPr>
                <w:rFonts w:ascii="Calibri" w:hAnsi="Calibri" w:cs="Times New Roman"/>
              </w:rPr>
            </w:pPr>
            <w:r>
              <w:rPr>
                <w:rFonts w:ascii="Calibri" w:hAnsi="Calibri" w:cs="Times New Roman"/>
              </w:rPr>
              <w:t>Female, 50-54 years</w:t>
            </w:r>
          </w:p>
        </w:tc>
        <w:tc>
          <w:tcPr>
            <w:tcW w:w="1134" w:type="dxa"/>
            <w:tcBorders>
              <w:top w:val="nil"/>
              <w:left w:val="nil"/>
              <w:bottom w:val="single" w:sz="4" w:space="0" w:color="auto"/>
              <w:right w:val="single" w:sz="4" w:space="0" w:color="auto"/>
            </w:tcBorders>
            <w:vAlign w:val="bottom"/>
            <w:hideMark/>
          </w:tcPr>
          <w:p w14:paraId="18631C2C" w14:textId="77777777" w:rsidR="0070545B" w:rsidRDefault="0070545B" w:rsidP="0070545B">
            <w:pPr>
              <w:spacing w:after="0" w:line="240" w:lineRule="auto"/>
              <w:jc w:val="center"/>
              <w:rPr>
                <w:rFonts w:ascii="Calibri" w:hAnsi="Calibri" w:cs="Times New Roman"/>
              </w:rPr>
            </w:pPr>
            <w:r>
              <w:rPr>
                <w:rFonts w:ascii="Calibri" w:hAnsi="Calibri" w:cs="Times New Roman"/>
              </w:rPr>
              <w:t>0.07%</w:t>
            </w:r>
          </w:p>
        </w:tc>
        <w:tc>
          <w:tcPr>
            <w:tcW w:w="1520" w:type="dxa"/>
            <w:tcBorders>
              <w:top w:val="nil"/>
              <w:left w:val="nil"/>
              <w:bottom w:val="single" w:sz="4" w:space="0" w:color="auto"/>
              <w:right w:val="single" w:sz="4" w:space="0" w:color="auto"/>
            </w:tcBorders>
            <w:vAlign w:val="bottom"/>
            <w:hideMark/>
          </w:tcPr>
          <w:p w14:paraId="2D3C90F0" w14:textId="5F882886" w:rsidR="0070545B" w:rsidRDefault="0070545B" w:rsidP="0070545B">
            <w:pPr>
              <w:spacing w:after="0" w:line="240" w:lineRule="auto"/>
              <w:jc w:val="center"/>
              <w:rPr>
                <w:rFonts w:ascii="Calibri" w:hAnsi="Calibri" w:cs="Times New Roman"/>
              </w:rPr>
            </w:pPr>
            <w:r w:rsidRPr="0070545B">
              <w:rPr>
                <w:rFonts w:ascii="Calibri" w:hAnsi="Calibri" w:cs="Times New Roman"/>
              </w:rPr>
              <w:t>0.14% </w:t>
            </w:r>
          </w:p>
        </w:tc>
        <w:tc>
          <w:tcPr>
            <w:tcW w:w="1560" w:type="dxa"/>
            <w:tcBorders>
              <w:top w:val="nil"/>
              <w:left w:val="nil"/>
              <w:bottom w:val="single" w:sz="4" w:space="0" w:color="auto"/>
              <w:right w:val="single" w:sz="4" w:space="0" w:color="auto"/>
            </w:tcBorders>
            <w:vAlign w:val="bottom"/>
          </w:tcPr>
          <w:p w14:paraId="07910F92" w14:textId="05879911"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0.08% </w:t>
            </w:r>
          </w:p>
        </w:tc>
      </w:tr>
      <w:tr w:rsidR="0070545B" w14:paraId="134788C5" w14:textId="77777777" w:rsidTr="0070545B">
        <w:trPr>
          <w:trHeight w:val="300"/>
        </w:trPr>
        <w:tc>
          <w:tcPr>
            <w:tcW w:w="265" w:type="dxa"/>
            <w:tcBorders>
              <w:top w:val="nil"/>
              <w:left w:val="single" w:sz="4" w:space="0" w:color="auto"/>
              <w:bottom w:val="single" w:sz="4" w:space="0" w:color="auto"/>
              <w:right w:val="nil"/>
            </w:tcBorders>
            <w:vAlign w:val="bottom"/>
            <w:hideMark/>
          </w:tcPr>
          <w:p w14:paraId="554C45D8"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A20597D" w14:textId="77777777" w:rsidR="0070545B" w:rsidRDefault="0070545B" w:rsidP="0070545B">
            <w:pPr>
              <w:spacing w:after="0" w:line="240" w:lineRule="auto"/>
              <w:rPr>
                <w:rFonts w:ascii="Calibri" w:hAnsi="Calibri" w:cs="Times New Roman"/>
              </w:rPr>
            </w:pPr>
            <w:r>
              <w:rPr>
                <w:rFonts w:ascii="Calibri" w:hAnsi="Calibri" w:cs="Times New Roman"/>
              </w:rPr>
              <w:t>Female, 55-59 years</w:t>
            </w:r>
          </w:p>
        </w:tc>
        <w:tc>
          <w:tcPr>
            <w:tcW w:w="1134" w:type="dxa"/>
            <w:tcBorders>
              <w:top w:val="nil"/>
              <w:left w:val="nil"/>
              <w:bottom w:val="single" w:sz="4" w:space="0" w:color="auto"/>
              <w:right w:val="single" w:sz="4" w:space="0" w:color="auto"/>
            </w:tcBorders>
            <w:vAlign w:val="bottom"/>
            <w:hideMark/>
          </w:tcPr>
          <w:p w14:paraId="7616116F" w14:textId="77777777" w:rsidR="0070545B" w:rsidRDefault="0070545B" w:rsidP="0070545B">
            <w:pPr>
              <w:spacing w:after="0" w:line="240" w:lineRule="auto"/>
              <w:jc w:val="center"/>
              <w:rPr>
                <w:rFonts w:ascii="Calibri" w:hAnsi="Calibri" w:cs="Times New Roman"/>
              </w:rPr>
            </w:pPr>
            <w:r>
              <w:rPr>
                <w:rFonts w:ascii="Calibri" w:hAnsi="Calibri" w:cs="Times New Roman"/>
              </w:rPr>
              <w:t>0.14%</w:t>
            </w:r>
          </w:p>
        </w:tc>
        <w:tc>
          <w:tcPr>
            <w:tcW w:w="1520" w:type="dxa"/>
            <w:tcBorders>
              <w:top w:val="nil"/>
              <w:left w:val="nil"/>
              <w:bottom w:val="single" w:sz="4" w:space="0" w:color="auto"/>
              <w:right w:val="single" w:sz="4" w:space="0" w:color="auto"/>
            </w:tcBorders>
            <w:vAlign w:val="bottom"/>
            <w:hideMark/>
          </w:tcPr>
          <w:p w14:paraId="47A7C749" w14:textId="3E07C25F" w:rsidR="0070545B" w:rsidRDefault="0070545B" w:rsidP="0070545B">
            <w:pPr>
              <w:spacing w:after="0" w:line="240" w:lineRule="auto"/>
              <w:jc w:val="center"/>
              <w:rPr>
                <w:rFonts w:ascii="Calibri" w:hAnsi="Calibri" w:cs="Times New Roman"/>
              </w:rPr>
            </w:pPr>
            <w:r w:rsidRPr="0070545B">
              <w:rPr>
                <w:rFonts w:ascii="Calibri" w:hAnsi="Calibri" w:cs="Times New Roman"/>
              </w:rPr>
              <w:t>0.20% </w:t>
            </w:r>
          </w:p>
        </w:tc>
        <w:tc>
          <w:tcPr>
            <w:tcW w:w="1560" w:type="dxa"/>
            <w:tcBorders>
              <w:top w:val="nil"/>
              <w:left w:val="nil"/>
              <w:bottom w:val="single" w:sz="4" w:space="0" w:color="auto"/>
              <w:right w:val="single" w:sz="4" w:space="0" w:color="auto"/>
            </w:tcBorders>
            <w:vAlign w:val="bottom"/>
          </w:tcPr>
          <w:p w14:paraId="0A950E05" w14:textId="4AB87BE5"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0.11% </w:t>
            </w:r>
          </w:p>
        </w:tc>
      </w:tr>
      <w:tr w:rsidR="0070545B" w14:paraId="67C21F7D" w14:textId="77777777" w:rsidTr="0070545B">
        <w:trPr>
          <w:trHeight w:val="300"/>
        </w:trPr>
        <w:tc>
          <w:tcPr>
            <w:tcW w:w="265" w:type="dxa"/>
            <w:tcBorders>
              <w:top w:val="nil"/>
              <w:left w:val="single" w:sz="4" w:space="0" w:color="auto"/>
              <w:bottom w:val="single" w:sz="4" w:space="0" w:color="auto"/>
              <w:right w:val="nil"/>
            </w:tcBorders>
            <w:vAlign w:val="bottom"/>
            <w:hideMark/>
          </w:tcPr>
          <w:p w14:paraId="3A56B4D3"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B63D287" w14:textId="77777777" w:rsidR="0070545B" w:rsidRDefault="0070545B" w:rsidP="0070545B">
            <w:pPr>
              <w:spacing w:after="0" w:line="240" w:lineRule="auto"/>
              <w:rPr>
                <w:rFonts w:ascii="Calibri" w:hAnsi="Calibri" w:cs="Times New Roman"/>
              </w:rPr>
            </w:pPr>
            <w:r>
              <w:rPr>
                <w:rFonts w:ascii="Calibri" w:hAnsi="Calibri" w:cs="Times New Roman"/>
              </w:rPr>
              <w:t>Female, 60-64 years</w:t>
            </w:r>
          </w:p>
        </w:tc>
        <w:tc>
          <w:tcPr>
            <w:tcW w:w="1134" w:type="dxa"/>
            <w:tcBorders>
              <w:top w:val="nil"/>
              <w:left w:val="nil"/>
              <w:bottom w:val="single" w:sz="4" w:space="0" w:color="auto"/>
              <w:right w:val="single" w:sz="4" w:space="0" w:color="auto"/>
            </w:tcBorders>
            <w:vAlign w:val="bottom"/>
            <w:hideMark/>
          </w:tcPr>
          <w:p w14:paraId="2F9050A6" w14:textId="77777777" w:rsidR="0070545B" w:rsidRDefault="0070545B" w:rsidP="0070545B">
            <w:pPr>
              <w:spacing w:after="0" w:line="240" w:lineRule="auto"/>
              <w:jc w:val="center"/>
              <w:rPr>
                <w:rFonts w:ascii="Calibri" w:hAnsi="Calibri" w:cs="Times New Roman"/>
              </w:rPr>
            </w:pPr>
            <w:r>
              <w:rPr>
                <w:rFonts w:ascii="Calibri" w:hAnsi="Calibri" w:cs="Times New Roman"/>
              </w:rPr>
              <w:t>0.18%</w:t>
            </w:r>
          </w:p>
        </w:tc>
        <w:tc>
          <w:tcPr>
            <w:tcW w:w="1520" w:type="dxa"/>
            <w:tcBorders>
              <w:top w:val="nil"/>
              <w:left w:val="nil"/>
              <w:bottom w:val="single" w:sz="4" w:space="0" w:color="auto"/>
              <w:right w:val="single" w:sz="4" w:space="0" w:color="auto"/>
            </w:tcBorders>
            <w:vAlign w:val="bottom"/>
            <w:hideMark/>
          </w:tcPr>
          <w:p w14:paraId="4E72AE58" w14:textId="2275E1AD" w:rsidR="0070545B" w:rsidRDefault="0070545B" w:rsidP="0070545B">
            <w:pPr>
              <w:spacing w:after="0" w:line="240" w:lineRule="auto"/>
              <w:jc w:val="center"/>
              <w:rPr>
                <w:rFonts w:ascii="Calibri" w:hAnsi="Calibri" w:cs="Times New Roman"/>
              </w:rPr>
            </w:pPr>
            <w:r w:rsidRPr="0070545B">
              <w:rPr>
                <w:rFonts w:ascii="Calibri" w:hAnsi="Calibri" w:cs="Times New Roman"/>
              </w:rPr>
              <w:t>0.25% </w:t>
            </w:r>
          </w:p>
        </w:tc>
        <w:tc>
          <w:tcPr>
            <w:tcW w:w="1560" w:type="dxa"/>
            <w:tcBorders>
              <w:top w:val="nil"/>
              <w:left w:val="nil"/>
              <w:bottom w:val="single" w:sz="4" w:space="0" w:color="auto"/>
              <w:right w:val="single" w:sz="4" w:space="0" w:color="auto"/>
            </w:tcBorders>
            <w:vAlign w:val="bottom"/>
          </w:tcPr>
          <w:p w14:paraId="20974F18" w14:textId="1F5F6964"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0.15% </w:t>
            </w:r>
          </w:p>
        </w:tc>
      </w:tr>
      <w:tr w:rsidR="0070545B" w14:paraId="120716B4" w14:textId="77777777" w:rsidTr="0070545B">
        <w:trPr>
          <w:trHeight w:val="300"/>
        </w:trPr>
        <w:tc>
          <w:tcPr>
            <w:tcW w:w="265" w:type="dxa"/>
            <w:tcBorders>
              <w:top w:val="nil"/>
              <w:left w:val="single" w:sz="4" w:space="0" w:color="auto"/>
              <w:bottom w:val="single" w:sz="4" w:space="0" w:color="auto"/>
              <w:right w:val="nil"/>
            </w:tcBorders>
            <w:vAlign w:val="bottom"/>
            <w:hideMark/>
          </w:tcPr>
          <w:p w14:paraId="1D3EDB19"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F681C03" w14:textId="77777777" w:rsidR="0070545B" w:rsidRDefault="0070545B" w:rsidP="0070545B">
            <w:pPr>
              <w:spacing w:after="0" w:line="240" w:lineRule="auto"/>
              <w:rPr>
                <w:rFonts w:ascii="Calibri" w:hAnsi="Calibri" w:cs="Times New Roman"/>
              </w:rPr>
            </w:pPr>
            <w:r>
              <w:rPr>
                <w:rFonts w:ascii="Calibri" w:hAnsi="Calibri" w:cs="Times New Roman"/>
              </w:rPr>
              <w:t>Female, 65-69 years</w:t>
            </w:r>
          </w:p>
        </w:tc>
        <w:tc>
          <w:tcPr>
            <w:tcW w:w="1134" w:type="dxa"/>
            <w:tcBorders>
              <w:top w:val="nil"/>
              <w:left w:val="nil"/>
              <w:bottom w:val="single" w:sz="4" w:space="0" w:color="auto"/>
              <w:right w:val="single" w:sz="4" w:space="0" w:color="auto"/>
            </w:tcBorders>
            <w:vAlign w:val="bottom"/>
            <w:hideMark/>
          </w:tcPr>
          <w:p w14:paraId="28074EF9" w14:textId="77777777" w:rsidR="0070545B" w:rsidRDefault="0070545B" w:rsidP="0070545B">
            <w:pPr>
              <w:spacing w:after="0" w:line="240" w:lineRule="auto"/>
              <w:jc w:val="center"/>
              <w:rPr>
                <w:rFonts w:ascii="Calibri" w:hAnsi="Calibri" w:cs="Times New Roman"/>
              </w:rPr>
            </w:pPr>
            <w:r>
              <w:rPr>
                <w:rFonts w:ascii="Calibri" w:hAnsi="Calibri" w:cs="Times New Roman"/>
              </w:rPr>
              <w:t>0.20%</w:t>
            </w:r>
          </w:p>
        </w:tc>
        <w:tc>
          <w:tcPr>
            <w:tcW w:w="1520" w:type="dxa"/>
            <w:tcBorders>
              <w:top w:val="nil"/>
              <w:left w:val="nil"/>
              <w:bottom w:val="single" w:sz="4" w:space="0" w:color="auto"/>
              <w:right w:val="single" w:sz="4" w:space="0" w:color="auto"/>
            </w:tcBorders>
            <w:vAlign w:val="bottom"/>
            <w:hideMark/>
          </w:tcPr>
          <w:p w14:paraId="3B6D5C8E" w14:textId="2A5AD601" w:rsidR="0070545B" w:rsidRDefault="0070545B" w:rsidP="0070545B">
            <w:pPr>
              <w:spacing w:after="0" w:line="240" w:lineRule="auto"/>
              <w:jc w:val="center"/>
              <w:rPr>
                <w:rFonts w:ascii="Calibri" w:hAnsi="Calibri" w:cs="Times New Roman"/>
              </w:rPr>
            </w:pPr>
            <w:r w:rsidRPr="0070545B">
              <w:rPr>
                <w:rFonts w:ascii="Calibri" w:hAnsi="Calibri" w:cs="Times New Roman"/>
              </w:rPr>
              <w:t>0.26% </w:t>
            </w:r>
          </w:p>
        </w:tc>
        <w:tc>
          <w:tcPr>
            <w:tcW w:w="1560" w:type="dxa"/>
            <w:tcBorders>
              <w:top w:val="nil"/>
              <w:left w:val="nil"/>
              <w:bottom w:val="single" w:sz="4" w:space="0" w:color="auto"/>
              <w:right w:val="single" w:sz="4" w:space="0" w:color="auto"/>
            </w:tcBorders>
            <w:vAlign w:val="bottom"/>
          </w:tcPr>
          <w:p w14:paraId="6D8492F8" w14:textId="79D0B26F"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0.16% </w:t>
            </w:r>
          </w:p>
        </w:tc>
      </w:tr>
      <w:tr w:rsidR="0070545B" w14:paraId="1B7C66A9" w14:textId="77777777" w:rsidTr="0070545B">
        <w:trPr>
          <w:trHeight w:val="300"/>
        </w:trPr>
        <w:tc>
          <w:tcPr>
            <w:tcW w:w="265" w:type="dxa"/>
            <w:tcBorders>
              <w:top w:val="nil"/>
              <w:left w:val="single" w:sz="4" w:space="0" w:color="auto"/>
              <w:bottom w:val="single" w:sz="4" w:space="0" w:color="auto"/>
              <w:right w:val="nil"/>
            </w:tcBorders>
            <w:vAlign w:val="bottom"/>
            <w:hideMark/>
          </w:tcPr>
          <w:p w14:paraId="34FEAC5E"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92755BC" w14:textId="77777777" w:rsidR="0070545B" w:rsidRDefault="0070545B" w:rsidP="0070545B">
            <w:pPr>
              <w:spacing w:after="0" w:line="240" w:lineRule="auto"/>
              <w:rPr>
                <w:rFonts w:ascii="Calibri" w:hAnsi="Calibri" w:cs="Times New Roman"/>
              </w:rPr>
            </w:pPr>
            <w:r>
              <w:rPr>
                <w:rFonts w:ascii="Calibri" w:hAnsi="Calibri" w:cs="Times New Roman"/>
              </w:rPr>
              <w:t>Female, 70-94 years</w:t>
            </w:r>
          </w:p>
        </w:tc>
        <w:tc>
          <w:tcPr>
            <w:tcW w:w="1134" w:type="dxa"/>
            <w:tcBorders>
              <w:top w:val="nil"/>
              <w:left w:val="nil"/>
              <w:bottom w:val="single" w:sz="4" w:space="0" w:color="auto"/>
              <w:right w:val="single" w:sz="4" w:space="0" w:color="auto"/>
            </w:tcBorders>
            <w:vAlign w:val="bottom"/>
            <w:hideMark/>
          </w:tcPr>
          <w:p w14:paraId="6510E0FD" w14:textId="77777777" w:rsidR="0070545B" w:rsidRDefault="0070545B" w:rsidP="0070545B">
            <w:pPr>
              <w:spacing w:after="0" w:line="240" w:lineRule="auto"/>
              <w:jc w:val="center"/>
              <w:rPr>
                <w:rFonts w:ascii="Calibri" w:hAnsi="Calibri" w:cs="Times New Roman"/>
              </w:rPr>
            </w:pPr>
            <w:r>
              <w:rPr>
                <w:rFonts w:ascii="Calibri" w:hAnsi="Calibri" w:cs="Times New Roman"/>
              </w:rPr>
              <w:t>0.22%</w:t>
            </w:r>
          </w:p>
        </w:tc>
        <w:tc>
          <w:tcPr>
            <w:tcW w:w="1520" w:type="dxa"/>
            <w:tcBorders>
              <w:top w:val="nil"/>
              <w:left w:val="nil"/>
              <w:bottom w:val="single" w:sz="4" w:space="0" w:color="auto"/>
              <w:right w:val="single" w:sz="4" w:space="0" w:color="auto"/>
            </w:tcBorders>
            <w:vAlign w:val="bottom"/>
            <w:hideMark/>
          </w:tcPr>
          <w:p w14:paraId="539445FE" w14:textId="565A56DE" w:rsidR="0070545B" w:rsidRDefault="0070545B" w:rsidP="0070545B">
            <w:pPr>
              <w:spacing w:after="0" w:line="240" w:lineRule="auto"/>
              <w:jc w:val="center"/>
              <w:rPr>
                <w:rFonts w:ascii="Calibri" w:hAnsi="Calibri" w:cs="Times New Roman"/>
              </w:rPr>
            </w:pPr>
            <w:r w:rsidRPr="0070545B">
              <w:rPr>
                <w:rFonts w:ascii="Calibri" w:hAnsi="Calibri" w:cs="Times New Roman"/>
              </w:rPr>
              <w:t>0.28% </w:t>
            </w:r>
          </w:p>
        </w:tc>
        <w:tc>
          <w:tcPr>
            <w:tcW w:w="1560" w:type="dxa"/>
            <w:tcBorders>
              <w:top w:val="nil"/>
              <w:left w:val="nil"/>
              <w:bottom w:val="single" w:sz="4" w:space="0" w:color="auto"/>
              <w:right w:val="single" w:sz="4" w:space="0" w:color="auto"/>
            </w:tcBorders>
            <w:vAlign w:val="bottom"/>
          </w:tcPr>
          <w:p w14:paraId="7A4DF351" w14:textId="62C356F1"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0.18% </w:t>
            </w:r>
          </w:p>
        </w:tc>
      </w:tr>
      <w:tr w:rsidR="0070545B" w14:paraId="38C1FF98" w14:textId="77777777" w:rsidTr="0070545B">
        <w:trPr>
          <w:trHeight w:val="300"/>
        </w:trPr>
        <w:tc>
          <w:tcPr>
            <w:tcW w:w="265" w:type="dxa"/>
            <w:tcBorders>
              <w:top w:val="nil"/>
              <w:left w:val="single" w:sz="4" w:space="0" w:color="auto"/>
              <w:bottom w:val="single" w:sz="4" w:space="0" w:color="auto"/>
              <w:right w:val="nil"/>
            </w:tcBorders>
            <w:vAlign w:val="bottom"/>
            <w:hideMark/>
          </w:tcPr>
          <w:p w14:paraId="0E7B1B2B"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3CDF5D2" w14:textId="77777777" w:rsidR="0070545B" w:rsidRDefault="0070545B" w:rsidP="0070545B">
            <w:pPr>
              <w:spacing w:after="0" w:line="240" w:lineRule="auto"/>
              <w:rPr>
                <w:rFonts w:ascii="Calibri" w:hAnsi="Calibri" w:cs="Times New Roman"/>
              </w:rPr>
            </w:pPr>
            <w:r>
              <w:rPr>
                <w:rFonts w:ascii="Calibri" w:hAnsi="Calibri" w:cs="Times New Roman"/>
              </w:rPr>
              <w:t>Female, 75+ years</w:t>
            </w:r>
          </w:p>
        </w:tc>
        <w:tc>
          <w:tcPr>
            <w:tcW w:w="1134" w:type="dxa"/>
            <w:tcBorders>
              <w:top w:val="nil"/>
              <w:left w:val="nil"/>
              <w:bottom w:val="single" w:sz="4" w:space="0" w:color="auto"/>
              <w:right w:val="single" w:sz="4" w:space="0" w:color="auto"/>
            </w:tcBorders>
            <w:vAlign w:val="bottom"/>
            <w:hideMark/>
          </w:tcPr>
          <w:p w14:paraId="2F5C51C8" w14:textId="77777777" w:rsidR="0070545B" w:rsidRDefault="0070545B" w:rsidP="0070545B">
            <w:pPr>
              <w:spacing w:after="0" w:line="240" w:lineRule="auto"/>
              <w:jc w:val="center"/>
              <w:rPr>
                <w:rFonts w:ascii="Calibri" w:hAnsi="Calibri" w:cs="Times New Roman"/>
              </w:rPr>
            </w:pPr>
            <w:r>
              <w:rPr>
                <w:rFonts w:ascii="Calibri" w:hAnsi="Calibri" w:cs="Times New Roman"/>
              </w:rPr>
              <w:t>0.24%</w:t>
            </w:r>
          </w:p>
        </w:tc>
        <w:tc>
          <w:tcPr>
            <w:tcW w:w="1520" w:type="dxa"/>
            <w:tcBorders>
              <w:top w:val="nil"/>
              <w:left w:val="nil"/>
              <w:bottom w:val="single" w:sz="4" w:space="0" w:color="auto"/>
              <w:right w:val="single" w:sz="4" w:space="0" w:color="auto"/>
            </w:tcBorders>
            <w:vAlign w:val="bottom"/>
            <w:hideMark/>
          </w:tcPr>
          <w:p w14:paraId="03BA2CFE" w14:textId="7AEB42A6" w:rsidR="0070545B" w:rsidRDefault="0070545B" w:rsidP="0070545B">
            <w:pPr>
              <w:spacing w:after="0" w:line="240" w:lineRule="auto"/>
              <w:jc w:val="center"/>
              <w:rPr>
                <w:rFonts w:ascii="Calibri" w:hAnsi="Calibri" w:cs="Times New Roman"/>
              </w:rPr>
            </w:pPr>
            <w:r w:rsidRPr="0070545B">
              <w:rPr>
                <w:rFonts w:ascii="Calibri" w:hAnsi="Calibri" w:cs="Times New Roman"/>
              </w:rPr>
              <w:t>0.29% </w:t>
            </w:r>
          </w:p>
        </w:tc>
        <w:tc>
          <w:tcPr>
            <w:tcW w:w="1560" w:type="dxa"/>
            <w:tcBorders>
              <w:top w:val="nil"/>
              <w:left w:val="nil"/>
              <w:bottom w:val="single" w:sz="4" w:space="0" w:color="auto"/>
              <w:right w:val="single" w:sz="4" w:space="0" w:color="auto"/>
            </w:tcBorders>
            <w:vAlign w:val="bottom"/>
          </w:tcPr>
          <w:p w14:paraId="185CBCC1" w14:textId="77ADBA4F" w:rsidR="0070545B" w:rsidRPr="00F73ADF" w:rsidRDefault="0070545B" w:rsidP="0070545B">
            <w:pPr>
              <w:spacing w:after="0" w:line="240" w:lineRule="auto"/>
              <w:jc w:val="center"/>
              <w:rPr>
                <w:rFonts w:ascii="Calibri" w:hAnsi="Calibri" w:cs="Times New Roman"/>
              </w:rPr>
            </w:pPr>
            <w:r w:rsidRPr="0070545B">
              <w:rPr>
                <w:rFonts w:ascii="Calibri" w:hAnsi="Calibri" w:cs="Times New Roman"/>
              </w:rPr>
              <w:t>0.19% </w:t>
            </w:r>
          </w:p>
        </w:tc>
      </w:tr>
      <w:tr w:rsidR="00F73ADF" w14:paraId="241173B1"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4D1E723D" w14:textId="309B1D4A" w:rsidR="00F73ADF" w:rsidRDefault="00F73ADF" w:rsidP="00F42F36">
            <w:pPr>
              <w:pStyle w:val="Default"/>
              <w:rPr>
                <w:i/>
                <w:iCs/>
                <w:sz w:val="22"/>
                <w:szCs w:val="22"/>
              </w:rPr>
            </w:pPr>
            <w:r>
              <w:rPr>
                <w:i/>
                <w:iCs/>
                <w:sz w:val="22"/>
                <w:szCs w:val="22"/>
              </w:rPr>
              <w:t xml:space="preserve">Adenoma size progression and regression rate </w:t>
            </w:r>
            <w:r w:rsidRPr="002D37E0">
              <w:rPr>
                <w:i/>
                <w:iCs/>
                <w:sz w:val="22"/>
                <w:szCs w:val="22"/>
                <w:vertAlign w:val="superscript"/>
              </w:rPr>
              <w:t>a</w:t>
            </w:r>
            <w:r>
              <w:rPr>
                <w:i/>
                <w:iCs/>
                <w:sz w:val="14"/>
                <w:szCs w:val="14"/>
              </w:rPr>
              <w:t xml:space="preserve"> </w:t>
            </w:r>
          </w:p>
        </w:tc>
      </w:tr>
      <w:tr w:rsidR="0070545B" w14:paraId="5EAB4857" w14:textId="77777777" w:rsidTr="0070545B">
        <w:trPr>
          <w:trHeight w:val="300"/>
        </w:trPr>
        <w:tc>
          <w:tcPr>
            <w:tcW w:w="265" w:type="dxa"/>
            <w:tcBorders>
              <w:top w:val="nil"/>
              <w:left w:val="single" w:sz="4" w:space="0" w:color="auto"/>
              <w:bottom w:val="single" w:sz="4" w:space="0" w:color="auto"/>
              <w:right w:val="nil"/>
            </w:tcBorders>
            <w:vAlign w:val="bottom"/>
            <w:hideMark/>
          </w:tcPr>
          <w:p w14:paraId="4C90057F"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C2FBBD1" w14:textId="77777777" w:rsidR="0070545B" w:rsidRDefault="0070545B" w:rsidP="0070545B">
            <w:pPr>
              <w:spacing w:after="0" w:line="240" w:lineRule="auto"/>
              <w:rPr>
                <w:rFonts w:ascii="Calibri" w:hAnsi="Calibri" w:cs="Times New Roman"/>
              </w:rPr>
            </w:pPr>
            <w:r>
              <w:rPr>
                <w:rFonts w:ascii="Calibri" w:hAnsi="Calibri" w:cs="Times New Roman"/>
              </w:rPr>
              <w:t>Progress from diminutive (&lt;6 mm) to small (6-9 mm) size</w:t>
            </w:r>
          </w:p>
        </w:tc>
        <w:tc>
          <w:tcPr>
            <w:tcW w:w="1134" w:type="dxa"/>
            <w:tcBorders>
              <w:top w:val="nil"/>
              <w:left w:val="nil"/>
              <w:bottom w:val="single" w:sz="4" w:space="0" w:color="auto"/>
              <w:right w:val="single" w:sz="4" w:space="0" w:color="auto"/>
            </w:tcBorders>
            <w:vAlign w:val="bottom"/>
            <w:hideMark/>
          </w:tcPr>
          <w:p w14:paraId="5E45233B" w14:textId="068192BF" w:rsidR="0070545B" w:rsidRDefault="0070545B" w:rsidP="0070545B">
            <w:pPr>
              <w:spacing w:after="0" w:line="240" w:lineRule="auto"/>
              <w:jc w:val="center"/>
              <w:rPr>
                <w:rFonts w:ascii="Calibri" w:hAnsi="Calibri" w:cs="Times New Roman"/>
              </w:rPr>
            </w:pPr>
            <w:r>
              <w:rPr>
                <w:rStyle w:val="normaltextrun"/>
                <w:rFonts w:ascii="Arial" w:hAnsi="Arial" w:cs="Arial"/>
              </w:rPr>
              <w:t>10%</w:t>
            </w:r>
            <w:r>
              <w:rPr>
                <w:rStyle w:val="eop"/>
                <w:rFonts w:ascii="Arial" w:hAnsi="Arial" w:cs="Arial"/>
              </w:rPr>
              <w:t> </w:t>
            </w:r>
          </w:p>
        </w:tc>
        <w:tc>
          <w:tcPr>
            <w:tcW w:w="1520" w:type="dxa"/>
            <w:tcBorders>
              <w:top w:val="nil"/>
              <w:left w:val="nil"/>
              <w:bottom w:val="single" w:sz="4" w:space="0" w:color="auto"/>
              <w:right w:val="single" w:sz="4" w:space="0" w:color="auto"/>
            </w:tcBorders>
            <w:vAlign w:val="bottom"/>
            <w:hideMark/>
          </w:tcPr>
          <w:p w14:paraId="1D657443" w14:textId="551D1197"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17%</w:t>
            </w:r>
            <w:r w:rsidRPr="0070545B">
              <w:rPr>
                <w:rStyle w:val="normaltextrun"/>
              </w:rPr>
              <w:t> </w:t>
            </w:r>
          </w:p>
        </w:tc>
        <w:tc>
          <w:tcPr>
            <w:tcW w:w="1560" w:type="dxa"/>
            <w:tcBorders>
              <w:top w:val="nil"/>
              <w:left w:val="nil"/>
              <w:bottom w:val="single" w:sz="4" w:space="0" w:color="auto"/>
              <w:right w:val="single" w:sz="4" w:space="0" w:color="auto"/>
            </w:tcBorders>
            <w:vAlign w:val="bottom"/>
          </w:tcPr>
          <w:p w14:paraId="582A0269" w14:textId="119FAAF2"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10%</w:t>
            </w:r>
            <w:r w:rsidRPr="0070545B">
              <w:rPr>
                <w:rStyle w:val="normaltextrun"/>
              </w:rPr>
              <w:t> </w:t>
            </w:r>
          </w:p>
        </w:tc>
      </w:tr>
      <w:tr w:rsidR="0070545B" w14:paraId="7284180B" w14:textId="77777777" w:rsidTr="0070545B">
        <w:trPr>
          <w:trHeight w:val="300"/>
        </w:trPr>
        <w:tc>
          <w:tcPr>
            <w:tcW w:w="265" w:type="dxa"/>
            <w:tcBorders>
              <w:top w:val="nil"/>
              <w:left w:val="single" w:sz="4" w:space="0" w:color="auto"/>
              <w:bottom w:val="single" w:sz="4" w:space="0" w:color="auto"/>
              <w:right w:val="nil"/>
            </w:tcBorders>
            <w:vAlign w:val="bottom"/>
            <w:hideMark/>
          </w:tcPr>
          <w:p w14:paraId="6C031568"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D5934E3" w14:textId="77777777" w:rsidR="0070545B" w:rsidRDefault="0070545B" w:rsidP="0070545B">
            <w:pPr>
              <w:spacing w:after="0" w:line="240" w:lineRule="auto"/>
              <w:rPr>
                <w:rFonts w:ascii="Calibri" w:hAnsi="Calibri" w:cs="Times New Roman"/>
              </w:rPr>
            </w:pPr>
            <w:r>
              <w:rPr>
                <w:rFonts w:ascii="Calibri" w:hAnsi="Calibri" w:cs="Times New Roman"/>
              </w:rPr>
              <w:t>Progress from small (6-9 mm) to large (&gt;=10 mm) size</w:t>
            </w:r>
          </w:p>
        </w:tc>
        <w:tc>
          <w:tcPr>
            <w:tcW w:w="1134" w:type="dxa"/>
            <w:tcBorders>
              <w:top w:val="nil"/>
              <w:left w:val="nil"/>
              <w:bottom w:val="single" w:sz="4" w:space="0" w:color="auto"/>
              <w:right w:val="single" w:sz="4" w:space="0" w:color="auto"/>
            </w:tcBorders>
            <w:vAlign w:val="bottom"/>
            <w:hideMark/>
          </w:tcPr>
          <w:p w14:paraId="724EB6E9" w14:textId="067B2D36" w:rsidR="0070545B" w:rsidRDefault="0070545B" w:rsidP="0070545B">
            <w:pPr>
              <w:spacing w:after="0" w:line="240" w:lineRule="auto"/>
              <w:jc w:val="center"/>
              <w:rPr>
                <w:rFonts w:ascii="Calibri" w:hAnsi="Calibri" w:cs="Times New Roman"/>
              </w:rPr>
            </w:pPr>
            <w:r>
              <w:rPr>
                <w:rStyle w:val="normaltextrun"/>
                <w:rFonts w:ascii="Arial" w:hAnsi="Arial" w:cs="Arial"/>
              </w:rPr>
              <w:t>20%</w:t>
            </w:r>
            <w:r>
              <w:rPr>
                <w:rStyle w:val="eop"/>
                <w:rFonts w:ascii="Arial" w:hAnsi="Arial" w:cs="Arial"/>
              </w:rPr>
              <w:t> </w:t>
            </w:r>
          </w:p>
        </w:tc>
        <w:tc>
          <w:tcPr>
            <w:tcW w:w="1520" w:type="dxa"/>
            <w:tcBorders>
              <w:top w:val="nil"/>
              <w:left w:val="nil"/>
              <w:bottom w:val="single" w:sz="4" w:space="0" w:color="auto"/>
              <w:right w:val="single" w:sz="4" w:space="0" w:color="auto"/>
            </w:tcBorders>
            <w:vAlign w:val="bottom"/>
            <w:hideMark/>
          </w:tcPr>
          <w:p w14:paraId="50CC0FAA" w14:textId="0026C9EC"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19%</w:t>
            </w:r>
            <w:r w:rsidRPr="0070545B">
              <w:rPr>
                <w:rStyle w:val="normaltextrun"/>
              </w:rPr>
              <w:t> </w:t>
            </w:r>
          </w:p>
        </w:tc>
        <w:tc>
          <w:tcPr>
            <w:tcW w:w="1560" w:type="dxa"/>
            <w:tcBorders>
              <w:top w:val="nil"/>
              <w:left w:val="nil"/>
              <w:bottom w:val="single" w:sz="4" w:space="0" w:color="auto"/>
              <w:right w:val="single" w:sz="4" w:space="0" w:color="auto"/>
            </w:tcBorders>
            <w:vAlign w:val="bottom"/>
          </w:tcPr>
          <w:p w14:paraId="3F81D2E3" w14:textId="4CB1B42E"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11%</w:t>
            </w:r>
            <w:r w:rsidRPr="0070545B">
              <w:rPr>
                <w:rStyle w:val="normaltextrun"/>
              </w:rPr>
              <w:t> </w:t>
            </w:r>
          </w:p>
        </w:tc>
      </w:tr>
      <w:tr w:rsidR="0070545B" w14:paraId="060A4DB8" w14:textId="77777777" w:rsidTr="0070545B">
        <w:trPr>
          <w:trHeight w:val="300"/>
        </w:trPr>
        <w:tc>
          <w:tcPr>
            <w:tcW w:w="265" w:type="dxa"/>
            <w:tcBorders>
              <w:top w:val="nil"/>
              <w:left w:val="single" w:sz="4" w:space="0" w:color="auto"/>
              <w:bottom w:val="single" w:sz="4" w:space="0" w:color="auto"/>
              <w:right w:val="nil"/>
            </w:tcBorders>
            <w:vAlign w:val="bottom"/>
            <w:hideMark/>
          </w:tcPr>
          <w:p w14:paraId="509B4612"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FDC05EA" w14:textId="77777777" w:rsidR="0070545B" w:rsidRDefault="0070545B" w:rsidP="0070545B">
            <w:pPr>
              <w:spacing w:after="0" w:line="240" w:lineRule="auto"/>
              <w:rPr>
                <w:rFonts w:ascii="Calibri" w:hAnsi="Calibri" w:cs="Times New Roman"/>
              </w:rPr>
            </w:pPr>
            <w:r>
              <w:rPr>
                <w:rFonts w:ascii="Calibri" w:hAnsi="Calibri" w:cs="Times New Roman"/>
              </w:rPr>
              <w:t>Regress from small (6-9 mm) to diminutive (&lt;6 mm) size</w:t>
            </w:r>
          </w:p>
        </w:tc>
        <w:tc>
          <w:tcPr>
            <w:tcW w:w="1134" w:type="dxa"/>
            <w:tcBorders>
              <w:top w:val="nil"/>
              <w:left w:val="nil"/>
              <w:bottom w:val="single" w:sz="4" w:space="0" w:color="auto"/>
              <w:right w:val="single" w:sz="4" w:space="0" w:color="auto"/>
            </w:tcBorders>
            <w:vAlign w:val="bottom"/>
            <w:hideMark/>
          </w:tcPr>
          <w:p w14:paraId="66DBD8FE" w14:textId="223223E0" w:rsidR="0070545B" w:rsidRDefault="0070545B" w:rsidP="0070545B">
            <w:pPr>
              <w:spacing w:after="0" w:line="240" w:lineRule="auto"/>
              <w:jc w:val="center"/>
              <w:rPr>
                <w:rFonts w:ascii="Calibri" w:hAnsi="Calibri" w:cs="Times New Roman"/>
              </w:rPr>
            </w:pPr>
            <w:r>
              <w:rPr>
                <w:rStyle w:val="normaltextrun"/>
                <w:rFonts w:ascii="Arial" w:hAnsi="Arial" w:cs="Arial"/>
              </w:rPr>
              <w:t>48%</w:t>
            </w:r>
            <w:r>
              <w:rPr>
                <w:rStyle w:val="eop"/>
                <w:rFonts w:ascii="Arial" w:hAnsi="Arial" w:cs="Arial"/>
              </w:rPr>
              <w:t> </w:t>
            </w:r>
          </w:p>
        </w:tc>
        <w:tc>
          <w:tcPr>
            <w:tcW w:w="1520" w:type="dxa"/>
            <w:tcBorders>
              <w:top w:val="nil"/>
              <w:left w:val="nil"/>
              <w:bottom w:val="single" w:sz="4" w:space="0" w:color="auto"/>
              <w:right w:val="single" w:sz="4" w:space="0" w:color="auto"/>
            </w:tcBorders>
            <w:vAlign w:val="bottom"/>
            <w:hideMark/>
          </w:tcPr>
          <w:p w14:paraId="1B207333" w14:textId="693F7D33"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78%</w:t>
            </w:r>
            <w:r w:rsidRPr="0070545B">
              <w:rPr>
                <w:rStyle w:val="normaltextrun"/>
              </w:rPr>
              <w:t> </w:t>
            </w:r>
          </w:p>
        </w:tc>
        <w:tc>
          <w:tcPr>
            <w:tcW w:w="1560" w:type="dxa"/>
            <w:tcBorders>
              <w:top w:val="nil"/>
              <w:left w:val="nil"/>
              <w:bottom w:val="single" w:sz="4" w:space="0" w:color="auto"/>
              <w:right w:val="single" w:sz="4" w:space="0" w:color="auto"/>
            </w:tcBorders>
            <w:vAlign w:val="bottom"/>
          </w:tcPr>
          <w:p w14:paraId="46F026B8" w14:textId="4DA87FB0"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34%</w:t>
            </w:r>
            <w:r w:rsidRPr="0070545B">
              <w:rPr>
                <w:rStyle w:val="normaltextrun"/>
              </w:rPr>
              <w:t> </w:t>
            </w:r>
          </w:p>
        </w:tc>
      </w:tr>
      <w:tr w:rsidR="0070545B" w14:paraId="22029A92" w14:textId="77777777" w:rsidTr="0070545B">
        <w:trPr>
          <w:trHeight w:val="300"/>
        </w:trPr>
        <w:tc>
          <w:tcPr>
            <w:tcW w:w="265" w:type="dxa"/>
            <w:tcBorders>
              <w:top w:val="nil"/>
              <w:left w:val="single" w:sz="4" w:space="0" w:color="auto"/>
              <w:bottom w:val="single" w:sz="4" w:space="0" w:color="auto"/>
              <w:right w:val="nil"/>
            </w:tcBorders>
            <w:vAlign w:val="bottom"/>
            <w:hideMark/>
          </w:tcPr>
          <w:p w14:paraId="54543C65"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E9DE381" w14:textId="77777777" w:rsidR="0070545B" w:rsidRDefault="0070545B" w:rsidP="0070545B">
            <w:pPr>
              <w:spacing w:after="0" w:line="240" w:lineRule="auto"/>
              <w:rPr>
                <w:rFonts w:ascii="Calibri" w:hAnsi="Calibri" w:cs="Times New Roman"/>
              </w:rPr>
            </w:pPr>
            <w:r>
              <w:rPr>
                <w:rFonts w:ascii="Calibri" w:hAnsi="Calibri" w:cs="Times New Roman"/>
              </w:rPr>
              <w:t>Regress from large (&gt;=10 mm) to small (6-9 mm) size</w:t>
            </w:r>
          </w:p>
        </w:tc>
        <w:tc>
          <w:tcPr>
            <w:tcW w:w="1134" w:type="dxa"/>
            <w:tcBorders>
              <w:top w:val="nil"/>
              <w:left w:val="nil"/>
              <w:bottom w:val="single" w:sz="4" w:space="0" w:color="auto"/>
              <w:right w:val="single" w:sz="4" w:space="0" w:color="auto"/>
            </w:tcBorders>
            <w:vAlign w:val="bottom"/>
            <w:hideMark/>
          </w:tcPr>
          <w:p w14:paraId="4A2DAC85" w14:textId="65A046D7" w:rsidR="0070545B" w:rsidRDefault="0070545B" w:rsidP="0070545B">
            <w:pPr>
              <w:spacing w:after="0" w:line="240" w:lineRule="auto"/>
              <w:jc w:val="center"/>
              <w:rPr>
                <w:rFonts w:ascii="Calibri" w:hAnsi="Calibri" w:cs="Times New Roman"/>
              </w:rPr>
            </w:pPr>
            <w:r>
              <w:rPr>
                <w:rStyle w:val="normaltextrun"/>
                <w:rFonts w:ascii="Arial" w:hAnsi="Arial" w:cs="Arial"/>
              </w:rPr>
              <w:t>17%</w:t>
            </w:r>
            <w:r>
              <w:rPr>
                <w:rStyle w:val="eop"/>
                <w:rFonts w:ascii="Arial" w:hAnsi="Arial" w:cs="Arial"/>
              </w:rPr>
              <w:t> </w:t>
            </w:r>
          </w:p>
        </w:tc>
        <w:tc>
          <w:tcPr>
            <w:tcW w:w="1520" w:type="dxa"/>
            <w:tcBorders>
              <w:top w:val="nil"/>
              <w:left w:val="nil"/>
              <w:bottom w:val="single" w:sz="4" w:space="0" w:color="auto"/>
              <w:right w:val="single" w:sz="4" w:space="0" w:color="auto"/>
            </w:tcBorders>
            <w:vAlign w:val="bottom"/>
            <w:hideMark/>
          </w:tcPr>
          <w:p w14:paraId="5540504B" w14:textId="720C1713"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43%</w:t>
            </w:r>
            <w:r w:rsidRPr="0070545B">
              <w:rPr>
                <w:rStyle w:val="normaltextrun"/>
              </w:rPr>
              <w:t> </w:t>
            </w:r>
          </w:p>
        </w:tc>
        <w:tc>
          <w:tcPr>
            <w:tcW w:w="1560" w:type="dxa"/>
            <w:tcBorders>
              <w:top w:val="nil"/>
              <w:left w:val="nil"/>
              <w:bottom w:val="single" w:sz="4" w:space="0" w:color="auto"/>
              <w:right w:val="single" w:sz="4" w:space="0" w:color="auto"/>
            </w:tcBorders>
            <w:vAlign w:val="bottom"/>
          </w:tcPr>
          <w:p w14:paraId="1F552F41" w14:textId="7FE9166F"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18%</w:t>
            </w:r>
            <w:r w:rsidRPr="0070545B">
              <w:rPr>
                <w:rStyle w:val="normaltextrun"/>
              </w:rPr>
              <w:t> </w:t>
            </w:r>
          </w:p>
        </w:tc>
      </w:tr>
      <w:tr w:rsidR="00F73ADF" w14:paraId="47CEC4E1"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20005522" w14:textId="46158185" w:rsidR="00F73ADF" w:rsidRDefault="00F73ADF" w:rsidP="00F42F36">
            <w:pPr>
              <w:pStyle w:val="Default"/>
              <w:rPr>
                <w:i/>
                <w:iCs/>
                <w:sz w:val="22"/>
                <w:szCs w:val="22"/>
              </w:rPr>
            </w:pPr>
            <w:r>
              <w:rPr>
                <w:i/>
                <w:iCs/>
                <w:sz w:val="22"/>
                <w:szCs w:val="22"/>
              </w:rPr>
              <w:t xml:space="preserve">Probability of developing high-grade dysplasia by adenoma size </w:t>
            </w:r>
            <w:r w:rsidRPr="002D37E0">
              <w:rPr>
                <w:i/>
                <w:iCs/>
                <w:sz w:val="22"/>
                <w:szCs w:val="22"/>
                <w:vertAlign w:val="superscript"/>
              </w:rPr>
              <w:t>a</w:t>
            </w:r>
          </w:p>
        </w:tc>
      </w:tr>
      <w:tr w:rsidR="0070545B" w14:paraId="2A971A88" w14:textId="77777777" w:rsidTr="0070545B">
        <w:trPr>
          <w:trHeight w:val="300"/>
        </w:trPr>
        <w:tc>
          <w:tcPr>
            <w:tcW w:w="265" w:type="dxa"/>
            <w:tcBorders>
              <w:top w:val="nil"/>
              <w:left w:val="single" w:sz="4" w:space="0" w:color="auto"/>
              <w:bottom w:val="single" w:sz="4" w:space="0" w:color="auto"/>
              <w:right w:val="nil"/>
            </w:tcBorders>
            <w:vAlign w:val="bottom"/>
            <w:hideMark/>
          </w:tcPr>
          <w:p w14:paraId="6263C92C"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9298A3B" w14:textId="77777777" w:rsidR="0070545B" w:rsidRDefault="0070545B" w:rsidP="0070545B">
            <w:pPr>
              <w:spacing w:after="0" w:line="240" w:lineRule="auto"/>
              <w:rPr>
                <w:rFonts w:ascii="Calibri" w:hAnsi="Calibri" w:cs="Times New Roman"/>
              </w:rPr>
            </w:pPr>
            <w:r>
              <w:rPr>
                <w:rFonts w:ascii="Calibri" w:hAnsi="Calibri" w:cs="Times New Roman"/>
              </w:rPr>
              <w:t>Diminutive adenoma</w:t>
            </w:r>
          </w:p>
        </w:tc>
        <w:tc>
          <w:tcPr>
            <w:tcW w:w="1134" w:type="dxa"/>
            <w:tcBorders>
              <w:top w:val="nil"/>
              <w:left w:val="nil"/>
              <w:bottom w:val="single" w:sz="4" w:space="0" w:color="auto"/>
              <w:right w:val="single" w:sz="4" w:space="0" w:color="auto"/>
            </w:tcBorders>
            <w:vAlign w:val="bottom"/>
            <w:hideMark/>
          </w:tcPr>
          <w:p w14:paraId="39A8CCD4" w14:textId="2C0EA194"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0.4%</w:t>
            </w:r>
            <w:r w:rsidRPr="0070545B">
              <w:rPr>
                <w:rStyle w:val="normaltextrun"/>
              </w:rPr>
              <w:t> </w:t>
            </w:r>
          </w:p>
        </w:tc>
        <w:tc>
          <w:tcPr>
            <w:tcW w:w="1520" w:type="dxa"/>
            <w:tcBorders>
              <w:top w:val="nil"/>
              <w:left w:val="nil"/>
              <w:bottom w:val="single" w:sz="4" w:space="0" w:color="auto"/>
              <w:right w:val="single" w:sz="4" w:space="0" w:color="auto"/>
            </w:tcBorders>
            <w:vAlign w:val="bottom"/>
            <w:hideMark/>
          </w:tcPr>
          <w:p w14:paraId="1BC6C13A" w14:textId="48596AFB"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0.9%</w:t>
            </w:r>
            <w:r w:rsidRPr="0070545B">
              <w:rPr>
                <w:rStyle w:val="normaltextrun"/>
              </w:rPr>
              <w:t> </w:t>
            </w:r>
          </w:p>
        </w:tc>
        <w:tc>
          <w:tcPr>
            <w:tcW w:w="1560" w:type="dxa"/>
            <w:tcBorders>
              <w:top w:val="nil"/>
              <w:left w:val="nil"/>
              <w:bottom w:val="single" w:sz="4" w:space="0" w:color="auto"/>
              <w:right w:val="single" w:sz="4" w:space="0" w:color="auto"/>
            </w:tcBorders>
            <w:vAlign w:val="bottom"/>
          </w:tcPr>
          <w:p w14:paraId="32EF8A3D" w14:textId="532CCF6B"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0.4%</w:t>
            </w:r>
            <w:r w:rsidRPr="0070545B">
              <w:rPr>
                <w:rStyle w:val="normaltextrun"/>
              </w:rPr>
              <w:t> </w:t>
            </w:r>
          </w:p>
        </w:tc>
      </w:tr>
      <w:tr w:rsidR="0070545B" w14:paraId="641B5967" w14:textId="77777777" w:rsidTr="0070545B">
        <w:trPr>
          <w:trHeight w:val="300"/>
        </w:trPr>
        <w:tc>
          <w:tcPr>
            <w:tcW w:w="265" w:type="dxa"/>
            <w:tcBorders>
              <w:top w:val="nil"/>
              <w:left w:val="single" w:sz="4" w:space="0" w:color="auto"/>
              <w:bottom w:val="single" w:sz="4" w:space="0" w:color="auto"/>
              <w:right w:val="nil"/>
            </w:tcBorders>
            <w:vAlign w:val="bottom"/>
            <w:hideMark/>
          </w:tcPr>
          <w:p w14:paraId="01E19B1E"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7087ADB" w14:textId="77777777" w:rsidR="0070545B" w:rsidRDefault="0070545B" w:rsidP="0070545B">
            <w:pPr>
              <w:spacing w:after="0" w:line="240" w:lineRule="auto"/>
              <w:rPr>
                <w:rFonts w:ascii="Calibri" w:hAnsi="Calibri" w:cs="Times New Roman"/>
              </w:rPr>
            </w:pPr>
            <w:r>
              <w:rPr>
                <w:rFonts w:ascii="Calibri" w:hAnsi="Calibri" w:cs="Times New Roman"/>
              </w:rPr>
              <w:t>Small adenoma</w:t>
            </w:r>
          </w:p>
        </w:tc>
        <w:tc>
          <w:tcPr>
            <w:tcW w:w="1134" w:type="dxa"/>
            <w:tcBorders>
              <w:top w:val="nil"/>
              <w:left w:val="nil"/>
              <w:bottom w:val="single" w:sz="4" w:space="0" w:color="auto"/>
              <w:right w:val="single" w:sz="4" w:space="0" w:color="auto"/>
            </w:tcBorders>
            <w:vAlign w:val="bottom"/>
            <w:hideMark/>
          </w:tcPr>
          <w:p w14:paraId="2B5DFCCD" w14:textId="2969EC36"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0.7%</w:t>
            </w:r>
            <w:r w:rsidRPr="0070545B">
              <w:rPr>
                <w:rStyle w:val="normaltextrun"/>
              </w:rPr>
              <w:t> </w:t>
            </w:r>
          </w:p>
        </w:tc>
        <w:tc>
          <w:tcPr>
            <w:tcW w:w="1520" w:type="dxa"/>
            <w:tcBorders>
              <w:top w:val="nil"/>
              <w:left w:val="nil"/>
              <w:bottom w:val="single" w:sz="4" w:space="0" w:color="auto"/>
              <w:right w:val="single" w:sz="4" w:space="0" w:color="auto"/>
            </w:tcBorders>
            <w:vAlign w:val="bottom"/>
            <w:hideMark/>
          </w:tcPr>
          <w:p w14:paraId="4FB81BC3" w14:textId="5F97A2F7"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0.9%</w:t>
            </w:r>
            <w:r w:rsidRPr="0070545B">
              <w:rPr>
                <w:rStyle w:val="normaltextrun"/>
              </w:rPr>
              <w:t> </w:t>
            </w:r>
          </w:p>
        </w:tc>
        <w:tc>
          <w:tcPr>
            <w:tcW w:w="1560" w:type="dxa"/>
            <w:tcBorders>
              <w:top w:val="nil"/>
              <w:left w:val="nil"/>
              <w:bottom w:val="single" w:sz="4" w:space="0" w:color="auto"/>
              <w:right w:val="single" w:sz="4" w:space="0" w:color="auto"/>
            </w:tcBorders>
            <w:vAlign w:val="bottom"/>
          </w:tcPr>
          <w:p w14:paraId="650DF921" w14:textId="0C142F17"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0.4%</w:t>
            </w:r>
            <w:r w:rsidRPr="0070545B">
              <w:rPr>
                <w:rStyle w:val="normaltextrun"/>
              </w:rPr>
              <w:t> </w:t>
            </w:r>
          </w:p>
        </w:tc>
      </w:tr>
      <w:tr w:rsidR="0070545B" w14:paraId="67E2CF9C" w14:textId="77777777" w:rsidTr="0070545B">
        <w:trPr>
          <w:trHeight w:val="300"/>
        </w:trPr>
        <w:tc>
          <w:tcPr>
            <w:tcW w:w="265" w:type="dxa"/>
            <w:tcBorders>
              <w:top w:val="nil"/>
              <w:left w:val="single" w:sz="4" w:space="0" w:color="auto"/>
              <w:bottom w:val="single" w:sz="4" w:space="0" w:color="auto"/>
              <w:right w:val="nil"/>
            </w:tcBorders>
            <w:vAlign w:val="bottom"/>
            <w:hideMark/>
          </w:tcPr>
          <w:p w14:paraId="0841AC46"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5A7AA377" w14:textId="77777777" w:rsidR="0070545B" w:rsidRDefault="0070545B" w:rsidP="0070545B">
            <w:pPr>
              <w:spacing w:after="0" w:line="240" w:lineRule="auto"/>
              <w:rPr>
                <w:rFonts w:ascii="Calibri" w:hAnsi="Calibri" w:cs="Times New Roman"/>
              </w:rPr>
            </w:pPr>
            <w:r>
              <w:rPr>
                <w:rFonts w:ascii="Calibri" w:hAnsi="Calibri" w:cs="Times New Roman"/>
              </w:rPr>
              <w:t>Large adenoma</w:t>
            </w:r>
          </w:p>
        </w:tc>
        <w:tc>
          <w:tcPr>
            <w:tcW w:w="1134" w:type="dxa"/>
            <w:tcBorders>
              <w:top w:val="nil"/>
              <w:left w:val="nil"/>
              <w:bottom w:val="single" w:sz="4" w:space="0" w:color="auto"/>
              <w:right w:val="single" w:sz="4" w:space="0" w:color="auto"/>
            </w:tcBorders>
            <w:vAlign w:val="bottom"/>
            <w:hideMark/>
          </w:tcPr>
          <w:p w14:paraId="2DDDE240" w14:textId="5753C548"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0.8%</w:t>
            </w:r>
            <w:r w:rsidRPr="0070545B">
              <w:rPr>
                <w:rStyle w:val="normaltextrun"/>
              </w:rPr>
              <w:t> </w:t>
            </w:r>
          </w:p>
        </w:tc>
        <w:tc>
          <w:tcPr>
            <w:tcW w:w="1520" w:type="dxa"/>
            <w:tcBorders>
              <w:top w:val="nil"/>
              <w:left w:val="nil"/>
              <w:bottom w:val="single" w:sz="4" w:space="0" w:color="auto"/>
              <w:right w:val="single" w:sz="4" w:space="0" w:color="auto"/>
            </w:tcBorders>
            <w:vAlign w:val="bottom"/>
            <w:hideMark/>
          </w:tcPr>
          <w:p w14:paraId="343D78CF" w14:textId="43C4360B"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1.2%</w:t>
            </w:r>
            <w:r w:rsidRPr="0070545B">
              <w:rPr>
                <w:rStyle w:val="normaltextrun"/>
              </w:rPr>
              <w:t> </w:t>
            </w:r>
          </w:p>
        </w:tc>
        <w:tc>
          <w:tcPr>
            <w:tcW w:w="1560" w:type="dxa"/>
            <w:tcBorders>
              <w:top w:val="nil"/>
              <w:left w:val="nil"/>
              <w:bottom w:val="single" w:sz="4" w:space="0" w:color="auto"/>
              <w:right w:val="single" w:sz="4" w:space="0" w:color="auto"/>
            </w:tcBorders>
            <w:vAlign w:val="bottom"/>
          </w:tcPr>
          <w:p w14:paraId="35506295" w14:textId="4AF94CB3" w:rsidR="0070545B" w:rsidRPr="0070545B" w:rsidRDefault="0070545B" w:rsidP="0070545B">
            <w:pPr>
              <w:spacing w:after="0" w:line="240" w:lineRule="auto"/>
              <w:jc w:val="center"/>
              <w:rPr>
                <w:rStyle w:val="normaltextrun"/>
                <w:rFonts w:ascii="Arial" w:hAnsi="Arial" w:cs="Arial"/>
              </w:rPr>
            </w:pPr>
            <w:r>
              <w:rPr>
                <w:rStyle w:val="normaltextrun"/>
                <w:rFonts w:ascii="Arial" w:hAnsi="Arial" w:cs="Arial"/>
              </w:rPr>
              <w:t>0.5%</w:t>
            </w:r>
            <w:r w:rsidRPr="0070545B">
              <w:rPr>
                <w:rStyle w:val="normaltextrun"/>
              </w:rPr>
              <w:t> </w:t>
            </w:r>
          </w:p>
        </w:tc>
      </w:tr>
      <w:tr w:rsidR="00F73ADF" w14:paraId="4BA4D821" w14:textId="77777777" w:rsidTr="00F42F36">
        <w:trPr>
          <w:trHeight w:val="300"/>
        </w:trPr>
        <w:tc>
          <w:tcPr>
            <w:tcW w:w="7366" w:type="dxa"/>
            <w:gridSpan w:val="4"/>
            <w:tcBorders>
              <w:top w:val="nil"/>
              <w:left w:val="single" w:sz="4" w:space="0" w:color="auto"/>
              <w:bottom w:val="single" w:sz="4" w:space="0" w:color="auto"/>
              <w:right w:val="single" w:sz="4" w:space="0" w:color="auto"/>
            </w:tcBorders>
            <w:vAlign w:val="bottom"/>
          </w:tcPr>
          <w:p w14:paraId="03437994" w14:textId="77777777" w:rsidR="00F73ADF" w:rsidRPr="002D37E0" w:rsidRDefault="00F73ADF" w:rsidP="00F42F36">
            <w:pPr>
              <w:pStyle w:val="Default"/>
              <w:rPr>
                <w:sz w:val="14"/>
                <w:szCs w:val="14"/>
              </w:rPr>
            </w:pPr>
            <w:r>
              <w:rPr>
                <w:i/>
                <w:iCs/>
                <w:sz w:val="22"/>
                <w:szCs w:val="22"/>
              </w:rPr>
              <w:t xml:space="preserve">Probability of developed villous component </w:t>
            </w:r>
            <w:r w:rsidRPr="002D37E0">
              <w:rPr>
                <w:i/>
                <w:iCs/>
                <w:sz w:val="22"/>
                <w:szCs w:val="22"/>
                <w:vertAlign w:val="superscript"/>
              </w:rPr>
              <w:t>a</w:t>
            </w:r>
          </w:p>
        </w:tc>
        <w:tc>
          <w:tcPr>
            <w:tcW w:w="1560" w:type="dxa"/>
            <w:tcBorders>
              <w:top w:val="nil"/>
              <w:left w:val="single" w:sz="4" w:space="0" w:color="auto"/>
              <w:bottom w:val="single" w:sz="4" w:space="0" w:color="auto"/>
              <w:right w:val="single" w:sz="4" w:space="0" w:color="auto"/>
            </w:tcBorders>
          </w:tcPr>
          <w:p w14:paraId="4E9BD771" w14:textId="77777777" w:rsidR="00F73ADF" w:rsidRDefault="00F73ADF" w:rsidP="00F42F36">
            <w:pPr>
              <w:pStyle w:val="Default"/>
              <w:rPr>
                <w:i/>
                <w:iCs/>
                <w:sz w:val="22"/>
                <w:szCs w:val="22"/>
              </w:rPr>
            </w:pPr>
          </w:p>
        </w:tc>
      </w:tr>
      <w:tr w:rsidR="0070545B" w14:paraId="7472ED89" w14:textId="77777777" w:rsidTr="0070545B">
        <w:trPr>
          <w:trHeight w:val="300"/>
        </w:trPr>
        <w:tc>
          <w:tcPr>
            <w:tcW w:w="265" w:type="dxa"/>
            <w:tcBorders>
              <w:top w:val="nil"/>
              <w:left w:val="single" w:sz="4" w:space="0" w:color="auto"/>
              <w:bottom w:val="single" w:sz="4" w:space="0" w:color="auto"/>
              <w:right w:val="nil"/>
            </w:tcBorders>
            <w:vAlign w:val="bottom"/>
            <w:hideMark/>
          </w:tcPr>
          <w:p w14:paraId="0E043ECF"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53EA565A" w14:textId="77777777" w:rsidR="0070545B" w:rsidRDefault="0070545B" w:rsidP="0070545B">
            <w:pPr>
              <w:spacing w:after="0" w:line="240" w:lineRule="auto"/>
              <w:rPr>
                <w:rFonts w:ascii="Calibri" w:hAnsi="Calibri" w:cs="Times New Roman"/>
              </w:rPr>
            </w:pPr>
            <w:r>
              <w:rPr>
                <w:rFonts w:ascii="Calibri" w:hAnsi="Calibri" w:cs="Times New Roman"/>
              </w:rPr>
              <w:t>Diminutive adenoma</w:t>
            </w:r>
          </w:p>
        </w:tc>
        <w:tc>
          <w:tcPr>
            <w:tcW w:w="1134" w:type="dxa"/>
            <w:tcBorders>
              <w:top w:val="nil"/>
              <w:left w:val="nil"/>
              <w:bottom w:val="single" w:sz="4" w:space="0" w:color="auto"/>
              <w:right w:val="single" w:sz="4" w:space="0" w:color="auto"/>
            </w:tcBorders>
            <w:vAlign w:val="bottom"/>
            <w:hideMark/>
          </w:tcPr>
          <w:p w14:paraId="5FFF9BA7" w14:textId="77777777" w:rsidR="0070545B" w:rsidRDefault="0070545B" w:rsidP="0070545B">
            <w:pPr>
              <w:spacing w:after="0" w:line="240" w:lineRule="auto"/>
              <w:jc w:val="center"/>
              <w:rPr>
                <w:rFonts w:ascii="Calibri" w:hAnsi="Calibri" w:cs="Times New Roman"/>
              </w:rPr>
            </w:pPr>
            <w:r>
              <w:rPr>
                <w:rFonts w:ascii="Calibri" w:hAnsi="Calibri" w:cs="Times New Roman"/>
              </w:rPr>
              <w:t>0.4%</w:t>
            </w:r>
          </w:p>
        </w:tc>
        <w:tc>
          <w:tcPr>
            <w:tcW w:w="1520" w:type="dxa"/>
            <w:tcBorders>
              <w:top w:val="nil"/>
              <w:left w:val="nil"/>
              <w:bottom w:val="single" w:sz="4" w:space="0" w:color="auto"/>
              <w:right w:val="single" w:sz="4" w:space="0" w:color="auto"/>
            </w:tcBorders>
            <w:vAlign w:val="bottom"/>
            <w:hideMark/>
          </w:tcPr>
          <w:p w14:paraId="6C033127" w14:textId="595A2A7F" w:rsidR="0070545B" w:rsidRDefault="0070545B" w:rsidP="0070545B">
            <w:pPr>
              <w:spacing w:after="0" w:line="240" w:lineRule="auto"/>
              <w:jc w:val="center"/>
              <w:rPr>
                <w:rFonts w:ascii="Calibri" w:hAnsi="Calibri" w:cs="Times New Roman"/>
              </w:rPr>
            </w:pPr>
            <w:r w:rsidRPr="0070545B">
              <w:rPr>
                <w:rFonts w:ascii="Calibri" w:hAnsi="Calibri" w:cs="Times New Roman"/>
              </w:rPr>
              <w:t>0.7% </w:t>
            </w:r>
          </w:p>
        </w:tc>
        <w:tc>
          <w:tcPr>
            <w:tcW w:w="1560" w:type="dxa"/>
            <w:tcBorders>
              <w:top w:val="nil"/>
              <w:left w:val="nil"/>
              <w:bottom w:val="single" w:sz="4" w:space="0" w:color="auto"/>
              <w:right w:val="single" w:sz="4" w:space="0" w:color="auto"/>
            </w:tcBorders>
            <w:vAlign w:val="bottom"/>
          </w:tcPr>
          <w:p w14:paraId="51819D0D" w14:textId="68C5ECFF" w:rsidR="0070545B" w:rsidRDefault="0070545B" w:rsidP="0070545B">
            <w:pPr>
              <w:spacing w:after="0" w:line="240" w:lineRule="auto"/>
              <w:jc w:val="center"/>
              <w:rPr>
                <w:rFonts w:ascii="Calibri" w:hAnsi="Calibri" w:cs="Times New Roman"/>
              </w:rPr>
            </w:pPr>
            <w:r w:rsidRPr="0070545B">
              <w:rPr>
                <w:rFonts w:ascii="Calibri" w:hAnsi="Calibri" w:cs="Times New Roman"/>
              </w:rPr>
              <w:t>0.4% </w:t>
            </w:r>
          </w:p>
        </w:tc>
      </w:tr>
      <w:tr w:rsidR="0070545B" w14:paraId="76DD13AC" w14:textId="77777777" w:rsidTr="0070545B">
        <w:trPr>
          <w:trHeight w:val="300"/>
        </w:trPr>
        <w:tc>
          <w:tcPr>
            <w:tcW w:w="265" w:type="dxa"/>
            <w:tcBorders>
              <w:top w:val="nil"/>
              <w:left w:val="single" w:sz="4" w:space="0" w:color="auto"/>
              <w:bottom w:val="single" w:sz="4" w:space="0" w:color="auto"/>
              <w:right w:val="nil"/>
            </w:tcBorders>
            <w:vAlign w:val="bottom"/>
            <w:hideMark/>
          </w:tcPr>
          <w:p w14:paraId="780F9D99"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A1DE81A" w14:textId="77777777" w:rsidR="0070545B" w:rsidRDefault="0070545B" w:rsidP="0070545B">
            <w:pPr>
              <w:spacing w:after="0" w:line="240" w:lineRule="auto"/>
              <w:rPr>
                <w:rFonts w:ascii="Calibri" w:hAnsi="Calibri" w:cs="Times New Roman"/>
              </w:rPr>
            </w:pPr>
            <w:r>
              <w:rPr>
                <w:rFonts w:ascii="Calibri" w:hAnsi="Calibri" w:cs="Times New Roman"/>
              </w:rPr>
              <w:t>Small adenoma</w:t>
            </w:r>
          </w:p>
        </w:tc>
        <w:tc>
          <w:tcPr>
            <w:tcW w:w="1134" w:type="dxa"/>
            <w:tcBorders>
              <w:top w:val="nil"/>
              <w:left w:val="nil"/>
              <w:bottom w:val="single" w:sz="4" w:space="0" w:color="auto"/>
              <w:right w:val="single" w:sz="4" w:space="0" w:color="auto"/>
            </w:tcBorders>
            <w:vAlign w:val="bottom"/>
            <w:hideMark/>
          </w:tcPr>
          <w:p w14:paraId="385DE81D" w14:textId="77777777" w:rsidR="0070545B" w:rsidRDefault="0070545B" w:rsidP="0070545B">
            <w:pPr>
              <w:spacing w:after="0" w:line="240" w:lineRule="auto"/>
              <w:jc w:val="center"/>
              <w:rPr>
                <w:rFonts w:ascii="Calibri" w:hAnsi="Calibri" w:cs="Times New Roman"/>
              </w:rPr>
            </w:pPr>
            <w:r>
              <w:rPr>
                <w:rFonts w:ascii="Calibri" w:hAnsi="Calibri" w:cs="Times New Roman"/>
              </w:rPr>
              <w:t>3.5%</w:t>
            </w:r>
          </w:p>
        </w:tc>
        <w:tc>
          <w:tcPr>
            <w:tcW w:w="1520" w:type="dxa"/>
            <w:tcBorders>
              <w:top w:val="nil"/>
              <w:left w:val="nil"/>
              <w:bottom w:val="single" w:sz="4" w:space="0" w:color="auto"/>
              <w:right w:val="single" w:sz="4" w:space="0" w:color="auto"/>
            </w:tcBorders>
            <w:vAlign w:val="bottom"/>
            <w:hideMark/>
          </w:tcPr>
          <w:p w14:paraId="059E82FF" w14:textId="731D368E" w:rsidR="0070545B" w:rsidRDefault="0070545B" w:rsidP="0070545B">
            <w:pPr>
              <w:spacing w:after="0" w:line="240" w:lineRule="auto"/>
              <w:jc w:val="center"/>
              <w:rPr>
                <w:rFonts w:ascii="Calibri" w:hAnsi="Calibri" w:cs="Times New Roman"/>
              </w:rPr>
            </w:pPr>
            <w:r w:rsidRPr="0070545B">
              <w:rPr>
                <w:rFonts w:ascii="Calibri" w:hAnsi="Calibri" w:cs="Times New Roman"/>
              </w:rPr>
              <w:t>3.3% </w:t>
            </w:r>
          </w:p>
        </w:tc>
        <w:tc>
          <w:tcPr>
            <w:tcW w:w="1560" w:type="dxa"/>
            <w:tcBorders>
              <w:top w:val="nil"/>
              <w:left w:val="nil"/>
              <w:bottom w:val="single" w:sz="4" w:space="0" w:color="auto"/>
              <w:right w:val="single" w:sz="4" w:space="0" w:color="auto"/>
            </w:tcBorders>
            <w:vAlign w:val="bottom"/>
          </w:tcPr>
          <w:p w14:paraId="2D1417AD" w14:textId="0C21D612" w:rsidR="0070545B" w:rsidRDefault="0070545B" w:rsidP="0070545B">
            <w:pPr>
              <w:spacing w:after="0" w:line="240" w:lineRule="auto"/>
              <w:jc w:val="center"/>
              <w:rPr>
                <w:rFonts w:ascii="Calibri" w:hAnsi="Calibri" w:cs="Times New Roman"/>
              </w:rPr>
            </w:pPr>
            <w:r w:rsidRPr="0070545B">
              <w:rPr>
                <w:rFonts w:ascii="Calibri" w:hAnsi="Calibri" w:cs="Times New Roman"/>
              </w:rPr>
              <w:t>1.3% </w:t>
            </w:r>
          </w:p>
        </w:tc>
      </w:tr>
      <w:tr w:rsidR="0070545B" w14:paraId="2E3FA0B4" w14:textId="77777777" w:rsidTr="0070545B">
        <w:trPr>
          <w:trHeight w:val="300"/>
        </w:trPr>
        <w:tc>
          <w:tcPr>
            <w:tcW w:w="265" w:type="dxa"/>
            <w:tcBorders>
              <w:top w:val="nil"/>
              <w:left w:val="single" w:sz="4" w:space="0" w:color="auto"/>
              <w:bottom w:val="single" w:sz="4" w:space="0" w:color="auto"/>
              <w:right w:val="nil"/>
            </w:tcBorders>
            <w:vAlign w:val="bottom"/>
            <w:hideMark/>
          </w:tcPr>
          <w:p w14:paraId="1A48A6CC"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70339694" w14:textId="77777777" w:rsidR="0070545B" w:rsidRDefault="0070545B" w:rsidP="0070545B">
            <w:pPr>
              <w:spacing w:after="0" w:line="240" w:lineRule="auto"/>
              <w:rPr>
                <w:rFonts w:ascii="Calibri" w:hAnsi="Calibri" w:cs="Times New Roman"/>
              </w:rPr>
            </w:pPr>
            <w:r>
              <w:rPr>
                <w:rFonts w:ascii="Calibri" w:hAnsi="Calibri" w:cs="Times New Roman"/>
              </w:rPr>
              <w:t>Large adenoma</w:t>
            </w:r>
          </w:p>
        </w:tc>
        <w:tc>
          <w:tcPr>
            <w:tcW w:w="1134" w:type="dxa"/>
            <w:tcBorders>
              <w:top w:val="nil"/>
              <w:left w:val="nil"/>
              <w:bottom w:val="single" w:sz="4" w:space="0" w:color="auto"/>
              <w:right w:val="single" w:sz="4" w:space="0" w:color="auto"/>
            </w:tcBorders>
            <w:vAlign w:val="bottom"/>
            <w:hideMark/>
          </w:tcPr>
          <w:p w14:paraId="0624ADFF" w14:textId="77777777" w:rsidR="0070545B" w:rsidRDefault="0070545B" w:rsidP="0070545B">
            <w:pPr>
              <w:spacing w:after="0" w:line="240" w:lineRule="auto"/>
              <w:jc w:val="center"/>
              <w:rPr>
                <w:rFonts w:ascii="Calibri" w:hAnsi="Calibri" w:cs="Times New Roman"/>
              </w:rPr>
            </w:pPr>
            <w:r>
              <w:rPr>
                <w:rFonts w:ascii="Calibri" w:hAnsi="Calibri" w:cs="Times New Roman"/>
              </w:rPr>
              <w:t>5.4%</w:t>
            </w:r>
          </w:p>
        </w:tc>
        <w:tc>
          <w:tcPr>
            <w:tcW w:w="1520" w:type="dxa"/>
            <w:tcBorders>
              <w:top w:val="nil"/>
              <w:left w:val="nil"/>
              <w:bottom w:val="single" w:sz="4" w:space="0" w:color="auto"/>
              <w:right w:val="single" w:sz="4" w:space="0" w:color="auto"/>
            </w:tcBorders>
            <w:vAlign w:val="bottom"/>
            <w:hideMark/>
          </w:tcPr>
          <w:p w14:paraId="4833B76C" w14:textId="42C2DF6B" w:rsidR="0070545B" w:rsidRDefault="0070545B" w:rsidP="0070545B">
            <w:pPr>
              <w:spacing w:after="0" w:line="240" w:lineRule="auto"/>
              <w:jc w:val="center"/>
              <w:rPr>
                <w:rFonts w:ascii="Calibri" w:hAnsi="Calibri" w:cs="Times New Roman"/>
              </w:rPr>
            </w:pPr>
            <w:r w:rsidRPr="0070545B">
              <w:rPr>
                <w:rFonts w:ascii="Calibri" w:hAnsi="Calibri" w:cs="Times New Roman"/>
              </w:rPr>
              <w:t>8.7% </w:t>
            </w:r>
          </w:p>
        </w:tc>
        <w:tc>
          <w:tcPr>
            <w:tcW w:w="1560" w:type="dxa"/>
            <w:tcBorders>
              <w:top w:val="nil"/>
              <w:left w:val="nil"/>
              <w:bottom w:val="single" w:sz="4" w:space="0" w:color="auto"/>
              <w:right w:val="single" w:sz="4" w:space="0" w:color="auto"/>
            </w:tcBorders>
            <w:vAlign w:val="bottom"/>
          </w:tcPr>
          <w:p w14:paraId="03109563" w14:textId="091E2571" w:rsidR="0070545B" w:rsidRDefault="0070545B" w:rsidP="0070545B">
            <w:pPr>
              <w:spacing w:after="0" w:line="240" w:lineRule="auto"/>
              <w:jc w:val="center"/>
              <w:rPr>
                <w:rFonts w:ascii="Calibri" w:hAnsi="Calibri" w:cs="Times New Roman"/>
              </w:rPr>
            </w:pPr>
            <w:r w:rsidRPr="0070545B">
              <w:rPr>
                <w:rFonts w:ascii="Calibri" w:hAnsi="Calibri" w:cs="Times New Roman"/>
              </w:rPr>
              <w:t>5.7% </w:t>
            </w:r>
          </w:p>
        </w:tc>
      </w:tr>
      <w:tr w:rsidR="00F73ADF" w14:paraId="186895BF"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06341DD1" w14:textId="4D26CC78" w:rsidR="00F73ADF" w:rsidRDefault="00F73ADF" w:rsidP="00F42F36">
            <w:pPr>
              <w:pStyle w:val="Default"/>
              <w:rPr>
                <w:i/>
                <w:iCs/>
                <w:sz w:val="22"/>
                <w:szCs w:val="22"/>
              </w:rPr>
            </w:pPr>
            <w:r>
              <w:rPr>
                <w:i/>
                <w:iCs/>
                <w:sz w:val="22"/>
                <w:szCs w:val="22"/>
              </w:rPr>
              <w:t xml:space="preserve">Probability of polyp with sessile shape by section of bowel </w:t>
            </w:r>
            <w:r>
              <w:rPr>
                <w:i/>
                <w:iCs/>
                <w:sz w:val="22"/>
                <w:szCs w:val="22"/>
                <w:vertAlign w:val="superscript"/>
              </w:rPr>
              <w:t>b</w:t>
            </w:r>
          </w:p>
        </w:tc>
      </w:tr>
      <w:tr w:rsidR="007066D0" w14:paraId="32833F63" w14:textId="77777777" w:rsidTr="007066D0">
        <w:trPr>
          <w:trHeight w:val="300"/>
        </w:trPr>
        <w:tc>
          <w:tcPr>
            <w:tcW w:w="265" w:type="dxa"/>
            <w:tcBorders>
              <w:top w:val="nil"/>
              <w:left w:val="single" w:sz="4" w:space="0" w:color="auto"/>
              <w:bottom w:val="single" w:sz="4" w:space="0" w:color="auto"/>
              <w:right w:val="nil"/>
            </w:tcBorders>
            <w:vAlign w:val="bottom"/>
            <w:hideMark/>
          </w:tcPr>
          <w:p w14:paraId="7F458A6A" w14:textId="77777777" w:rsidR="007066D0" w:rsidRDefault="007066D0" w:rsidP="007066D0">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9DBF008" w14:textId="77777777" w:rsidR="007066D0" w:rsidRDefault="007066D0" w:rsidP="007066D0">
            <w:pPr>
              <w:spacing w:after="0" w:line="240" w:lineRule="auto"/>
              <w:rPr>
                <w:rFonts w:ascii="Calibri" w:hAnsi="Calibri" w:cs="Times New Roman"/>
              </w:rPr>
            </w:pPr>
            <w:r>
              <w:rPr>
                <w:rFonts w:ascii="Calibri" w:hAnsi="Calibri" w:cs="Times New Roman"/>
              </w:rPr>
              <w:t>Cecum</w:t>
            </w:r>
          </w:p>
        </w:tc>
        <w:tc>
          <w:tcPr>
            <w:tcW w:w="1134" w:type="dxa"/>
            <w:tcBorders>
              <w:top w:val="nil"/>
              <w:left w:val="nil"/>
              <w:bottom w:val="single" w:sz="4" w:space="0" w:color="auto"/>
              <w:right w:val="single" w:sz="4" w:space="0" w:color="auto"/>
            </w:tcBorders>
            <w:vAlign w:val="bottom"/>
            <w:hideMark/>
          </w:tcPr>
          <w:p w14:paraId="75942F8E" w14:textId="77777777" w:rsidR="007066D0" w:rsidRDefault="007066D0" w:rsidP="007066D0">
            <w:pPr>
              <w:spacing w:after="0" w:line="240" w:lineRule="auto"/>
              <w:jc w:val="center"/>
              <w:rPr>
                <w:rFonts w:ascii="Calibri" w:hAnsi="Calibri" w:cs="Times New Roman"/>
              </w:rPr>
            </w:pPr>
            <w:r>
              <w:rPr>
                <w:rFonts w:ascii="Calibri" w:hAnsi="Calibri" w:cs="Times New Roman"/>
              </w:rPr>
              <w:t>87.3%</w:t>
            </w:r>
          </w:p>
        </w:tc>
        <w:tc>
          <w:tcPr>
            <w:tcW w:w="1520" w:type="dxa"/>
            <w:tcBorders>
              <w:top w:val="nil"/>
              <w:left w:val="nil"/>
              <w:bottom w:val="single" w:sz="4" w:space="0" w:color="auto"/>
              <w:right w:val="single" w:sz="4" w:space="0" w:color="auto"/>
            </w:tcBorders>
            <w:hideMark/>
          </w:tcPr>
          <w:p w14:paraId="50F153D2" w14:textId="39EC82C4" w:rsidR="007066D0" w:rsidRDefault="007066D0" w:rsidP="007066D0">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5529753B" w14:textId="2F32167F" w:rsidR="007066D0" w:rsidRDefault="007066D0" w:rsidP="007066D0">
            <w:pPr>
              <w:spacing w:after="0" w:line="240" w:lineRule="auto"/>
              <w:jc w:val="center"/>
              <w:rPr>
                <w:rFonts w:ascii="Calibri" w:hAnsi="Calibri" w:cs="Times New Roman"/>
              </w:rPr>
            </w:pPr>
            <w:r w:rsidRPr="003439BE">
              <w:rPr>
                <w:rFonts w:ascii="Calibri" w:hAnsi="Calibri" w:cs="Times New Roman"/>
              </w:rPr>
              <w:t>As baseline</w:t>
            </w:r>
          </w:p>
        </w:tc>
      </w:tr>
      <w:tr w:rsidR="007066D0" w14:paraId="3D092C1D" w14:textId="77777777" w:rsidTr="007066D0">
        <w:trPr>
          <w:trHeight w:val="300"/>
        </w:trPr>
        <w:tc>
          <w:tcPr>
            <w:tcW w:w="265" w:type="dxa"/>
            <w:tcBorders>
              <w:top w:val="nil"/>
              <w:left w:val="single" w:sz="4" w:space="0" w:color="auto"/>
              <w:bottom w:val="single" w:sz="4" w:space="0" w:color="auto"/>
              <w:right w:val="nil"/>
            </w:tcBorders>
            <w:vAlign w:val="bottom"/>
            <w:hideMark/>
          </w:tcPr>
          <w:p w14:paraId="70238278" w14:textId="77777777" w:rsidR="007066D0" w:rsidRDefault="007066D0" w:rsidP="007066D0">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D5116B4" w14:textId="77777777" w:rsidR="007066D0" w:rsidRDefault="007066D0" w:rsidP="007066D0">
            <w:pPr>
              <w:spacing w:after="0" w:line="240" w:lineRule="auto"/>
              <w:rPr>
                <w:rFonts w:ascii="Calibri" w:hAnsi="Calibri" w:cs="Times New Roman"/>
              </w:rPr>
            </w:pPr>
            <w:r>
              <w:rPr>
                <w:rFonts w:ascii="Calibri" w:hAnsi="Calibri" w:cs="Times New Roman"/>
              </w:rPr>
              <w:t>Ascending colon</w:t>
            </w:r>
          </w:p>
        </w:tc>
        <w:tc>
          <w:tcPr>
            <w:tcW w:w="1134" w:type="dxa"/>
            <w:tcBorders>
              <w:top w:val="nil"/>
              <w:left w:val="nil"/>
              <w:bottom w:val="single" w:sz="4" w:space="0" w:color="auto"/>
              <w:right w:val="single" w:sz="4" w:space="0" w:color="auto"/>
            </w:tcBorders>
            <w:vAlign w:val="bottom"/>
            <w:hideMark/>
          </w:tcPr>
          <w:p w14:paraId="4AE0BA73" w14:textId="77777777" w:rsidR="007066D0" w:rsidRDefault="007066D0" w:rsidP="007066D0">
            <w:pPr>
              <w:spacing w:after="0" w:line="240" w:lineRule="auto"/>
              <w:jc w:val="center"/>
              <w:rPr>
                <w:rFonts w:ascii="Calibri" w:hAnsi="Calibri" w:cs="Times New Roman"/>
              </w:rPr>
            </w:pPr>
            <w:r>
              <w:rPr>
                <w:rFonts w:ascii="Calibri" w:hAnsi="Calibri" w:cs="Times New Roman"/>
              </w:rPr>
              <w:t>86.5%</w:t>
            </w:r>
          </w:p>
        </w:tc>
        <w:tc>
          <w:tcPr>
            <w:tcW w:w="1520" w:type="dxa"/>
            <w:tcBorders>
              <w:top w:val="nil"/>
              <w:left w:val="nil"/>
              <w:bottom w:val="single" w:sz="4" w:space="0" w:color="auto"/>
              <w:right w:val="single" w:sz="4" w:space="0" w:color="auto"/>
            </w:tcBorders>
            <w:hideMark/>
          </w:tcPr>
          <w:p w14:paraId="2A5DBD6C" w14:textId="41615D2A" w:rsidR="007066D0" w:rsidRDefault="007066D0" w:rsidP="007066D0">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6938A46F" w14:textId="5C024DE4" w:rsidR="007066D0" w:rsidRDefault="007066D0" w:rsidP="007066D0">
            <w:pPr>
              <w:spacing w:after="0" w:line="240" w:lineRule="auto"/>
              <w:jc w:val="center"/>
              <w:rPr>
                <w:rFonts w:ascii="Calibri" w:hAnsi="Calibri" w:cs="Times New Roman"/>
              </w:rPr>
            </w:pPr>
            <w:r w:rsidRPr="003439BE">
              <w:rPr>
                <w:rFonts w:ascii="Calibri" w:hAnsi="Calibri" w:cs="Times New Roman"/>
              </w:rPr>
              <w:t>As baseline</w:t>
            </w:r>
          </w:p>
        </w:tc>
      </w:tr>
      <w:tr w:rsidR="007066D0" w14:paraId="339EF226" w14:textId="77777777" w:rsidTr="007066D0">
        <w:trPr>
          <w:trHeight w:val="300"/>
        </w:trPr>
        <w:tc>
          <w:tcPr>
            <w:tcW w:w="265" w:type="dxa"/>
            <w:tcBorders>
              <w:top w:val="nil"/>
              <w:left w:val="single" w:sz="4" w:space="0" w:color="auto"/>
              <w:bottom w:val="single" w:sz="4" w:space="0" w:color="auto"/>
              <w:right w:val="nil"/>
            </w:tcBorders>
            <w:vAlign w:val="bottom"/>
            <w:hideMark/>
          </w:tcPr>
          <w:p w14:paraId="23EE1CB1" w14:textId="77777777" w:rsidR="007066D0" w:rsidRDefault="007066D0" w:rsidP="007066D0">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0CF8912" w14:textId="77777777" w:rsidR="007066D0" w:rsidRDefault="007066D0" w:rsidP="007066D0">
            <w:pPr>
              <w:spacing w:after="0" w:line="240" w:lineRule="auto"/>
              <w:rPr>
                <w:rFonts w:ascii="Calibri" w:hAnsi="Calibri" w:cs="Times New Roman"/>
              </w:rPr>
            </w:pPr>
            <w:r>
              <w:rPr>
                <w:rFonts w:ascii="Calibri" w:hAnsi="Calibri" w:cs="Times New Roman"/>
              </w:rPr>
              <w:t>Transverse colon</w:t>
            </w:r>
          </w:p>
        </w:tc>
        <w:tc>
          <w:tcPr>
            <w:tcW w:w="1134" w:type="dxa"/>
            <w:tcBorders>
              <w:top w:val="nil"/>
              <w:left w:val="nil"/>
              <w:bottom w:val="single" w:sz="4" w:space="0" w:color="auto"/>
              <w:right w:val="single" w:sz="4" w:space="0" w:color="auto"/>
            </w:tcBorders>
            <w:vAlign w:val="bottom"/>
            <w:hideMark/>
          </w:tcPr>
          <w:p w14:paraId="34CA380E" w14:textId="77777777" w:rsidR="007066D0" w:rsidRDefault="007066D0" w:rsidP="007066D0">
            <w:pPr>
              <w:spacing w:after="0" w:line="240" w:lineRule="auto"/>
              <w:jc w:val="center"/>
              <w:rPr>
                <w:rFonts w:ascii="Calibri" w:hAnsi="Calibri" w:cs="Times New Roman"/>
              </w:rPr>
            </w:pPr>
            <w:r>
              <w:rPr>
                <w:rFonts w:ascii="Calibri" w:hAnsi="Calibri" w:cs="Times New Roman"/>
              </w:rPr>
              <w:t>86.2%</w:t>
            </w:r>
          </w:p>
        </w:tc>
        <w:tc>
          <w:tcPr>
            <w:tcW w:w="1520" w:type="dxa"/>
            <w:tcBorders>
              <w:top w:val="nil"/>
              <w:left w:val="nil"/>
              <w:bottom w:val="single" w:sz="4" w:space="0" w:color="auto"/>
              <w:right w:val="single" w:sz="4" w:space="0" w:color="auto"/>
            </w:tcBorders>
            <w:hideMark/>
          </w:tcPr>
          <w:p w14:paraId="4CD5339F" w14:textId="4F3FE46E" w:rsidR="007066D0" w:rsidRDefault="007066D0" w:rsidP="007066D0">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2A2A4B7E" w14:textId="37B0D1D6" w:rsidR="007066D0" w:rsidRDefault="007066D0" w:rsidP="007066D0">
            <w:pPr>
              <w:spacing w:after="0" w:line="240" w:lineRule="auto"/>
              <w:jc w:val="center"/>
              <w:rPr>
                <w:rFonts w:ascii="Calibri" w:hAnsi="Calibri" w:cs="Times New Roman"/>
              </w:rPr>
            </w:pPr>
            <w:r w:rsidRPr="003439BE">
              <w:rPr>
                <w:rFonts w:ascii="Calibri" w:hAnsi="Calibri" w:cs="Times New Roman"/>
              </w:rPr>
              <w:t>As baseline</w:t>
            </w:r>
          </w:p>
        </w:tc>
      </w:tr>
      <w:tr w:rsidR="007066D0" w14:paraId="5D615720" w14:textId="77777777" w:rsidTr="00F42F36">
        <w:trPr>
          <w:trHeight w:val="300"/>
        </w:trPr>
        <w:tc>
          <w:tcPr>
            <w:tcW w:w="265" w:type="dxa"/>
            <w:tcBorders>
              <w:top w:val="nil"/>
              <w:left w:val="single" w:sz="4" w:space="0" w:color="auto"/>
              <w:bottom w:val="single" w:sz="4" w:space="0" w:color="auto"/>
              <w:right w:val="nil"/>
            </w:tcBorders>
            <w:vAlign w:val="bottom"/>
            <w:hideMark/>
          </w:tcPr>
          <w:p w14:paraId="73BC5951" w14:textId="77777777" w:rsidR="007066D0" w:rsidRDefault="007066D0" w:rsidP="007066D0">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BBB7D80" w14:textId="77777777" w:rsidR="007066D0" w:rsidRDefault="007066D0" w:rsidP="007066D0">
            <w:pPr>
              <w:spacing w:after="0" w:line="240" w:lineRule="auto"/>
              <w:rPr>
                <w:rFonts w:ascii="Calibri" w:hAnsi="Calibri" w:cs="Times New Roman"/>
              </w:rPr>
            </w:pPr>
            <w:r>
              <w:rPr>
                <w:rFonts w:ascii="Calibri" w:hAnsi="Calibri" w:cs="Times New Roman"/>
              </w:rPr>
              <w:t>Descending colon</w:t>
            </w:r>
          </w:p>
        </w:tc>
        <w:tc>
          <w:tcPr>
            <w:tcW w:w="1134" w:type="dxa"/>
            <w:tcBorders>
              <w:top w:val="nil"/>
              <w:left w:val="nil"/>
              <w:bottom w:val="single" w:sz="4" w:space="0" w:color="auto"/>
              <w:right w:val="single" w:sz="4" w:space="0" w:color="auto"/>
            </w:tcBorders>
            <w:vAlign w:val="bottom"/>
            <w:hideMark/>
          </w:tcPr>
          <w:p w14:paraId="02CA61C2" w14:textId="77777777" w:rsidR="007066D0" w:rsidRDefault="007066D0" w:rsidP="007066D0">
            <w:pPr>
              <w:spacing w:after="0" w:line="240" w:lineRule="auto"/>
              <w:jc w:val="center"/>
              <w:rPr>
                <w:rFonts w:ascii="Calibri" w:hAnsi="Calibri" w:cs="Times New Roman"/>
              </w:rPr>
            </w:pPr>
            <w:r>
              <w:rPr>
                <w:rFonts w:ascii="Calibri" w:hAnsi="Calibri" w:cs="Times New Roman"/>
              </w:rPr>
              <w:t>85.7%</w:t>
            </w:r>
          </w:p>
        </w:tc>
        <w:tc>
          <w:tcPr>
            <w:tcW w:w="1520" w:type="dxa"/>
            <w:tcBorders>
              <w:top w:val="nil"/>
              <w:left w:val="nil"/>
              <w:bottom w:val="single" w:sz="4" w:space="0" w:color="auto"/>
              <w:right w:val="single" w:sz="4" w:space="0" w:color="auto"/>
            </w:tcBorders>
            <w:hideMark/>
          </w:tcPr>
          <w:p w14:paraId="2915032E" w14:textId="612B376F" w:rsidR="007066D0" w:rsidRDefault="007066D0" w:rsidP="007066D0">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2627BBEE" w14:textId="4D626B3D" w:rsidR="007066D0" w:rsidRDefault="007066D0" w:rsidP="007066D0">
            <w:pPr>
              <w:spacing w:after="0" w:line="240" w:lineRule="auto"/>
              <w:jc w:val="center"/>
              <w:rPr>
                <w:rFonts w:ascii="Calibri" w:hAnsi="Calibri" w:cs="Times New Roman"/>
              </w:rPr>
            </w:pPr>
            <w:r w:rsidRPr="003439BE">
              <w:rPr>
                <w:rFonts w:ascii="Calibri" w:hAnsi="Calibri" w:cs="Times New Roman"/>
              </w:rPr>
              <w:t>As baseline</w:t>
            </w:r>
          </w:p>
        </w:tc>
      </w:tr>
      <w:tr w:rsidR="007066D0" w14:paraId="77D8F0E4" w14:textId="77777777" w:rsidTr="00F42F36">
        <w:trPr>
          <w:trHeight w:val="300"/>
        </w:trPr>
        <w:tc>
          <w:tcPr>
            <w:tcW w:w="265" w:type="dxa"/>
            <w:tcBorders>
              <w:top w:val="nil"/>
              <w:left w:val="single" w:sz="4" w:space="0" w:color="auto"/>
              <w:bottom w:val="single" w:sz="4" w:space="0" w:color="auto"/>
              <w:right w:val="nil"/>
            </w:tcBorders>
            <w:vAlign w:val="bottom"/>
            <w:hideMark/>
          </w:tcPr>
          <w:p w14:paraId="7A585345" w14:textId="77777777" w:rsidR="007066D0" w:rsidRDefault="007066D0" w:rsidP="007066D0">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97F6671" w14:textId="77777777" w:rsidR="007066D0" w:rsidRDefault="007066D0" w:rsidP="007066D0">
            <w:pPr>
              <w:spacing w:after="0" w:line="240" w:lineRule="auto"/>
              <w:rPr>
                <w:rFonts w:ascii="Calibri" w:hAnsi="Calibri" w:cs="Times New Roman"/>
              </w:rPr>
            </w:pPr>
            <w:r>
              <w:rPr>
                <w:rFonts w:ascii="Calibri" w:hAnsi="Calibri" w:cs="Times New Roman"/>
              </w:rPr>
              <w:t>Sigmoid</w:t>
            </w:r>
          </w:p>
        </w:tc>
        <w:tc>
          <w:tcPr>
            <w:tcW w:w="1134" w:type="dxa"/>
            <w:tcBorders>
              <w:top w:val="nil"/>
              <w:left w:val="nil"/>
              <w:bottom w:val="single" w:sz="4" w:space="0" w:color="auto"/>
              <w:right w:val="single" w:sz="4" w:space="0" w:color="auto"/>
            </w:tcBorders>
            <w:vAlign w:val="bottom"/>
            <w:hideMark/>
          </w:tcPr>
          <w:p w14:paraId="1789D7F1" w14:textId="77777777" w:rsidR="007066D0" w:rsidRDefault="007066D0" w:rsidP="007066D0">
            <w:pPr>
              <w:spacing w:after="0" w:line="240" w:lineRule="auto"/>
              <w:jc w:val="center"/>
              <w:rPr>
                <w:rFonts w:ascii="Calibri" w:hAnsi="Calibri" w:cs="Times New Roman"/>
              </w:rPr>
            </w:pPr>
            <w:r>
              <w:rPr>
                <w:rFonts w:ascii="Calibri" w:hAnsi="Calibri" w:cs="Times New Roman"/>
              </w:rPr>
              <w:t>66.5%</w:t>
            </w:r>
          </w:p>
        </w:tc>
        <w:tc>
          <w:tcPr>
            <w:tcW w:w="1520" w:type="dxa"/>
            <w:tcBorders>
              <w:top w:val="nil"/>
              <w:left w:val="nil"/>
              <w:bottom w:val="single" w:sz="4" w:space="0" w:color="auto"/>
              <w:right w:val="single" w:sz="4" w:space="0" w:color="auto"/>
            </w:tcBorders>
            <w:hideMark/>
          </w:tcPr>
          <w:p w14:paraId="1E2DF8B1" w14:textId="51FA979B" w:rsidR="007066D0" w:rsidRDefault="007066D0" w:rsidP="007066D0">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64AA645B" w14:textId="621826C9" w:rsidR="007066D0" w:rsidRDefault="007066D0" w:rsidP="007066D0">
            <w:pPr>
              <w:spacing w:after="0" w:line="240" w:lineRule="auto"/>
              <w:jc w:val="center"/>
              <w:rPr>
                <w:rFonts w:ascii="Calibri" w:hAnsi="Calibri" w:cs="Times New Roman"/>
              </w:rPr>
            </w:pPr>
            <w:r w:rsidRPr="003439BE">
              <w:rPr>
                <w:rFonts w:ascii="Calibri" w:hAnsi="Calibri" w:cs="Times New Roman"/>
              </w:rPr>
              <w:t>As baseline</w:t>
            </w:r>
          </w:p>
        </w:tc>
      </w:tr>
      <w:tr w:rsidR="007066D0" w14:paraId="2B75A808" w14:textId="77777777" w:rsidTr="00F42F36">
        <w:trPr>
          <w:trHeight w:val="300"/>
        </w:trPr>
        <w:tc>
          <w:tcPr>
            <w:tcW w:w="265" w:type="dxa"/>
            <w:tcBorders>
              <w:top w:val="nil"/>
              <w:left w:val="single" w:sz="4" w:space="0" w:color="auto"/>
              <w:bottom w:val="single" w:sz="4" w:space="0" w:color="auto"/>
              <w:right w:val="nil"/>
            </w:tcBorders>
            <w:vAlign w:val="bottom"/>
            <w:hideMark/>
          </w:tcPr>
          <w:p w14:paraId="589E4201" w14:textId="77777777" w:rsidR="007066D0" w:rsidRDefault="007066D0" w:rsidP="007066D0">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A56FED9" w14:textId="77777777" w:rsidR="007066D0" w:rsidRDefault="007066D0" w:rsidP="007066D0">
            <w:pPr>
              <w:spacing w:after="0" w:line="240" w:lineRule="auto"/>
              <w:rPr>
                <w:rFonts w:ascii="Calibri" w:hAnsi="Calibri" w:cs="Times New Roman"/>
              </w:rPr>
            </w:pPr>
            <w:r>
              <w:rPr>
                <w:rFonts w:ascii="Calibri" w:hAnsi="Calibri" w:cs="Times New Roman"/>
              </w:rPr>
              <w:t>Rectum</w:t>
            </w:r>
          </w:p>
        </w:tc>
        <w:tc>
          <w:tcPr>
            <w:tcW w:w="1134" w:type="dxa"/>
            <w:tcBorders>
              <w:top w:val="nil"/>
              <w:left w:val="nil"/>
              <w:bottom w:val="single" w:sz="4" w:space="0" w:color="auto"/>
              <w:right w:val="single" w:sz="4" w:space="0" w:color="auto"/>
            </w:tcBorders>
            <w:vAlign w:val="bottom"/>
            <w:hideMark/>
          </w:tcPr>
          <w:p w14:paraId="067BA68C" w14:textId="77777777" w:rsidR="007066D0" w:rsidRDefault="007066D0" w:rsidP="007066D0">
            <w:pPr>
              <w:spacing w:after="0" w:line="240" w:lineRule="auto"/>
              <w:jc w:val="center"/>
              <w:rPr>
                <w:rFonts w:ascii="Calibri" w:hAnsi="Calibri" w:cs="Times New Roman"/>
              </w:rPr>
            </w:pPr>
            <w:r>
              <w:rPr>
                <w:rFonts w:ascii="Calibri" w:hAnsi="Calibri" w:cs="Times New Roman"/>
              </w:rPr>
              <w:t>66.2%</w:t>
            </w:r>
          </w:p>
        </w:tc>
        <w:tc>
          <w:tcPr>
            <w:tcW w:w="1520" w:type="dxa"/>
            <w:tcBorders>
              <w:top w:val="nil"/>
              <w:left w:val="nil"/>
              <w:bottom w:val="single" w:sz="4" w:space="0" w:color="auto"/>
              <w:right w:val="single" w:sz="4" w:space="0" w:color="auto"/>
            </w:tcBorders>
            <w:hideMark/>
          </w:tcPr>
          <w:p w14:paraId="50B108EC" w14:textId="1596FFEF" w:rsidR="007066D0" w:rsidRDefault="007066D0" w:rsidP="007066D0">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32B02B30" w14:textId="4D3308FC" w:rsidR="007066D0" w:rsidRDefault="007066D0" w:rsidP="007066D0">
            <w:pPr>
              <w:spacing w:after="0" w:line="240" w:lineRule="auto"/>
              <w:jc w:val="center"/>
              <w:rPr>
                <w:rFonts w:ascii="Calibri" w:hAnsi="Calibri" w:cs="Times New Roman"/>
              </w:rPr>
            </w:pPr>
            <w:r w:rsidRPr="003439BE">
              <w:rPr>
                <w:rFonts w:ascii="Calibri" w:hAnsi="Calibri" w:cs="Times New Roman"/>
              </w:rPr>
              <w:t>As baseline</w:t>
            </w:r>
          </w:p>
        </w:tc>
      </w:tr>
      <w:tr w:rsidR="00F73ADF" w14:paraId="6614A0E7"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55A640E6" w14:textId="0356C856" w:rsidR="00F73ADF" w:rsidRDefault="00F73ADF" w:rsidP="00F42F36">
            <w:pPr>
              <w:pStyle w:val="Default"/>
              <w:rPr>
                <w:i/>
                <w:iCs/>
                <w:sz w:val="22"/>
                <w:szCs w:val="22"/>
              </w:rPr>
            </w:pPr>
            <w:r>
              <w:rPr>
                <w:i/>
                <w:iCs/>
                <w:sz w:val="22"/>
                <w:szCs w:val="22"/>
              </w:rPr>
              <w:t xml:space="preserve">Probability of adenoma with pedunculated shape by section of bowel </w:t>
            </w:r>
            <w:r>
              <w:rPr>
                <w:i/>
                <w:iCs/>
                <w:sz w:val="22"/>
                <w:szCs w:val="22"/>
                <w:vertAlign w:val="superscript"/>
              </w:rPr>
              <w:t>b</w:t>
            </w:r>
          </w:p>
        </w:tc>
      </w:tr>
      <w:tr w:rsidR="00F73ADF" w14:paraId="6537AB28" w14:textId="77777777" w:rsidTr="00C10512">
        <w:trPr>
          <w:trHeight w:val="300"/>
        </w:trPr>
        <w:tc>
          <w:tcPr>
            <w:tcW w:w="265" w:type="dxa"/>
            <w:tcBorders>
              <w:top w:val="nil"/>
              <w:left w:val="single" w:sz="4" w:space="0" w:color="auto"/>
              <w:bottom w:val="single" w:sz="4" w:space="0" w:color="auto"/>
              <w:right w:val="nil"/>
            </w:tcBorders>
            <w:vAlign w:val="bottom"/>
            <w:hideMark/>
          </w:tcPr>
          <w:p w14:paraId="406DA698"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99CE58B" w14:textId="77777777" w:rsidR="00F73ADF" w:rsidRDefault="00F73ADF" w:rsidP="00F73ADF">
            <w:pPr>
              <w:spacing w:after="0" w:line="240" w:lineRule="auto"/>
              <w:rPr>
                <w:rFonts w:ascii="Calibri" w:hAnsi="Calibri" w:cs="Times New Roman"/>
              </w:rPr>
            </w:pPr>
            <w:r>
              <w:rPr>
                <w:rFonts w:ascii="Calibri" w:hAnsi="Calibri" w:cs="Times New Roman"/>
              </w:rPr>
              <w:t>Cecum</w:t>
            </w:r>
          </w:p>
        </w:tc>
        <w:tc>
          <w:tcPr>
            <w:tcW w:w="1134" w:type="dxa"/>
            <w:tcBorders>
              <w:top w:val="nil"/>
              <w:left w:val="nil"/>
              <w:bottom w:val="single" w:sz="4" w:space="0" w:color="auto"/>
              <w:right w:val="single" w:sz="4" w:space="0" w:color="auto"/>
            </w:tcBorders>
            <w:vAlign w:val="bottom"/>
            <w:hideMark/>
          </w:tcPr>
          <w:p w14:paraId="231ED48C" w14:textId="77777777" w:rsidR="00F73ADF" w:rsidRDefault="00F73ADF" w:rsidP="00F73ADF">
            <w:pPr>
              <w:spacing w:after="0" w:line="240" w:lineRule="auto"/>
              <w:jc w:val="center"/>
              <w:rPr>
                <w:rFonts w:ascii="Calibri" w:hAnsi="Calibri" w:cs="Times New Roman"/>
              </w:rPr>
            </w:pPr>
            <w:r>
              <w:rPr>
                <w:rFonts w:ascii="Calibri" w:hAnsi="Calibri" w:cs="Times New Roman"/>
              </w:rPr>
              <w:t>1.3%</w:t>
            </w:r>
          </w:p>
        </w:tc>
        <w:tc>
          <w:tcPr>
            <w:tcW w:w="1520" w:type="dxa"/>
            <w:tcBorders>
              <w:top w:val="nil"/>
              <w:left w:val="nil"/>
              <w:bottom w:val="single" w:sz="4" w:space="0" w:color="auto"/>
              <w:right w:val="single" w:sz="4" w:space="0" w:color="auto"/>
            </w:tcBorders>
            <w:hideMark/>
          </w:tcPr>
          <w:p w14:paraId="70CCCA89" w14:textId="5A6DAE95"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7B82D523" w14:textId="632E90FC"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7FDC3002" w14:textId="77777777" w:rsidTr="00C10512">
        <w:trPr>
          <w:trHeight w:val="300"/>
        </w:trPr>
        <w:tc>
          <w:tcPr>
            <w:tcW w:w="265" w:type="dxa"/>
            <w:tcBorders>
              <w:top w:val="nil"/>
              <w:left w:val="single" w:sz="4" w:space="0" w:color="auto"/>
              <w:bottom w:val="single" w:sz="4" w:space="0" w:color="auto"/>
              <w:right w:val="nil"/>
            </w:tcBorders>
            <w:vAlign w:val="bottom"/>
            <w:hideMark/>
          </w:tcPr>
          <w:p w14:paraId="23ADF8B9"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42B86DB" w14:textId="77777777" w:rsidR="00F73ADF" w:rsidRDefault="00F73ADF" w:rsidP="00F73ADF">
            <w:pPr>
              <w:spacing w:after="0" w:line="240" w:lineRule="auto"/>
              <w:rPr>
                <w:rFonts w:ascii="Calibri" w:hAnsi="Calibri" w:cs="Times New Roman"/>
              </w:rPr>
            </w:pPr>
            <w:r>
              <w:rPr>
                <w:rFonts w:ascii="Calibri" w:hAnsi="Calibri" w:cs="Times New Roman"/>
              </w:rPr>
              <w:t>Ascending colon</w:t>
            </w:r>
          </w:p>
        </w:tc>
        <w:tc>
          <w:tcPr>
            <w:tcW w:w="1134" w:type="dxa"/>
            <w:tcBorders>
              <w:top w:val="nil"/>
              <w:left w:val="nil"/>
              <w:bottom w:val="single" w:sz="4" w:space="0" w:color="auto"/>
              <w:right w:val="single" w:sz="4" w:space="0" w:color="auto"/>
            </w:tcBorders>
            <w:vAlign w:val="bottom"/>
            <w:hideMark/>
          </w:tcPr>
          <w:p w14:paraId="74E15B7E" w14:textId="77777777" w:rsidR="00F73ADF" w:rsidRDefault="00F73ADF" w:rsidP="00F73ADF">
            <w:pPr>
              <w:spacing w:after="0" w:line="240" w:lineRule="auto"/>
              <w:jc w:val="center"/>
              <w:rPr>
                <w:rFonts w:ascii="Calibri" w:hAnsi="Calibri" w:cs="Times New Roman"/>
              </w:rPr>
            </w:pPr>
            <w:r>
              <w:rPr>
                <w:rFonts w:ascii="Calibri" w:hAnsi="Calibri" w:cs="Times New Roman"/>
              </w:rPr>
              <w:t>8.2%</w:t>
            </w:r>
          </w:p>
        </w:tc>
        <w:tc>
          <w:tcPr>
            <w:tcW w:w="1520" w:type="dxa"/>
            <w:tcBorders>
              <w:top w:val="nil"/>
              <w:left w:val="nil"/>
              <w:bottom w:val="single" w:sz="4" w:space="0" w:color="auto"/>
              <w:right w:val="single" w:sz="4" w:space="0" w:color="auto"/>
            </w:tcBorders>
            <w:hideMark/>
          </w:tcPr>
          <w:p w14:paraId="047FEC1C" w14:textId="7E37905D"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3A91A10D" w14:textId="0C7D11F4"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2FEAF9E1" w14:textId="77777777" w:rsidTr="00C10512">
        <w:trPr>
          <w:trHeight w:val="300"/>
        </w:trPr>
        <w:tc>
          <w:tcPr>
            <w:tcW w:w="265" w:type="dxa"/>
            <w:tcBorders>
              <w:top w:val="nil"/>
              <w:left w:val="single" w:sz="4" w:space="0" w:color="auto"/>
              <w:bottom w:val="single" w:sz="4" w:space="0" w:color="auto"/>
              <w:right w:val="nil"/>
            </w:tcBorders>
            <w:vAlign w:val="bottom"/>
            <w:hideMark/>
          </w:tcPr>
          <w:p w14:paraId="3D2AB716"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ABE924C" w14:textId="77777777" w:rsidR="00F73ADF" w:rsidRDefault="00F73ADF" w:rsidP="00F73ADF">
            <w:pPr>
              <w:spacing w:after="0" w:line="240" w:lineRule="auto"/>
              <w:rPr>
                <w:rFonts w:ascii="Calibri" w:hAnsi="Calibri" w:cs="Times New Roman"/>
              </w:rPr>
            </w:pPr>
            <w:r>
              <w:rPr>
                <w:rFonts w:ascii="Calibri" w:hAnsi="Calibri" w:cs="Times New Roman"/>
              </w:rPr>
              <w:t>Transverse colon</w:t>
            </w:r>
          </w:p>
        </w:tc>
        <w:tc>
          <w:tcPr>
            <w:tcW w:w="1134" w:type="dxa"/>
            <w:tcBorders>
              <w:top w:val="nil"/>
              <w:left w:val="nil"/>
              <w:bottom w:val="single" w:sz="4" w:space="0" w:color="auto"/>
              <w:right w:val="single" w:sz="4" w:space="0" w:color="auto"/>
            </w:tcBorders>
            <w:vAlign w:val="bottom"/>
            <w:hideMark/>
          </w:tcPr>
          <w:p w14:paraId="6BFF3623" w14:textId="77777777" w:rsidR="00F73ADF" w:rsidRDefault="00F73ADF" w:rsidP="00F73ADF">
            <w:pPr>
              <w:spacing w:after="0" w:line="240" w:lineRule="auto"/>
              <w:jc w:val="center"/>
              <w:rPr>
                <w:rFonts w:ascii="Calibri" w:hAnsi="Calibri" w:cs="Times New Roman"/>
              </w:rPr>
            </w:pPr>
            <w:r>
              <w:rPr>
                <w:rFonts w:ascii="Calibri" w:hAnsi="Calibri" w:cs="Times New Roman"/>
              </w:rPr>
              <w:t>5.2%</w:t>
            </w:r>
          </w:p>
        </w:tc>
        <w:tc>
          <w:tcPr>
            <w:tcW w:w="1520" w:type="dxa"/>
            <w:tcBorders>
              <w:top w:val="nil"/>
              <w:left w:val="nil"/>
              <w:bottom w:val="single" w:sz="4" w:space="0" w:color="auto"/>
              <w:right w:val="single" w:sz="4" w:space="0" w:color="auto"/>
            </w:tcBorders>
            <w:hideMark/>
          </w:tcPr>
          <w:p w14:paraId="38CCD653" w14:textId="7F074573"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25470080" w14:textId="35268187"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2F1BAAEF" w14:textId="77777777" w:rsidTr="00F42F36">
        <w:trPr>
          <w:trHeight w:val="300"/>
        </w:trPr>
        <w:tc>
          <w:tcPr>
            <w:tcW w:w="265" w:type="dxa"/>
            <w:tcBorders>
              <w:top w:val="nil"/>
              <w:left w:val="single" w:sz="4" w:space="0" w:color="auto"/>
              <w:bottom w:val="single" w:sz="4" w:space="0" w:color="auto"/>
              <w:right w:val="nil"/>
            </w:tcBorders>
            <w:vAlign w:val="bottom"/>
            <w:hideMark/>
          </w:tcPr>
          <w:p w14:paraId="6480FC3C"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3597F49" w14:textId="77777777" w:rsidR="00F73ADF" w:rsidRDefault="00F73ADF" w:rsidP="00F73ADF">
            <w:pPr>
              <w:spacing w:after="0" w:line="240" w:lineRule="auto"/>
              <w:rPr>
                <w:rFonts w:ascii="Calibri" w:hAnsi="Calibri" w:cs="Times New Roman"/>
              </w:rPr>
            </w:pPr>
            <w:r>
              <w:rPr>
                <w:rFonts w:ascii="Calibri" w:hAnsi="Calibri" w:cs="Times New Roman"/>
              </w:rPr>
              <w:t>Descending colon</w:t>
            </w:r>
          </w:p>
        </w:tc>
        <w:tc>
          <w:tcPr>
            <w:tcW w:w="1134" w:type="dxa"/>
            <w:tcBorders>
              <w:top w:val="nil"/>
              <w:left w:val="nil"/>
              <w:bottom w:val="single" w:sz="4" w:space="0" w:color="auto"/>
              <w:right w:val="single" w:sz="4" w:space="0" w:color="auto"/>
            </w:tcBorders>
            <w:vAlign w:val="bottom"/>
            <w:hideMark/>
          </w:tcPr>
          <w:p w14:paraId="5B74E62A" w14:textId="77777777" w:rsidR="00F73ADF" w:rsidRDefault="00F73ADF" w:rsidP="00F73ADF">
            <w:pPr>
              <w:spacing w:after="0" w:line="240" w:lineRule="auto"/>
              <w:jc w:val="center"/>
              <w:rPr>
                <w:rFonts w:ascii="Calibri" w:hAnsi="Calibri" w:cs="Times New Roman"/>
              </w:rPr>
            </w:pPr>
            <w:r>
              <w:rPr>
                <w:rFonts w:ascii="Calibri" w:hAnsi="Calibri" w:cs="Times New Roman"/>
              </w:rPr>
              <w:t>13.1%</w:t>
            </w:r>
          </w:p>
        </w:tc>
        <w:tc>
          <w:tcPr>
            <w:tcW w:w="1520" w:type="dxa"/>
            <w:tcBorders>
              <w:top w:val="nil"/>
              <w:left w:val="nil"/>
              <w:bottom w:val="single" w:sz="4" w:space="0" w:color="auto"/>
              <w:right w:val="single" w:sz="4" w:space="0" w:color="auto"/>
            </w:tcBorders>
            <w:hideMark/>
          </w:tcPr>
          <w:p w14:paraId="2EAEC083" w14:textId="09DD90C1"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011C209C" w14:textId="2143E140"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3C772800" w14:textId="77777777" w:rsidTr="00F42F36">
        <w:trPr>
          <w:trHeight w:val="300"/>
        </w:trPr>
        <w:tc>
          <w:tcPr>
            <w:tcW w:w="265" w:type="dxa"/>
            <w:tcBorders>
              <w:top w:val="nil"/>
              <w:left w:val="single" w:sz="4" w:space="0" w:color="auto"/>
              <w:bottom w:val="single" w:sz="4" w:space="0" w:color="auto"/>
              <w:right w:val="nil"/>
            </w:tcBorders>
            <w:vAlign w:val="bottom"/>
            <w:hideMark/>
          </w:tcPr>
          <w:p w14:paraId="53795762"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711A37A8" w14:textId="77777777" w:rsidR="00F73ADF" w:rsidRDefault="00F73ADF" w:rsidP="00F73ADF">
            <w:pPr>
              <w:spacing w:after="0" w:line="240" w:lineRule="auto"/>
              <w:rPr>
                <w:rFonts w:ascii="Calibri" w:hAnsi="Calibri" w:cs="Times New Roman"/>
              </w:rPr>
            </w:pPr>
            <w:r>
              <w:rPr>
                <w:rFonts w:ascii="Calibri" w:hAnsi="Calibri" w:cs="Times New Roman"/>
              </w:rPr>
              <w:t>Sigmoid</w:t>
            </w:r>
          </w:p>
        </w:tc>
        <w:tc>
          <w:tcPr>
            <w:tcW w:w="1134" w:type="dxa"/>
            <w:tcBorders>
              <w:top w:val="nil"/>
              <w:left w:val="nil"/>
              <w:bottom w:val="single" w:sz="4" w:space="0" w:color="auto"/>
              <w:right w:val="single" w:sz="4" w:space="0" w:color="auto"/>
            </w:tcBorders>
            <w:vAlign w:val="bottom"/>
            <w:hideMark/>
          </w:tcPr>
          <w:p w14:paraId="15D62384" w14:textId="77777777" w:rsidR="00F73ADF" w:rsidRDefault="00F73ADF" w:rsidP="00F73ADF">
            <w:pPr>
              <w:spacing w:after="0" w:line="240" w:lineRule="auto"/>
              <w:jc w:val="center"/>
              <w:rPr>
                <w:rFonts w:ascii="Calibri" w:hAnsi="Calibri" w:cs="Times New Roman"/>
              </w:rPr>
            </w:pPr>
            <w:r>
              <w:rPr>
                <w:rFonts w:ascii="Calibri" w:hAnsi="Calibri" w:cs="Times New Roman"/>
              </w:rPr>
              <w:t>30.3%</w:t>
            </w:r>
          </w:p>
        </w:tc>
        <w:tc>
          <w:tcPr>
            <w:tcW w:w="1520" w:type="dxa"/>
            <w:tcBorders>
              <w:top w:val="nil"/>
              <w:left w:val="nil"/>
              <w:bottom w:val="single" w:sz="4" w:space="0" w:color="auto"/>
              <w:right w:val="single" w:sz="4" w:space="0" w:color="auto"/>
            </w:tcBorders>
            <w:hideMark/>
          </w:tcPr>
          <w:p w14:paraId="531D3F9E" w14:textId="6C444171"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241E60E0" w14:textId="4425197C"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70104805" w14:textId="77777777" w:rsidTr="00F42F36">
        <w:trPr>
          <w:trHeight w:val="300"/>
        </w:trPr>
        <w:tc>
          <w:tcPr>
            <w:tcW w:w="265" w:type="dxa"/>
            <w:tcBorders>
              <w:top w:val="nil"/>
              <w:left w:val="single" w:sz="4" w:space="0" w:color="auto"/>
              <w:bottom w:val="single" w:sz="4" w:space="0" w:color="auto"/>
              <w:right w:val="nil"/>
            </w:tcBorders>
            <w:vAlign w:val="bottom"/>
            <w:hideMark/>
          </w:tcPr>
          <w:p w14:paraId="42464B70"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DC8CD73" w14:textId="77777777" w:rsidR="00F73ADF" w:rsidRDefault="00F73ADF" w:rsidP="00F73ADF">
            <w:pPr>
              <w:spacing w:after="0" w:line="240" w:lineRule="auto"/>
              <w:rPr>
                <w:rFonts w:ascii="Calibri" w:hAnsi="Calibri" w:cs="Times New Roman"/>
              </w:rPr>
            </w:pPr>
            <w:r>
              <w:rPr>
                <w:rFonts w:ascii="Calibri" w:hAnsi="Calibri" w:cs="Times New Roman"/>
              </w:rPr>
              <w:t>Rectum</w:t>
            </w:r>
          </w:p>
        </w:tc>
        <w:tc>
          <w:tcPr>
            <w:tcW w:w="1134" w:type="dxa"/>
            <w:tcBorders>
              <w:top w:val="nil"/>
              <w:left w:val="nil"/>
              <w:bottom w:val="single" w:sz="4" w:space="0" w:color="auto"/>
              <w:right w:val="single" w:sz="4" w:space="0" w:color="auto"/>
            </w:tcBorders>
            <w:vAlign w:val="bottom"/>
            <w:hideMark/>
          </w:tcPr>
          <w:p w14:paraId="3B7E6C60" w14:textId="77777777" w:rsidR="00F73ADF" w:rsidRDefault="00F73ADF" w:rsidP="00F73ADF">
            <w:pPr>
              <w:spacing w:after="0" w:line="240" w:lineRule="auto"/>
              <w:jc w:val="center"/>
              <w:rPr>
                <w:rFonts w:ascii="Calibri" w:hAnsi="Calibri" w:cs="Times New Roman"/>
              </w:rPr>
            </w:pPr>
            <w:r>
              <w:rPr>
                <w:rFonts w:ascii="Calibri" w:hAnsi="Calibri" w:cs="Times New Roman"/>
              </w:rPr>
              <w:t>32.3%</w:t>
            </w:r>
          </w:p>
        </w:tc>
        <w:tc>
          <w:tcPr>
            <w:tcW w:w="1520" w:type="dxa"/>
            <w:tcBorders>
              <w:top w:val="nil"/>
              <w:left w:val="nil"/>
              <w:bottom w:val="single" w:sz="4" w:space="0" w:color="auto"/>
              <w:right w:val="single" w:sz="4" w:space="0" w:color="auto"/>
            </w:tcBorders>
            <w:hideMark/>
          </w:tcPr>
          <w:p w14:paraId="7C10702B" w14:textId="4B1E4A1F"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1DAC24E6" w14:textId="5E4F7D97"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17200ED5" w14:textId="77777777" w:rsidTr="00F42F36">
        <w:trPr>
          <w:trHeight w:val="300"/>
        </w:trPr>
        <w:tc>
          <w:tcPr>
            <w:tcW w:w="7366" w:type="dxa"/>
            <w:gridSpan w:val="4"/>
            <w:tcBorders>
              <w:top w:val="nil"/>
              <w:left w:val="single" w:sz="4" w:space="0" w:color="auto"/>
              <w:bottom w:val="single" w:sz="4" w:space="0" w:color="auto"/>
              <w:right w:val="single" w:sz="4" w:space="0" w:color="auto"/>
            </w:tcBorders>
            <w:vAlign w:val="bottom"/>
          </w:tcPr>
          <w:p w14:paraId="3BA7D80F" w14:textId="77777777" w:rsidR="00F73ADF" w:rsidRPr="002D37E0" w:rsidRDefault="00F73ADF" w:rsidP="00F42F36">
            <w:pPr>
              <w:pStyle w:val="Default"/>
            </w:pPr>
            <w:r>
              <w:rPr>
                <w:i/>
                <w:iCs/>
                <w:sz w:val="22"/>
                <w:szCs w:val="22"/>
              </w:rPr>
              <w:t xml:space="preserve">Probability of adenoma with flat shape by section of bowel </w:t>
            </w:r>
            <w:r>
              <w:rPr>
                <w:i/>
                <w:iCs/>
                <w:sz w:val="22"/>
                <w:szCs w:val="22"/>
                <w:vertAlign w:val="superscript"/>
              </w:rPr>
              <w:t>b</w:t>
            </w:r>
          </w:p>
        </w:tc>
        <w:tc>
          <w:tcPr>
            <w:tcW w:w="1560" w:type="dxa"/>
            <w:tcBorders>
              <w:top w:val="nil"/>
              <w:left w:val="single" w:sz="4" w:space="0" w:color="auto"/>
              <w:bottom w:val="single" w:sz="4" w:space="0" w:color="auto"/>
              <w:right w:val="single" w:sz="4" w:space="0" w:color="auto"/>
            </w:tcBorders>
          </w:tcPr>
          <w:p w14:paraId="31189530" w14:textId="77777777" w:rsidR="00F73ADF" w:rsidRDefault="00F73ADF" w:rsidP="00F42F36">
            <w:pPr>
              <w:pStyle w:val="Default"/>
              <w:rPr>
                <w:i/>
                <w:iCs/>
                <w:sz w:val="22"/>
                <w:szCs w:val="22"/>
              </w:rPr>
            </w:pPr>
          </w:p>
        </w:tc>
      </w:tr>
      <w:tr w:rsidR="00F73ADF" w14:paraId="33F90E7B" w14:textId="77777777" w:rsidTr="00C10512">
        <w:trPr>
          <w:trHeight w:val="300"/>
        </w:trPr>
        <w:tc>
          <w:tcPr>
            <w:tcW w:w="265" w:type="dxa"/>
            <w:tcBorders>
              <w:top w:val="nil"/>
              <w:left w:val="single" w:sz="4" w:space="0" w:color="auto"/>
              <w:bottom w:val="single" w:sz="4" w:space="0" w:color="auto"/>
              <w:right w:val="nil"/>
            </w:tcBorders>
            <w:vAlign w:val="bottom"/>
            <w:hideMark/>
          </w:tcPr>
          <w:p w14:paraId="43E5C44A"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0A82C96" w14:textId="77777777" w:rsidR="00F73ADF" w:rsidRDefault="00F73ADF" w:rsidP="00F73ADF">
            <w:pPr>
              <w:spacing w:after="0" w:line="240" w:lineRule="auto"/>
              <w:rPr>
                <w:rFonts w:ascii="Calibri" w:hAnsi="Calibri" w:cs="Times New Roman"/>
              </w:rPr>
            </w:pPr>
            <w:r>
              <w:rPr>
                <w:rFonts w:ascii="Calibri" w:hAnsi="Calibri" w:cs="Times New Roman"/>
              </w:rPr>
              <w:t>Cecum</w:t>
            </w:r>
          </w:p>
        </w:tc>
        <w:tc>
          <w:tcPr>
            <w:tcW w:w="1134" w:type="dxa"/>
            <w:tcBorders>
              <w:top w:val="nil"/>
              <w:left w:val="nil"/>
              <w:bottom w:val="single" w:sz="4" w:space="0" w:color="auto"/>
              <w:right w:val="single" w:sz="4" w:space="0" w:color="auto"/>
            </w:tcBorders>
            <w:vAlign w:val="bottom"/>
            <w:hideMark/>
          </w:tcPr>
          <w:p w14:paraId="2EC3714D" w14:textId="77777777" w:rsidR="00F73ADF" w:rsidRDefault="00F73ADF" w:rsidP="00F73ADF">
            <w:pPr>
              <w:spacing w:after="0" w:line="240" w:lineRule="auto"/>
              <w:jc w:val="center"/>
              <w:rPr>
                <w:rFonts w:ascii="Calibri" w:hAnsi="Calibri" w:cs="Times New Roman"/>
              </w:rPr>
            </w:pPr>
            <w:r>
              <w:rPr>
                <w:rFonts w:ascii="Calibri" w:hAnsi="Calibri" w:cs="Times New Roman"/>
              </w:rPr>
              <w:t>11.4%</w:t>
            </w:r>
          </w:p>
        </w:tc>
        <w:tc>
          <w:tcPr>
            <w:tcW w:w="1520" w:type="dxa"/>
            <w:tcBorders>
              <w:top w:val="nil"/>
              <w:left w:val="nil"/>
              <w:bottom w:val="single" w:sz="4" w:space="0" w:color="auto"/>
              <w:right w:val="single" w:sz="4" w:space="0" w:color="auto"/>
            </w:tcBorders>
            <w:hideMark/>
          </w:tcPr>
          <w:p w14:paraId="1ADE65A6" w14:textId="4B844E7C"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60EE6081" w14:textId="0FEE1635"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43FBD782" w14:textId="77777777" w:rsidTr="00C10512">
        <w:trPr>
          <w:trHeight w:val="300"/>
        </w:trPr>
        <w:tc>
          <w:tcPr>
            <w:tcW w:w="265" w:type="dxa"/>
            <w:tcBorders>
              <w:top w:val="nil"/>
              <w:left w:val="single" w:sz="4" w:space="0" w:color="auto"/>
              <w:bottom w:val="single" w:sz="4" w:space="0" w:color="auto"/>
              <w:right w:val="nil"/>
            </w:tcBorders>
            <w:vAlign w:val="bottom"/>
            <w:hideMark/>
          </w:tcPr>
          <w:p w14:paraId="74AD4173"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5B4BE88" w14:textId="77777777" w:rsidR="00F73ADF" w:rsidRDefault="00F73ADF" w:rsidP="00F73ADF">
            <w:pPr>
              <w:spacing w:after="0" w:line="240" w:lineRule="auto"/>
              <w:rPr>
                <w:rFonts w:ascii="Calibri" w:hAnsi="Calibri" w:cs="Times New Roman"/>
              </w:rPr>
            </w:pPr>
            <w:r>
              <w:rPr>
                <w:rFonts w:ascii="Calibri" w:hAnsi="Calibri" w:cs="Times New Roman"/>
              </w:rPr>
              <w:t>Ascending colon</w:t>
            </w:r>
          </w:p>
        </w:tc>
        <w:tc>
          <w:tcPr>
            <w:tcW w:w="1134" w:type="dxa"/>
            <w:tcBorders>
              <w:top w:val="nil"/>
              <w:left w:val="nil"/>
              <w:bottom w:val="single" w:sz="4" w:space="0" w:color="auto"/>
              <w:right w:val="single" w:sz="4" w:space="0" w:color="auto"/>
            </w:tcBorders>
            <w:vAlign w:val="bottom"/>
            <w:hideMark/>
          </w:tcPr>
          <w:p w14:paraId="71FE34A8" w14:textId="77777777" w:rsidR="00F73ADF" w:rsidRDefault="00F73ADF" w:rsidP="00F73ADF">
            <w:pPr>
              <w:spacing w:after="0" w:line="240" w:lineRule="auto"/>
              <w:jc w:val="center"/>
              <w:rPr>
                <w:rFonts w:ascii="Calibri" w:hAnsi="Calibri" w:cs="Times New Roman"/>
              </w:rPr>
            </w:pPr>
            <w:r>
              <w:rPr>
                <w:rFonts w:ascii="Calibri" w:hAnsi="Calibri" w:cs="Times New Roman"/>
              </w:rPr>
              <w:t>5.3%</w:t>
            </w:r>
          </w:p>
        </w:tc>
        <w:tc>
          <w:tcPr>
            <w:tcW w:w="1520" w:type="dxa"/>
            <w:tcBorders>
              <w:top w:val="nil"/>
              <w:left w:val="nil"/>
              <w:bottom w:val="single" w:sz="4" w:space="0" w:color="auto"/>
              <w:right w:val="single" w:sz="4" w:space="0" w:color="auto"/>
            </w:tcBorders>
            <w:hideMark/>
          </w:tcPr>
          <w:p w14:paraId="4036F549" w14:textId="4D228195"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176CCCDC" w14:textId="3BD6AFC5"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0E1E2C4F" w14:textId="77777777" w:rsidTr="00C10512">
        <w:trPr>
          <w:trHeight w:val="300"/>
        </w:trPr>
        <w:tc>
          <w:tcPr>
            <w:tcW w:w="265" w:type="dxa"/>
            <w:tcBorders>
              <w:top w:val="nil"/>
              <w:left w:val="single" w:sz="4" w:space="0" w:color="auto"/>
              <w:bottom w:val="single" w:sz="4" w:space="0" w:color="auto"/>
              <w:right w:val="nil"/>
            </w:tcBorders>
            <w:vAlign w:val="bottom"/>
            <w:hideMark/>
          </w:tcPr>
          <w:p w14:paraId="2F8769EC" w14:textId="77777777" w:rsidR="00F73ADF" w:rsidRDefault="00F73ADF" w:rsidP="00F73ADF">
            <w:pPr>
              <w:spacing w:after="0" w:line="240" w:lineRule="auto"/>
              <w:rPr>
                <w:rFonts w:ascii="Calibri" w:hAnsi="Calibri" w:cs="Times New Roman"/>
              </w:rPr>
            </w:pPr>
            <w:r>
              <w:rPr>
                <w:rFonts w:ascii="Calibri" w:hAnsi="Calibri" w:cs="Times New Roman"/>
              </w:rPr>
              <w:lastRenderedPageBreak/>
              <w:t> </w:t>
            </w:r>
          </w:p>
        </w:tc>
        <w:tc>
          <w:tcPr>
            <w:tcW w:w="4447" w:type="dxa"/>
            <w:tcBorders>
              <w:top w:val="nil"/>
              <w:left w:val="nil"/>
              <w:bottom w:val="single" w:sz="4" w:space="0" w:color="auto"/>
              <w:right w:val="single" w:sz="4" w:space="0" w:color="auto"/>
            </w:tcBorders>
            <w:vAlign w:val="bottom"/>
            <w:hideMark/>
          </w:tcPr>
          <w:p w14:paraId="78F75873" w14:textId="77777777" w:rsidR="00F73ADF" w:rsidRDefault="00F73ADF" w:rsidP="00F73ADF">
            <w:pPr>
              <w:spacing w:after="0" w:line="240" w:lineRule="auto"/>
              <w:rPr>
                <w:rFonts w:ascii="Calibri" w:hAnsi="Calibri" w:cs="Times New Roman"/>
              </w:rPr>
            </w:pPr>
            <w:r>
              <w:rPr>
                <w:rFonts w:ascii="Calibri" w:hAnsi="Calibri" w:cs="Times New Roman"/>
              </w:rPr>
              <w:t>Transverse colon</w:t>
            </w:r>
          </w:p>
        </w:tc>
        <w:tc>
          <w:tcPr>
            <w:tcW w:w="1134" w:type="dxa"/>
            <w:tcBorders>
              <w:top w:val="nil"/>
              <w:left w:val="nil"/>
              <w:bottom w:val="single" w:sz="4" w:space="0" w:color="auto"/>
              <w:right w:val="single" w:sz="4" w:space="0" w:color="auto"/>
            </w:tcBorders>
            <w:vAlign w:val="bottom"/>
            <w:hideMark/>
          </w:tcPr>
          <w:p w14:paraId="44092C30" w14:textId="77777777" w:rsidR="00F73ADF" w:rsidRDefault="00F73ADF" w:rsidP="00F73ADF">
            <w:pPr>
              <w:spacing w:after="0" w:line="240" w:lineRule="auto"/>
              <w:jc w:val="center"/>
              <w:rPr>
                <w:rFonts w:ascii="Calibri" w:hAnsi="Calibri" w:cs="Times New Roman"/>
              </w:rPr>
            </w:pPr>
            <w:r>
              <w:rPr>
                <w:rFonts w:ascii="Calibri" w:hAnsi="Calibri" w:cs="Times New Roman"/>
              </w:rPr>
              <w:t>8.6%</w:t>
            </w:r>
          </w:p>
        </w:tc>
        <w:tc>
          <w:tcPr>
            <w:tcW w:w="1520" w:type="dxa"/>
            <w:tcBorders>
              <w:top w:val="nil"/>
              <w:left w:val="nil"/>
              <w:bottom w:val="single" w:sz="4" w:space="0" w:color="auto"/>
              <w:right w:val="single" w:sz="4" w:space="0" w:color="auto"/>
            </w:tcBorders>
            <w:hideMark/>
          </w:tcPr>
          <w:p w14:paraId="2EF10362" w14:textId="7B17D9F0"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6F1B8730" w14:textId="3621DB1B"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47FAD592" w14:textId="77777777" w:rsidTr="00F42F36">
        <w:trPr>
          <w:trHeight w:val="300"/>
        </w:trPr>
        <w:tc>
          <w:tcPr>
            <w:tcW w:w="265" w:type="dxa"/>
            <w:tcBorders>
              <w:top w:val="nil"/>
              <w:left w:val="single" w:sz="4" w:space="0" w:color="auto"/>
              <w:bottom w:val="single" w:sz="4" w:space="0" w:color="auto"/>
              <w:right w:val="nil"/>
            </w:tcBorders>
            <w:vAlign w:val="bottom"/>
            <w:hideMark/>
          </w:tcPr>
          <w:p w14:paraId="36968D85"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8BFF158" w14:textId="77777777" w:rsidR="00F73ADF" w:rsidRDefault="00F73ADF" w:rsidP="00F73ADF">
            <w:pPr>
              <w:spacing w:after="0" w:line="240" w:lineRule="auto"/>
              <w:rPr>
                <w:rFonts w:ascii="Calibri" w:hAnsi="Calibri" w:cs="Times New Roman"/>
              </w:rPr>
            </w:pPr>
            <w:r>
              <w:rPr>
                <w:rFonts w:ascii="Calibri" w:hAnsi="Calibri" w:cs="Times New Roman"/>
              </w:rPr>
              <w:t>Descending colon</w:t>
            </w:r>
          </w:p>
        </w:tc>
        <w:tc>
          <w:tcPr>
            <w:tcW w:w="1134" w:type="dxa"/>
            <w:tcBorders>
              <w:top w:val="nil"/>
              <w:left w:val="nil"/>
              <w:bottom w:val="single" w:sz="4" w:space="0" w:color="auto"/>
              <w:right w:val="single" w:sz="4" w:space="0" w:color="auto"/>
            </w:tcBorders>
            <w:vAlign w:val="bottom"/>
            <w:hideMark/>
          </w:tcPr>
          <w:p w14:paraId="069AA87F" w14:textId="77777777" w:rsidR="00F73ADF" w:rsidRDefault="00F73ADF" w:rsidP="00F73ADF">
            <w:pPr>
              <w:spacing w:after="0" w:line="240" w:lineRule="auto"/>
              <w:jc w:val="center"/>
              <w:rPr>
                <w:rFonts w:ascii="Calibri" w:hAnsi="Calibri" w:cs="Times New Roman"/>
              </w:rPr>
            </w:pPr>
            <w:r>
              <w:rPr>
                <w:rFonts w:ascii="Calibri" w:hAnsi="Calibri" w:cs="Times New Roman"/>
              </w:rPr>
              <w:t>1.2%</w:t>
            </w:r>
          </w:p>
        </w:tc>
        <w:tc>
          <w:tcPr>
            <w:tcW w:w="1520" w:type="dxa"/>
            <w:tcBorders>
              <w:top w:val="nil"/>
              <w:left w:val="nil"/>
              <w:bottom w:val="single" w:sz="4" w:space="0" w:color="auto"/>
              <w:right w:val="single" w:sz="4" w:space="0" w:color="auto"/>
            </w:tcBorders>
            <w:hideMark/>
          </w:tcPr>
          <w:p w14:paraId="763EB659" w14:textId="69D3FAC2"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5EE66699" w14:textId="4BDF59AC"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6B4B704D" w14:textId="77777777" w:rsidTr="00F42F36">
        <w:trPr>
          <w:trHeight w:val="300"/>
        </w:trPr>
        <w:tc>
          <w:tcPr>
            <w:tcW w:w="265" w:type="dxa"/>
            <w:tcBorders>
              <w:top w:val="nil"/>
              <w:left w:val="single" w:sz="4" w:space="0" w:color="auto"/>
              <w:bottom w:val="single" w:sz="4" w:space="0" w:color="auto"/>
              <w:right w:val="nil"/>
            </w:tcBorders>
            <w:vAlign w:val="bottom"/>
            <w:hideMark/>
          </w:tcPr>
          <w:p w14:paraId="7CE021A5"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D77AE74" w14:textId="77777777" w:rsidR="00F73ADF" w:rsidRDefault="00F73ADF" w:rsidP="00F73ADF">
            <w:pPr>
              <w:spacing w:after="0" w:line="240" w:lineRule="auto"/>
              <w:rPr>
                <w:rFonts w:ascii="Calibri" w:hAnsi="Calibri" w:cs="Times New Roman"/>
              </w:rPr>
            </w:pPr>
            <w:r>
              <w:rPr>
                <w:rFonts w:ascii="Calibri" w:hAnsi="Calibri" w:cs="Times New Roman"/>
              </w:rPr>
              <w:t>Sigmoid</w:t>
            </w:r>
          </w:p>
        </w:tc>
        <w:tc>
          <w:tcPr>
            <w:tcW w:w="1134" w:type="dxa"/>
            <w:tcBorders>
              <w:top w:val="nil"/>
              <w:left w:val="nil"/>
              <w:bottom w:val="single" w:sz="4" w:space="0" w:color="auto"/>
              <w:right w:val="single" w:sz="4" w:space="0" w:color="auto"/>
            </w:tcBorders>
            <w:vAlign w:val="bottom"/>
            <w:hideMark/>
          </w:tcPr>
          <w:p w14:paraId="336C6731" w14:textId="77777777" w:rsidR="00F73ADF" w:rsidRDefault="00F73ADF" w:rsidP="00F73ADF">
            <w:pPr>
              <w:spacing w:after="0" w:line="240" w:lineRule="auto"/>
              <w:jc w:val="center"/>
              <w:rPr>
                <w:rFonts w:ascii="Calibri" w:hAnsi="Calibri" w:cs="Times New Roman"/>
              </w:rPr>
            </w:pPr>
            <w:r>
              <w:rPr>
                <w:rFonts w:ascii="Calibri" w:hAnsi="Calibri" w:cs="Times New Roman"/>
              </w:rPr>
              <w:t>3.2%</w:t>
            </w:r>
          </w:p>
        </w:tc>
        <w:tc>
          <w:tcPr>
            <w:tcW w:w="1520" w:type="dxa"/>
            <w:tcBorders>
              <w:top w:val="nil"/>
              <w:left w:val="nil"/>
              <w:bottom w:val="single" w:sz="4" w:space="0" w:color="auto"/>
              <w:right w:val="single" w:sz="4" w:space="0" w:color="auto"/>
            </w:tcBorders>
            <w:hideMark/>
          </w:tcPr>
          <w:p w14:paraId="60BF8E7A" w14:textId="52A17577"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2FC9C9B2" w14:textId="52800488"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4DC5D725" w14:textId="77777777" w:rsidTr="00F42F36">
        <w:trPr>
          <w:trHeight w:val="300"/>
        </w:trPr>
        <w:tc>
          <w:tcPr>
            <w:tcW w:w="265" w:type="dxa"/>
            <w:tcBorders>
              <w:top w:val="nil"/>
              <w:left w:val="single" w:sz="4" w:space="0" w:color="auto"/>
              <w:bottom w:val="single" w:sz="4" w:space="0" w:color="auto"/>
              <w:right w:val="nil"/>
            </w:tcBorders>
            <w:vAlign w:val="bottom"/>
            <w:hideMark/>
          </w:tcPr>
          <w:p w14:paraId="4820347B"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68A2BED" w14:textId="77777777" w:rsidR="00F73ADF" w:rsidRDefault="00F73ADF" w:rsidP="00F73ADF">
            <w:pPr>
              <w:spacing w:after="0" w:line="240" w:lineRule="auto"/>
              <w:rPr>
                <w:rFonts w:ascii="Calibri" w:hAnsi="Calibri" w:cs="Times New Roman"/>
              </w:rPr>
            </w:pPr>
            <w:r>
              <w:rPr>
                <w:rFonts w:ascii="Calibri" w:hAnsi="Calibri" w:cs="Times New Roman"/>
              </w:rPr>
              <w:t>Rectum</w:t>
            </w:r>
          </w:p>
        </w:tc>
        <w:tc>
          <w:tcPr>
            <w:tcW w:w="1134" w:type="dxa"/>
            <w:tcBorders>
              <w:top w:val="nil"/>
              <w:left w:val="nil"/>
              <w:bottom w:val="single" w:sz="4" w:space="0" w:color="auto"/>
              <w:right w:val="single" w:sz="4" w:space="0" w:color="auto"/>
            </w:tcBorders>
            <w:vAlign w:val="bottom"/>
            <w:hideMark/>
          </w:tcPr>
          <w:p w14:paraId="4DC3E363" w14:textId="77777777" w:rsidR="00F73ADF" w:rsidRDefault="00F73ADF" w:rsidP="00F73ADF">
            <w:pPr>
              <w:spacing w:after="0" w:line="240" w:lineRule="auto"/>
              <w:jc w:val="center"/>
              <w:rPr>
                <w:rFonts w:ascii="Calibri" w:hAnsi="Calibri" w:cs="Times New Roman"/>
              </w:rPr>
            </w:pPr>
            <w:r>
              <w:rPr>
                <w:rFonts w:ascii="Calibri" w:hAnsi="Calibri" w:cs="Times New Roman"/>
              </w:rPr>
              <w:t>1.5%</w:t>
            </w:r>
          </w:p>
        </w:tc>
        <w:tc>
          <w:tcPr>
            <w:tcW w:w="1520" w:type="dxa"/>
            <w:tcBorders>
              <w:top w:val="nil"/>
              <w:left w:val="nil"/>
              <w:bottom w:val="single" w:sz="4" w:space="0" w:color="auto"/>
              <w:right w:val="single" w:sz="4" w:space="0" w:color="auto"/>
            </w:tcBorders>
            <w:hideMark/>
          </w:tcPr>
          <w:p w14:paraId="6EF720F5" w14:textId="60C5662F"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19B84899" w14:textId="143AC893"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3785C704"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34764019" w14:textId="53CD0412" w:rsidR="00F73ADF" w:rsidRDefault="00F73ADF" w:rsidP="00F42F36">
            <w:pPr>
              <w:pStyle w:val="Default"/>
              <w:rPr>
                <w:i/>
                <w:iCs/>
                <w:sz w:val="22"/>
                <w:szCs w:val="22"/>
              </w:rPr>
            </w:pPr>
            <w:r>
              <w:rPr>
                <w:i/>
                <w:iCs/>
                <w:sz w:val="22"/>
                <w:szCs w:val="22"/>
              </w:rPr>
              <w:t xml:space="preserve">Distribution of adenoma by section of bowel, 20-64 years </w:t>
            </w:r>
            <w:r>
              <w:rPr>
                <w:i/>
                <w:iCs/>
                <w:sz w:val="22"/>
                <w:szCs w:val="22"/>
                <w:vertAlign w:val="superscript"/>
              </w:rPr>
              <w:t>b</w:t>
            </w:r>
          </w:p>
        </w:tc>
      </w:tr>
      <w:tr w:rsidR="00F73ADF" w14:paraId="32619261" w14:textId="77777777" w:rsidTr="003E59DC">
        <w:trPr>
          <w:trHeight w:val="300"/>
        </w:trPr>
        <w:tc>
          <w:tcPr>
            <w:tcW w:w="265" w:type="dxa"/>
            <w:tcBorders>
              <w:top w:val="nil"/>
              <w:left w:val="single" w:sz="4" w:space="0" w:color="auto"/>
              <w:bottom w:val="single" w:sz="4" w:space="0" w:color="auto"/>
              <w:right w:val="nil"/>
            </w:tcBorders>
            <w:vAlign w:val="bottom"/>
            <w:hideMark/>
          </w:tcPr>
          <w:p w14:paraId="2230A651"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F693E4D" w14:textId="77777777" w:rsidR="00F73ADF" w:rsidRDefault="00F73ADF" w:rsidP="00F73ADF">
            <w:pPr>
              <w:spacing w:after="0" w:line="240" w:lineRule="auto"/>
              <w:rPr>
                <w:rFonts w:ascii="Calibri" w:hAnsi="Calibri" w:cs="Times New Roman"/>
              </w:rPr>
            </w:pPr>
            <w:r>
              <w:rPr>
                <w:rFonts w:ascii="Calibri" w:hAnsi="Calibri" w:cs="Times New Roman"/>
              </w:rPr>
              <w:t>Cecum</w:t>
            </w:r>
          </w:p>
        </w:tc>
        <w:tc>
          <w:tcPr>
            <w:tcW w:w="1134" w:type="dxa"/>
            <w:tcBorders>
              <w:top w:val="nil"/>
              <w:left w:val="nil"/>
              <w:bottom w:val="single" w:sz="4" w:space="0" w:color="auto"/>
              <w:right w:val="single" w:sz="4" w:space="0" w:color="auto"/>
            </w:tcBorders>
            <w:vAlign w:val="bottom"/>
            <w:hideMark/>
          </w:tcPr>
          <w:p w14:paraId="4387F7C0" w14:textId="77777777" w:rsidR="00F73ADF" w:rsidRDefault="00F73ADF" w:rsidP="00F73ADF">
            <w:pPr>
              <w:spacing w:after="0" w:line="240" w:lineRule="auto"/>
              <w:jc w:val="center"/>
              <w:rPr>
                <w:rFonts w:ascii="Calibri" w:hAnsi="Calibri" w:cs="Times New Roman"/>
              </w:rPr>
            </w:pPr>
            <w:r>
              <w:rPr>
                <w:rFonts w:ascii="Calibri" w:hAnsi="Calibri" w:cs="Times New Roman"/>
              </w:rPr>
              <w:t>10.9%</w:t>
            </w:r>
          </w:p>
        </w:tc>
        <w:tc>
          <w:tcPr>
            <w:tcW w:w="1520" w:type="dxa"/>
            <w:tcBorders>
              <w:top w:val="nil"/>
              <w:left w:val="nil"/>
              <w:bottom w:val="single" w:sz="4" w:space="0" w:color="auto"/>
              <w:right w:val="single" w:sz="4" w:space="0" w:color="auto"/>
            </w:tcBorders>
            <w:hideMark/>
          </w:tcPr>
          <w:p w14:paraId="52384A2E" w14:textId="1512099B"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5482A0D9" w14:textId="62EACD5A"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1FF18FAB" w14:textId="77777777" w:rsidTr="003E59DC">
        <w:trPr>
          <w:trHeight w:val="300"/>
        </w:trPr>
        <w:tc>
          <w:tcPr>
            <w:tcW w:w="265" w:type="dxa"/>
            <w:tcBorders>
              <w:top w:val="nil"/>
              <w:left w:val="single" w:sz="4" w:space="0" w:color="auto"/>
              <w:bottom w:val="single" w:sz="4" w:space="0" w:color="auto"/>
              <w:right w:val="nil"/>
            </w:tcBorders>
            <w:vAlign w:val="bottom"/>
            <w:hideMark/>
          </w:tcPr>
          <w:p w14:paraId="64395C24"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790C72B" w14:textId="77777777" w:rsidR="00F73ADF" w:rsidRDefault="00F73ADF" w:rsidP="00F73ADF">
            <w:pPr>
              <w:spacing w:after="0" w:line="240" w:lineRule="auto"/>
              <w:rPr>
                <w:rFonts w:ascii="Calibri" w:hAnsi="Calibri" w:cs="Times New Roman"/>
              </w:rPr>
            </w:pPr>
            <w:r>
              <w:rPr>
                <w:rFonts w:ascii="Calibri" w:hAnsi="Calibri" w:cs="Times New Roman"/>
              </w:rPr>
              <w:t>Ascending colon</w:t>
            </w:r>
          </w:p>
        </w:tc>
        <w:tc>
          <w:tcPr>
            <w:tcW w:w="1134" w:type="dxa"/>
            <w:tcBorders>
              <w:top w:val="nil"/>
              <w:left w:val="nil"/>
              <w:bottom w:val="single" w:sz="4" w:space="0" w:color="auto"/>
              <w:right w:val="single" w:sz="4" w:space="0" w:color="auto"/>
            </w:tcBorders>
            <w:vAlign w:val="bottom"/>
            <w:hideMark/>
          </w:tcPr>
          <w:p w14:paraId="58357A49" w14:textId="77777777" w:rsidR="00F73ADF" w:rsidRDefault="00F73ADF" w:rsidP="00F73ADF">
            <w:pPr>
              <w:spacing w:after="0" w:line="240" w:lineRule="auto"/>
              <w:jc w:val="center"/>
              <w:rPr>
                <w:rFonts w:ascii="Calibri" w:hAnsi="Calibri" w:cs="Times New Roman"/>
              </w:rPr>
            </w:pPr>
            <w:r>
              <w:rPr>
                <w:rFonts w:ascii="Calibri" w:hAnsi="Calibri" w:cs="Times New Roman"/>
              </w:rPr>
              <w:t>22.1%</w:t>
            </w:r>
          </w:p>
        </w:tc>
        <w:tc>
          <w:tcPr>
            <w:tcW w:w="1520" w:type="dxa"/>
            <w:tcBorders>
              <w:top w:val="nil"/>
              <w:left w:val="nil"/>
              <w:bottom w:val="single" w:sz="4" w:space="0" w:color="auto"/>
              <w:right w:val="single" w:sz="4" w:space="0" w:color="auto"/>
            </w:tcBorders>
            <w:hideMark/>
          </w:tcPr>
          <w:p w14:paraId="16A12F2B" w14:textId="635E8AB6"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409B46A2" w14:textId="64D4EAA8"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7C5C898A" w14:textId="77777777" w:rsidTr="003E59DC">
        <w:trPr>
          <w:trHeight w:val="300"/>
        </w:trPr>
        <w:tc>
          <w:tcPr>
            <w:tcW w:w="265" w:type="dxa"/>
            <w:tcBorders>
              <w:top w:val="nil"/>
              <w:left w:val="single" w:sz="4" w:space="0" w:color="auto"/>
              <w:bottom w:val="single" w:sz="4" w:space="0" w:color="auto"/>
              <w:right w:val="nil"/>
            </w:tcBorders>
            <w:vAlign w:val="bottom"/>
            <w:hideMark/>
          </w:tcPr>
          <w:p w14:paraId="11214C4B"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578A36D" w14:textId="77777777" w:rsidR="00F73ADF" w:rsidRDefault="00F73ADF" w:rsidP="00F73ADF">
            <w:pPr>
              <w:spacing w:after="0" w:line="240" w:lineRule="auto"/>
              <w:rPr>
                <w:rFonts w:ascii="Calibri" w:hAnsi="Calibri" w:cs="Times New Roman"/>
              </w:rPr>
            </w:pPr>
            <w:r>
              <w:rPr>
                <w:rFonts w:ascii="Calibri" w:hAnsi="Calibri" w:cs="Times New Roman"/>
              </w:rPr>
              <w:t>Transverse colon</w:t>
            </w:r>
          </w:p>
        </w:tc>
        <w:tc>
          <w:tcPr>
            <w:tcW w:w="1134" w:type="dxa"/>
            <w:tcBorders>
              <w:top w:val="nil"/>
              <w:left w:val="nil"/>
              <w:bottom w:val="single" w:sz="4" w:space="0" w:color="auto"/>
              <w:right w:val="single" w:sz="4" w:space="0" w:color="auto"/>
            </w:tcBorders>
            <w:vAlign w:val="bottom"/>
            <w:hideMark/>
          </w:tcPr>
          <w:p w14:paraId="40225FB2" w14:textId="77777777" w:rsidR="00F73ADF" w:rsidRDefault="00F73ADF" w:rsidP="00F73ADF">
            <w:pPr>
              <w:spacing w:after="0" w:line="240" w:lineRule="auto"/>
              <w:jc w:val="center"/>
              <w:rPr>
                <w:rFonts w:ascii="Calibri" w:hAnsi="Calibri" w:cs="Times New Roman"/>
              </w:rPr>
            </w:pPr>
            <w:r>
              <w:rPr>
                <w:rFonts w:ascii="Calibri" w:hAnsi="Calibri" w:cs="Times New Roman"/>
              </w:rPr>
              <w:t>13.7%</w:t>
            </w:r>
          </w:p>
        </w:tc>
        <w:tc>
          <w:tcPr>
            <w:tcW w:w="1520" w:type="dxa"/>
            <w:tcBorders>
              <w:top w:val="nil"/>
              <w:left w:val="nil"/>
              <w:bottom w:val="single" w:sz="4" w:space="0" w:color="auto"/>
              <w:right w:val="single" w:sz="4" w:space="0" w:color="auto"/>
            </w:tcBorders>
            <w:hideMark/>
          </w:tcPr>
          <w:p w14:paraId="01BDF401" w14:textId="35445CA0"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6F4670A6" w14:textId="573B1DA0"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1CF04D22" w14:textId="77777777" w:rsidTr="00F42F36">
        <w:trPr>
          <w:trHeight w:val="300"/>
        </w:trPr>
        <w:tc>
          <w:tcPr>
            <w:tcW w:w="265" w:type="dxa"/>
            <w:tcBorders>
              <w:top w:val="nil"/>
              <w:left w:val="single" w:sz="4" w:space="0" w:color="auto"/>
              <w:bottom w:val="single" w:sz="4" w:space="0" w:color="auto"/>
              <w:right w:val="nil"/>
            </w:tcBorders>
            <w:vAlign w:val="bottom"/>
            <w:hideMark/>
          </w:tcPr>
          <w:p w14:paraId="05156002"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010DD5B" w14:textId="77777777" w:rsidR="00F73ADF" w:rsidRDefault="00F73ADF" w:rsidP="00F73ADF">
            <w:pPr>
              <w:spacing w:after="0" w:line="240" w:lineRule="auto"/>
              <w:rPr>
                <w:rFonts w:ascii="Calibri" w:hAnsi="Calibri" w:cs="Times New Roman"/>
              </w:rPr>
            </w:pPr>
            <w:r>
              <w:rPr>
                <w:rFonts w:ascii="Calibri" w:hAnsi="Calibri" w:cs="Times New Roman"/>
              </w:rPr>
              <w:t>Descending colon</w:t>
            </w:r>
          </w:p>
        </w:tc>
        <w:tc>
          <w:tcPr>
            <w:tcW w:w="1134" w:type="dxa"/>
            <w:tcBorders>
              <w:top w:val="nil"/>
              <w:left w:val="nil"/>
              <w:bottom w:val="single" w:sz="4" w:space="0" w:color="auto"/>
              <w:right w:val="single" w:sz="4" w:space="0" w:color="auto"/>
            </w:tcBorders>
            <w:vAlign w:val="bottom"/>
            <w:hideMark/>
          </w:tcPr>
          <w:p w14:paraId="4208C17A" w14:textId="77777777" w:rsidR="00F73ADF" w:rsidRDefault="00F73ADF" w:rsidP="00F73ADF">
            <w:pPr>
              <w:spacing w:after="0" w:line="240" w:lineRule="auto"/>
              <w:jc w:val="center"/>
              <w:rPr>
                <w:rFonts w:ascii="Calibri" w:hAnsi="Calibri" w:cs="Times New Roman"/>
              </w:rPr>
            </w:pPr>
            <w:r>
              <w:rPr>
                <w:rFonts w:ascii="Calibri" w:hAnsi="Calibri" w:cs="Times New Roman"/>
              </w:rPr>
              <w:t>10.9%</w:t>
            </w:r>
          </w:p>
        </w:tc>
        <w:tc>
          <w:tcPr>
            <w:tcW w:w="1520" w:type="dxa"/>
            <w:tcBorders>
              <w:top w:val="nil"/>
              <w:left w:val="nil"/>
              <w:bottom w:val="single" w:sz="4" w:space="0" w:color="auto"/>
              <w:right w:val="single" w:sz="4" w:space="0" w:color="auto"/>
            </w:tcBorders>
            <w:hideMark/>
          </w:tcPr>
          <w:p w14:paraId="64F341DB" w14:textId="5A6EDB94"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633254E9" w14:textId="11EC60DD"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01A445E2" w14:textId="77777777" w:rsidTr="00F42F36">
        <w:trPr>
          <w:trHeight w:val="300"/>
        </w:trPr>
        <w:tc>
          <w:tcPr>
            <w:tcW w:w="265" w:type="dxa"/>
            <w:tcBorders>
              <w:top w:val="nil"/>
              <w:left w:val="single" w:sz="4" w:space="0" w:color="auto"/>
              <w:bottom w:val="single" w:sz="4" w:space="0" w:color="auto"/>
              <w:right w:val="nil"/>
            </w:tcBorders>
            <w:vAlign w:val="bottom"/>
            <w:hideMark/>
          </w:tcPr>
          <w:p w14:paraId="49CBC6B3"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992A775" w14:textId="77777777" w:rsidR="00F73ADF" w:rsidRDefault="00F73ADF" w:rsidP="00F73ADF">
            <w:pPr>
              <w:spacing w:after="0" w:line="240" w:lineRule="auto"/>
              <w:rPr>
                <w:rFonts w:ascii="Calibri" w:hAnsi="Calibri" w:cs="Times New Roman"/>
              </w:rPr>
            </w:pPr>
            <w:r>
              <w:rPr>
                <w:rFonts w:ascii="Calibri" w:hAnsi="Calibri" w:cs="Times New Roman"/>
              </w:rPr>
              <w:t>Sigmoid</w:t>
            </w:r>
          </w:p>
        </w:tc>
        <w:tc>
          <w:tcPr>
            <w:tcW w:w="1134" w:type="dxa"/>
            <w:tcBorders>
              <w:top w:val="nil"/>
              <w:left w:val="nil"/>
              <w:bottom w:val="single" w:sz="4" w:space="0" w:color="auto"/>
              <w:right w:val="single" w:sz="4" w:space="0" w:color="auto"/>
            </w:tcBorders>
            <w:vAlign w:val="bottom"/>
            <w:hideMark/>
          </w:tcPr>
          <w:p w14:paraId="7A2EF297" w14:textId="77777777" w:rsidR="00F73ADF" w:rsidRDefault="00F73ADF" w:rsidP="00F73ADF">
            <w:pPr>
              <w:spacing w:after="0" w:line="240" w:lineRule="auto"/>
              <w:jc w:val="center"/>
              <w:rPr>
                <w:rFonts w:ascii="Calibri" w:hAnsi="Calibri" w:cs="Times New Roman"/>
              </w:rPr>
            </w:pPr>
            <w:r>
              <w:rPr>
                <w:rFonts w:ascii="Calibri" w:hAnsi="Calibri" w:cs="Times New Roman"/>
              </w:rPr>
              <w:t>22.9%</w:t>
            </w:r>
          </w:p>
        </w:tc>
        <w:tc>
          <w:tcPr>
            <w:tcW w:w="1520" w:type="dxa"/>
            <w:tcBorders>
              <w:top w:val="nil"/>
              <w:left w:val="nil"/>
              <w:bottom w:val="single" w:sz="4" w:space="0" w:color="auto"/>
              <w:right w:val="single" w:sz="4" w:space="0" w:color="auto"/>
            </w:tcBorders>
            <w:hideMark/>
          </w:tcPr>
          <w:p w14:paraId="761D88CF" w14:textId="68D13C45"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66165413" w14:textId="344CBAAE"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29D1AC12" w14:textId="77777777" w:rsidTr="00F42F36">
        <w:trPr>
          <w:trHeight w:val="300"/>
        </w:trPr>
        <w:tc>
          <w:tcPr>
            <w:tcW w:w="265" w:type="dxa"/>
            <w:tcBorders>
              <w:top w:val="nil"/>
              <w:left w:val="single" w:sz="4" w:space="0" w:color="auto"/>
              <w:bottom w:val="single" w:sz="4" w:space="0" w:color="auto"/>
              <w:right w:val="nil"/>
            </w:tcBorders>
            <w:vAlign w:val="bottom"/>
            <w:hideMark/>
          </w:tcPr>
          <w:p w14:paraId="16198E93"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D7F5BF7" w14:textId="77777777" w:rsidR="00F73ADF" w:rsidRDefault="00F73ADF" w:rsidP="00F73ADF">
            <w:pPr>
              <w:spacing w:after="0" w:line="240" w:lineRule="auto"/>
              <w:rPr>
                <w:rFonts w:ascii="Calibri" w:hAnsi="Calibri" w:cs="Times New Roman"/>
              </w:rPr>
            </w:pPr>
            <w:r>
              <w:rPr>
                <w:rFonts w:ascii="Calibri" w:hAnsi="Calibri" w:cs="Times New Roman"/>
              </w:rPr>
              <w:t>Rectum</w:t>
            </w:r>
          </w:p>
        </w:tc>
        <w:tc>
          <w:tcPr>
            <w:tcW w:w="1134" w:type="dxa"/>
            <w:tcBorders>
              <w:top w:val="nil"/>
              <w:left w:val="nil"/>
              <w:bottom w:val="single" w:sz="4" w:space="0" w:color="auto"/>
              <w:right w:val="single" w:sz="4" w:space="0" w:color="auto"/>
            </w:tcBorders>
            <w:vAlign w:val="bottom"/>
            <w:hideMark/>
          </w:tcPr>
          <w:p w14:paraId="49F811C5" w14:textId="77777777" w:rsidR="00F73ADF" w:rsidRDefault="00F73ADF" w:rsidP="00F73ADF">
            <w:pPr>
              <w:spacing w:after="0" w:line="240" w:lineRule="auto"/>
              <w:jc w:val="center"/>
              <w:rPr>
                <w:rFonts w:ascii="Calibri" w:hAnsi="Calibri" w:cs="Times New Roman"/>
              </w:rPr>
            </w:pPr>
            <w:r>
              <w:rPr>
                <w:rFonts w:ascii="Calibri" w:hAnsi="Calibri" w:cs="Times New Roman"/>
              </w:rPr>
              <w:t>19.5%</w:t>
            </w:r>
          </w:p>
        </w:tc>
        <w:tc>
          <w:tcPr>
            <w:tcW w:w="1520" w:type="dxa"/>
            <w:tcBorders>
              <w:top w:val="nil"/>
              <w:left w:val="nil"/>
              <w:bottom w:val="single" w:sz="4" w:space="0" w:color="auto"/>
              <w:right w:val="single" w:sz="4" w:space="0" w:color="auto"/>
            </w:tcBorders>
            <w:hideMark/>
          </w:tcPr>
          <w:p w14:paraId="4CCE9E8A" w14:textId="70C57A1E"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2DA4E428" w14:textId="7EA2681E"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6F0B90B8"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347E5EE7" w14:textId="26604055" w:rsidR="00F73ADF" w:rsidRDefault="00F73ADF" w:rsidP="00F42F36">
            <w:pPr>
              <w:pStyle w:val="Default"/>
              <w:rPr>
                <w:i/>
                <w:iCs/>
                <w:sz w:val="22"/>
                <w:szCs w:val="22"/>
              </w:rPr>
            </w:pPr>
            <w:r>
              <w:rPr>
                <w:i/>
                <w:iCs/>
                <w:sz w:val="22"/>
                <w:szCs w:val="22"/>
              </w:rPr>
              <w:t xml:space="preserve">Distribution of adenoma by section of bowel, 65+ years </w:t>
            </w:r>
            <w:r>
              <w:rPr>
                <w:i/>
                <w:iCs/>
                <w:sz w:val="22"/>
                <w:szCs w:val="22"/>
                <w:vertAlign w:val="superscript"/>
              </w:rPr>
              <w:t>b</w:t>
            </w:r>
          </w:p>
        </w:tc>
      </w:tr>
      <w:tr w:rsidR="00F73ADF" w14:paraId="59D5552F" w14:textId="77777777" w:rsidTr="003E59DC">
        <w:trPr>
          <w:trHeight w:val="300"/>
        </w:trPr>
        <w:tc>
          <w:tcPr>
            <w:tcW w:w="265" w:type="dxa"/>
            <w:tcBorders>
              <w:top w:val="nil"/>
              <w:left w:val="single" w:sz="4" w:space="0" w:color="auto"/>
              <w:bottom w:val="single" w:sz="4" w:space="0" w:color="auto"/>
              <w:right w:val="nil"/>
            </w:tcBorders>
            <w:vAlign w:val="bottom"/>
            <w:hideMark/>
          </w:tcPr>
          <w:p w14:paraId="29BBC3A7"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34DAB39" w14:textId="77777777" w:rsidR="00F73ADF" w:rsidRDefault="00F73ADF" w:rsidP="00F73ADF">
            <w:pPr>
              <w:spacing w:after="0" w:line="240" w:lineRule="auto"/>
              <w:rPr>
                <w:rFonts w:ascii="Calibri" w:hAnsi="Calibri" w:cs="Times New Roman"/>
              </w:rPr>
            </w:pPr>
            <w:r>
              <w:rPr>
                <w:rFonts w:ascii="Calibri" w:hAnsi="Calibri" w:cs="Times New Roman"/>
              </w:rPr>
              <w:t>Cecum</w:t>
            </w:r>
          </w:p>
        </w:tc>
        <w:tc>
          <w:tcPr>
            <w:tcW w:w="1134" w:type="dxa"/>
            <w:tcBorders>
              <w:top w:val="nil"/>
              <w:left w:val="nil"/>
              <w:bottom w:val="single" w:sz="4" w:space="0" w:color="auto"/>
              <w:right w:val="single" w:sz="4" w:space="0" w:color="auto"/>
            </w:tcBorders>
            <w:vAlign w:val="bottom"/>
            <w:hideMark/>
          </w:tcPr>
          <w:p w14:paraId="75AE5D1B" w14:textId="77777777" w:rsidR="00F73ADF" w:rsidRDefault="00F73ADF" w:rsidP="00F73ADF">
            <w:pPr>
              <w:spacing w:after="0" w:line="240" w:lineRule="auto"/>
              <w:jc w:val="center"/>
              <w:rPr>
                <w:rFonts w:ascii="Calibri" w:hAnsi="Calibri" w:cs="Times New Roman"/>
              </w:rPr>
            </w:pPr>
            <w:r>
              <w:rPr>
                <w:rFonts w:ascii="Calibri" w:hAnsi="Calibri" w:cs="Times New Roman"/>
              </w:rPr>
              <w:t>11.1%</w:t>
            </w:r>
          </w:p>
        </w:tc>
        <w:tc>
          <w:tcPr>
            <w:tcW w:w="1520" w:type="dxa"/>
            <w:tcBorders>
              <w:top w:val="nil"/>
              <w:left w:val="nil"/>
              <w:bottom w:val="single" w:sz="4" w:space="0" w:color="auto"/>
              <w:right w:val="single" w:sz="4" w:space="0" w:color="auto"/>
            </w:tcBorders>
            <w:hideMark/>
          </w:tcPr>
          <w:p w14:paraId="3D36C5E0" w14:textId="2C6C2509"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7951FFF5" w14:textId="30DDED37"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2E0E9D26" w14:textId="77777777" w:rsidTr="003E59DC">
        <w:trPr>
          <w:trHeight w:val="300"/>
        </w:trPr>
        <w:tc>
          <w:tcPr>
            <w:tcW w:w="265" w:type="dxa"/>
            <w:tcBorders>
              <w:top w:val="nil"/>
              <w:left w:val="single" w:sz="4" w:space="0" w:color="auto"/>
              <w:bottom w:val="single" w:sz="4" w:space="0" w:color="auto"/>
              <w:right w:val="nil"/>
            </w:tcBorders>
            <w:vAlign w:val="bottom"/>
            <w:hideMark/>
          </w:tcPr>
          <w:p w14:paraId="6831DD97"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5C0ECAD0" w14:textId="77777777" w:rsidR="00F73ADF" w:rsidRDefault="00F73ADF" w:rsidP="00F73ADF">
            <w:pPr>
              <w:spacing w:after="0" w:line="240" w:lineRule="auto"/>
              <w:rPr>
                <w:rFonts w:ascii="Calibri" w:hAnsi="Calibri" w:cs="Times New Roman"/>
              </w:rPr>
            </w:pPr>
            <w:r>
              <w:rPr>
                <w:rFonts w:ascii="Calibri" w:hAnsi="Calibri" w:cs="Times New Roman"/>
              </w:rPr>
              <w:t>Ascending colon</w:t>
            </w:r>
          </w:p>
        </w:tc>
        <w:tc>
          <w:tcPr>
            <w:tcW w:w="1134" w:type="dxa"/>
            <w:tcBorders>
              <w:top w:val="nil"/>
              <w:left w:val="nil"/>
              <w:bottom w:val="single" w:sz="4" w:space="0" w:color="auto"/>
              <w:right w:val="single" w:sz="4" w:space="0" w:color="auto"/>
            </w:tcBorders>
            <w:vAlign w:val="bottom"/>
            <w:hideMark/>
          </w:tcPr>
          <w:p w14:paraId="3E87690D" w14:textId="77777777" w:rsidR="00F73ADF" w:rsidRDefault="00F73ADF" w:rsidP="00F73ADF">
            <w:pPr>
              <w:spacing w:after="0" w:line="240" w:lineRule="auto"/>
              <w:jc w:val="center"/>
              <w:rPr>
                <w:rFonts w:ascii="Calibri" w:hAnsi="Calibri" w:cs="Times New Roman"/>
              </w:rPr>
            </w:pPr>
            <w:r>
              <w:rPr>
                <w:rFonts w:ascii="Calibri" w:hAnsi="Calibri" w:cs="Times New Roman"/>
              </w:rPr>
              <w:t>26.3%</w:t>
            </w:r>
          </w:p>
        </w:tc>
        <w:tc>
          <w:tcPr>
            <w:tcW w:w="1520" w:type="dxa"/>
            <w:tcBorders>
              <w:top w:val="nil"/>
              <w:left w:val="nil"/>
              <w:bottom w:val="single" w:sz="4" w:space="0" w:color="auto"/>
              <w:right w:val="single" w:sz="4" w:space="0" w:color="auto"/>
            </w:tcBorders>
            <w:hideMark/>
          </w:tcPr>
          <w:p w14:paraId="6BD5E93E" w14:textId="5A2BA434"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0861E158" w14:textId="4CE22B93"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57B74917" w14:textId="77777777" w:rsidTr="003E59DC">
        <w:trPr>
          <w:trHeight w:val="300"/>
        </w:trPr>
        <w:tc>
          <w:tcPr>
            <w:tcW w:w="265" w:type="dxa"/>
            <w:tcBorders>
              <w:top w:val="nil"/>
              <w:left w:val="single" w:sz="4" w:space="0" w:color="auto"/>
              <w:bottom w:val="single" w:sz="4" w:space="0" w:color="auto"/>
              <w:right w:val="nil"/>
            </w:tcBorders>
            <w:vAlign w:val="bottom"/>
            <w:hideMark/>
          </w:tcPr>
          <w:p w14:paraId="01AF8CC8"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6B87D31" w14:textId="77777777" w:rsidR="00F73ADF" w:rsidRDefault="00F73ADF" w:rsidP="00F73ADF">
            <w:pPr>
              <w:spacing w:after="0" w:line="240" w:lineRule="auto"/>
              <w:rPr>
                <w:rFonts w:ascii="Calibri" w:hAnsi="Calibri" w:cs="Times New Roman"/>
              </w:rPr>
            </w:pPr>
            <w:r>
              <w:rPr>
                <w:rFonts w:ascii="Calibri" w:hAnsi="Calibri" w:cs="Times New Roman"/>
              </w:rPr>
              <w:t>Transverse colon</w:t>
            </w:r>
          </w:p>
        </w:tc>
        <w:tc>
          <w:tcPr>
            <w:tcW w:w="1134" w:type="dxa"/>
            <w:tcBorders>
              <w:top w:val="nil"/>
              <w:left w:val="nil"/>
              <w:bottom w:val="single" w:sz="4" w:space="0" w:color="auto"/>
              <w:right w:val="single" w:sz="4" w:space="0" w:color="auto"/>
            </w:tcBorders>
            <w:vAlign w:val="bottom"/>
            <w:hideMark/>
          </w:tcPr>
          <w:p w14:paraId="2EA7A4E9" w14:textId="77777777" w:rsidR="00F73ADF" w:rsidRDefault="00F73ADF" w:rsidP="00F73ADF">
            <w:pPr>
              <w:spacing w:after="0" w:line="240" w:lineRule="auto"/>
              <w:jc w:val="center"/>
              <w:rPr>
                <w:rFonts w:ascii="Calibri" w:hAnsi="Calibri" w:cs="Times New Roman"/>
              </w:rPr>
            </w:pPr>
            <w:r>
              <w:rPr>
                <w:rFonts w:ascii="Calibri" w:hAnsi="Calibri" w:cs="Times New Roman"/>
              </w:rPr>
              <w:t>19.8%</w:t>
            </w:r>
          </w:p>
        </w:tc>
        <w:tc>
          <w:tcPr>
            <w:tcW w:w="1520" w:type="dxa"/>
            <w:tcBorders>
              <w:top w:val="nil"/>
              <w:left w:val="nil"/>
              <w:bottom w:val="single" w:sz="4" w:space="0" w:color="auto"/>
              <w:right w:val="single" w:sz="4" w:space="0" w:color="auto"/>
            </w:tcBorders>
            <w:hideMark/>
          </w:tcPr>
          <w:p w14:paraId="706E3C88" w14:textId="6163DA99"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50152EF5" w14:textId="1BAE8304"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00EEF7FA" w14:textId="77777777" w:rsidTr="00F42F36">
        <w:trPr>
          <w:trHeight w:val="300"/>
        </w:trPr>
        <w:tc>
          <w:tcPr>
            <w:tcW w:w="265" w:type="dxa"/>
            <w:tcBorders>
              <w:top w:val="nil"/>
              <w:left w:val="single" w:sz="4" w:space="0" w:color="auto"/>
              <w:bottom w:val="single" w:sz="4" w:space="0" w:color="auto"/>
              <w:right w:val="nil"/>
            </w:tcBorders>
            <w:vAlign w:val="bottom"/>
            <w:hideMark/>
          </w:tcPr>
          <w:p w14:paraId="2D7BDA43"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3710D31" w14:textId="77777777" w:rsidR="00F73ADF" w:rsidRDefault="00F73ADF" w:rsidP="00F73ADF">
            <w:pPr>
              <w:spacing w:after="0" w:line="240" w:lineRule="auto"/>
              <w:rPr>
                <w:rFonts w:ascii="Calibri" w:hAnsi="Calibri" w:cs="Times New Roman"/>
              </w:rPr>
            </w:pPr>
            <w:r>
              <w:rPr>
                <w:rFonts w:ascii="Calibri" w:hAnsi="Calibri" w:cs="Times New Roman"/>
              </w:rPr>
              <w:t>Descending colon</w:t>
            </w:r>
          </w:p>
        </w:tc>
        <w:tc>
          <w:tcPr>
            <w:tcW w:w="1134" w:type="dxa"/>
            <w:tcBorders>
              <w:top w:val="nil"/>
              <w:left w:val="nil"/>
              <w:bottom w:val="single" w:sz="4" w:space="0" w:color="auto"/>
              <w:right w:val="single" w:sz="4" w:space="0" w:color="auto"/>
            </w:tcBorders>
            <w:vAlign w:val="bottom"/>
            <w:hideMark/>
          </w:tcPr>
          <w:p w14:paraId="2313C3E7" w14:textId="77777777" w:rsidR="00F73ADF" w:rsidRDefault="00F73ADF" w:rsidP="00F73ADF">
            <w:pPr>
              <w:spacing w:after="0" w:line="240" w:lineRule="auto"/>
              <w:jc w:val="center"/>
              <w:rPr>
                <w:rFonts w:ascii="Calibri" w:hAnsi="Calibri" w:cs="Times New Roman"/>
              </w:rPr>
            </w:pPr>
            <w:r>
              <w:rPr>
                <w:rFonts w:ascii="Calibri" w:hAnsi="Calibri" w:cs="Times New Roman"/>
              </w:rPr>
              <w:t>11.5%</w:t>
            </w:r>
          </w:p>
        </w:tc>
        <w:tc>
          <w:tcPr>
            <w:tcW w:w="1520" w:type="dxa"/>
            <w:tcBorders>
              <w:top w:val="nil"/>
              <w:left w:val="nil"/>
              <w:bottom w:val="single" w:sz="4" w:space="0" w:color="auto"/>
              <w:right w:val="single" w:sz="4" w:space="0" w:color="auto"/>
            </w:tcBorders>
            <w:hideMark/>
          </w:tcPr>
          <w:p w14:paraId="484F4A1C" w14:textId="1CADCE05"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24DB022B" w14:textId="10E4F76A"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43ED43FD" w14:textId="77777777" w:rsidTr="00F42F36">
        <w:trPr>
          <w:trHeight w:val="300"/>
        </w:trPr>
        <w:tc>
          <w:tcPr>
            <w:tcW w:w="265" w:type="dxa"/>
            <w:tcBorders>
              <w:top w:val="nil"/>
              <w:left w:val="single" w:sz="4" w:space="0" w:color="auto"/>
              <w:bottom w:val="single" w:sz="4" w:space="0" w:color="auto"/>
              <w:right w:val="nil"/>
            </w:tcBorders>
            <w:vAlign w:val="bottom"/>
            <w:hideMark/>
          </w:tcPr>
          <w:p w14:paraId="6AABE8D1"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00F8034" w14:textId="77777777" w:rsidR="00F73ADF" w:rsidRDefault="00F73ADF" w:rsidP="00F73ADF">
            <w:pPr>
              <w:spacing w:after="0" w:line="240" w:lineRule="auto"/>
              <w:rPr>
                <w:rFonts w:ascii="Calibri" w:hAnsi="Calibri" w:cs="Times New Roman"/>
              </w:rPr>
            </w:pPr>
            <w:r>
              <w:rPr>
                <w:rFonts w:ascii="Calibri" w:hAnsi="Calibri" w:cs="Times New Roman"/>
              </w:rPr>
              <w:t>Sigmoid</w:t>
            </w:r>
          </w:p>
        </w:tc>
        <w:tc>
          <w:tcPr>
            <w:tcW w:w="1134" w:type="dxa"/>
            <w:tcBorders>
              <w:top w:val="nil"/>
              <w:left w:val="nil"/>
              <w:bottom w:val="single" w:sz="4" w:space="0" w:color="auto"/>
              <w:right w:val="single" w:sz="4" w:space="0" w:color="auto"/>
            </w:tcBorders>
            <w:vAlign w:val="bottom"/>
            <w:hideMark/>
          </w:tcPr>
          <w:p w14:paraId="4DB62DDF" w14:textId="77777777" w:rsidR="00F73ADF" w:rsidRDefault="00F73ADF" w:rsidP="00F73ADF">
            <w:pPr>
              <w:spacing w:after="0" w:line="240" w:lineRule="auto"/>
              <w:jc w:val="center"/>
              <w:rPr>
                <w:rFonts w:ascii="Calibri" w:hAnsi="Calibri" w:cs="Times New Roman"/>
              </w:rPr>
            </w:pPr>
            <w:r>
              <w:rPr>
                <w:rFonts w:ascii="Calibri" w:hAnsi="Calibri" w:cs="Times New Roman"/>
              </w:rPr>
              <w:t>15.7%</w:t>
            </w:r>
          </w:p>
        </w:tc>
        <w:tc>
          <w:tcPr>
            <w:tcW w:w="1520" w:type="dxa"/>
            <w:tcBorders>
              <w:top w:val="nil"/>
              <w:left w:val="nil"/>
              <w:bottom w:val="single" w:sz="4" w:space="0" w:color="auto"/>
              <w:right w:val="single" w:sz="4" w:space="0" w:color="auto"/>
            </w:tcBorders>
            <w:hideMark/>
          </w:tcPr>
          <w:p w14:paraId="610A9BD3" w14:textId="781A9713"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6F08E95B" w14:textId="3AF45182"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50D5BCE5" w14:textId="77777777" w:rsidTr="00F42F36">
        <w:trPr>
          <w:trHeight w:val="300"/>
        </w:trPr>
        <w:tc>
          <w:tcPr>
            <w:tcW w:w="265" w:type="dxa"/>
            <w:tcBorders>
              <w:top w:val="nil"/>
              <w:left w:val="single" w:sz="4" w:space="0" w:color="auto"/>
              <w:bottom w:val="single" w:sz="4" w:space="0" w:color="auto"/>
              <w:right w:val="nil"/>
            </w:tcBorders>
            <w:vAlign w:val="bottom"/>
            <w:hideMark/>
          </w:tcPr>
          <w:p w14:paraId="00562B8A"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4D0EC75" w14:textId="77777777" w:rsidR="00F73ADF" w:rsidRDefault="00F73ADF" w:rsidP="00F73ADF">
            <w:pPr>
              <w:spacing w:after="0" w:line="240" w:lineRule="auto"/>
              <w:rPr>
                <w:rFonts w:ascii="Calibri" w:hAnsi="Calibri" w:cs="Times New Roman"/>
              </w:rPr>
            </w:pPr>
            <w:r>
              <w:rPr>
                <w:rFonts w:ascii="Calibri" w:hAnsi="Calibri" w:cs="Times New Roman"/>
              </w:rPr>
              <w:t>Rectum</w:t>
            </w:r>
          </w:p>
        </w:tc>
        <w:tc>
          <w:tcPr>
            <w:tcW w:w="1134" w:type="dxa"/>
            <w:tcBorders>
              <w:top w:val="nil"/>
              <w:left w:val="nil"/>
              <w:bottom w:val="single" w:sz="4" w:space="0" w:color="auto"/>
              <w:right w:val="single" w:sz="4" w:space="0" w:color="auto"/>
            </w:tcBorders>
            <w:vAlign w:val="bottom"/>
            <w:hideMark/>
          </w:tcPr>
          <w:p w14:paraId="5E0BF522" w14:textId="77777777" w:rsidR="00F73ADF" w:rsidRDefault="00F73ADF" w:rsidP="00F73ADF">
            <w:pPr>
              <w:spacing w:after="0" w:line="240" w:lineRule="auto"/>
              <w:jc w:val="center"/>
              <w:rPr>
                <w:rFonts w:ascii="Calibri" w:hAnsi="Calibri" w:cs="Times New Roman"/>
              </w:rPr>
            </w:pPr>
            <w:r>
              <w:rPr>
                <w:rFonts w:ascii="Calibri" w:hAnsi="Calibri" w:cs="Times New Roman"/>
              </w:rPr>
              <w:t>15.6%</w:t>
            </w:r>
          </w:p>
        </w:tc>
        <w:tc>
          <w:tcPr>
            <w:tcW w:w="1520" w:type="dxa"/>
            <w:tcBorders>
              <w:top w:val="nil"/>
              <w:left w:val="nil"/>
              <w:bottom w:val="single" w:sz="4" w:space="0" w:color="auto"/>
              <w:right w:val="single" w:sz="4" w:space="0" w:color="auto"/>
            </w:tcBorders>
            <w:hideMark/>
          </w:tcPr>
          <w:p w14:paraId="0BC7FD25" w14:textId="61951F48"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12473555" w14:textId="49E7C450"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4AD2099A"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01CDAF7D" w14:textId="45F7978A" w:rsidR="00F73ADF" w:rsidRDefault="00F73ADF" w:rsidP="00F42F36">
            <w:pPr>
              <w:pStyle w:val="Default"/>
              <w:rPr>
                <w:i/>
                <w:iCs/>
                <w:sz w:val="22"/>
                <w:szCs w:val="22"/>
              </w:rPr>
            </w:pPr>
            <w:r>
              <w:rPr>
                <w:i/>
                <w:iCs/>
                <w:sz w:val="22"/>
                <w:szCs w:val="22"/>
              </w:rPr>
              <w:t xml:space="preserve">Probability of advanced adenoma progress into stage 1 non-symptomatic cancer </w:t>
            </w:r>
            <w:r>
              <w:rPr>
                <w:i/>
                <w:iCs/>
                <w:sz w:val="22"/>
                <w:szCs w:val="22"/>
                <w:vertAlign w:val="superscript"/>
              </w:rPr>
              <w:t>a</w:t>
            </w:r>
          </w:p>
        </w:tc>
      </w:tr>
      <w:tr w:rsidR="00F73ADF" w14:paraId="76548DCE" w14:textId="77777777" w:rsidTr="003E59DC">
        <w:trPr>
          <w:trHeight w:val="300"/>
        </w:trPr>
        <w:tc>
          <w:tcPr>
            <w:tcW w:w="265" w:type="dxa"/>
            <w:tcBorders>
              <w:top w:val="nil"/>
              <w:left w:val="single" w:sz="4" w:space="0" w:color="auto"/>
              <w:bottom w:val="single" w:sz="4" w:space="0" w:color="auto"/>
              <w:right w:val="nil"/>
            </w:tcBorders>
            <w:vAlign w:val="bottom"/>
            <w:hideMark/>
          </w:tcPr>
          <w:p w14:paraId="76C745D1"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55CE50D8" w14:textId="77777777" w:rsidR="00F73ADF" w:rsidRDefault="00F73ADF" w:rsidP="00F73ADF">
            <w:pPr>
              <w:spacing w:after="0" w:line="240" w:lineRule="auto"/>
              <w:rPr>
                <w:rFonts w:ascii="Calibri" w:hAnsi="Calibri" w:cs="Times New Roman"/>
              </w:rPr>
            </w:pPr>
            <w:r>
              <w:rPr>
                <w:rFonts w:ascii="Calibri" w:hAnsi="Calibri" w:cs="Times New Roman"/>
              </w:rPr>
              <w:t>Male, colon cancer</w:t>
            </w:r>
          </w:p>
        </w:tc>
        <w:tc>
          <w:tcPr>
            <w:tcW w:w="1134" w:type="dxa"/>
            <w:tcBorders>
              <w:top w:val="nil"/>
              <w:left w:val="nil"/>
              <w:bottom w:val="single" w:sz="4" w:space="0" w:color="auto"/>
              <w:right w:val="single" w:sz="4" w:space="0" w:color="auto"/>
            </w:tcBorders>
            <w:vAlign w:val="bottom"/>
            <w:hideMark/>
          </w:tcPr>
          <w:p w14:paraId="67005A4A" w14:textId="77777777" w:rsidR="00F73ADF" w:rsidRDefault="00F73ADF" w:rsidP="00F73ADF">
            <w:pPr>
              <w:spacing w:after="0" w:line="240" w:lineRule="auto"/>
              <w:jc w:val="center"/>
              <w:rPr>
                <w:rFonts w:ascii="Calibri" w:hAnsi="Calibri" w:cs="Times New Roman"/>
              </w:rPr>
            </w:pPr>
            <w:r>
              <w:rPr>
                <w:rFonts w:ascii="Calibri" w:hAnsi="Calibri" w:cs="Times New Roman"/>
              </w:rPr>
              <w:t>2.1%</w:t>
            </w:r>
          </w:p>
        </w:tc>
        <w:tc>
          <w:tcPr>
            <w:tcW w:w="1520" w:type="dxa"/>
            <w:tcBorders>
              <w:top w:val="nil"/>
              <w:left w:val="nil"/>
              <w:bottom w:val="single" w:sz="4" w:space="0" w:color="auto"/>
              <w:right w:val="single" w:sz="4" w:space="0" w:color="auto"/>
            </w:tcBorders>
            <w:hideMark/>
          </w:tcPr>
          <w:p w14:paraId="1394B156" w14:textId="7FD8C8D5"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4A63EBA9" w14:textId="00A24DAA"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39F88D17" w14:textId="77777777" w:rsidTr="003E59DC">
        <w:trPr>
          <w:trHeight w:val="300"/>
        </w:trPr>
        <w:tc>
          <w:tcPr>
            <w:tcW w:w="265" w:type="dxa"/>
            <w:tcBorders>
              <w:top w:val="nil"/>
              <w:left w:val="single" w:sz="4" w:space="0" w:color="auto"/>
              <w:bottom w:val="single" w:sz="4" w:space="0" w:color="auto"/>
              <w:right w:val="nil"/>
            </w:tcBorders>
            <w:vAlign w:val="bottom"/>
            <w:hideMark/>
          </w:tcPr>
          <w:p w14:paraId="24D108C1"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249A3C4" w14:textId="77777777" w:rsidR="00F73ADF" w:rsidRDefault="00F73ADF" w:rsidP="00F73ADF">
            <w:pPr>
              <w:spacing w:after="0" w:line="240" w:lineRule="auto"/>
              <w:rPr>
                <w:rFonts w:ascii="Calibri" w:hAnsi="Calibri" w:cs="Times New Roman"/>
              </w:rPr>
            </w:pPr>
            <w:r>
              <w:rPr>
                <w:rFonts w:ascii="Calibri" w:hAnsi="Calibri" w:cs="Times New Roman"/>
              </w:rPr>
              <w:t>Male, rectum cancer</w:t>
            </w:r>
          </w:p>
        </w:tc>
        <w:tc>
          <w:tcPr>
            <w:tcW w:w="1134" w:type="dxa"/>
            <w:tcBorders>
              <w:top w:val="nil"/>
              <w:left w:val="nil"/>
              <w:bottom w:val="single" w:sz="4" w:space="0" w:color="auto"/>
              <w:right w:val="single" w:sz="4" w:space="0" w:color="auto"/>
            </w:tcBorders>
            <w:vAlign w:val="bottom"/>
            <w:hideMark/>
          </w:tcPr>
          <w:p w14:paraId="5E1C4CE6" w14:textId="77777777" w:rsidR="00F73ADF" w:rsidRDefault="00F73ADF" w:rsidP="00F73ADF">
            <w:pPr>
              <w:spacing w:after="0" w:line="240" w:lineRule="auto"/>
              <w:jc w:val="center"/>
              <w:rPr>
                <w:rFonts w:ascii="Calibri" w:hAnsi="Calibri" w:cs="Times New Roman"/>
              </w:rPr>
            </w:pPr>
            <w:r>
              <w:rPr>
                <w:rFonts w:ascii="Calibri" w:hAnsi="Calibri" w:cs="Times New Roman"/>
              </w:rPr>
              <w:t>5.1%</w:t>
            </w:r>
          </w:p>
        </w:tc>
        <w:tc>
          <w:tcPr>
            <w:tcW w:w="1520" w:type="dxa"/>
            <w:tcBorders>
              <w:top w:val="nil"/>
              <w:left w:val="nil"/>
              <w:bottom w:val="single" w:sz="4" w:space="0" w:color="auto"/>
              <w:right w:val="single" w:sz="4" w:space="0" w:color="auto"/>
            </w:tcBorders>
            <w:hideMark/>
          </w:tcPr>
          <w:p w14:paraId="7EBF0452" w14:textId="4ADA4560"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0115BCCC" w14:textId="6D8A3152"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1394CE16" w14:textId="77777777" w:rsidTr="003E59DC">
        <w:trPr>
          <w:trHeight w:val="300"/>
        </w:trPr>
        <w:tc>
          <w:tcPr>
            <w:tcW w:w="265" w:type="dxa"/>
            <w:tcBorders>
              <w:top w:val="nil"/>
              <w:left w:val="single" w:sz="4" w:space="0" w:color="auto"/>
              <w:bottom w:val="single" w:sz="4" w:space="0" w:color="auto"/>
              <w:right w:val="nil"/>
            </w:tcBorders>
            <w:vAlign w:val="bottom"/>
            <w:hideMark/>
          </w:tcPr>
          <w:p w14:paraId="0F4980EE"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1E3D3AD" w14:textId="77777777" w:rsidR="00F73ADF" w:rsidRDefault="00F73ADF" w:rsidP="00F73ADF">
            <w:pPr>
              <w:spacing w:after="0" w:line="240" w:lineRule="auto"/>
              <w:rPr>
                <w:rFonts w:ascii="Calibri" w:hAnsi="Calibri" w:cs="Times New Roman"/>
              </w:rPr>
            </w:pPr>
            <w:r>
              <w:rPr>
                <w:rFonts w:ascii="Calibri" w:hAnsi="Calibri" w:cs="Times New Roman"/>
              </w:rPr>
              <w:t>Female, colon cancer</w:t>
            </w:r>
          </w:p>
        </w:tc>
        <w:tc>
          <w:tcPr>
            <w:tcW w:w="1134" w:type="dxa"/>
            <w:tcBorders>
              <w:top w:val="nil"/>
              <w:left w:val="nil"/>
              <w:bottom w:val="single" w:sz="4" w:space="0" w:color="auto"/>
              <w:right w:val="single" w:sz="4" w:space="0" w:color="auto"/>
            </w:tcBorders>
            <w:vAlign w:val="bottom"/>
            <w:hideMark/>
          </w:tcPr>
          <w:p w14:paraId="6C3C4393" w14:textId="77777777" w:rsidR="00F73ADF" w:rsidRDefault="00F73ADF" w:rsidP="00F73ADF">
            <w:pPr>
              <w:spacing w:after="0" w:line="240" w:lineRule="auto"/>
              <w:jc w:val="center"/>
              <w:rPr>
                <w:rFonts w:ascii="Calibri" w:hAnsi="Calibri" w:cs="Times New Roman"/>
              </w:rPr>
            </w:pPr>
            <w:r>
              <w:rPr>
                <w:rFonts w:ascii="Calibri" w:hAnsi="Calibri" w:cs="Times New Roman"/>
              </w:rPr>
              <w:t>2.0%</w:t>
            </w:r>
          </w:p>
        </w:tc>
        <w:tc>
          <w:tcPr>
            <w:tcW w:w="1520" w:type="dxa"/>
            <w:tcBorders>
              <w:top w:val="nil"/>
              <w:left w:val="nil"/>
              <w:bottom w:val="single" w:sz="4" w:space="0" w:color="auto"/>
              <w:right w:val="single" w:sz="4" w:space="0" w:color="auto"/>
            </w:tcBorders>
            <w:hideMark/>
          </w:tcPr>
          <w:p w14:paraId="5EF9534A" w14:textId="63ED1B29"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1DFD2583" w14:textId="69930A54"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5AC9806E" w14:textId="77777777" w:rsidTr="00F42F36">
        <w:trPr>
          <w:trHeight w:val="300"/>
        </w:trPr>
        <w:tc>
          <w:tcPr>
            <w:tcW w:w="265" w:type="dxa"/>
            <w:tcBorders>
              <w:top w:val="nil"/>
              <w:left w:val="single" w:sz="4" w:space="0" w:color="auto"/>
              <w:bottom w:val="single" w:sz="4" w:space="0" w:color="auto"/>
              <w:right w:val="nil"/>
            </w:tcBorders>
            <w:vAlign w:val="bottom"/>
            <w:hideMark/>
          </w:tcPr>
          <w:p w14:paraId="4EB2DE02"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EFBDF86" w14:textId="77777777" w:rsidR="00F73ADF" w:rsidRDefault="00F73ADF" w:rsidP="00F73ADF">
            <w:pPr>
              <w:spacing w:after="0" w:line="240" w:lineRule="auto"/>
              <w:rPr>
                <w:rFonts w:ascii="Calibri" w:hAnsi="Calibri" w:cs="Times New Roman"/>
              </w:rPr>
            </w:pPr>
            <w:r>
              <w:rPr>
                <w:rFonts w:ascii="Calibri" w:hAnsi="Calibri" w:cs="Times New Roman"/>
              </w:rPr>
              <w:t>Female, rectum cancer</w:t>
            </w:r>
          </w:p>
        </w:tc>
        <w:tc>
          <w:tcPr>
            <w:tcW w:w="1134" w:type="dxa"/>
            <w:tcBorders>
              <w:top w:val="nil"/>
              <w:left w:val="nil"/>
              <w:bottom w:val="single" w:sz="4" w:space="0" w:color="auto"/>
              <w:right w:val="single" w:sz="4" w:space="0" w:color="auto"/>
            </w:tcBorders>
            <w:vAlign w:val="bottom"/>
            <w:hideMark/>
          </w:tcPr>
          <w:p w14:paraId="5FBAE7A0" w14:textId="77777777" w:rsidR="00F73ADF" w:rsidRDefault="00F73ADF" w:rsidP="00F73ADF">
            <w:pPr>
              <w:spacing w:after="0" w:line="240" w:lineRule="auto"/>
              <w:jc w:val="center"/>
              <w:rPr>
                <w:rFonts w:ascii="Calibri" w:hAnsi="Calibri" w:cs="Times New Roman"/>
              </w:rPr>
            </w:pPr>
            <w:r>
              <w:rPr>
                <w:rFonts w:ascii="Calibri" w:hAnsi="Calibri" w:cs="Times New Roman"/>
              </w:rPr>
              <w:t>3.5%</w:t>
            </w:r>
          </w:p>
        </w:tc>
        <w:tc>
          <w:tcPr>
            <w:tcW w:w="1520" w:type="dxa"/>
            <w:tcBorders>
              <w:top w:val="nil"/>
              <w:left w:val="nil"/>
              <w:bottom w:val="single" w:sz="4" w:space="0" w:color="auto"/>
              <w:right w:val="single" w:sz="4" w:space="0" w:color="auto"/>
            </w:tcBorders>
            <w:hideMark/>
          </w:tcPr>
          <w:p w14:paraId="2054DE10" w14:textId="6BB101E3"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c>
          <w:tcPr>
            <w:tcW w:w="1560" w:type="dxa"/>
            <w:tcBorders>
              <w:top w:val="nil"/>
              <w:left w:val="nil"/>
              <w:bottom w:val="single" w:sz="4" w:space="0" w:color="auto"/>
              <w:right w:val="single" w:sz="4" w:space="0" w:color="auto"/>
            </w:tcBorders>
          </w:tcPr>
          <w:p w14:paraId="72D7C5BB" w14:textId="49002157" w:rsidR="00F73ADF" w:rsidRDefault="00F73ADF" w:rsidP="00F73ADF">
            <w:pPr>
              <w:spacing w:after="0" w:line="240" w:lineRule="auto"/>
              <w:jc w:val="center"/>
              <w:rPr>
                <w:rFonts w:ascii="Calibri" w:hAnsi="Calibri" w:cs="Times New Roman"/>
              </w:rPr>
            </w:pPr>
            <w:r w:rsidRPr="003439BE">
              <w:rPr>
                <w:rFonts w:ascii="Calibri" w:hAnsi="Calibri" w:cs="Times New Roman"/>
              </w:rPr>
              <w:t>As baseline</w:t>
            </w:r>
          </w:p>
        </w:tc>
      </w:tr>
      <w:tr w:rsidR="00F73ADF" w14:paraId="68B699FE"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5F76B97B" w14:textId="24A60C8A" w:rsidR="00F73ADF" w:rsidRDefault="00F73ADF" w:rsidP="00F42F36">
            <w:pPr>
              <w:spacing w:after="0" w:line="240" w:lineRule="auto"/>
              <w:rPr>
                <w:rFonts w:ascii="Calibri" w:hAnsi="Calibri" w:cs="Times New Roman"/>
                <w:b/>
                <w:bCs/>
                <w:i/>
                <w:iCs/>
              </w:rPr>
            </w:pPr>
            <w:r>
              <w:rPr>
                <w:rFonts w:ascii="Calibri" w:hAnsi="Calibri" w:cs="Times New Roman"/>
                <w:b/>
                <w:bCs/>
                <w:i/>
                <w:iCs/>
              </w:rPr>
              <w:t>Serrated pathway</w:t>
            </w:r>
          </w:p>
        </w:tc>
      </w:tr>
      <w:tr w:rsidR="00F73ADF" w14:paraId="16876C45"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3D48378A" w14:textId="22B112CB" w:rsidR="00F73ADF" w:rsidRDefault="00F73ADF" w:rsidP="00F42F36">
            <w:pPr>
              <w:spacing w:after="0" w:line="240" w:lineRule="auto"/>
              <w:rPr>
                <w:rFonts w:ascii="Calibri" w:hAnsi="Calibri" w:cs="Times New Roman"/>
                <w:i/>
                <w:iCs/>
              </w:rPr>
            </w:pPr>
            <w:r>
              <w:rPr>
                <w:rFonts w:ascii="Calibri" w:hAnsi="Calibri" w:cs="Times New Roman"/>
                <w:i/>
                <w:iCs/>
              </w:rPr>
              <w:t>Hyperplastic polyp incidence rate</w:t>
            </w:r>
            <w:r>
              <w:rPr>
                <w:rFonts w:ascii="Calibri" w:hAnsi="Calibri" w:cs="Times New Roman"/>
                <w:i/>
                <w:iCs/>
                <w:vertAlign w:val="superscript"/>
              </w:rPr>
              <w:t xml:space="preserve"> a</w:t>
            </w:r>
          </w:p>
        </w:tc>
      </w:tr>
      <w:tr w:rsidR="0070545B" w14:paraId="4346B3C3" w14:textId="77777777" w:rsidTr="0070545B">
        <w:trPr>
          <w:trHeight w:val="300"/>
        </w:trPr>
        <w:tc>
          <w:tcPr>
            <w:tcW w:w="265" w:type="dxa"/>
            <w:tcBorders>
              <w:top w:val="nil"/>
              <w:left w:val="single" w:sz="4" w:space="0" w:color="auto"/>
              <w:bottom w:val="single" w:sz="4" w:space="0" w:color="auto"/>
              <w:right w:val="nil"/>
            </w:tcBorders>
            <w:vAlign w:val="bottom"/>
            <w:hideMark/>
          </w:tcPr>
          <w:p w14:paraId="64516350"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15BE282" w14:textId="77777777" w:rsidR="0070545B" w:rsidRDefault="0070545B" w:rsidP="0070545B">
            <w:pPr>
              <w:spacing w:after="0" w:line="240" w:lineRule="auto"/>
              <w:rPr>
                <w:rFonts w:ascii="Calibri" w:hAnsi="Calibri" w:cs="Times New Roman"/>
              </w:rPr>
            </w:pPr>
            <w:r>
              <w:rPr>
                <w:rFonts w:ascii="Calibri" w:hAnsi="Calibri" w:cs="Times New Roman"/>
              </w:rPr>
              <w:t>Male, 20-39 years</w:t>
            </w:r>
          </w:p>
        </w:tc>
        <w:tc>
          <w:tcPr>
            <w:tcW w:w="1134" w:type="dxa"/>
            <w:tcBorders>
              <w:top w:val="nil"/>
              <w:left w:val="nil"/>
              <w:bottom w:val="single" w:sz="4" w:space="0" w:color="auto"/>
              <w:right w:val="single" w:sz="4" w:space="0" w:color="auto"/>
            </w:tcBorders>
            <w:vAlign w:val="bottom"/>
            <w:hideMark/>
          </w:tcPr>
          <w:p w14:paraId="5D0D6506" w14:textId="77777777" w:rsidR="0070545B" w:rsidRDefault="0070545B" w:rsidP="0070545B">
            <w:pPr>
              <w:spacing w:after="0" w:line="240" w:lineRule="auto"/>
              <w:jc w:val="center"/>
              <w:rPr>
                <w:rFonts w:ascii="Calibri" w:hAnsi="Calibri" w:cs="Times New Roman"/>
              </w:rPr>
            </w:pPr>
            <w:r>
              <w:rPr>
                <w:rFonts w:ascii="Calibri" w:hAnsi="Calibri" w:cs="Times New Roman"/>
              </w:rPr>
              <w:t>0.05%</w:t>
            </w:r>
          </w:p>
        </w:tc>
        <w:tc>
          <w:tcPr>
            <w:tcW w:w="1520" w:type="dxa"/>
            <w:tcBorders>
              <w:top w:val="nil"/>
              <w:left w:val="nil"/>
              <w:bottom w:val="single" w:sz="4" w:space="0" w:color="auto"/>
              <w:right w:val="single" w:sz="4" w:space="0" w:color="auto"/>
            </w:tcBorders>
            <w:vAlign w:val="bottom"/>
            <w:hideMark/>
          </w:tcPr>
          <w:p w14:paraId="65E9822D" w14:textId="4901F332" w:rsidR="0070545B" w:rsidRDefault="0070545B" w:rsidP="0070545B">
            <w:pPr>
              <w:spacing w:after="0" w:line="240" w:lineRule="auto"/>
              <w:jc w:val="center"/>
              <w:rPr>
                <w:rFonts w:ascii="Calibri" w:hAnsi="Calibri" w:cs="Times New Roman"/>
              </w:rPr>
            </w:pPr>
            <w:r w:rsidRPr="0070545B">
              <w:rPr>
                <w:rFonts w:ascii="Calibri" w:hAnsi="Calibri" w:cs="Times New Roman"/>
              </w:rPr>
              <w:t>0.10% </w:t>
            </w:r>
          </w:p>
        </w:tc>
        <w:tc>
          <w:tcPr>
            <w:tcW w:w="1560" w:type="dxa"/>
            <w:tcBorders>
              <w:top w:val="nil"/>
              <w:left w:val="nil"/>
              <w:bottom w:val="single" w:sz="4" w:space="0" w:color="auto"/>
              <w:right w:val="single" w:sz="4" w:space="0" w:color="auto"/>
            </w:tcBorders>
            <w:vAlign w:val="bottom"/>
          </w:tcPr>
          <w:p w14:paraId="4A33E0DF" w14:textId="3ADDF62A" w:rsidR="0070545B" w:rsidRDefault="0070545B" w:rsidP="0070545B">
            <w:pPr>
              <w:spacing w:after="0" w:line="240" w:lineRule="auto"/>
              <w:jc w:val="center"/>
              <w:rPr>
                <w:rFonts w:ascii="Calibri" w:hAnsi="Calibri" w:cs="Times New Roman"/>
              </w:rPr>
            </w:pPr>
            <w:r w:rsidRPr="0070545B">
              <w:rPr>
                <w:rFonts w:ascii="Calibri" w:hAnsi="Calibri" w:cs="Times New Roman"/>
              </w:rPr>
              <w:t>0.03% </w:t>
            </w:r>
          </w:p>
        </w:tc>
      </w:tr>
      <w:tr w:rsidR="0070545B" w14:paraId="2E136004" w14:textId="77777777" w:rsidTr="0070545B">
        <w:trPr>
          <w:trHeight w:val="300"/>
        </w:trPr>
        <w:tc>
          <w:tcPr>
            <w:tcW w:w="265" w:type="dxa"/>
            <w:tcBorders>
              <w:top w:val="nil"/>
              <w:left w:val="single" w:sz="4" w:space="0" w:color="auto"/>
              <w:bottom w:val="single" w:sz="4" w:space="0" w:color="auto"/>
              <w:right w:val="nil"/>
            </w:tcBorders>
            <w:vAlign w:val="bottom"/>
            <w:hideMark/>
          </w:tcPr>
          <w:p w14:paraId="0A6B1723"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9633E48" w14:textId="77777777" w:rsidR="0070545B" w:rsidRDefault="0070545B" w:rsidP="0070545B">
            <w:pPr>
              <w:spacing w:after="0" w:line="240" w:lineRule="auto"/>
              <w:rPr>
                <w:rFonts w:ascii="Calibri" w:hAnsi="Calibri" w:cs="Times New Roman"/>
              </w:rPr>
            </w:pPr>
            <w:r>
              <w:rPr>
                <w:rFonts w:ascii="Calibri" w:hAnsi="Calibri" w:cs="Times New Roman"/>
              </w:rPr>
              <w:t>Male, 40-49 years</w:t>
            </w:r>
          </w:p>
        </w:tc>
        <w:tc>
          <w:tcPr>
            <w:tcW w:w="1134" w:type="dxa"/>
            <w:tcBorders>
              <w:top w:val="nil"/>
              <w:left w:val="nil"/>
              <w:bottom w:val="single" w:sz="4" w:space="0" w:color="auto"/>
              <w:right w:val="single" w:sz="4" w:space="0" w:color="auto"/>
            </w:tcBorders>
            <w:vAlign w:val="bottom"/>
            <w:hideMark/>
          </w:tcPr>
          <w:p w14:paraId="7F591C34" w14:textId="77777777" w:rsidR="0070545B" w:rsidRDefault="0070545B" w:rsidP="0070545B">
            <w:pPr>
              <w:spacing w:after="0" w:line="240" w:lineRule="auto"/>
              <w:jc w:val="center"/>
              <w:rPr>
                <w:rFonts w:ascii="Calibri" w:hAnsi="Calibri" w:cs="Times New Roman"/>
              </w:rPr>
            </w:pPr>
            <w:r>
              <w:rPr>
                <w:rFonts w:ascii="Calibri" w:hAnsi="Calibri" w:cs="Times New Roman"/>
              </w:rPr>
              <w:t>0.15%</w:t>
            </w:r>
          </w:p>
        </w:tc>
        <w:tc>
          <w:tcPr>
            <w:tcW w:w="1520" w:type="dxa"/>
            <w:tcBorders>
              <w:top w:val="nil"/>
              <w:left w:val="nil"/>
              <w:bottom w:val="single" w:sz="4" w:space="0" w:color="auto"/>
              <w:right w:val="single" w:sz="4" w:space="0" w:color="auto"/>
            </w:tcBorders>
            <w:vAlign w:val="bottom"/>
            <w:hideMark/>
          </w:tcPr>
          <w:p w14:paraId="189C051B" w14:textId="6ADBB182" w:rsidR="0070545B" w:rsidRDefault="0070545B" w:rsidP="0070545B">
            <w:pPr>
              <w:spacing w:after="0" w:line="240" w:lineRule="auto"/>
              <w:jc w:val="center"/>
              <w:rPr>
                <w:rFonts w:ascii="Calibri" w:hAnsi="Calibri" w:cs="Times New Roman"/>
              </w:rPr>
            </w:pPr>
            <w:r w:rsidRPr="0070545B">
              <w:rPr>
                <w:rFonts w:ascii="Calibri" w:hAnsi="Calibri" w:cs="Times New Roman"/>
              </w:rPr>
              <w:t>0.21% </w:t>
            </w:r>
          </w:p>
        </w:tc>
        <w:tc>
          <w:tcPr>
            <w:tcW w:w="1560" w:type="dxa"/>
            <w:tcBorders>
              <w:top w:val="nil"/>
              <w:left w:val="nil"/>
              <w:bottom w:val="single" w:sz="4" w:space="0" w:color="auto"/>
              <w:right w:val="single" w:sz="4" w:space="0" w:color="auto"/>
            </w:tcBorders>
            <w:vAlign w:val="bottom"/>
          </w:tcPr>
          <w:p w14:paraId="347CAD5C" w14:textId="70397336" w:rsidR="0070545B" w:rsidRDefault="0070545B" w:rsidP="0070545B">
            <w:pPr>
              <w:spacing w:after="0" w:line="240" w:lineRule="auto"/>
              <w:jc w:val="center"/>
              <w:rPr>
                <w:rFonts w:ascii="Calibri" w:hAnsi="Calibri" w:cs="Times New Roman"/>
              </w:rPr>
            </w:pPr>
            <w:r w:rsidRPr="0070545B">
              <w:rPr>
                <w:rFonts w:ascii="Calibri" w:hAnsi="Calibri" w:cs="Times New Roman"/>
              </w:rPr>
              <w:t>0.05% </w:t>
            </w:r>
          </w:p>
        </w:tc>
      </w:tr>
      <w:tr w:rsidR="0070545B" w14:paraId="31F0A08F" w14:textId="77777777" w:rsidTr="0070545B">
        <w:trPr>
          <w:trHeight w:val="300"/>
        </w:trPr>
        <w:tc>
          <w:tcPr>
            <w:tcW w:w="265" w:type="dxa"/>
            <w:tcBorders>
              <w:top w:val="nil"/>
              <w:left w:val="single" w:sz="4" w:space="0" w:color="auto"/>
              <w:bottom w:val="single" w:sz="4" w:space="0" w:color="auto"/>
              <w:right w:val="nil"/>
            </w:tcBorders>
            <w:vAlign w:val="bottom"/>
            <w:hideMark/>
          </w:tcPr>
          <w:p w14:paraId="385738C5"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529A3B4" w14:textId="77777777" w:rsidR="0070545B" w:rsidRDefault="0070545B" w:rsidP="0070545B">
            <w:pPr>
              <w:spacing w:after="0" w:line="240" w:lineRule="auto"/>
              <w:rPr>
                <w:rFonts w:ascii="Calibri" w:hAnsi="Calibri" w:cs="Times New Roman"/>
              </w:rPr>
            </w:pPr>
            <w:r>
              <w:rPr>
                <w:rFonts w:ascii="Calibri" w:hAnsi="Calibri" w:cs="Times New Roman"/>
              </w:rPr>
              <w:t>Male, 50-54 years</w:t>
            </w:r>
          </w:p>
        </w:tc>
        <w:tc>
          <w:tcPr>
            <w:tcW w:w="1134" w:type="dxa"/>
            <w:tcBorders>
              <w:top w:val="nil"/>
              <w:left w:val="nil"/>
              <w:bottom w:val="single" w:sz="4" w:space="0" w:color="auto"/>
              <w:right w:val="single" w:sz="4" w:space="0" w:color="auto"/>
            </w:tcBorders>
            <w:vAlign w:val="bottom"/>
            <w:hideMark/>
          </w:tcPr>
          <w:p w14:paraId="2979E478" w14:textId="77777777" w:rsidR="0070545B" w:rsidRDefault="0070545B" w:rsidP="0070545B">
            <w:pPr>
              <w:spacing w:after="0" w:line="240" w:lineRule="auto"/>
              <w:jc w:val="center"/>
              <w:rPr>
                <w:rFonts w:ascii="Calibri" w:hAnsi="Calibri" w:cs="Times New Roman"/>
              </w:rPr>
            </w:pPr>
            <w:r>
              <w:rPr>
                <w:rFonts w:ascii="Calibri" w:hAnsi="Calibri" w:cs="Times New Roman"/>
              </w:rPr>
              <w:t>0.13%</w:t>
            </w:r>
          </w:p>
        </w:tc>
        <w:tc>
          <w:tcPr>
            <w:tcW w:w="1520" w:type="dxa"/>
            <w:tcBorders>
              <w:top w:val="nil"/>
              <w:left w:val="nil"/>
              <w:bottom w:val="single" w:sz="4" w:space="0" w:color="auto"/>
              <w:right w:val="single" w:sz="4" w:space="0" w:color="auto"/>
            </w:tcBorders>
            <w:vAlign w:val="bottom"/>
            <w:hideMark/>
          </w:tcPr>
          <w:p w14:paraId="443E8C49" w14:textId="0935BB18" w:rsidR="0070545B" w:rsidRDefault="0070545B" w:rsidP="0070545B">
            <w:pPr>
              <w:spacing w:after="0" w:line="240" w:lineRule="auto"/>
              <w:jc w:val="center"/>
              <w:rPr>
                <w:rFonts w:ascii="Calibri" w:hAnsi="Calibri" w:cs="Times New Roman"/>
              </w:rPr>
            </w:pPr>
            <w:r w:rsidRPr="0070545B">
              <w:rPr>
                <w:rFonts w:ascii="Calibri" w:hAnsi="Calibri" w:cs="Times New Roman"/>
              </w:rPr>
              <w:t>0.16% </w:t>
            </w:r>
          </w:p>
        </w:tc>
        <w:tc>
          <w:tcPr>
            <w:tcW w:w="1560" w:type="dxa"/>
            <w:tcBorders>
              <w:top w:val="nil"/>
              <w:left w:val="nil"/>
              <w:bottom w:val="single" w:sz="4" w:space="0" w:color="auto"/>
              <w:right w:val="single" w:sz="4" w:space="0" w:color="auto"/>
            </w:tcBorders>
            <w:vAlign w:val="bottom"/>
          </w:tcPr>
          <w:p w14:paraId="2E98AB4E" w14:textId="6705C32B" w:rsidR="0070545B" w:rsidRDefault="0070545B" w:rsidP="0070545B">
            <w:pPr>
              <w:spacing w:after="0" w:line="240" w:lineRule="auto"/>
              <w:jc w:val="center"/>
              <w:rPr>
                <w:rFonts w:ascii="Calibri" w:hAnsi="Calibri" w:cs="Times New Roman"/>
              </w:rPr>
            </w:pPr>
            <w:r w:rsidRPr="0070545B">
              <w:rPr>
                <w:rFonts w:ascii="Calibri" w:hAnsi="Calibri" w:cs="Times New Roman"/>
              </w:rPr>
              <w:t>0.07% </w:t>
            </w:r>
          </w:p>
        </w:tc>
      </w:tr>
      <w:tr w:rsidR="0070545B" w14:paraId="126F6C49" w14:textId="77777777" w:rsidTr="0070545B">
        <w:trPr>
          <w:trHeight w:val="300"/>
        </w:trPr>
        <w:tc>
          <w:tcPr>
            <w:tcW w:w="265" w:type="dxa"/>
            <w:tcBorders>
              <w:top w:val="nil"/>
              <w:left w:val="single" w:sz="4" w:space="0" w:color="auto"/>
              <w:bottom w:val="single" w:sz="4" w:space="0" w:color="auto"/>
              <w:right w:val="nil"/>
            </w:tcBorders>
            <w:vAlign w:val="bottom"/>
            <w:hideMark/>
          </w:tcPr>
          <w:p w14:paraId="774C63E4"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8A108C8" w14:textId="77777777" w:rsidR="0070545B" w:rsidRDefault="0070545B" w:rsidP="0070545B">
            <w:pPr>
              <w:spacing w:after="0" w:line="240" w:lineRule="auto"/>
              <w:rPr>
                <w:rFonts w:ascii="Calibri" w:hAnsi="Calibri" w:cs="Times New Roman"/>
              </w:rPr>
            </w:pPr>
            <w:r>
              <w:rPr>
                <w:rFonts w:ascii="Calibri" w:hAnsi="Calibri" w:cs="Times New Roman"/>
              </w:rPr>
              <w:t>Male, 55-59 years</w:t>
            </w:r>
          </w:p>
        </w:tc>
        <w:tc>
          <w:tcPr>
            <w:tcW w:w="1134" w:type="dxa"/>
            <w:tcBorders>
              <w:top w:val="nil"/>
              <w:left w:val="nil"/>
              <w:bottom w:val="single" w:sz="4" w:space="0" w:color="auto"/>
              <w:right w:val="single" w:sz="4" w:space="0" w:color="auto"/>
            </w:tcBorders>
            <w:vAlign w:val="bottom"/>
            <w:hideMark/>
          </w:tcPr>
          <w:p w14:paraId="64DAAA4F" w14:textId="77777777" w:rsidR="0070545B" w:rsidRDefault="0070545B" w:rsidP="0070545B">
            <w:pPr>
              <w:spacing w:after="0" w:line="240" w:lineRule="auto"/>
              <w:jc w:val="center"/>
              <w:rPr>
                <w:rFonts w:ascii="Calibri" w:hAnsi="Calibri" w:cs="Times New Roman"/>
              </w:rPr>
            </w:pPr>
            <w:r>
              <w:rPr>
                <w:rFonts w:ascii="Calibri" w:hAnsi="Calibri" w:cs="Times New Roman"/>
              </w:rPr>
              <w:t>0.24%</w:t>
            </w:r>
          </w:p>
        </w:tc>
        <w:tc>
          <w:tcPr>
            <w:tcW w:w="1520" w:type="dxa"/>
            <w:tcBorders>
              <w:top w:val="nil"/>
              <w:left w:val="nil"/>
              <w:bottom w:val="single" w:sz="4" w:space="0" w:color="auto"/>
              <w:right w:val="single" w:sz="4" w:space="0" w:color="auto"/>
            </w:tcBorders>
            <w:vAlign w:val="bottom"/>
            <w:hideMark/>
          </w:tcPr>
          <w:p w14:paraId="33C487BE" w14:textId="6D574CBA" w:rsidR="0070545B" w:rsidRDefault="0070545B" w:rsidP="0070545B">
            <w:pPr>
              <w:spacing w:after="0" w:line="240" w:lineRule="auto"/>
              <w:jc w:val="center"/>
              <w:rPr>
                <w:rFonts w:ascii="Calibri" w:hAnsi="Calibri" w:cs="Times New Roman"/>
              </w:rPr>
            </w:pPr>
            <w:r w:rsidRPr="0070545B">
              <w:rPr>
                <w:rFonts w:ascii="Calibri" w:hAnsi="Calibri" w:cs="Times New Roman"/>
              </w:rPr>
              <w:t>0.28% </w:t>
            </w:r>
          </w:p>
        </w:tc>
        <w:tc>
          <w:tcPr>
            <w:tcW w:w="1560" w:type="dxa"/>
            <w:tcBorders>
              <w:top w:val="nil"/>
              <w:left w:val="nil"/>
              <w:bottom w:val="single" w:sz="4" w:space="0" w:color="auto"/>
              <w:right w:val="single" w:sz="4" w:space="0" w:color="auto"/>
            </w:tcBorders>
            <w:vAlign w:val="bottom"/>
          </w:tcPr>
          <w:p w14:paraId="15986535" w14:textId="631D3FD5" w:rsidR="0070545B" w:rsidRDefault="0070545B" w:rsidP="0070545B">
            <w:pPr>
              <w:spacing w:after="0" w:line="240" w:lineRule="auto"/>
              <w:jc w:val="center"/>
              <w:rPr>
                <w:rFonts w:ascii="Calibri" w:hAnsi="Calibri" w:cs="Times New Roman"/>
              </w:rPr>
            </w:pPr>
            <w:r w:rsidRPr="0070545B">
              <w:rPr>
                <w:rFonts w:ascii="Calibri" w:hAnsi="Calibri" w:cs="Times New Roman"/>
              </w:rPr>
              <w:t>0.13% </w:t>
            </w:r>
          </w:p>
        </w:tc>
      </w:tr>
      <w:tr w:rsidR="0070545B" w14:paraId="33E74600" w14:textId="77777777" w:rsidTr="0070545B">
        <w:trPr>
          <w:trHeight w:val="300"/>
        </w:trPr>
        <w:tc>
          <w:tcPr>
            <w:tcW w:w="265" w:type="dxa"/>
            <w:tcBorders>
              <w:top w:val="nil"/>
              <w:left w:val="single" w:sz="4" w:space="0" w:color="auto"/>
              <w:bottom w:val="single" w:sz="4" w:space="0" w:color="auto"/>
              <w:right w:val="nil"/>
            </w:tcBorders>
            <w:vAlign w:val="bottom"/>
            <w:hideMark/>
          </w:tcPr>
          <w:p w14:paraId="5799F1AD"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7D96CCA" w14:textId="77777777" w:rsidR="0070545B" w:rsidRDefault="0070545B" w:rsidP="0070545B">
            <w:pPr>
              <w:spacing w:after="0" w:line="240" w:lineRule="auto"/>
              <w:rPr>
                <w:rFonts w:ascii="Calibri" w:hAnsi="Calibri" w:cs="Times New Roman"/>
              </w:rPr>
            </w:pPr>
            <w:r>
              <w:rPr>
                <w:rFonts w:ascii="Calibri" w:hAnsi="Calibri" w:cs="Times New Roman"/>
              </w:rPr>
              <w:t>Male, 60-64 years</w:t>
            </w:r>
          </w:p>
        </w:tc>
        <w:tc>
          <w:tcPr>
            <w:tcW w:w="1134" w:type="dxa"/>
            <w:tcBorders>
              <w:top w:val="nil"/>
              <w:left w:val="nil"/>
              <w:bottom w:val="single" w:sz="4" w:space="0" w:color="auto"/>
              <w:right w:val="single" w:sz="4" w:space="0" w:color="auto"/>
            </w:tcBorders>
            <w:vAlign w:val="bottom"/>
            <w:hideMark/>
          </w:tcPr>
          <w:p w14:paraId="7B2F4D48" w14:textId="77777777" w:rsidR="0070545B" w:rsidRDefault="0070545B" w:rsidP="0070545B">
            <w:pPr>
              <w:spacing w:after="0" w:line="240" w:lineRule="auto"/>
              <w:jc w:val="center"/>
              <w:rPr>
                <w:rFonts w:ascii="Calibri" w:hAnsi="Calibri" w:cs="Times New Roman"/>
              </w:rPr>
            </w:pPr>
            <w:r>
              <w:rPr>
                <w:rFonts w:ascii="Calibri" w:hAnsi="Calibri" w:cs="Times New Roman"/>
              </w:rPr>
              <w:t>0.24%</w:t>
            </w:r>
          </w:p>
        </w:tc>
        <w:tc>
          <w:tcPr>
            <w:tcW w:w="1520" w:type="dxa"/>
            <w:tcBorders>
              <w:top w:val="nil"/>
              <w:left w:val="nil"/>
              <w:bottom w:val="single" w:sz="4" w:space="0" w:color="auto"/>
              <w:right w:val="single" w:sz="4" w:space="0" w:color="auto"/>
            </w:tcBorders>
            <w:vAlign w:val="bottom"/>
            <w:hideMark/>
          </w:tcPr>
          <w:p w14:paraId="60B4C36F" w14:textId="49276093" w:rsidR="0070545B" w:rsidRDefault="0070545B" w:rsidP="0070545B">
            <w:pPr>
              <w:spacing w:after="0" w:line="240" w:lineRule="auto"/>
              <w:jc w:val="center"/>
              <w:rPr>
                <w:rFonts w:ascii="Calibri" w:hAnsi="Calibri" w:cs="Times New Roman"/>
              </w:rPr>
            </w:pPr>
            <w:r w:rsidRPr="0070545B">
              <w:rPr>
                <w:rFonts w:ascii="Calibri" w:hAnsi="Calibri" w:cs="Times New Roman"/>
              </w:rPr>
              <w:t>0.28% </w:t>
            </w:r>
          </w:p>
        </w:tc>
        <w:tc>
          <w:tcPr>
            <w:tcW w:w="1560" w:type="dxa"/>
            <w:tcBorders>
              <w:top w:val="nil"/>
              <w:left w:val="nil"/>
              <w:bottom w:val="single" w:sz="4" w:space="0" w:color="auto"/>
              <w:right w:val="single" w:sz="4" w:space="0" w:color="auto"/>
            </w:tcBorders>
            <w:vAlign w:val="bottom"/>
          </w:tcPr>
          <w:p w14:paraId="11BA51F8" w14:textId="7426A7D7" w:rsidR="0070545B" w:rsidRDefault="0070545B" w:rsidP="0070545B">
            <w:pPr>
              <w:spacing w:after="0" w:line="240" w:lineRule="auto"/>
              <w:jc w:val="center"/>
              <w:rPr>
                <w:rFonts w:ascii="Calibri" w:hAnsi="Calibri" w:cs="Times New Roman"/>
              </w:rPr>
            </w:pPr>
            <w:r w:rsidRPr="0070545B">
              <w:rPr>
                <w:rFonts w:ascii="Calibri" w:hAnsi="Calibri" w:cs="Times New Roman"/>
              </w:rPr>
              <w:t>0.13% </w:t>
            </w:r>
          </w:p>
        </w:tc>
      </w:tr>
      <w:tr w:rsidR="0070545B" w14:paraId="6BE82714" w14:textId="77777777" w:rsidTr="0070545B">
        <w:trPr>
          <w:trHeight w:val="300"/>
        </w:trPr>
        <w:tc>
          <w:tcPr>
            <w:tcW w:w="265" w:type="dxa"/>
            <w:tcBorders>
              <w:top w:val="nil"/>
              <w:left w:val="single" w:sz="4" w:space="0" w:color="auto"/>
              <w:bottom w:val="single" w:sz="4" w:space="0" w:color="auto"/>
              <w:right w:val="nil"/>
            </w:tcBorders>
            <w:vAlign w:val="bottom"/>
            <w:hideMark/>
          </w:tcPr>
          <w:p w14:paraId="4A753C99"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EA2A82E" w14:textId="77777777" w:rsidR="0070545B" w:rsidRDefault="0070545B" w:rsidP="0070545B">
            <w:pPr>
              <w:spacing w:after="0" w:line="240" w:lineRule="auto"/>
              <w:rPr>
                <w:rFonts w:ascii="Calibri" w:hAnsi="Calibri" w:cs="Times New Roman"/>
              </w:rPr>
            </w:pPr>
            <w:r>
              <w:rPr>
                <w:rFonts w:ascii="Calibri" w:hAnsi="Calibri" w:cs="Times New Roman"/>
              </w:rPr>
              <w:t>Male, 65-69 years</w:t>
            </w:r>
          </w:p>
        </w:tc>
        <w:tc>
          <w:tcPr>
            <w:tcW w:w="1134" w:type="dxa"/>
            <w:tcBorders>
              <w:top w:val="nil"/>
              <w:left w:val="nil"/>
              <w:bottom w:val="single" w:sz="4" w:space="0" w:color="auto"/>
              <w:right w:val="single" w:sz="4" w:space="0" w:color="auto"/>
            </w:tcBorders>
            <w:vAlign w:val="bottom"/>
            <w:hideMark/>
          </w:tcPr>
          <w:p w14:paraId="111AA416" w14:textId="77777777" w:rsidR="0070545B" w:rsidRDefault="0070545B" w:rsidP="0070545B">
            <w:pPr>
              <w:spacing w:after="0" w:line="240" w:lineRule="auto"/>
              <w:jc w:val="center"/>
              <w:rPr>
                <w:rFonts w:ascii="Calibri" w:hAnsi="Calibri" w:cs="Times New Roman"/>
              </w:rPr>
            </w:pPr>
            <w:r>
              <w:rPr>
                <w:rFonts w:ascii="Calibri" w:hAnsi="Calibri" w:cs="Times New Roman"/>
              </w:rPr>
              <w:t>0.24%</w:t>
            </w:r>
          </w:p>
        </w:tc>
        <w:tc>
          <w:tcPr>
            <w:tcW w:w="1520" w:type="dxa"/>
            <w:tcBorders>
              <w:top w:val="nil"/>
              <w:left w:val="nil"/>
              <w:bottom w:val="single" w:sz="4" w:space="0" w:color="auto"/>
              <w:right w:val="single" w:sz="4" w:space="0" w:color="auto"/>
            </w:tcBorders>
            <w:vAlign w:val="bottom"/>
            <w:hideMark/>
          </w:tcPr>
          <w:p w14:paraId="46159C62" w14:textId="06B0BB8D" w:rsidR="0070545B" w:rsidRDefault="0070545B" w:rsidP="0070545B">
            <w:pPr>
              <w:spacing w:after="0" w:line="240" w:lineRule="auto"/>
              <w:jc w:val="center"/>
              <w:rPr>
                <w:rFonts w:ascii="Calibri" w:hAnsi="Calibri" w:cs="Times New Roman"/>
              </w:rPr>
            </w:pPr>
            <w:r w:rsidRPr="0070545B">
              <w:rPr>
                <w:rFonts w:ascii="Calibri" w:hAnsi="Calibri" w:cs="Times New Roman"/>
              </w:rPr>
              <w:t>0.28% </w:t>
            </w:r>
          </w:p>
        </w:tc>
        <w:tc>
          <w:tcPr>
            <w:tcW w:w="1560" w:type="dxa"/>
            <w:tcBorders>
              <w:top w:val="nil"/>
              <w:left w:val="nil"/>
              <w:bottom w:val="single" w:sz="4" w:space="0" w:color="auto"/>
              <w:right w:val="single" w:sz="4" w:space="0" w:color="auto"/>
            </w:tcBorders>
            <w:vAlign w:val="bottom"/>
          </w:tcPr>
          <w:p w14:paraId="461D44E0" w14:textId="0A01DEAA" w:rsidR="0070545B" w:rsidRDefault="0070545B" w:rsidP="0070545B">
            <w:pPr>
              <w:spacing w:after="0" w:line="240" w:lineRule="auto"/>
              <w:jc w:val="center"/>
              <w:rPr>
                <w:rFonts w:ascii="Calibri" w:hAnsi="Calibri" w:cs="Times New Roman"/>
              </w:rPr>
            </w:pPr>
            <w:r w:rsidRPr="0070545B">
              <w:rPr>
                <w:rFonts w:ascii="Calibri" w:hAnsi="Calibri" w:cs="Times New Roman"/>
              </w:rPr>
              <w:t>0.13% </w:t>
            </w:r>
          </w:p>
        </w:tc>
      </w:tr>
      <w:tr w:rsidR="0070545B" w14:paraId="5C944C26" w14:textId="77777777" w:rsidTr="0070545B">
        <w:trPr>
          <w:trHeight w:val="300"/>
        </w:trPr>
        <w:tc>
          <w:tcPr>
            <w:tcW w:w="265" w:type="dxa"/>
            <w:tcBorders>
              <w:top w:val="nil"/>
              <w:left w:val="single" w:sz="4" w:space="0" w:color="auto"/>
              <w:bottom w:val="single" w:sz="4" w:space="0" w:color="auto"/>
              <w:right w:val="nil"/>
            </w:tcBorders>
            <w:vAlign w:val="bottom"/>
            <w:hideMark/>
          </w:tcPr>
          <w:p w14:paraId="44302513"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60B18A8" w14:textId="77777777" w:rsidR="0070545B" w:rsidRDefault="0070545B" w:rsidP="0070545B">
            <w:pPr>
              <w:spacing w:after="0" w:line="240" w:lineRule="auto"/>
              <w:rPr>
                <w:rFonts w:ascii="Calibri" w:hAnsi="Calibri" w:cs="Times New Roman"/>
              </w:rPr>
            </w:pPr>
            <w:r>
              <w:rPr>
                <w:rFonts w:ascii="Calibri" w:hAnsi="Calibri" w:cs="Times New Roman"/>
              </w:rPr>
              <w:t>Male, 70-74 years</w:t>
            </w:r>
          </w:p>
        </w:tc>
        <w:tc>
          <w:tcPr>
            <w:tcW w:w="1134" w:type="dxa"/>
            <w:tcBorders>
              <w:top w:val="nil"/>
              <w:left w:val="nil"/>
              <w:bottom w:val="single" w:sz="4" w:space="0" w:color="auto"/>
              <w:right w:val="single" w:sz="4" w:space="0" w:color="auto"/>
            </w:tcBorders>
            <w:vAlign w:val="bottom"/>
            <w:hideMark/>
          </w:tcPr>
          <w:p w14:paraId="72BD94D5" w14:textId="77777777" w:rsidR="0070545B" w:rsidRDefault="0070545B" w:rsidP="0070545B">
            <w:pPr>
              <w:spacing w:after="0" w:line="240" w:lineRule="auto"/>
              <w:jc w:val="center"/>
              <w:rPr>
                <w:rFonts w:ascii="Calibri" w:hAnsi="Calibri" w:cs="Times New Roman"/>
              </w:rPr>
            </w:pPr>
            <w:r>
              <w:rPr>
                <w:rFonts w:ascii="Calibri" w:hAnsi="Calibri" w:cs="Times New Roman"/>
              </w:rPr>
              <w:t>0.24%</w:t>
            </w:r>
          </w:p>
        </w:tc>
        <w:tc>
          <w:tcPr>
            <w:tcW w:w="1520" w:type="dxa"/>
            <w:tcBorders>
              <w:top w:val="nil"/>
              <w:left w:val="nil"/>
              <w:bottom w:val="single" w:sz="4" w:space="0" w:color="auto"/>
              <w:right w:val="single" w:sz="4" w:space="0" w:color="auto"/>
            </w:tcBorders>
            <w:vAlign w:val="bottom"/>
            <w:hideMark/>
          </w:tcPr>
          <w:p w14:paraId="6E03AB3C" w14:textId="3BA19CDD" w:rsidR="0070545B" w:rsidRDefault="0070545B" w:rsidP="0070545B">
            <w:pPr>
              <w:spacing w:after="0" w:line="240" w:lineRule="auto"/>
              <w:jc w:val="center"/>
              <w:rPr>
                <w:rFonts w:ascii="Calibri" w:hAnsi="Calibri" w:cs="Times New Roman"/>
              </w:rPr>
            </w:pPr>
            <w:r w:rsidRPr="0070545B">
              <w:rPr>
                <w:rFonts w:ascii="Calibri" w:hAnsi="Calibri" w:cs="Times New Roman"/>
              </w:rPr>
              <w:t>0.28% </w:t>
            </w:r>
          </w:p>
        </w:tc>
        <w:tc>
          <w:tcPr>
            <w:tcW w:w="1560" w:type="dxa"/>
            <w:tcBorders>
              <w:top w:val="nil"/>
              <w:left w:val="nil"/>
              <w:bottom w:val="single" w:sz="4" w:space="0" w:color="auto"/>
              <w:right w:val="single" w:sz="4" w:space="0" w:color="auto"/>
            </w:tcBorders>
            <w:vAlign w:val="bottom"/>
          </w:tcPr>
          <w:p w14:paraId="1DCD0061" w14:textId="04C7E778" w:rsidR="0070545B" w:rsidRDefault="0070545B" w:rsidP="0070545B">
            <w:pPr>
              <w:spacing w:after="0" w:line="240" w:lineRule="auto"/>
              <w:jc w:val="center"/>
              <w:rPr>
                <w:rFonts w:ascii="Calibri" w:hAnsi="Calibri" w:cs="Times New Roman"/>
              </w:rPr>
            </w:pPr>
            <w:r w:rsidRPr="0070545B">
              <w:rPr>
                <w:rFonts w:ascii="Calibri" w:hAnsi="Calibri" w:cs="Times New Roman"/>
              </w:rPr>
              <w:t>0.13% </w:t>
            </w:r>
          </w:p>
        </w:tc>
      </w:tr>
      <w:tr w:rsidR="0070545B" w14:paraId="116745F0" w14:textId="77777777" w:rsidTr="0070545B">
        <w:trPr>
          <w:trHeight w:val="300"/>
        </w:trPr>
        <w:tc>
          <w:tcPr>
            <w:tcW w:w="265" w:type="dxa"/>
            <w:tcBorders>
              <w:top w:val="nil"/>
              <w:left w:val="single" w:sz="4" w:space="0" w:color="auto"/>
              <w:bottom w:val="single" w:sz="4" w:space="0" w:color="auto"/>
              <w:right w:val="nil"/>
            </w:tcBorders>
            <w:vAlign w:val="bottom"/>
            <w:hideMark/>
          </w:tcPr>
          <w:p w14:paraId="403A2F83"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33D8909" w14:textId="77777777" w:rsidR="0070545B" w:rsidRDefault="0070545B" w:rsidP="0070545B">
            <w:pPr>
              <w:spacing w:after="0" w:line="240" w:lineRule="auto"/>
              <w:rPr>
                <w:rFonts w:ascii="Calibri" w:hAnsi="Calibri" w:cs="Times New Roman"/>
              </w:rPr>
            </w:pPr>
            <w:r>
              <w:rPr>
                <w:rFonts w:ascii="Calibri" w:hAnsi="Calibri" w:cs="Times New Roman"/>
              </w:rPr>
              <w:t>Male, 75+ years</w:t>
            </w:r>
          </w:p>
        </w:tc>
        <w:tc>
          <w:tcPr>
            <w:tcW w:w="1134" w:type="dxa"/>
            <w:tcBorders>
              <w:top w:val="nil"/>
              <w:left w:val="nil"/>
              <w:bottom w:val="single" w:sz="4" w:space="0" w:color="auto"/>
              <w:right w:val="single" w:sz="4" w:space="0" w:color="auto"/>
            </w:tcBorders>
            <w:vAlign w:val="bottom"/>
            <w:hideMark/>
          </w:tcPr>
          <w:p w14:paraId="3ABEECF2" w14:textId="77777777" w:rsidR="0070545B" w:rsidRDefault="0070545B" w:rsidP="0070545B">
            <w:pPr>
              <w:spacing w:after="0" w:line="240" w:lineRule="auto"/>
              <w:jc w:val="center"/>
              <w:rPr>
                <w:rFonts w:ascii="Calibri" w:hAnsi="Calibri" w:cs="Times New Roman"/>
              </w:rPr>
            </w:pPr>
            <w:r>
              <w:rPr>
                <w:rFonts w:ascii="Calibri" w:hAnsi="Calibri" w:cs="Times New Roman"/>
              </w:rPr>
              <w:t>0.24%</w:t>
            </w:r>
          </w:p>
        </w:tc>
        <w:tc>
          <w:tcPr>
            <w:tcW w:w="1520" w:type="dxa"/>
            <w:tcBorders>
              <w:top w:val="nil"/>
              <w:left w:val="nil"/>
              <w:bottom w:val="single" w:sz="4" w:space="0" w:color="auto"/>
              <w:right w:val="single" w:sz="4" w:space="0" w:color="auto"/>
            </w:tcBorders>
            <w:vAlign w:val="bottom"/>
            <w:hideMark/>
          </w:tcPr>
          <w:p w14:paraId="4994CF1D" w14:textId="420BA267" w:rsidR="0070545B" w:rsidRDefault="0070545B" w:rsidP="0070545B">
            <w:pPr>
              <w:spacing w:after="0" w:line="240" w:lineRule="auto"/>
              <w:jc w:val="center"/>
              <w:rPr>
                <w:rFonts w:ascii="Calibri" w:hAnsi="Calibri" w:cs="Times New Roman"/>
              </w:rPr>
            </w:pPr>
            <w:r w:rsidRPr="0070545B">
              <w:rPr>
                <w:rFonts w:ascii="Calibri" w:hAnsi="Calibri" w:cs="Times New Roman"/>
              </w:rPr>
              <w:t>0.28% </w:t>
            </w:r>
          </w:p>
        </w:tc>
        <w:tc>
          <w:tcPr>
            <w:tcW w:w="1560" w:type="dxa"/>
            <w:tcBorders>
              <w:top w:val="nil"/>
              <w:left w:val="nil"/>
              <w:bottom w:val="single" w:sz="4" w:space="0" w:color="auto"/>
              <w:right w:val="single" w:sz="4" w:space="0" w:color="auto"/>
            </w:tcBorders>
            <w:vAlign w:val="bottom"/>
          </w:tcPr>
          <w:p w14:paraId="6CDA6526" w14:textId="0407938E" w:rsidR="0070545B" w:rsidRDefault="0070545B" w:rsidP="0070545B">
            <w:pPr>
              <w:spacing w:after="0" w:line="240" w:lineRule="auto"/>
              <w:jc w:val="center"/>
              <w:rPr>
                <w:rFonts w:ascii="Calibri" w:hAnsi="Calibri" w:cs="Times New Roman"/>
              </w:rPr>
            </w:pPr>
            <w:r w:rsidRPr="0070545B">
              <w:rPr>
                <w:rFonts w:ascii="Calibri" w:hAnsi="Calibri" w:cs="Times New Roman"/>
              </w:rPr>
              <w:t>0.13% </w:t>
            </w:r>
          </w:p>
        </w:tc>
      </w:tr>
      <w:tr w:rsidR="0070545B" w14:paraId="245A5A7F" w14:textId="77777777" w:rsidTr="0070545B">
        <w:trPr>
          <w:trHeight w:val="300"/>
        </w:trPr>
        <w:tc>
          <w:tcPr>
            <w:tcW w:w="265" w:type="dxa"/>
            <w:tcBorders>
              <w:top w:val="nil"/>
              <w:left w:val="single" w:sz="4" w:space="0" w:color="auto"/>
              <w:bottom w:val="single" w:sz="4" w:space="0" w:color="auto"/>
              <w:right w:val="nil"/>
            </w:tcBorders>
            <w:vAlign w:val="bottom"/>
            <w:hideMark/>
          </w:tcPr>
          <w:p w14:paraId="41F2C7A7"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9E225BD" w14:textId="77777777" w:rsidR="0070545B" w:rsidRDefault="0070545B" w:rsidP="0070545B">
            <w:pPr>
              <w:spacing w:after="0" w:line="240" w:lineRule="auto"/>
              <w:rPr>
                <w:rFonts w:ascii="Calibri" w:hAnsi="Calibri" w:cs="Times New Roman"/>
              </w:rPr>
            </w:pPr>
            <w:r>
              <w:rPr>
                <w:rFonts w:ascii="Calibri" w:hAnsi="Calibri" w:cs="Times New Roman"/>
              </w:rPr>
              <w:t>Female, 20-39 years</w:t>
            </w:r>
          </w:p>
        </w:tc>
        <w:tc>
          <w:tcPr>
            <w:tcW w:w="1134" w:type="dxa"/>
            <w:tcBorders>
              <w:top w:val="nil"/>
              <w:left w:val="nil"/>
              <w:bottom w:val="single" w:sz="4" w:space="0" w:color="auto"/>
              <w:right w:val="single" w:sz="4" w:space="0" w:color="auto"/>
            </w:tcBorders>
            <w:vAlign w:val="bottom"/>
            <w:hideMark/>
          </w:tcPr>
          <w:p w14:paraId="13CE95DC" w14:textId="77777777" w:rsidR="0070545B" w:rsidRDefault="0070545B" w:rsidP="0070545B">
            <w:pPr>
              <w:spacing w:after="0" w:line="240" w:lineRule="auto"/>
              <w:jc w:val="center"/>
              <w:rPr>
                <w:rFonts w:ascii="Calibri" w:hAnsi="Calibri" w:cs="Times New Roman"/>
              </w:rPr>
            </w:pPr>
            <w:r>
              <w:rPr>
                <w:rFonts w:ascii="Calibri" w:hAnsi="Calibri" w:cs="Times New Roman"/>
              </w:rPr>
              <w:t>0.03%</w:t>
            </w:r>
          </w:p>
        </w:tc>
        <w:tc>
          <w:tcPr>
            <w:tcW w:w="1520" w:type="dxa"/>
            <w:tcBorders>
              <w:top w:val="nil"/>
              <w:left w:val="nil"/>
              <w:bottom w:val="single" w:sz="4" w:space="0" w:color="auto"/>
              <w:right w:val="single" w:sz="4" w:space="0" w:color="auto"/>
            </w:tcBorders>
            <w:vAlign w:val="bottom"/>
            <w:hideMark/>
          </w:tcPr>
          <w:p w14:paraId="7757D65C" w14:textId="53621445" w:rsidR="0070545B" w:rsidRDefault="0070545B" w:rsidP="0070545B">
            <w:pPr>
              <w:spacing w:after="0" w:line="240" w:lineRule="auto"/>
              <w:jc w:val="center"/>
              <w:rPr>
                <w:rFonts w:ascii="Calibri" w:hAnsi="Calibri" w:cs="Times New Roman"/>
              </w:rPr>
            </w:pPr>
            <w:r w:rsidRPr="0070545B">
              <w:rPr>
                <w:rFonts w:ascii="Calibri" w:hAnsi="Calibri" w:cs="Times New Roman"/>
              </w:rPr>
              <w:t>0.07% </w:t>
            </w:r>
          </w:p>
        </w:tc>
        <w:tc>
          <w:tcPr>
            <w:tcW w:w="1560" w:type="dxa"/>
            <w:tcBorders>
              <w:top w:val="nil"/>
              <w:left w:val="nil"/>
              <w:bottom w:val="single" w:sz="4" w:space="0" w:color="auto"/>
              <w:right w:val="single" w:sz="4" w:space="0" w:color="auto"/>
            </w:tcBorders>
            <w:vAlign w:val="bottom"/>
          </w:tcPr>
          <w:p w14:paraId="7FC78586" w14:textId="31B46177" w:rsidR="0070545B" w:rsidRDefault="0070545B" w:rsidP="0070545B">
            <w:pPr>
              <w:spacing w:after="0" w:line="240" w:lineRule="auto"/>
              <w:jc w:val="center"/>
              <w:rPr>
                <w:rFonts w:ascii="Calibri" w:hAnsi="Calibri" w:cs="Times New Roman"/>
              </w:rPr>
            </w:pPr>
            <w:r w:rsidRPr="0070545B">
              <w:rPr>
                <w:rFonts w:ascii="Calibri" w:hAnsi="Calibri" w:cs="Times New Roman"/>
              </w:rPr>
              <w:t>0.02% </w:t>
            </w:r>
          </w:p>
        </w:tc>
      </w:tr>
      <w:tr w:rsidR="0070545B" w14:paraId="65ECC6BE" w14:textId="77777777" w:rsidTr="0070545B">
        <w:trPr>
          <w:trHeight w:val="300"/>
        </w:trPr>
        <w:tc>
          <w:tcPr>
            <w:tcW w:w="265" w:type="dxa"/>
            <w:tcBorders>
              <w:top w:val="nil"/>
              <w:left w:val="single" w:sz="4" w:space="0" w:color="auto"/>
              <w:bottom w:val="single" w:sz="4" w:space="0" w:color="auto"/>
              <w:right w:val="nil"/>
            </w:tcBorders>
            <w:vAlign w:val="bottom"/>
            <w:hideMark/>
          </w:tcPr>
          <w:p w14:paraId="394E7482"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1D865D0" w14:textId="77777777" w:rsidR="0070545B" w:rsidRDefault="0070545B" w:rsidP="0070545B">
            <w:pPr>
              <w:spacing w:after="0" w:line="240" w:lineRule="auto"/>
              <w:rPr>
                <w:rFonts w:ascii="Calibri" w:hAnsi="Calibri" w:cs="Times New Roman"/>
              </w:rPr>
            </w:pPr>
            <w:r>
              <w:rPr>
                <w:rFonts w:ascii="Calibri" w:hAnsi="Calibri" w:cs="Times New Roman"/>
              </w:rPr>
              <w:t>Female, 40-49 years</w:t>
            </w:r>
          </w:p>
        </w:tc>
        <w:tc>
          <w:tcPr>
            <w:tcW w:w="1134" w:type="dxa"/>
            <w:tcBorders>
              <w:top w:val="nil"/>
              <w:left w:val="nil"/>
              <w:bottom w:val="single" w:sz="4" w:space="0" w:color="auto"/>
              <w:right w:val="single" w:sz="4" w:space="0" w:color="auto"/>
            </w:tcBorders>
            <w:vAlign w:val="bottom"/>
            <w:hideMark/>
          </w:tcPr>
          <w:p w14:paraId="35C69416" w14:textId="77777777" w:rsidR="0070545B" w:rsidRDefault="0070545B" w:rsidP="0070545B">
            <w:pPr>
              <w:spacing w:after="0" w:line="240" w:lineRule="auto"/>
              <w:jc w:val="center"/>
              <w:rPr>
                <w:rFonts w:ascii="Calibri" w:hAnsi="Calibri" w:cs="Times New Roman"/>
              </w:rPr>
            </w:pPr>
            <w:r>
              <w:rPr>
                <w:rFonts w:ascii="Calibri" w:hAnsi="Calibri" w:cs="Times New Roman"/>
              </w:rPr>
              <w:t>0.09%</w:t>
            </w:r>
          </w:p>
        </w:tc>
        <w:tc>
          <w:tcPr>
            <w:tcW w:w="1520" w:type="dxa"/>
            <w:tcBorders>
              <w:top w:val="nil"/>
              <w:left w:val="nil"/>
              <w:bottom w:val="single" w:sz="4" w:space="0" w:color="auto"/>
              <w:right w:val="single" w:sz="4" w:space="0" w:color="auto"/>
            </w:tcBorders>
            <w:vAlign w:val="bottom"/>
            <w:hideMark/>
          </w:tcPr>
          <w:p w14:paraId="1E2BDA53" w14:textId="74B08683" w:rsidR="0070545B" w:rsidRDefault="0070545B" w:rsidP="0070545B">
            <w:pPr>
              <w:spacing w:after="0" w:line="240" w:lineRule="auto"/>
              <w:jc w:val="center"/>
              <w:rPr>
                <w:rFonts w:ascii="Calibri" w:hAnsi="Calibri" w:cs="Times New Roman"/>
              </w:rPr>
            </w:pPr>
            <w:r w:rsidRPr="0070545B">
              <w:rPr>
                <w:rFonts w:ascii="Calibri" w:hAnsi="Calibri" w:cs="Times New Roman"/>
              </w:rPr>
              <w:t>0.15% </w:t>
            </w:r>
          </w:p>
        </w:tc>
        <w:tc>
          <w:tcPr>
            <w:tcW w:w="1560" w:type="dxa"/>
            <w:tcBorders>
              <w:top w:val="nil"/>
              <w:left w:val="nil"/>
              <w:bottom w:val="single" w:sz="4" w:space="0" w:color="auto"/>
              <w:right w:val="single" w:sz="4" w:space="0" w:color="auto"/>
            </w:tcBorders>
            <w:vAlign w:val="bottom"/>
          </w:tcPr>
          <w:p w14:paraId="13635CD3" w14:textId="700BD284" w:rsidR="0070545B" w:rsidRDefault="0070545B" w:rsidP="0070545B">
            <w:pPr>
              <w:spacing w:after="0" w:line="240" w:lineRule="auto"/>
              <w:jc w:val="center"/>
              <w:rPr>
                <w:rFonts w:ascii="Calibri" w:hAnsi="Calibri" w:cs="Times New Roman"/>
              </w:rPr>
            </w:pPr>
            <w:r w:rsidRPr="0070545B">
              <w:rPr>
                <w:rFonts w:ascii="Calibri" w:hAnsi="Calibri" w:cs="Times New Roman"/>
              </w:rPr>
              <w:t>0.04% </w:t>
            </w:r>
          </w:p>
        </w:tc>
      </w:tr>
      <w:tr w:rsidR="0070545B" w14:paraId="57E3BB4E" w14:textId="77777777" w:rsidTr="0070545B">
        <w:trPr>
          <w:trHeight w:val="300"/>
        </w:trPr>
        <w:tc>
          <w:tcPr>
            <w:tcW w:w="265" w:type="dxa"/>
            <w:tcBorders>
              <w:top w:val="nil"/>
              <w:left w:val="single" w:sz="4" w:space="0" w:color="auto"/>
              <w:bottom w:val="single" w:sz="4" w:space="0" w:color="auto"/>
              <w:right w:val="nil"/>
            </w:tcBorders>
            <w:vAlign w:val="bottom"/>
            <w:hideMark/>
          </w:tcPr>
          <w:p w14:paraId="47915ACA"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E54C336" w14:textId="77777777" w:rsidR="0070545B" w:rsidRDefault="0070545B" w:rsidP="0070545B">
            <w:pPr>
              <w:spacing w:after="0" w:line="240" w:lineRule="auto"/>
              <w:rPr>
                <w:rFonts w:ascii="Calibri" w:hAnsi="Calibri" w:cs="Times New Roman"/>
              </w:rPr>
            </w:pPr>
            <w:r>
              <w:rPr>
                <w:rFonts w:ascii="Calibri" w:hAnsi="Calibri" w:cs="Times New Roman"/>
              </w:rPr>
              <w:t>Female, 50-54 years</w:t>
            </w:r>
          </w:p>
        </w:tc>
        <w:tc>
          <w:tcPr>
            <w:tcW w:w="1134" w:type="dxa"/>
            <w:tcBorders>
              <w:top w:val="nil"/>
              <w:left w:val="nil"/>
              <w:bottom w:val="single" w:sz="4" w:space="0" w:color="auto"/>
              <w:right w:val="single" w:sz="4" w:space="0" w:color="auto"/>
            </w:tcBorders>
            <w:vAlign w:val="bottom"/>
            <w:hideMark/>
          </w:tcPr>
          <w:p w14:paraId="04D1C191" w14:textId="77777777" w:rsidR="0070545B" w:rsidRDefault="0070545B" w:rsidP="0070545B">
            <w:pPr>
              <w:spacing w:after="0" w:line="240" w:lineRule="auto"/>
              <w:jc w:val="center"/>
              <w:rPr>
                <w:rFonts w:ascii="Calibri" w:hAnsi="Calibri" w:cs="Times New Roman"/>
              </w:rPr>
            </w:pPr>
            <w:r>
              <w:rPr>
                <w:rFonts w:ascii="Calibri" w:hAnsi="Calibri" w:cs="Times New Roman"/>
              </w:rPr>
              <w:t>0.08%</w:t>
            </w:r>
          </w:p>
        </w:tc>
        <w:tc>
          <w:tcPr>
            <w:tcW w:w="1520" w:type="dxa"/>
            <w:tcBorders>
              <w:top w:val="nil"/>
              <w:left w:val="nil"/>
              <w:bottom w:val="single" w:sz="4" w:space="0" w:color="auto"/>
              <w:right w:val="single" w:sz="4" w:space="0" w:color="auto"/>
            </w:tcBorders>
            <w:vAlign w:val="bottom"/>
            <w:hideMark/>
          </w:tcPr>
          <w:p w14:paraId="7DFB8E12" w14:textId="33253B90" w:rsidR="0070545B" w:rsidRDefault="0070545B" w:rsidP="0070545B">
            <w:pPr>
              <w:spacing w:after="0" w:line="240" w:lineRule="auto"/>
              <w:jc w:val="center"/>
              <w:rPr>
                <w:rFonts w:ascii="Calibri" w:hAnsi="Calibri" w:cs="Times New Roman"/>
              </w:rPr>
            </w:pPr>
            <w:r w:rsidRPr="0070545B">
              <w:rPr>
                <w:rFonts w:ascii="Calibri" w:hAnsi="Calibri" w:cs="Times New Roman"/>
              </w:rPr>
              <w:t>0.11% </w:t>
            </w:r>
          </w:p>
        </w:tc>
        <w:tc>
          <w:tcPr>
            <w:tcW w:w="1560" w:type="dxa"/>
            <w:tcBorders>
              <w:top w:val="nil"/>
              <w:left w:val="nil"/>
              <w:bottom w:val="single" w:sz="4" w:space="0" w:color="auto"/>
              <w:right w:val="single" w:sz="4" w:space="0" w:color="auto"/>
            </w:tcBorders>
            <w:vAlign w:val="bottom"/>
          </w:tcPr>
          <w:p w14:paraId="368643CC" w14:textId="10980C50" w:rsidR="0070545B" w:rsidRDefault="0070545B" w:rsidP="0070545B">
            <w:pPr>
              <w:spacing w:after="0" w:line="240" w:lineRule="auto"/>
              <w:jc w:val="center"/>
              <w:rPr>
                <w:rFonts w:ascii="Calibri" w:hAnsi="Calibri" w:cs="Times New Roman"/>
              </w:rPr>
            </w:pPr>
            <w:r w:rsidRPr="0070545B">
              <w:rPr>
                <w:rFonts w:ascii="Calibri" w:hAnsi="Calibri" w:cs="Times New Roman"/>
              </w:rPr>
              <w:t>0.05% </w:t>
            </w:r>
          </w:p>
        </w:tc>
      </w:tr>
      <w:tr w:rsidR="0070545B" w14:paraId="3170F239" w14:textId="77777777" w:rsidTr="0070545B">
        <w:trPr>
          <w:trHeight w:val="300"/>
        </w:trPr>
        <w:tc>
          <w:tcPr>
            <w:tcW w:w="265" w:type="dxa"/>
            <w:tcBorders>
              <w:top w:val="nil"/>
              <w:left w:val="single" w:sz="4" w:space="0" w:color="auto"/>
              <w:bottom w:val="single" w:sz="4" w:space="0" w:color="auto"/>
              <w:right w:val="nil"/>
            </w:tcBorders>
            <w:vAlign w:val="bottom"/>
            <w:hideMark/>
          </w:tcPr>
          <w:p w14:paraId="56958324"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0D4D3D2" w14:textId="77777777" w:rsidR="0070545B" w:rsidRDefault="0070545B" w:rsidP="0070545B">
            <w:pPr>
              <w:spacing w:after="0" w:line="240" w:lineRule="auto"/>
              <w:rPr>
                <w:rFonts w:ascii="Calibri" w:hAnsi="Calibri" w:cs="Times New Roman"/>
              </w:rPr>
            </w:pPr>
            <w:r>
              <w:rPr>
                <w:rFonts w:ascii="Calibri" w:hAnsi="Calibri" w:cs="Times New Roman"/>
              </w:rPr>
              <w:t>Female, 55-59 years</w:t>
            </w:r>
          </w:p>
        </w:tc>
        <w:tc>
          <w:tcPr>
            <w:tcW w:w="1134" w:type="dxa"/>
            <w:tcBorders>
              <w:top w:val="nil"/>
              <w:left w:val="nil"/>
              <w:bottom w:val="single" w:sz="4" w:space="0" w:color="auto"/>
              <w:right w:val="single" w:sz="4" w:space="0" w:color="auto"/>
            </w:tcBorders>
            <w:vAlign w:val="bottom"/>
            <w:hideMark/>
          </w:tcPr>
          <w:p w14:paraId="3FCEEDAA" w14:textId="77777777" w:rsidR="0070545B" w:rsidRDefault="0070545B" w:rsidP="0070545B">
            <w:pPr>
              <w:spacing w:after="0" w:line="240" w:lineRule="auto"/>
              <w:jc w:val="center"/>
              <w:rPr>
                <w:rFonts w:ascii="Calibri" w:hAnsi="Calibri" w:cs="Times New Roman"/>
              </w:rPr>
            </w:pPr>
            <w:r>
              <w:rPr>
                <w:rFonts w:ascii="Calibri" w:hAnsi="Calibri" w:cs="Times New Roman"/>
              </w:rPr>
              <w:t>0.14%</w:t>
            </w:r>
          </w:p>
        </w:tc>
        <w:tc>
          <w:tcPr>
            <w:tcW w:w="1520" w:type="dxa"/>
            <w:tcBorders>
              <w:top w:val="nil"/>
              <w:left w:val="nil"/>
              <w:bottom w:val="single" w:sz="4" w:space="0" w:color="auto"/>
              <w:right w:val="single" w:sz="4" w:space="0" w:color="auto"/>
            </w:tcBorders>
            <w:vAlign w:val="bottom"/>
            <w:hideMark/>
          </w:tcPr>
          <w:p w14:paraId="00806C74" w14:textId="366AD369" w:rsidR="0070545B" w:rsidRDefault="0070545B" w:rsidP="0070545B">
            <w:pPr>
              <w:spacing w:after="0" w:line="240" w:lineRule="auto"/>
              <w:jc w:val="center"/>
              <w:rPr>
                <w:rFonts w:ascii="Calibri" w:hAnsi="Calibri" w:cs="Times New Roman"/>
              </w:rPr>
            </w:pPr>
            <w:r w:rsidRPr="0070545B">
              <w:rPr>
                <w:rFonts w:ascii="Calibri" w:hAnsi="Calibri" w:cs="Times New Roman"/>
              </w:rPr>
              <w:t>0.20% </w:t>
            </w:r>
          </w:p>
        </w:tc>
        <w:tc>
          <w:tcPr>
            <w:tcW w:w="1560" w:type="dxa"/>
            <w:tcBorders>
              <w:top w:val="nil"/>
              <w:left w:val="nil"/>
              <w:bottom w:val="single" w:sz="4" w:space="0" w:color="auto"/>
              <w:right w:val="single" w:sz="4" w:space="0" w:color="auto"/>
            </w:tcBorders>
            <w:vAlign w:val="bottom"/>
          </w:tcPr>
          <w:p w14:paraId="59CD3B83" w14:textId="341D245E" w:rsidR="0070545B" w:rsidRDefault="0070545B" w:rsidP="0070545B">
            <w:pPr>
              <w:spacing w:after="0" w:line="240" w:lineRule="auto"/>
              <w:jc w:val="center"/>
              <w:rPr>
                <w:rFonts w:ascii="Calibri" w:hAnsi="Calibri" w:cs="Times New Roman"/>
              </w:rPr>
            </w:pPr>
            <w:r w:rsidRPr="0070545B">
              <w:rPr>
                <w:rFonts w:ascii="Calibri" w:hAnsi="Calibri" w:cs="Times New Roman"/>
              </w:rPr>
              <w:t>0.09% </w:t>
            </w:r>
          </w:p>
        </w:tc>
      </w:tr>
      <w:tr w:rsidR="0070545B" w14:paraId="770559BC" w14:textId="77777777" w:rsidTr="0070545B">
        <w:trPr>
          <w:trHeight w:val="300"/>
        </w:trPr>
        <w:tc>
          <w:tcPr>
            <w:tcW w:w="265" w:type="dxa"/>
            <w:tcBorders>
              <w:top w:val="nil"/>
              <w:left w:val="single" w:sz="4" w:space="0" w:color="auto"/>
              <w:bottom w:val="single" w:sz="4" w:space="0" w:color="auto"/>
              <w:right w:val="nil"/>
            </w:tcBorders>
            <w:vAlign w:val="bottom"/>
            <w:hideMark/>
          </w:tcPr>
          <w:p w14:paraId="55094DA5"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0F4A415" w14:textId="77777777" w:rsidR="0070545B" w:rsidRDefault="0070545B" w:rsidP="0070545B">
            <w:pPr>
              <w:spacing w:after="0" w:line="240" w:lineRule="auto"/>
              <w:rPr>
                <w:rFonts w:ascii="Calibri" w:hAnsi="Calibri" w:cs="Times New Roman"/>
              </w:rPr>
            </w:pPr>
            <w:r>
              <w:rPr>
                <w:rFonts w:ascii="Calibri" w:hAnsi="Calibri" w:cs="Times New Roman"/>
              </w:rPr>
              <w:t>Female, 60-64 years</w:t>
            </w:r>
          </w:p>
        </w:tc>
        <w:tc>
          <w:tcPr>
            <w:tcW w:w="1134" w:type="dxa"/>
            <w:tcBorders>
              <w:top w:val="nil"/>
              <w:left w:val="nil"/>
              <w:bottom w:val="single" w:sz="4" w:space="0" w:color="auto"/>
              <w:right w:val="single" w:sz="4" w:space="0" w:color="auto"/>
            </w:tcBorders>
            <w:vAlign w:val="bottom"/>
            <w:hideMark/>
          </w:tcPr>
          <w:p w14:paraId="24479E1C" w14:textId="77777777" w:rsidR="0070545B" w:rsidRDefault="0070545B" w:rsidP="0070545B">
            <w:pPr>
              <w:spacing w:after="0" w:line="240" w:lineRule="auto"/>
              <w:jc w:val="center"/>
              <w:rPr>
                <w:rFonts w:ascii="Calibri" w:hAnsi="Calibri" w:cs="Times New Roman"/>
              </w:rPr>
            </w:pPr>
            <w:r>
              <w:rPr>
                <w:rFonts w:ascii="Calibri" w:hAnsi="Calibri" w:cs="Times New Roman"/>
              </w:rPr>
              <w:t>0.14%</w:t>
            </w:r>
          </w:p>
        </w:tc>
        <w:tc>
          <w:tcPr>
            <w:tcW w:w="1520" w:type="dxa"/>
            <w:tcBorders>
              <w:top w:val="nil"/>
              <w:left w:val="nil"/>
              <w:bottom w:val="single" w:sz="4" w:space="0" w:color="auto"/>
              <w:right w:val="single" w:sz="4" w:space="0" w:color="auto"/>
            </w:tcBorders>
            <w:vAlign w:val="bottom"/>
            <w:hideMark/>
          </w:tcPr>
          <w:p w14:paraId="6A8961E6" w14:textId="3B3D43A7" w:rsidR="0070545B" w:rsidRDefault="0070545B" w:rsidP="0070545B">
            <w:pPr>
              <w:spacing w:after="0" w:line="240" w:lineRule="auto"/>
              <w:jc w:val="center"/>
              <w:rPr>
                <w:rFonts w:ascii="Calibri" w:hAnsi="Calibri" w:cs="Times New Roman"/>
              </w:rPr>
            </w:pPr>
            <w:r w:rsidRPr="0070545B">
              <w:rPr>
                <w:rFonts w:ascii="Calibri" w:hAnsi="Calibri" w:cs="Times New Roman"/>
              </w:rPr>
              <w:t>0.20% </w:t>
            </w:r>
          </w:p>
        </w:tc>
        <w:tc>
          <w:tcPr>
            <w:tcW w:w="1560" w:type="dxa"/>
            <w:tcBorders>
              <w:top w:val="nil"/>
              <w:left w:val="nil"/>
              <w:bottom w:val="single" w:sz="4" w:space="0" w:color="auto"/>
              <w:right w:val="single" w:sz="4" w:space="0" w:color="auto"/>
            </w:tcBorders>
            <w:vAlign w:val="bottom"/>
          </w:tcPr>
          <w:p w14:paraId="337DAA91" w14:textId="5D08F2AD" w:rsidR="0070545B" w:rsidRDefault="0070545B" w:rsidP="0070545B">
            <w:pPr>
              <w:spacing w:after="0" w:line="240" w:lineRule="auto"/>
              <w:jc w:val="center"/>
              <w:rPr>
                <w:rFonts w:ascii="Calibri" w:hAnsi="Calibri" w:cs="Times New Roman"/>
              </w:rPr>
            </w:pPr>
            <w:r w:rsidRPr="0070545B">
              <w:rPr>
                <w:rFonts w:ascii="Calibri" w:hAnsi="Calibri" w:cs="Times New Roman"/>
              </w:rPr>
              <w:t>0.09% </w:t>
            </w:r>
          </w:p>
        </w:tc>
      </w:tr>
      <w:tr w:rsidR="0070545B" w14:paraId="7754D94B" w14:textId="77777777" w:rsidTr="0070545B">
        <w:trPr>
          <w:trHeight w:val="300"/>
        </w:trPr>
        <w:tc>
          <w:tcPr>
            <w:tcW w:w="265" w:type="dxa"/>
            <w:tcBorders>
              <w:top w:val="nil"/>
              <w:left w:val="single" w:sz="4" w:space="0" w:color="auto"/>
              <w:bottom w:val="single" w:sz="4" w:space="0" w:color="auto"/>
              <w:right w:val="nil"/>
            </w:tcBorders>
            <w:vAlign w:val="bottom"/>
            <w:hideMark/>
          </w:tcPr>
          <w:p w14:paraId="23507211"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034B7E3" w14:textId="77777777" w:rsidR="0070545B" w:rsidRDefault="0070545B" w:rsidP="0070545B">
            <w:pPr>
              <w:spacing w:after="0" w:line="240" w:lineRule="auto"/>
              <w:rPr>
                <w:rFonts w:ascii="Calibri" w:hAnsi="Calibri" w:cs="Times New Roman"/>
              </w:rPr>
            </w:pPr>
            <w:r>
              <w:rPr>
                <w:rFonts w:ascii="Calibri" w:hAnsi="Calibri" w:cs="Times New Roman"/>
              </w:rPr>
              <w:t>Female, 65-69 years</w:t>
            </w:r>
          </w:p>
        </w:tc>
        <w:tc>
          <w:tcPr>
            <w:tcW w:w="1134" w:type="dxa"/>
            <w:tcBorders>
              <w:top w:val="nil"/>
              <w:left w:val="nil"/>
              <w:bottom w:val="single" w:sz="4" w:space="0" w:color="auto"/>
              <w:right w:val="single" w:sz="4" w:space="0" w:color="auto"/>
            </w:tcBorders>
            <w:vAlign w:val="bottom"/>
            <w:hideMark/>
          </w:tcPr>
          <w:p w14:paraId="617F64C4" w14:textId="77777777" w:rsidR="0070545B" w:rsidRDefault="0070545B" w:rsidP="0070545B">
            <w:pPr>
              <w:spacing w:after="0" w:line="240" w:lineRule="auto"/>
              <w:jc w:val="center"/>
              <w:rPr>
                <w:rFonts w:ascii="Calibri" w:hAnsi="Calibri" w:cs="Times New Roman"/>
              </w:rPr>
            </w:pPr>
            <w:r>
              <w:rPr>
                <w:rFonts w:ascii="Calibri" w:hAnsi="Calibri" w:cs="Times New Roman"/>
              </w:rPr>
              <w:t>0.14%</w:t>
            </w:r>
          </w:p>
        </w:tc>
        <w:tc>
          <w:tcPr>
            <w:tcW w:w="1520" w:type="dxa"/>
            <w:tcBorders>
              <w:top w:val="nil"/>
              <w:left w:val="nil"/>
              <w:bottom w:val="single" w:sz="4" w:space="0" w:color="auto"/>
              <w:right w:val="single" w:sz="4" w:space="0" w:color="auto"/>
            </w:tcBorders>
            <w:vAlign w:val="bottom"/>
            <w:hideMark/>
          </w:tcPr>
          <w:p w14:paraId="6F49A338" w14:textId="385935B6" w:rsidR="0070545B" w:rsidRDefault="0070545B" w:rsidP="0070545B">
            <w:pPr>
              <w:spacing w:after="0" w:line="240" w:lineRule="auto"/>
              <w:jc w:val="center"/>
              <w:rPr>
                <w:rFonts w:ascii="Calibri" w:hAnsi="Calibri" w:cs="Times New Roman"/>
              </w:rPr>
            </w:pPr>
            <w:r w:rsidRPr="0070545B">
              <w:rPr>
                <w:rFonts w:ascii="Calibri" w:hAnsi="Calibri" w:cs="Times New Roman"/>
              </w:rPr>
              <w:t>0.20% </w:t>
            </w:r>
          </w:p>
        </w:tc>
        <w:tc>
          <w:tcPr>
            <w:tcW w:w="1560" w:type="dxa"/>
            <w:tcBorders>
              <w:top w:val="nil"/>
              <w:left w:val="nil"/>
              <w:bottom w:val="single" w:sz="4" w:space="0" w:color="auto"/>
              <w:right w:val="single" w:sz="4" w:space="0" w:color="auto"/>
            </w:tcBorders>
            <w:vAlign w:val="bottom"/>
          </w:tcPr>
          <w:p w14:paraId="77078A62" w14:textId="3B52D075" w:rsidR="0070545B" w:rsidRDefault="0070545B" w:rsidP="0070545B">
            <w:pPr>
              <w:spacing w:after="0" w:line="240" w:lineRule="auto"/>
              <w:jc w:val="center"/>
              <w:rPr>
                <w:rFonts w:ascii="Calibri" w:hAnsi="Calibri" w:cs="Times New Roman"/>
              </w:rPr>
            </w:pPr>
            <w:r w:rsidRPr="0070545B">
              <w:rPr>
                <w:rFonts w:ascii="Calibri" w:hAnsi="Calibri" w:cs="Times New Roman"/>
              </w:rPr>
              <w:t>0.09% </w:t>
            </w:r>
          </w:p>
        </w:tc>
      </w:tr>
      <w:tr w:rsidR="0070545B" w14:paraId="48BB0F15" w14:textId="77777777" w:rsidTr="0070545B">
        <w:trPr>
          <w:trHeight w:val="300"/>
        </w:trPr>
        <w:tc>
          <w:tcPr>
            <w:tcW w:w="265" w:type="dxa"/>
            <w:tcBorders>
              <w:top w:val="nil"/>
              <w:left w:val="single" w:sz="4" w:space="0" w:color="auto"/>
              <w:bottom w:val="single" w:sz="4" w:space="0" w:color="auto"/>
              <w:right w:val="nil"/>
            </w:tcBorders>
            <w:vAlign w:val="bottom"/>
            <w:hideMark/>
          </w:tcPr>
          <w:p w14:paraId="0D2110A7"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8889AA1" w14:textId="77777777" w:rsidR="0070545B" w:rsidRDefault="0070545B" w:rsidP="0070545B">
            <w:pPr>
              <w:spacing w:after="0" w:line="240" w:lineRule="auto"/>
              <w:rPr>
                <w:rFonts w:ascii="Calibri" w:hAnsi="Calibri" w:cs="Times New Roman"/>
              </w:rPr>
            </w:pPr>
            <w:r>
              <w:rPr>
                <w:rFonts w:ascii="Calibri" w:hAnsi="Calibri" w:cs="Times New Roman"/>
              </w:rPr>
              <w:t>Female, 70-74 years</w:t>
            </w:r>
          </w:p>
        </w:tc>
        <w:tc>
          <w:tcPr>
            <w:tcW w:w="1134" w:type="dxa"/>
            <w:tcBorders>
              <w:top w:val="nil"/>
              <w:left w:val="nil"/>
              <w:bottom w:val="single" w:sz="4" w:space="0" w:color="auto"/>
              <w:right w:val="single" w:sz="4" w:space="0" w:color="auto"/>
            </w:tcBorders>
            <w:vAlign w:val="bottom"/>
            <w:hideMark/>
          </w:tcPr>
          <w:p w14:paraId="3BA0E2AA" w14:textId="77777777" w:rsidR="0070545B" w:rsidRDefault="0070545B" w:rsidP="0070545B">
            <w:pPr>
              <w:spacing w:after="0" w:line="240" w:lineRule="auto"/>
              <w:jc w:val="center"/>
              <w:rPr>
                <w:rFonts w:ascii="Calibri" w:hAnsi="Calibri" w:cs="Times New Roman"/>
              </w:rPr>
            </w:pPr>
            <w:r>
              <w:rPr>
                <w:rFonts w:ascii="Calibri" w:hAnsi="Calibri" w:cs="Times New Roman"/>
              </w:rPr>
              <w:t>0.51%</w:t>
            </w:r>
          </w:p>
        </w:tc>
        <w:tc>
          <w:tcPr>
            <w:tcW w:w="1520" w:type="dxa"/>
            <w:tcBorders>
              <w:top w:val="nil"/>
              <w:left w:val="nil"/>
              <w:bottom w:val="single" w:sz="4" w:space="0" w:color="auto"/>
              <w:right w:val="single" w:sz="4" w:space="0" w:color="auto"/>
            </w:tcBorders>
            <w:vAlign w:val="bottom"/>
            <w:hideMark/>
          </w:tcPr>
          <w:p w14:paraId="262454DF" w14:textId="516E4B00" w:rsidR="0070545B" w:rsidRDefault="0070545B" w:rsidP="0070545B">
            <w:pPr>
              <w:spacing w:after="0" w:line="240" w:lineRule="auto"/>
              <w:jc w:val="center"/>
              <w:rPr>
                <w:rFonts w:ascii="Calibri" w:hAnsi="Calibri" w:cs="Times New Roman"/>
              </w:rPr>
            </w:pPr>
            <w:r w:rsidRPr="0070545B">
              <w:rPr>
                <w:rFonts w:ascii="Calibri" w:hAnsi="Calibri" w:cs="Times New Roman"/>
              </w:rPr>
              <w:t>0.67% </w:t>
            </w:r>
          </w:p>
        </w:tc>
        <w:tc>
          <w:tcPr>
            <w:tcW w:w="1560" w:type="dxa"/>
            <w:tcBorders>
              <w:top w:val="nil"/>
              <w:left w:val="nil"/>
              <w:bottom w:val="single" w:sz="4" w:space="0" w:color="auto"/>
              <w:right w:val="single" w:sz="4" w:space="0" w:color="auto"/>
            </w:tcBorders>
            <w:vAlign w:val="bottom"/>
          </w:tcPr>
          <w:p w14:paraId="5AD8C2EE" w14:textId="7313EAC6" w:rsidR="0070545B" w:rsidRDefault="0070545B" w:rsidP="0070545B">
            <w:pPr>
              <w:spacing w:after="0" w:line="240" w:lineRule="auto"/>
              <w:jc w:val="center"/>
              <w:rPr>
                <w:rFonts w:ascii="Calibri" w:hAnsi="Calibri" w:cs="Times New Roman"/>
              </w:rPr>
            </w:pPr>
            <w:r w:rsidRPr="0070545B">
              <w:rPr>
                <w:rFonts w:ascii="Calibri" w:hAnsi="Calibri" w:cs="Times New Roman"/>
              </w:rPr>
              <w:t>0.27% </w:t>
            </w:r>
          </w:p>
        </w:tc>
      </w:tr>
      <w:tr w:rsidR="0070545B" w14:paraId="60E0703C" w14:textId="77777777" w:rsidTr="0070545B">
        <w:trPr>
          <w:trHeight w:val="300"/>
        </w:trPr>
        <w:tc>
          <w:tcPr>
            <w:tcW w:w="265" w:type="dxa"/>
            <w:tcBorders>
              <w:top w:val="nil"/>
              <w:left w:val="single" w:sz="4" w:space="0" w:color="auto"/>
              <w:bottom w:val="single" w:sz="4" w:space="0" w:color="auto"/>
              <w:right w:val="nil"/>
            </w:tcBorders>
            <w:vAlign w:val="bottom"/>
            <w:hideMark/>
          </w:tcPr>
          <w:p w14:paraId="4B3E84AD"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874B7D7" w14:textId="77777777" w:rsidR="0070545B" w:rsidRDefault="0070545B" w:rsidP="0070545B">
            <w:pPr>
              <w:spacing w:after="0" w:line="240" w:lineRule="auto"/>
              <w:rPr>
                <w:rFonts w:ascii="Calibri" w:hAnsi="Calibri" w:cs="Times New Roman"/>
              </w:rPr>
            </w:pPr>
            <w:r>
              <w:rPr>
                <w:rFonts w:ascii="Calibri" w:hAnsi="Calibri" w:cs="Times New Roman"/>
              </w:rPr>
              <w:t>Female, 75+ years</w:t>
            </w:r>
          </w:p>
        </w:tc>
        <w:tc>
          <w:tcPr>
            <w:tcW w:w="1134" w:type="dxa"/>
            <w:tcBorders>
              <w:top w:val="nil"/>
              <w:left w:val="nil"/>
              <w:bottom w:val="single" w:sz="4" w:space="0" w:color="auto"/>
              <w:right w:val="single" w:sz="4" w:space="0" w:color="auto"/>
            </w:tcBorders>
            <w:vAlign w:val="bottom"/>
            <w:hideMark/>
          </w:tcPr>
          <w:p w14:paraId="70BD8885" w14:textId="77777777" w:rsidR="0070545B" w:rsidRDefault="0070545B" w:rsidP="0070545B">
            <w:pPr>
              <w:spacing w:after="0" w:line="240" w:lineRule="auto"/>
              <w:jc w:val="center"/>
              <w:rPr>
                <w:rFonts w:ascii="Calibri" w:hAnsi="Calibri" w:cs="Times New Roman"/>
              </w:rPr>
            </w:pPr>
            <w:r>
              <w:rPr>
                <w:rFonts w:ascii="Calibri" w:hAnsi="Calibri" w:cs="Times New Roman"/>
              </w:rPr>
              <w:t>0.51%</w:t>
            </w:r>
          </w:p>
        </w:tc>
        <w:tc>
          <w:tcPr>
            <w:tcW w:w="1520" w:type="dxa"/>
            <w:tcBorders>
              <w:top w:val="nil"/>
              <w:left w:val="nil"/>
              <w:bottom w:val="single" w:sz="4" w:space="0" w:color="auto"/>
              <w:right w:val="single" w:sz="4" w:space="0" w:color="auto"/>
            </w:tcBorders>
            <w:vAlign w:val="bottom"/>
            <w:hideMark/>
          </w:tcPr>
          <w:p w14:paraId="322B5938" w14:textId="0F402E92" w:rsidR="0070545B" w:rsidRDefault="0070545B" w:rsidP="0070545B">
            <w:pPr>
              <w:spacing w:after="0" w:line="240" w:lineRule="auto"/>
              <w:jc w:val="center"/>
              <w:rPr>
                <w:rFonts w:ascii="Calibri" w:hAnsi="Calibri" w:cs="Times New Roman"/>
              </w:rPr>
            </w:pPr>
            <w:r w:rsidRPr="0070545B">
              <w:rPr>
                <w:rFonts w:ascii="Calibri" w:hAnsi="Calibri" w:cs="Times New Roman"/>
              </w:rPr>
              <w:t>0.67% </w:t>
            </w:r>
          </w:p>
        </w:tc>
        <w:tc>
          <w:tcPr>
            <w:tcW w:w="1560" w:type="dxa"/>
            <w:tcBorders>
              <w:top w:val="nil"/>
              <w:left w:val="nil"/>
              <w:bottom w:val="single" w:sz="4" w:space="0" w:color="auto"/>
              <w:right w:val="single" w:sz="4" w:space="0" w:color="auto"/>
            </w:tcBorders>
            <w:vAlign w:val="bottom"/>
          </w:tcPr>
          <w:p w14:paraId="440A7968" w14:textId="5E2298B3" w:rsidR="0070545B" w:rsidRDefault="0070545B" w:rsidP="0070545B">
            <w:pPr>
              <w:spacing w:after="0" w:line="240" w:lineRule="auto"/>
              <w:jc w:val="center"/>
              <w:rPr>
                <w:rFonts w:ascii="Calibri" w:hAnsi="Calibri" w:cs="Times New Roman"/>
              </w:rPr>
            </w:pPr>
            <w:r w:rsidRPr="0070545B">
              <w:rPr>
                <w:rFonts w:ascii="Calibri" w:hAnsi="Calibri" w:cs="Times New Roman"/>
              </w:rPr>
              <w:t>0.27% </w:t>
            </w:r>
          </w:p>
        </w:tc>
      </w:tr>
      <w:tr w:rsidR="00F73ADF" w14:paraId="6B6CFA22"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02900DC5" w14:textId="268F1413" w:rsidR="00F73ADF" w:rsidRDefault="00F73ADF" w:rsidP="00F42F36">
            <w:pPr>
              <w:spacing w:after="0" w:line="240" w:lineRule="auto"/>
              <w:rPr>
                <w:rFonts w:ascii="Calibri" w:hAnsi="Calibri" w:cs="Times New Roman"/>
                <w:i/>
                <w:iCs/>
              </w:rPr>
            </w:pPr>
            <w:r>
              <w:rPr>
                <w:rFonts w:ascii="Calibri" w:hAnsi="Calibri" w:cs="Times New Roman"/>
                <w:i/>
                <w:iCs/>
              </w:rPr>
              <w:t>Sessile serrate</w:t>
            </w:r>
            <w:r w:rsidR="0070545B">
              <w:rPr>
                <w:rFonts w:ascii="Calibri" w:hAnsi="Calibri" w:cs="Times New Roman"/>
                <w:i/>
                <w:iCs/>
              </w:rPr>
              <w:t>d</w:t>
            </w:r>
            <w:r>
              <w:rPr>
                <w:rFonts w:ascii="Calibri" w:hAnsi="Calibri" w:cs="Times New Roman"/>
                <w:i/>
                <w:iCs/>
              </w:rPr>
              <w:t xml:space="preserve"> polyp incidence rate</w:t>
            </w:r>
            <w:r>
              <w:rPr>
                <w:rFonts w:ascii="Calibri" w:hAnsi="Calibri" w:cs="Times New Roman"/>
                <w:i/>
                <w:iCs/>
                <w:vertAlign w:val="superscript"/>
              </w:rPr>
              <w:t xml:space="preserve"> a</w:t>
            </w:r>
          </w:p>
        </w:tc>
      </w:tr>
      <w:tr w:rsidR="0070545B" w14:paraId="181DA99A" w14:textId="77777777" w:rsidTr="0070545B">
        <w:trPr>
          <w:trHeight w:val="300"/>
        </w:trPr>
        <w:tc>
          <w:tcPr>
            <w:tcW w:w="265" w:type="dxa"/>
            <w:tcBorders>
              <w:top w:val="nil"/>
              <w:left w:val="single" w:sz="4" w:space="0" w:color="auto"/>
              <w:bottom w:val="single" w:sz="4" w:space="0" w:color="auto"/>
              <w:right w:val="nil"/>
            </w:tcBorders>
            <w:vAlign w:val="bottom"/>
            <w:hideMark/>
          </w:tcPr>
          <w:p w14:paraId="4EC4D3B4"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FFA79C7" w14:textId="77777777" w:rsidR="0070545B" w:rsidRDefault="0070545B" w:rsidP="0070545B">
            <w:pPr>
              <w:spacing w:after="0" w:line="240" w:lineRule="auto"/>
              <w:rPr>
                <w:rFonts w:ascii="Calibri" w:hAnsi="Calibri" w:cs="Times New Roman"/>
              </w:rPr>
            </w:pPr>
            <w:r>
              <w:rPr>
                <w:rFonts w:ascii="Calibri" w:hAnsi="Calibri" w:cs="Times New Roman"/>
              </w:rPr>
              <w:t>Male, 20-39 years</w:t>
            </w:r>
          </w:p>
        </w:tc>
        <w:tc>
          <w:tcPr>
            <w:tcW w:w="1134" w:type="dxa"/>
            <w:tcBorders>
              <w:top w:val="nil"/>
              <w:left w:val="nil"/>
              <w:bottom w:val="single" w:sz="4" w:space="0" w:color="auto"/>
              <w:right w:val="single" w:sz="4" w:space="0" w:color="auto"/>
            </w:tcBorders>
            <w:vAlign w:val="bottom"/>
            <w:hideMark/>
          </w:tcPr>
          <w:p w14:paraId="771EBBE1" w14:textId="77777777" w:rsidR="0070545B" w:rsidRDefault="0070545B" w:rsidP="0070545B">
            <w:pPr>
              <w:spacing w:after="0" w:line="240" w:lineRule="auto"/>
              <w:jc w:val="center"/>
              <w:rPr>
                <w:rFonts w:ascii="Calibri" w:hAnsi="Calibri" w:cs="Times New Roman"/>
              </w:rPr>
            </w:pPr>
            <w:r>
              <w:rPr>
                <w:rFonts w:ascii="Calibri" w:hAnsi="Calibri" w:cs="Times New Roman"/>
              </w:rPr>
              <w:t>0.092%</w:t>
            </w:r>
          </w:p>
        </w:tc>
        <w:tc>
          <w:tcPr>
            <w:tcW w:w="1520" w:type="dxa"/>
            <w:tcBorders>
              <w:top w:val="nil"/>
              <w:left w:val="nil"/>
              <w:bottom w:val="single" w:sz="4" w:space="0" w:color="auto"/>
              <w:right w:val="single" w:sz="4" w:space="0" w:color="auto"/>
            </w:tcBorders>
            <w:vAlign w:val="bottom"/>
            <w:hideMark/>
          </w:tcPr>
          <w:p w14:paraId="711A98DA" w14:textId="2C475C46" w:rsidR="0070545B" w:rsidRDefault="0070545B" w:rsidP="0070545B">
            <w:pPr>
              <w:spacing w:after="0" w:line="240" w:lineRule="auto"/>
              <w:jc w:val="center"/>
              <w:rPr>
                <w:rFonts w:ascii="Calibri" w:hAnsi="Calibri" w:cs="Times New Roman"/>
              </w:rPr>
            </w:pPr>
            <w:r w:rsidRPr="0070545B">
              <w:rPr>
                <w:rFonts w:ascii="Calibri" w:hAnsi="Calibri" w:cs="Times New Roman"/>
              </w:rPr>
              <w:t>0.169% </w:t>
            </w:r>
          </w:p>
        </w:tc>
        <w:tc>
          <w:tcPr>
            <w:tcW w:w="1560" w:type="dxa"/>
            <w:tcBorders>
              <w:top w:val="nil"/>
              <w:left w:val="nil"/>
              <w:bottom w:val="single" w:sz="4" w:space="0" w:color="auto"/>
              <w:right w:val="single" w:sz="4" w:space="0" w:color="auto"/>
            </w:tcBorders>
            <w:vAlign w:val="bottom"/>
          </w:tcPr>
          <w:p w14:paraId="2466D59D" w14:textId="783942E0" w:rsidR="0070545B" w:rsidRDefault="0070545B" w:rsidP="0070545B">
            <w:pPr>
              <w:spacing w:after="0" w:line="240" w:lineRule="auto"/>
              <w:jc w:val="center"/>
              <w:rPr>
                <w:rFonts w:ascii="Calibri" w:hAnsi="Calibri" w:cs="Times New Roman"/>
              </w:rPr>
            </w:pPr>
            <w:r w:rsidRPr="0070545B">
              <w:rPr>
                <w:rFonts w:ascii="Calibri" w:hAnsi="Calibri" w:cs="Times New Roman"/>
              </w:rPr>
              <w:t>0.066% </w:t>
            </w:r>
          </w:p>
        </w:tc>
      </w:tr>
      <w:tr w:rsidR="0070545B" w14:paraId="275DC514" w14:textId="77777777" w:rsidTr="0070545B">
        <w:trPr>
          <w:trHeight w:val="300"/>
        </w:trPr>
        <w:tc>
          <w:tcPr>
            <w:tcW w:w="265" w:type="dxa"/>
            <w:tcBorders>
              <w:top w:val="nil"/>
              <w:left w:val="single" w:sz="4" w:space="0" w:color="auto"/>
              <w:bottom w:val="single" w:sz="4" w:space="0" w:color="auto"/>
              <w:right w:val="nil"/>
            </w:tcBorders>
            <w:vAlign w:val="bottom"/>
            <w:hideMark/>
          </w:tcPr>
          <w:p w14:paraId="450029F3"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256212D" w14:textId="77777777" w:rsidR="0070545B" w:rsidRDefault="0070545B" w:rsidP="0070545B">
            <w:pPr>
              <w:spacing w:after="0" w:line="240" w:lineRule="auto"/>
              <w:rPr>
                <w:rFonts w:ascii="Calibri" w:hAnsi="Calibri" w:cs="Times New Roman"/>
              </w:rPr>
            </w:pPr>
            <w:r>
              <w:rPr>
                <w:rFonts w:ascii="Calibri" w:hAnsi="Calibri" w:cs="Times New Roman"/>
              </w:rPr>
              <w:t>Male, 40-49 years</w:t>
            </w:r>
          </w:p>
        </w:tc>
        <w:tc>
          <w:tcPr>
            <w:tcW w:w="1134" w:type="dxa"/>
            <w:tcBorders>
              <w:top w:val="nil"/>
              <w:left w:val="nil"/>
              <w:bottom w:val="single" w:sz="4" w:space="0" w:color="auto"/>
              <w:right w:val="single" w:sz="4" w:space="0" w:color="auto"/>
            </w:tcBorders>
            <w:vAlign w:val="bottom"/>
            <w:hideMark/>
          </w:tcPr>
          <w:p w14:paraId="2D438348" w14:textId="77777777" w:rsidR="0070545B" w:rsidRDefault="0070545B" w:rsidP="0070545B">
            <w:pPr>
              <w:spacing w:after="0" w:line="240" w:lineRule="auto"/>
              <w:jc w:val="center"/>
              <w:rPr>
                <w:rFonts w:ascii="Calibri" w:hAnsi="Calibri" w:cs="Times New Roman"/>
              </w:rPr>
            </w:pPr>
            <w:r>
              <w:rPr>
                <w:rFonts w:ascii="Calibri" w:hAnsi="Calibri" w:cs="Times New Roman"/>
              </w:rPr>
              <w:t>0.032%</w:t>
            </w:r>
          </w:p>
        </w:tc>
        <w:tc>
          <w:tcPr>
            <w:tcW w:w="1520" w:type="dxa"/>
            <w:tcBorders>
              <w:top w:val="nil"/>
              <w:left w:val="nil"/>
              <w:bottom w:val="single" w:sz="4" w:space="0" w:color="auto"/>
              <w:right w:val="single" w:sz="4" w:space="0" w:color="auto"/>
            </w:tcBorders>
            <w:vAlign w:val="bottom"/>
            <w:hideMark/>
          </w:tcPr>
          <w:p w14:paraId="12102305" w14:textId="48ABBCF9" w:rsidR="0070545B" w:rsidRDefault="0070545B" w:rsidP="0070545B">
            <w:pPr>
              <w:spacing w:after="0" w:line="240" w:lineRule="auto"/>
              <w:jc w:val="center"/>
              <w:rPr>
                <w:rFonts w:ascii="Calibri" w:hAnsi="Calibri" w:cs="Times New Roman"/>
              </w:rPr>
            </w:pPr>
            <w:r w:rsidRPr="0070545B">
              <w:rPr>
                <w:rFonts w:ascii="Calibri" w:hAnsi="Calibri" w:cs="Times New Roman"/>
              </w:rPr>
              <w:t>0.117% </w:t>
            </w:r>
          </w:p>
        </w:tc>
        <w:tc>
          <w:tcPr>
            <w:tcW w:w="1560" w:type="dxa"/>
            <w:tcBorders>
              <w:top w:val="nil"/>
              <w:left w:val="nil"/>
              <w:bottom w:val="single" w:sz="4" w:space="0" w:color="auto"/>
              <w:right w:val="single" w:sz="4" w:space="0" w:color="auto"/>
            </w:tcBorders>
            <w:vAlign w:val="bottom"/>
          </w:tcPr>
          <w:p w14:paraId="101C43B2" w14:textId="47C77327" w:rsidR="0070545B" w:rsidRDefault="0070545B" w:rsidP="0070545B">
            <w:pPr>
              <w:spacing w:after="0" w:line="240" w:lineRule="auto"/>
              <w:jc w:val="center"/>
              <w:rPr>
                <w:rFonts w:ascii="Calibri" w:hAnsi="Calibri" w:cs="Times New Roman"/>
              </w:rPr>
            </w:pPr>
            <w:r w:rsidRPr="0070545B">
              <w:rPr>
                <w:rFonts w:ascii="Calibri" w:hAnsi="Calibri" w:cs="Times New Roman"/>
              </w:rPr>
              <w:t>0.030% </w:t>
            </w:r>
          </w:p>
        </w:tc>
      </w:tr>
      <w:tr w:rsidR="0070545B" w14:paraId="6B8EC77D" w14:textId="77777777" w:rsidTr="0070545B">
        <w:trPr>
          <w:trHeight w:val="300"/>
        </w:trPr>
        <w:tc>
          <w:tcPr>
            <w:tcW w:w="265" w:type="dxa"/>
            <w:tcBorders>
              <w:top w:val="nil"/>
              <w:left w:val="single" w:sz="4" w:space="0" w:color="auto"/>
              <w:bottom w:val="single" w:sz="4" w:space="0" w:color="auto"/>
              <w:right w:val="nil"/>
            </w:tcBorders>
            <w:vAlign w:val="bottom"/>
            <w:hideMark/>
          </w:tcPr>
          <w:p w14:paraId="535E59B2"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5A3DBCD" w14:textId="77777777" w:rsidR="0070545B" w:rsidRDefault="0070545B" w:rsidP="0070545B">
            <w:pPr>
              <w:spacing w:after="0" w:line="240" w:lineRule="auto"/>
              <w:rPr>
                <w:rFonts w:ascii="Calibri" w:hAnsi="Calibri" w:cs="Times New Roman"/>
              </w:rPr>
            </w:pPr>
            <w:r>
              <w:rPr>
                <w:rFonts w:ascii="Calibri" w:hAnsi="Calibri" w:cs="Times New Roman"/>
              </w:rPr>
              <w:t>Male, 50-54 years</w:t>
            </w:r>
          </w:p>
        </w:tc>
        <w:tc>
          <w:tcPr>
            <w:tcW w:w="1134" w:type="dxa"/>
            <w:tcBorders>
              <w:top w:val="nil"/>
              <w:left w:val="nil"/>
              <w:bottom w:val="single" w:sz="4" w:space="0" w:color="auto"/>
              <w:right w:val="single" w:sz="4" w:space="0" w:color="auto"/>
            </w:tcBorders>
            <w:vAlign w:val="bottom"/>
            <w:hideMark/>
          </w:tcPr>
          <w:p w14:paraId="5A343504" w14:textId="77777777" w:rsidR="0070545B" w:rsidRDefault="0070545B" w:rsidP="0070545B">
            <w:pPr>
              <w:spacing w:after="0" w:line="240" w:lineRule="auto"/>
              <w:jc w:val="center"/>
              <w:rPr>
                <w:rFonts w:ascii="Calibri" w:hAnsi="Calibri" w:cs="Times New Roman"/>
              </w:rPr>
            </w:pPr>
            <w:r>
              <w:rPr>
                <w:rFonts w:ascii="Calibri" w:hAnsi="Calibri" w:cs="Times New Roman"/>
              </w:rPr>
              <w:t>0.009%</w:t>
            </w:r>
          </w:p>
        </w:tc>
        <w:tc>
          <w:tcPr>
            <w:tcW w:w="1520" w:type="dxa"/>
            <w:tcBorders>
              <w:top w:val="nil"/>
              <w:left w:val="nil"/>
              <w:bottom w:val="single" w:sz="4" w:space="0" w:color="auto"/>
              <w:right w:val="single" w:sz="4" w:space="0" w:color="auto"/>
            </w:tcBorders>
            <w:vAlign w:val="bottom"/>
            <w:hideMark/>
          </w:tcPr>
          <w:p w14:paraId="1FE2C9B9" w14:textId="7F7D8A99" w:rsidR="0070545B" w:rsidRDefault="0070545B" w:rsidP="0070545B">
            <w:pPr>
              <w:spacing w:after="0" w:line="240" w:lineRule="auto"/>
              <w:jc w:val="center"/>
              <w:rPr>
                <w:rFonts w:ascii="Calibri" w:hAnsi="Calibri" w:cs="Times New Roman"/>
              </w:rPr>
            </w:pPr>
            <w:r w:rsidRPr="0070545B">
              <w:rPr>
                <w:rFonts w:ascii="Calibri" w:hAnsi="Calibri" w:cs="Times New Roman"/>
              </w:rPr>
              <w:t>0.081% </w:t>
            </w:r>
          </w:p>
        </w:tc>
        <w:tc>
          <w:tcPr>
            <w:tcW w:w="1560" w:type="dxa"/>
            <w:tcBorders>
              <w:top w:val="nil"/>
              <w:left w:val="nil"/>
              <w:bottom w:val="single" w:sz="4" w:space="0" w:color="auto"/>
              <w:right w:val="single" w:sz="4" w:space="0" w:color="auto"/>
            </w:tcBorders>
            <w:vAlign w:val="bottom"/>
          </w:tcPr>
          <w:p w14:paraId="5A618DEE" w14:textId="499968AC" w:rsidR="0070545B" w:rsidRDefault="0070545B" w:rsidP="0070545B">
            <w:pPr>
              <w:spacing w:after="0" w:line="240" w:lineRule="auto"/>
              <w:jc w:val="center"/>
              <w:rPr>
                <w:rFonts w:ascii="Calibri" w:hAnsi="Calibri" w:cs="Times New Roman"/>
              </w:rPr>
            </w:pPr>
            <w:r w:rsidRPr="0070545B">
              <w:rPr>
                <w:rFonts w:ascii="Calibri" w:hAnsi="Calibri" w:cs="Times New Roman"/>
              </w:rPr>
              <w:t>0.015% </w:t>
            </w:r>
          </w:p>
        </w:tc>
      </w:tr>
      <w:tr w:rsidR="0070545B" w14:paraId="2867AC4B" w14:textId="77777777" w:rsidTr="0070545B">
        <w:trPr>
          <w:trHeight w:val="300"/>
        </w:trPr>
        <w:tc>
          <w:tcPr>
            <w:tcW w:w="265" w:type="dxa"/>
            <w:tcBorders>
              <w:top w:val="nil"/>
              <w:left w:val="single" w:sz="4" w:space="0" w:color="auto"/>
              <w:bottom w:val="single" w:sz="4" w:space="0" w:color="auto"/>
              <w:right w:val="nil"/>
            </w:tcBorders>
            <w:vAlign w:val="bottom"/>
            <w:hideMark/>
          </w:tcPr>
          <w:p w14:paraId="5F87F30E" w14:textId="77777777" w:rsidR="0070545B" w:rsidRDefault="0070545B" w:rsidP="0070545B">
            <w:pPr>
              <w:spacing w:after="0" w:line="240" w:lineRule="auto"/>
              <w:rPr>
                <w:rFonts w:ascii="Calibri" w:hAnsi="Calibri" w:cs="Times New Roman"/>
              </w:rPr>
            </w:pPr>
            <w:r>
              <w:rPr>
                <w:rFonts w:ascii="Calibri" w:hAnsi="Calibri" w:cs="Times New Roman"/>
              </w:rPr>
              <w:lastRenderedPageBreak/>
              <w:t> </w:t>
            </w:r>
          </w:p>
        </w:tc>
        <w:tc>
          <w:tcPr>
            <w:tcW w:w="4447" w:type="dxa"/>
            <w:tcBorders>
              <w:top w:val="nil"/>
              <w:left w:val="nil"/>
              <w:bottom w:val="single" w:sz="4" w:space="0" w:color="auto"/>
              <w:right w:val="single" w:sz="4" w:space="0" w:color="auto"/>
            </w:tcBorders>
            <w:vAlign w:val="bottom"/>
            <w:hideMark/>
          </w:tcPr>
          <w:p w14:paraId="7D84489C" w14:textId="77777777" w:rsidR="0070545B" w:rsidRDefault="0070545B" w:rsidP="0070545B">
            <w:pPr>
              <w:spacing w:after="0" w:line="240" w:lineRule="auto"/>
              <w:rPr>
                <w:rFonts w:ascii="Calibri" w:hAnsi="Calibri" w:cs="Times New Roman"/>
              </w:rPr>
            </w:pPr>
            <w:r>
              <w:rPr>
                <w:rFonts w:ascii="Calibri" w:hAnsi="Calibri" w:cs="Times New Roman"/>
              </w:rPr>
              <w:t>Male, 55-59 years</w:t>
            </w:r>
          </w:p>
        </w:tc>
        <w:tc>
          <w:tcPr>
            <w:tcW w:w="1134" w:type="dxa"/>
            <w:tcBorders>
              <w:top w:val="nil"/>
              <w:left w:val="nil"/>
              <w:bottom w:val="single" w:sz="4" w:space="0" w:color="auto"/>
              <w:right w:val="single" w:sz="4" w:space="0" w:color="auto"/>
            </w:tcBorders>
            <w:vAlign w:val="bottom"/>
            <w:hideMark/>
          </w:tcPr>
          <w:p w14:paraId="56E2716C" w14:textId="77777777" w:rsidR="0070545B" w:rsidRDefault="0070545B" w:rsidP="0070545B">
            <w:pPr>
              <w:spacing w:after="0" w:line="240" w:lineRule="auto"/>
              <w:jc w:val="center"/>
              <w:rPr>
                <w:rFonts w:ascii="Calibri" w:hAnsi="Calibri" w:cs="Times New Roman"/>
              </w:rPr>
            </w:pPr>
            <w:r>
              <w:rPr>
                <w:rFonts w:ascii="Calibri" w:hAnsi="Calibri" w:cs="Times New Roman"/>
              </w:rPr>
              <w:t>0.009%</w:t>
            </w:r>
          </w:p>
        </w:tc>
        <w:tc>
          <w:tcPr>
            <w:tcW w:w="1520" w:type="dxa"/>
            <w:tcBorders>
              <w:top w:val="nil"/>
              <w:left w:val="nil"/>
              <w:bottom w:val="single" w:sz="4" w:space="0" w:color="auto"/>
              <w:right w:val="single" w:sz="4" w:space="0" w:color="auto"/>
            </w:tcBorders>
            <w:vAlign w:val="bottom"/>
            <w:hideMark/>
          </w:tcPr>
          <w:p w14:paraId="482613AD" w14:textId="0E3B103D" w:rsidR="0070545B" w:rsidRDefault="0070545B" w:rsidP="0070545B">
            <w:pPr>
              <w:spacing w:after="0" w:line="240" w:lineRule="auto"/>
              <w:jc w:val="center"/>
              <w:rPr>
                <w:rFonts w:ascii="Calibri" w:hAnsi="Calibri" w:cs="Times New Roman"/>
              </w:rPr>
            </w:pPr>
            <w:r w:rsidRPr="0070545B">
              <w:rPr>
                <w:rFonts w:ascii="Calibri" w:hAnsi="Calibri" w:cs="Times New Roman"/>
              </w:rPr>
              <w:t>0.049% </w:t>
            </w:r>
          </w:p>
        </w:tc>
        <w:tc>
          <w:tcPr>
            <w:tcW w:w="1560" w:type="dxa"/>
            <w:tcBorders>
              <w:top w:val="nil"/>
              <w:left w:val="nil"/>
              <w:bottom w:val="single" w:sz="4" w:space="0" w:color="auto"/>
              <w:right w:val="single" w:sz="4" w:space="0" w:color="auto"/>
            </w:tcBorders>
            <w:vAlign w:val="bottom"/>
          </w:tcPr>
          <w:p w14:paraId="77CDACB6" w14:textId="1D516F98" w:rsidR="0070545B" w:rsidRDefault="0070545B" w:rsidP="0070545B">
            <w:pPr>
              <w:spacing w:after="0" w:line="240" w:lineRule="auto"/>
              <w:jc w:val="center"/>
              <w:rPr>
                <w:rFonts w:ascii="Calibri" w:hAnsi="Calibri" w:cs="Times New Roman"/>
              </w:rPr>
            </w:pPr>
            <w:r w:rsidRPr="0070545B">
              <w:rPr>
                <w:rFonts w:ascii="Calibri" w:hAnsi="Calibri" w:cs="Times New Roman"/>
              </w:rPr>
              <w:t>0.008% </w:t>
            </w:r>
          </w:p>
        </w:tc>
      </w:tr>
      <w:tr w:rsidR="0070545B" w14:paraId="270337C0" w14:textId="77777777" w:rsidTr="0070545B">
        <w:trPr>
          <w:trHeight w:val="300"/>
        </w:trPr>
        <w:tc>
          <w:tcPr>
            <w:tcW w:w="265" w:type="dxa"/>
            <w:tcBorders>
              <w:top w:val="nil"/>
              <w:left w:val="single" w:sz="4" w:space="0" w:color="auto"/>
              <w:bottom w:val="single" w:sz="4" w:space="0" w:color="auto"/>
              <w:right w:val="nil"/>
            </w:tcBorders>
            <w:vAlign w:val="bottom"/>
            <w:hideMark/>
          </w:tcPr>
          <w:p w14:paraId="2C497B8F"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A15ED46" w14:textId="77777777" w:rsidR="0070545B" w:rsidRDefault="0070545B" w:rsidP="0070545B">
            <w:pPr>
              <w:spacing w:after="0" w:line="240" w:lineRule="auto"/>
              <w:rPr>
                <w:rFonts w:ascii="Calibri" w:hAnsi="Calibri" w:cs="Times New Roman"/>
              </w:rPr>
            </w:pPr>
            <w:r>
              <w:rPr>
                <w:rFonts w:ascii="Calibri" w:hAnsi="Calibri" w:cs="Times New Roman"/>
              </w:rPr>
              <w:t>Male, 60-64 years</w:t>
            </w:r>
          </w:p>
        </w:tc>
        <w:tc>
          <w:tcPr>
            <w:tcW w:w="1134" w:type="dxa"/>
            <w:tcBorders>
              <w:top w:val="nil"/>
              <w:left w:val="nil"/>
              <w:bottom w:val="single" w:sz="4" w:space="0" w:color="auto"/>
              <w:right w:val="single" w:sz="4" w:space="0" w:color="auto"/>
            </w:tcBorders>
            <w:vAlign w:val="bottom"/>
            <w:hideMark/>
          </w:tcPr>
          <w:p w14:paraId="563C657A" w14:textId="77777777" w:rsidR="0070545B" w:rsidRDefault="0070545B" w:rsidP="0070545B">
            <w:pPr>
              <w:spacing w:after="0" w:line="240" w:lineRule="auto"/>
              <w:jc w:val="center"/>
              <w:rPr>
                <w:rFonts w:ascii="Calibri" w:hAnsi="Calibri" w:cs="Times New Roman"/>
              </w:rPr>
            </w:pPr>
            <w:r>
              <w:rPr>
                <w:rFonts w:ascii="Calibri" w:hAnsi="Calibri" w:cs="Times New Roman"/>
              </w:rPr>
              <w:t>0.009%</w:t>
            </w:r>
          </w:p>
        </w:tc>
        <w:tc>
          <w:tcPr>
            <w:tcW w:w="1520" w:type="dxa"/>
            <w:tcBorders>
              <w:top w:val="nil"/>
              <w:left w:val="nil"/>
              <w:bottom w:val="single" w:sz="4" w:space="0" w:color="auto"/>
              <w:right w:val="single" w:sz="4" w:space="0" w:color="auto"/>
            </w:tcBorders>
            <w:vAlign w:val="bottom"/>
            <w:hideMark/>
          </w:tcPr>
          <w:p w14:paraId="660DEB5C" w14:textId="0AEAA2FE" w:rsidR="0070545B" w:rsidRDefault="0070545B" w:rsidP="0070545B">
            <w:pPr>
              <w:spacing w:after="0" w:line="240" w:lineRule="auto"/>
              <w:jc w:val="center"/>
              <w:rPr>
                <w:rFonts w:ascii="Calibri" w:hAnsi="Calibri" w:cs="Times New Roman"/>
              </w:rPr>
            </w:pPr>
            <w:r w:rsidRPr="0070545B">
              <w:rPr>
                <w:rFonts w:ascii="Calibri" w:hAnsi="Calibri" w:cs="Times New Roman"/>
              </w:rPr>
              <w:t>0.049% </w:t>
            </w:r>
          </w:p>
        </w:tc>
        <w:tc>
          <w:tcPr>
            <w:tcW w:w="1560" w:type="dxa"/>
            <w:tcBorders>
              <w:top w:val="nil"/>
              <w:left w:val="nil"/>
              <w:bottom w:val="single" w:sz="4" w:space="0" w:color="auto"/>
              <w:right w:val="single" w:sz="4" w:space="0" w:color="auto"/>
            </w:tcBorders>
            <w:vAlign w:val="bottom"/>
          </w:tcPr>
          <w:p w14:paraId="3F0B13CB" w14:textId="5832DD47" w:rsidR="0070545B" w:rsidRDefault="0070545B" w:rsidP="0070545B">
            <w:pPr>
              <w:spacing w:after="0" w:line="240" w:lineRule="auto"/>
              <w:jc w:val="center"/>
              <w:rPr>
                <w:rFonts w:ascii="Calibri" w:hAnsi="Calibri" w:cs="Times New Roman"/>
              </w:rPr>
            </w:pPr>
            <w:r w:rsidRPr="0070545B">
              <w:rPr>
                <w:rFonts w:ascii="Calibri" w:hAnsi="Calibri" w:cs="Times New Roman"/>
              </w:rPr>
              <w:t>0.008% </w:t>
            </w:r>
          </w:p>
        </w:tc>
      </w:tr>
      <w:tr w:rsidR="0070545B" w14:paraId="645E19E8" w14:textId="77777777" w:rsidTr="0070545B">
        <w:trPr>
          <w:trHeight w:val="300"/>
        </w:trPr>
        <w:tc>
          <w:tcPr>
            <w:tcW w:w="265" w:type="dxa"/>
            <w:tcBorders>
              <w:top w:val="nil"/>
              <w:left w:val="single" w:sz="4" w:space="0" w:color="auto"/>
              <w:bottom w:val="single" w:sz="4" w:space="0" w:color="auto"/>
              <w:right w:val="nil"/>
            </w:tcBorders>
            <w:vAlign w:val="bottom"/>
            <w:hideMark/>
          </w:tcPr>
          <w:p w14:paraId="417E94E5"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022EE5B" w14:textId="77777777" w:rsidR="0070545B" w:rsidRDefault="0070545B" w:rsidP="0070545B">
            <w:pPr>
              <w:spacing w:after="0" w:line="240" w:lineRule="auto"/>
              <w:rPr>
                <w:rFonts w:ascii="Calibri" w:hAnsi="Calibri" w:cs="Times New Roman"/>
              </w:rPr>
            </w:pPr>
            <w:r>
              <w:rPr>
                <w:rFonts w:ascii="Calibri" w:hAnsi="Calibri" w:cs="Times New Roman"/>
              </w:rPr>
              <w:t>Male, 65-69 years</w:t>
            </w:r>
          </w:p>
        </w:tc>
        <w:tc>
          <w:tcPr>
            <w:tcW w:w="1134" w:type="dxa"/>
            <w:tcBorders>
              <w:top w:val="nil"/>
              <w:left w:val="nil"/>
              <w:bottom w:val="single" w:sz="4" w:space="0" w:color="auto"/>
              <w:right w:val="single" w:sz="4" w:space="0" w:color="auto"/>
            </w:tcBorders>
            <w:vAlign w:val="bottom"/>
            <w:hideMark/>
          </w:tcPr>
          <w:p w14:paraId="471EF8BE" w14:textId="77777777" w:rsidR="0070545B" w:rsidRDefault="0070545B" w:rsidP="0070545B">
            <w:pPr>
              <w:spacing w:after="0" w:line="240" w:lineRule="auto"/>
              <w:jc w:val="center"/>
              <w:rPr>
                <w:rFonts w:ascii="Calibri" w:hAnsi="Calibri" w:cs="Times New Roman"/>
              </w:rPr>
            </w:pPr>
            <w:r>
              <w:rPr>
                <w:rFonts w:ascii="Calibri" w:hAnsi="Calibri" w:cs="Times New Roman"/>
              </w:rPr>
              <w:t>0.009%</w:t>
            </w:r>
          </w:p>
        </w:tc>
        <w:tc>
          <w:tcPr>
            <w:tcW w:w="1520" w:type="dxa"/>
            <w:tcBorders>
              <w:top w:val="nil"/>
              <w:left w:val="nil"/>
              <w:bottom w:val="single" w:sz="4" w:space="0" w:color="auto"/>
              <w:right w:val="single" w:sz="4" w:space="0" w:color="auto"/>
            </w:tcBorders>
            <w:vAlign w:val="bottom"/>
            <w:hideMark/>
          </w:tcPr>
          <w:p w14:paraId="0A396925" w14:textId="667BB1E7" w:rsidR="0070545B" w:rsidRDefault="0070545B" w:rsidP="0070545B">
            <w:pPr>
              <w:spacing w:after="0" w:line="240" w:lineRule="auto"/>
              <w:jc w:val="center"/>
              <w:rPr>
                <w:rFonts w:ascii="Calibri" w:hAnsi="Calibri" w:cs="Times New Roman"/>
              </w:rPr>
            </w:pPr>
            <w:r w:rsidRPr="0070545B">
              <w:rPr>
                <w:rFonts w:ascii="Calibri" w:hAnsi="Calibri" w:cs="Times New Roman"/>
              </w:rPr>
              <w:t>0.049% </w:t>
            </w:r>
          </w:p>
        </w:tc>
        <w:tc>
          <w:tcPr>
            <w:tcW w:w="1560" w:type="dxa"/>
            <w:tcBorders>
              <w:top w:val="nil"/>
              <w:left w:val="nil"/>
              <w:bottom w:val="single" w:sz="4" w:space="0" w:color="auto"/>
              <w:right w:val="single" w:sz="4" w:space="0" w:color="auto"/>
            </w:tcBorders>
            <w:vAlign w:val="bottom"/>
          </w:tcPr>
          <w:p w14:paraId="578354EE" w14:textId="325FDC70" w:rsidR="0070545B" w:rsidRDefault="0070545B" w:rsidP="0070545B">
            <w:pPr>
              <w:spacing w:after="0" w:line="240" w:lineRule="auto"/>
              <w:jc w:val="center"/>
              <w:rPr>
                <w:rFonts w:ascii="Calibri" w:hAnsi="Calibri" w:cs="Times New Roman"/>
              </w:rPr>
            </w:pPr>
            <w:r w:rsidRPr="0070545B">
              <w:rPr>
                <w:rFonts w:ascii="Calibri" w:hAnsi="Calibri" w:cs="Times New Roman"/>
              </w:rPr>
              <w:t>0.008% </w:t>
            </w:r>
          </w:p>
        </w:tc>
      </w:tr>
      <w:tr w:rsidR="0070545B" w14:paraId="761435F3" w14:textId="77777777" w:rsidTr="0070545B">
        <w:trPr>
          <w:trHeight w:val="300"/>
        </w:trPr>
        <w:tc>
          <w:tcPr>
            <w:tcW w:w="265" w:type="dxa"/>
            <w:tcBorders>
              <w:top w:val="nil"/>
              <w:left w:val="single" w:sz="4" w:space="0" w:color="auto"/>
              <w:bottom w:val="single" w:sz="4" w:space="0" w:color="auto"/>
              <w:right w:val="nil"/>
            </w:tcBorders>
            <w:vAlign w:val="bottom"/>
            <w:hideMark/>
          </w:tcPr>
          <w:p w14:paraId="0914C542"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7CE01EA2" w14:textId="77777777" w:rsidR="0070545B" w:rsidRDefault="0070545B" w:rsidP="0070545B">
            <w:pPr>
              <w:spacing w:after="0" w:line="240" w:lineRule="auto"/>
              <w:rPr>
                <w:rFonts w:ascii="Calibri" w:hAnsi="Calibri" w:cs="Times New Roman"/>
              </w:rPr>
            </w:pPr>
            <w:r>
              <w:rPr>
                <w:rFonts w:ascii="Calibri" w:hAnsi="Calibri" w:cs="Times New Roman"/>
              </w:rPr>
              <w:t>Male, 70-74 years</w:t>
            </w:r>
          </w:p>
        </w:tc>
        <w:tc>
          <w:tcPr>
            <w:tcW w:w="1134" w:type="dxa"/>
            <w:tcBorders>
              <w:top w:val="nil"/>
              <w:left w:val="nil"/>
              <w:bottom w:val="single" w:sz="4" w:space="0" w:color="auto"/>
              <w:right w:val="single" w:sz="4" w:space="0" w:color="auto"/>
            </w:tcBorders>
            <w:vAlign w:val="bottom"/>
            <w:hideMark/>
          </w:tcPr>
          <w:p w14:paraId="3D042CC1" w14:textId="77777777" w:rsidR="0070545B" w:rsidRDefault="0070545B" w:rsidP="0070545B">
            <w:pPr>
              <w:spacing w:after="0" w:line="240" w:lineRule="auto"/>
              <w:jc w:val="center"/>
              <w:rPr>
                <w:rFonts w:ascii="Calibri" w:hAnsi="Calibri" w:cs="Times New Roman"/>
              </w:rPr>
            </w:pPr>
            <w:r>
              <w:rPr>
                <w:rFonts w:ascii="Calibri" w:hAnsi="Calibri" w:cs="Times New Roman"/>
              </w:rPr>
              <w:t>0.009%</w:t>
            </w:r>
          </w:p>
        </w:tc>
        <w:tc>
          <w:tcPr>
            <w:tcW w:w="1520" w:type="dxa"/>
            <w:tcBorders>
              <w:top w:val="nil"/>
              <w:left w:val="nil"/>
              <w:bottom w:val="single" w:sz="4" w:space="0" w:color="auto"/>
              <w:right w:val="single" w:sz="4" w:space="0" w:color="auto"/>
            </w:tcBorders>
            <w:vAlign w:val="bottom"/>
            <w:hideMark/>
          </w:tcPr>
          <w:p w14:paraId="6435C459" w14:textId="3264DDA2" w:rsidR="0070545B" w:rsidRDefault="0070545B" w:rsidP="0070545B">
            <w:pPr>
              <w:spacing w:after="0" w:line="240" w:lineRule="auto"/>
              <w:jc w:val="center"/>
              <w:rPr>
                <w:rFonts w:ascii="Calibri" w:hAnsi="Calibri" w:cs="Times New Roman"/>
              </w:rPr>
            </w:pPr>
            <w:r w:rsidRPr="0070545B">
              <w:rPr>
                <w:rFonts w:ascii="Calibri" w:hAnsi="Calibri" w:cs="Times New Roman"/>
              </w:rPr>
              <w:t>0.049% </w:t>
            </w:r>
          </w:p>
        </w:tc>
        <w:tc>
          <w:tcPr>
            <w:tcW w:w="1560" w:type="dxa"/>
            <w:tcBorders>
              <w:top w:val="nil"/>
              <w:left w:val="nil"/>
              <w:bottom w:val="single" w:sz="4" w:space="0" w:color="auto"/>
              <w:right w:val="single" w:sz="4" w:space="0" w:color="auto"/>
            </w:tcBorders>
            <w:vAlign w:val="bottom"/>
          </w:tcPr>
          <w:p w14:paraId="7DBA7B2C" w14:textId="229880E4" w:rsidR="0070545B" w:rsidRDefault="0070545B" w:rsidP="0070545B">
            <w:pPr>
              <w:spacing w:after="0" w:line="240" w:lineRule="auto"/>
              <w:jc w:val="center"/>
              <w:rPr>
                <w:rFonts w:ascii="Calibri" w:hAnsi="Calibri" w:cs="Times New Roman"/>
              </w:rPr>
            </w:pPr>
            <w:r w:rsidRPr="0070545B">
              <w:rPr>
                <w:rFonts w:ascii="Calibri" w:hAnsi="Calibri" w:cs="Times New Roman"/>
              </w:rPr>
              <w:t>0.008% </w:t>
            </w:r>
          </w:p>
        </w:tc>
      </w:tr>
      <w:tr w:rsidR="0070545B" w14:paraId="58C6DDB1" w14:textId="77777777" w:rsidTr="0070545B">
        <w:trPr>
          <w:trHeight w:val="300"/>
        </w:trPr>
        <w:tc>
          <w:tcPr>
            <w:tcW w:w="265" w:type="dxa"/>
            <w:tcBorders>
              <w:top w:val="nil"/>
              <w:left w:val="single" w:sz="4" w:space="0" w:color="auto"/>
              <w:bottom w:val="single" w:sz="4" w:space="0" w:color="auto"/>
              <w:right w:val="nil"/>
            </w:tcBorders>
            <w:vAlign w:val="bottom"/>
            <w:hideMark/>
          </w:tcPr>
          <w:p w14:paraId="0066ABEF"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7DDE9EA7" w14:textId="77777777" w:rsidR="0070545B" w:rsidRDefault="0070545B" w:rsidP="0070545B">
            <w:pPr>
              <w:spacing w:after="0" w:line="240" w:lineRule="auto"/>
              <w:rPr>
                <w:rFonts w:ascii="Calibri" w:hAnsi="Calibri" w:cs="Times New Roman"/>
              </w:rPr>
            </w:pPr>
            <w:r>
              <w:rPr>
                <w:rFonts w:ascii="Calibri" w:hAnsi="Calibri" w:cs="Times New Roman"/>
              </w:rPr>
              <w:t>Male, 75+ years</w:t>
            </w:r>
          </w:p>
        </w:tc>
        <w:tc>
          <w:tcPr>
            <w:tcW w:w="1134" w:type="dxa"/>
            <w:tcBorders>
              <w:top w:val="nil"/>
              <w:left w:val="nil"/>
              <w:bottom w:val="single" w:sz="4" w:space="0" w:color="auto"/>
              <w:right w:val="single" w:sz="4" w:space="0" w:color="auto"/>
            </w:tcBorders>
            <w:vAlign w:val="bottom"/>
            <w:hideMark/>
          </w:tcPr>
          <w:p w14:paraId="60795AAA" w14:textId="77777777" w:rsidR="0070545B" w:rsidRDefault="0070545B" w:rsidP="0070545B">
            <w:pPr>
              <w:spacing w:after="0" w:line="240" w:lineRule="auto"/>
              <w:jc w:val="center"/>
              <w:rPr>
                <w:rFonts w:ascii="Calibri" w:hAnsi="Calibri" w:cs="Times New Roman"/>
              </w:rPr>
            </w:pPr>
            <w:r>
              <w:rPr>
                <w:rFonts w:ascii="Calibri" w:hAnsi="Calibri" w:cs="Times New Roman"/>
              </w:rPr>
              <w:t>0.009%</w:t>
            </w:r>
          </w:p>
        </w:tc>
        <w:tc>
          <w:tcPr>
            <w:tcW w:w="1520" w:type="dxa"/>
            <w:tcBorders>
              <w:top w:val="nil"/>
              <w:left w:val="nil"/>
              <w:bottom w:val="single" w:sz="4" w:space="0" w:color="auto"/>
              <w:right w:val="single" w:sz="4" w:space="0" w:color="auto"/>
            </w:tcBorders>
            <w:vAlign w:val="bottom"/>
            <w:hideMark/>
          </w:tcPr>
          <w:p w14:paraId="2A98067F" w14:textId="62976D36" w:rsidR="0070545B" w:rsidRDefault="0070545B" w:rsidP="0070545B">
            <w:pPr>
              <w:spacing w:after="0" w:line="240" w:lineRule="auto"/>
              <w:jc w:val="center"/>
              <w:rPr>
                <w:rFonts w:ascii="Calibri" w:hAnsi="Calibri" w:cs="Times New Roman"/>
              </w:rPr>
            </w:pPr>
            <w:r w:rsidRPr="0070545B">
              <w:rPr>
                <w:rFonts w:ascii="Calibri" w:hAnsi="Calibri" w:cs="Times New Roman"/>
              </w:rPr>
              <w:t>0.049% </w:t>
            </w:r>
          </w:p>
        </w:tc>
        <w:tc>
          <w:tcPr>
            <w:tcW w:w="1560" w:type="dxa"/>
            <w:tcBorders>
              <w:top w:val="nil"/>
              <w:left w:val="nil"/>
              <w:bottom w:val="single" w:sz="4" w:space="0" w:color="auto"/>
              <w:right w:val="single" w:sz="4" w:space="0" w:color="auto"/>
            </w:tcBorders>
            <w:vAlign w:val="bottom"/>
          </w:tcPr>
          <w:p w14:paraId="253E0EB4" w14:textId="4F957A40" w:rsidR="0070545B" w:rsidRDefault="0070545B" w:rsidP="0070545B">
            <w:pPr>
              <w:spacing w:after="0" w:line="240" w:lineRule="auto"/>
              <w:jc w:val="center"/>
              <w:rPr>
                <w:rFonts w:ascii="Calibri" w:hAnsi="Calibri" w:cs="Times New Roman"/>
              </w:rPr>
            </w:pPr>
            <w:r w:rsidRPr="0070545B">
              <w:rPr>
                <w:rFonts w:ascii="Calibri" w:hAnsi="Calibri" w:cs="Times New Roman"/>
              </w:rPr>
              <w:t>0.008% </w:t>
            </w:r>
          </w:p>
        </w:tc>
      </w:tr>
      <w:tr w:rsidR="0070545B" w14:paraId="19EE072B" w14:textId="77777777" w:rsidTr="0070545B">
        <w:trPr>
          <w:trHeight w:val="300"/>
        </w:trPr>
        <w:tc>
          <w:tcPr>
            <w:tcW w:w="265" w:type="dxa"/>
            <w:tcBorders>
              <w:top w:val="nil"/>
              <w:left w:val="single" w:sz="4" w:space="0" w:color="auto"/>
              <w:bottom w:val="single" w:sz="4" w:space="0" w:color="auto"/>
              <w:right w:val="nil"/>
            </w:tcBorders>
            <w:vAlign w:val="bottom"/>
            <w:hideMark/>
          </w:tcPr>
          <w:p w14:paraId="6033A205"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7DB8809" w14:textId="77777777" w:rsidR="0070545B" w:rsidRDefault="0070545B" w:rsidP="0070545B">
            <w:pPr>
              <w:spacing w:after="0" w:line="240" w:lineRule="auto"/>
              <w:rPr>
                <w:rFonts w:ascii="Calibri" w:hAnsi="Calibri" w:cs="Times New Roman"/>
              </w:rPr>
            </w:pPr>
            <w:r>
              <w:rPr>
                <w:rFonts w:ascii="Calibri" w:hAnsi="Calibri" w:cs="Times New Roman"/>
              </w:rPr>
              <w:t>Female, 20-39 years</w:t>
            </w:r>
          </w:p>
        </w:tc>
        <w:tc>
          <w:tcPr>
            <w:tcW w:w="1134" w:type="dxa"/>
            <w:tcBorders>
              <w:top w:val="nil"/>
              <w:left w:val="nil"/>
              <w:bottom w:val="single" w:sz="4" w:space="0" w:color="auto"/>
              <w:right w:val="single" w:sz="4" w:space="0" w:color="auto"/>
            </w:tcBorders>
            <w:vAlign w:val="bottom"/>
            <w:hideMark/>
          </w:tcPr>
          <w:p w14:paraId="7BFEA286" w14:textId="77777777" w:rsidR="0070545B" w:rsidRDefault="0070545B" w:rsidP="0070545B">
            <w:pPr>
              <w:spacing w:after="0" w:line="240" w:lineRule="auto"/>
              <w:jc w:val="center"/>
              <w:rPr>
                <w:rFonts w:ascii="Calibri" w:hAnsi="Calibri" w:cs="Times New Roman"/>
              </w:rPr>
            </w:pPr>
            <w:r>
              <w:rPr>
                <w:rFonts w:ascii="Calibri" w:hAnsi="Calibri" w:cs="Times New Roman"/>
              </w:rPr>
              <w:t>0.067%</w:t>
            </w:r>
          </w:p>
        </w:tc>
        <w:tc>
          <w:tcPr>
            <w:tcW w:w="1520" w:type="dxa"/>
            <w:tcBorders>
              <w:top w:val="nil"/>
              <w:left w:val="nil"/>
              <w:bottom w:val="single" w:sz="4" w:space="0" w:color="auto"/>
              <w:right w:val="single" w:sz="4" w:space="0" w:color="auto"/>
            </w:tcBorders>
            <w:vAlign w:val="bottom"/>
            <w:hideMark/>
          </w:tcPr>
          <w:p w14:paraId="72ADE60A" w14:textId="664596E4" w:rsidR="0070545B" w:rsidRDefault="0070545B" w:rsidP="0070545B">
            <w:pPr>
              <w:spacing w:after="0" w:line="240" w:lineRule="auto"/>
              <w:jc w:val="center"/>
              <w:rPr>
                <w:rFonts w:ascii="Calibri" w:hAnsi="Calibri" w:cs="Times New Roman"/>
              </w:rPr>
            </w:pPr>
            <w:r w:rsidRPr="0070545B">
              <w:rPr>
                <w:rFonts w:ascii="Calibri" w:hAnsi="Calibri" w:cs="Times New Roman"/>
              </w:rPr>
              <w:t>0.117% </w:t>
            </w:r>
          </w:p>
        </w:tc>
        <w:tc>
          <w:tcPr>
            <w:tcW w:w="1560" w:type="dxa"/>
            <w:tcBorders>
              <w:top w:val="nil"/>
              <w:left w:val="nil"/>
              <w:bottom w:val="single" w:sz="4" w:space="0" w:color="auto"/>
              <w:right w:val="single" w:sz="4" w:space="0" w:color="auto"/>
            </w:tcBorders>
            <w:vAlign w:val="bottom"/>
          </w:tcPr>
          <w:p w14:paraId="145EF51D" w14:textId="347FD7C5" w:rsidR="0070545B" w:rsidRDefault="0070545B" w:rsidP="0070545B">
            <w:pPr>
              <w:spacing w:after="0" w:line="240" w:lineRule="auto"/>
              <w:jc w:val="center"/>
              <w:rPr>
                <w:rFonts w:ascii="Calibri" w:hAnsi="Calibri" w:cs="Times New Roman"/>
              </w:rPr>
            </w:pPr>
            <w:r w:rsidRPr="0070545B">
              <w:rPr>
                <w:rFonts w:ascii="Calibri" w:hAnsi="Calibri" w:cs="Times New Roman"/>
              </w:rPr>
              <w:t>0.045% </w:t>
            </w:r>
          </w:p>
        </w:tc>
      </w:tr>
      <w:tr w:rsidR="0070545B" w14:paraId="44E1317E" w14:textId="77777777" w:rsidTr="0070545B">
        <w:trPr>
          <w:trHeight w:val="300"/>
        </w:trPr>
        <w:tc>
          <w:tcPr>
            <w:tcW w:w="265" w:type="dxa"/>
            <w:tcBorders>
              <w:top w:val="nil"/>
              <w:left w:val="single" w:sz="4" w:space="0" w:color="auto"/>
              <w:bottom w:val="single" w:sz="4" w:space="0" w:color="auto"/>
              <w:right w:val="nil"/>
            </w:tcBorders>
            <w:vAlign w:val="bottom"/>
            <w:hideMark/>
          </w:tcPr>
          <w:p w14:paraId="5B95C7D9"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C20B7C3" w14:textId="77777777" w:rsidR="0070545B" w:rsidRDefault="0070545B" w:rsidP="0070545B">
            <w:pPr>
              <w:spacing w:after="0" w:line="240" w:lineRule="auto"/>
              <w:rPr>
                <w:rFonts w:ascii="Calibri" w:hAnsi="Calibri" w:cs="Times New Roman"/>
              </w:rPr>
            </w:pPr>
            <w:r>
              <w:rPr>
                <w:rFonts w:ascii="Calibri" w:hAnsi="Calibri" w:cs="Times New Roman"/>
              </w:rPr>
              <w:t>Female, 40-49 years</w:t>
            </w:r>
          </w:p>
        </w:tc>
        <w:tc>
          <w:tcPr>
            <w:tcW w:w="1134" w:type="dxa"/>
            <w:tcBorders>
              <w:top w:val="nil"/>
              <w:left w:val="nil"/>
              <w:bottom w:val="single" w:sz="4" w:space="0" w:color="auto"/>
              <w:right w:val="single" w:sz="4" w:space="0" w:color="auto"/>
            </w:tcBorders>
            <w:vAlign w:val="bottom"/>
            <w:hideMark/>
          </w:tcPr>
          <w:p w14:paraId="2E3664D8" w14:textId="77777777" w:rsidR="0070545B" w:rsidRDefault="0070545B" w:rsidP="0070545B">
            <w:pPr>
              <w:spacing w:after="0" w:line="240" w:lineRule="auto"/>
              <w:jc w:val="center"/>
              <w:rPr>
                <w:rFonts w:ascii="Calibri" w:hAnsi="Calibri" w:cs="Times New Roman"/>
              </w:rPr>
            </w:pPr>
            <w:r>
              <w:rPr>
                <w:rFonts w:ascii="Calibri" w:hAnsi="Calibri" w:cs="Times New Roman"/>
              </w:rPr>
              <w:t>0.023%</w:t>
            </w:r>
          </w:p>
        </w:tc>
        <w:tc>
          <w:tcPr>
            <w:tcW w:w="1520" w:type="dxa"/>
            <w:tcBorders>
              <w:top w:val="nil"/>
              <w:left w:val="nil"/>
              <w:bottom w:val="single" w:sz="4" w:space="0" w:color="auto"/>
              <w:right w:val="single" w:sz="4" w:space="0" w:color="auto"/>
            </w:tcBorders>
            <w:vAlign w:val="bottom"/>
            <w:hideMark/>
          </w:tcPr>
          <w:p w14:paraId="77C7845D" w14:textId="16BAA6B6" w:rsidR="0070545B" w:rsidRDefault="0070545B" w:rsidP="0070545B">
            <w:pPr>
              <w:spacing w:after="0" w:line="240" w:lineRule="auto"/>
              <w:jc w:val="center"/>
              <w:rPr>
                <w:rFonts w:ascii="Calibri" w:hAnsi="Calibri" w:cs="Times New Roman"/>
              </w:rPr>
            </w:pPr>
            <w:r w:rsidRPr="0070545B">
              <w:rPr>
                <w:rFonts w:ascii="Calibri" w:hAnsi="Calibri" w:cs="Times New Roman"/>
              </w:rPr>
              <w:t>0.079% </w:t>
            </w:r>
          </w:p>
        </w:tc>
        <w:tc>
          <w:tcPr>
            <w:tcW w:w="1560" w:type="dxa"/>
            <w:tcBorders>
              <w:top w:val="nil"/>
              <w:left w:val="nil"/>
              <w:bottom w:val="single" w:sz="4" w:space="0" w:color="auto"/>
              <w:right w:val="single" w:sz="4" w:space="0" w:color="auto"/>
            </w:tcBorders>
            <w:vAlign w:val="bottom"/>
          </w:tcPr>
          <w:p w14:paraId="3C2DD215" w14:textId="27857756" w:rsidR="0070545B" w:rsidRDefault="0070545B" w:rsidP="0070545B">
            <w:pPr>
              <w:spacing w:after="0" w:line="240" w:lineRule="auto"/>
              <w:jc w:val="center"/>
              <w:rPr>
                <w:rFonts w:ascii="Calibri" w:hAnsi="Calibri" w:cs="Times New Roman"/>
              </w:rPr>
            </w:pPr>
            <w:r w:rsidRPr="0070545B">
              <w:rPr>
                <w:rFonts w:ascii="Calibri" w:hAnsi="Calibri" w:cs="Times New Roman"/>
              </w:rPr>
              <w:t>0.022% </w:t>
            </w:r>
          </w:p>
        </w:tc>
      </w:tr>
      <w:tr w:rsidR="0070545B" w14:paraId="62EC8389" w14:textId="77777777" w:rsidTr="0070545B">
        <w:trPr>
          <w:trHeight w:val="300"/>
        </w:trPr>
        <w:tc>
          <w:tcPr>
            <w:tcW w:w="265" w:type="dxa"/>
            <w:tcBorders>
              <w:top w:val="nil"/>
              <w:left w:val="single" w:sz="4" w:space="0" w:color="auto"/>
              <w:bottom w:val="single" w:sz="4" w:space="0" w:color="auto"/>
              <w:right w:val="nil"/>
            </w:tcBorders>
            <w:vAlign w:val="bottom"/>
            <w:hideMark/>
          </w:tcPr>
          <w:p w14:paraId="0E347BA7"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E787715" w14:textId="77777777" w:rsidR="0070545B" w:rsidRDefault="0070545B" w:rsidP="0070545B">
            <w:pPr>
              <w:spacing w:after="0" w:line="240" w:lineRule="auto"/>
              <w:rPr>
                <w:rFonts w:ascii="Calibri" w:hAnsi="Calibri" w:cs="Times New Roman"/>
              </w:rPr>
            </w:pPr>
            <w:r>
              <w:rPr>
                <w:rFonts w:ascii="Calibri" w:hAnsi="Calibri" w:cs="Times New Roman"/>
              </w:rPr>
              <w:t>Female, 50-54 years</w:t>
            </w:r>
          </w:p>
        </w:tc>
        <w:tc>
          <w:tcPr>
            <w:tcW w:w="1134" w:type="dxa"/>
            <w:tcBorders>
              <w:top w:val="nil"/>
              <w:left w:val="nil"/>
              <w:bottom w:val="single" w:sz="4" w:space="0" w:color="auto"/>
              <w:right w:val="single" w:sz="4" w:space="0" w:color="auto"/>
            </w:tcBorders>
            <w:vAlign w:val="bottom"/>
            <w:hideMark/>
          </w:tcPr>
          <w:p w14:paraId="3E7D2A0F" w14:textId="77777777" w:rsidR="0070545B" w:rsidRDefault="0070545B" w:rsidP="0070545B">
            <w:pPr>
              <w:spacing w:after="0" w:line="240" w:lineRule="auto"/>
              <w:jc w:val="center"/>
              <w:rPr>
                <w:rFonts w:ascii="Calibri" w:hAnsi="Calibri" w:cs="Times New Roman"/>
              </w:rPr>
            </w:pPr>
            <w:r>
              <w:rPr>
                <w:rFonts w:ascii="Calibri" w:hAnsi="Calibri" w:cs="Times New Roman"/>
              </w:rPr>
              <w:t>0.007%</w:t>
            </w:r>
          </w:p>
        </w:tc>
        <w:tc>
          <w:tcPr>
            <w:tcW w:w="1520" w:type="dxa"/>
            <w:tcBorders>
              <w:top w:val="nil"/>
              <w:left w:val="nil"/>
              <w:bottom w:val="single" w:sz="4" w:space="0" w:color="auto"/>
              <w:right w:val="single" w:sz="4" w:space="0" w:color="auto"/>
            </w:tcBorders>
            <w:vAlign w:val="bottom"/>
            <w:hideMark/>
          </w:tcPr>
          <w:p w14:paraId="62C35B96" w14:textId="119A4D97" w:rsidR="0070545B" w:rsidRDefault="0070545B" w:rsidP="0070545B">
            <w:pPr>
              <w:spacing w:after="0" w:line="240" w:lineRule="auto"/>
              <w:jc w:val="center"/>
              <w:rPr>
                <w:rFonts w:ascii="Calibri" w:hAnsi="Calibri" w:cs="Times New Roman"/>
              </w:rPr>
            </w:pPr>
            <w:r w:rsidRPr="0070545B">
              <w:rPr>
                <w:rFonts w:ascii="Calibri" w:hAnsi="Calibri" w:cs="Times New Roman"/>
              </w:rPr>
              <w:t>0.056% </w:t>
            </w:r>
          </w:p>
        </w:tc>
        <w:tc>
          <w:tcPr>
            <w:tcW w:w="1560" w:type="dxa"/>
            <w:tcBorders>
              <w:top w:val="nil"/>
              <w:left w:val="nil"/>
              <w:bottom w:val="single" w:sz="4" w:space="0" w:color="auto"/>
              <w:right w:val="single" w:sz="4" w:space="0" w:color="auto"/>
            </w:tcBorders>
            <w:vAlign w:val="bottom"/>
          </w:tcPr>
          <w:p w14:paraId="7B9D7709" w14:textId="463FDEC1" w:rsidR="0070545B" w:rsidRDefault="0070545B" w:rsidP="0070545B">
            <w:pPr>
              <w:spacing w:after="0" w:line="240" w:lineRule="auto"/>
              <w:jc w:val="center"/>
              <w:rPr>
                <w:rFonts w:ascii="Calibri" w:hAnsi="Calibri" w:cs="Times New Roman"/>
              </w:rPr>
            </w:pPr>
            <w:r w:rsidRPr="0070545B">
              <w:rPr>
                <w:rFonts w:ascii="Calibri" w:hAnsi="Calibri" w:cs="Times New Roman"/>
              </w:rPr>
              <w:t>0.011% </w:t>
            </w:r>
          </w:p>
        </w:tc>
      </w:tr>
      <w:tr w:rsidR="0070545B" w14:paraId="2AC7E1F4" w14:textId="77777777" w:rsidTr="0070545B">
        <w:trPr>
          <w:trHeight w:val="300"/>
        </w:trPr>
        <w:tc>
          <w:tcPr>
            <w:tcW w:w="265" w:type="dxa"/>
            <w:tcBorders>
              <w:top w:val="nil"/>
              <w:left w:val="single" w:sz="4" w:space="0" w:color="auto"/>
              <w:bottom w:val="single" w:sz="4" w:space="0" w:color="auto"/>
              <w:right w:val="nil"/>
            </w:tcBorders>
            <w:vAlign w:val="bottom"/>
            <w:hideMark/>
          </w:tcPr>
          <w:p w14:paraId="267F14EF"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7452D975" w14:textId="77777777" w:rsidR="0070545B" w:rsidRDefault="0070545B" w:rsidP="0070545B">
            <w:pPr>
              <w:spacing w:after="0" w:line="240" w:lineRule="auto"/>
              <w:rPr>
                <w:rFonts w:ascii="Calibri" w:hAnsi="Calibri" w:cs="Times New Roman"/>
              </w:rPr>
            </w:pPr>
            <w:r>
              <w:rPr>
                <w:rFonts w:ascii="Calibri" w:hAnsi="Calibri" w:cs="Times New Roman"/>
              </w:rPr>
              <w:t>Female, 55-59 years</w:t>
            </w:r>
          </w:p>
        </w:tc>
        <w:tc>
          <w:tcPr>
            <w:tcW w:w="1134" w:type="dxa"/>
            <w:tcBorders>
              <w:top w:val="nil"/>
              <w:left w:val="nil"/>
              <w:bottom w:val="single" w:sz="4" w:space="0" w:color="auto"/>
              <w:right w:val="single" w:sz="4" w:space="0" w:color="auto"/>
            </w:tcBorders>
            <w:vAlign w:val="bottom"/>
            <w:hideMark/>
          </w:tcPr>
          <w:p w14:paraId="296D4608" w14:textId="77777777" w:rsidR="0070545B" w:rsidRDefault="0070545B" w:rsidP="0070545B">
            <w:pPr>
              <w:spacing w:after="0" w:line="240" w:lineRule="auto"/>
              <w:jc w:val="center"/>
              <w:rPr>
                <w:rFonts w:ascii="Calibri" w:hAnsi="Calibri" w:cs="Times New Roman"/>
              </w:rPr>
            </w:pPr>
            <w:r>
              <w:rPr>
                <w:rFonts w:ascii="Calibri" w:hAnsi="Calibri" w:cs="Times New Roman"/>
              </w:rPr>
              <w:t>0.006%</w:t>
            </w:r>
          </w:p>
        </w:tc>
        <w:tc>
          <w:tcPr>
            <w:tcW w:w="1520" w:type="dxa"/>
            <w:tcBorders>
              <w:top w:val="nil"/>
              <w:left w:val="nil"/>
              <w:bottom w:val="single" w:sz="4" w:space="0" w:color="auto"/>
              <w:right w:val="single" w:sz="4" w:space="0" w:color="auto"/>
            </w:tcBorders>
            <w:vAlign w:val="bottom"/>
            <w:hideMark/>
          </w:tcPr>
          <w:p w14:paraId="6024635E" w14:textId="679F598B" w:rsidR="0070545B" w:rsidRDefault="0070545B" w:rsidP="0070545B">
            <w:pPr>
              <w:spacing w:after="0" w:line="240" w:lineRule="auto"/>
              <w:jc w:val="center"/>
              <w:rPr>
                <w:rFonts w:ascii="Calibri" w:hAnsi="Calibri" w:cs="Times New Roman"/>
              </w:rPr>
            </w:pPr>
            <w:r w:rsidRPr="0070545B">
              <w:rPr>
                <w:rFonts w:ascii="Calibri" w:hAnsi="Calibri" w:cs="Times New Roman"/>
              </w:rPr>
              <w:t>0.035% </w:t>
            </w:r>
          </w:p>
        </w:tc>
        <w:tc>
          <w:tcPr>
            <w:tcW w:w="1560" w:type="dxa"/>
            <w:tcBorders>
              <w:top w:val="nil"/>
              <w:left w:val="nil"/>
              <w:bottom w:val="single" w:sz="4" w:space="0" w:color="auto"/>
              <w:right w:val="single" w:sz="4" w:space="0" w:color="auto"/>
            </w:tcBorders>
            <w:vAlign w:val="bottom"/>
          </w:tcPr>
          <w:p w14:paraId="6F04EB68" w14:textId="1B517B04" w:rsidR="0070545B" w:rsidRDefault="0070545B" w:rsidP="0070545B">
            <w:pPr>
              <w:spacing w:after="0" w:line="240" w:lineRule="auto"/>
              <w:jc w:val="center"/>
              <w:rPr>
                <w:rFonts w:ascii="Calibri" w:hAnsi="Calibri" w:cs="Times New Roman"/>
              </w:rPr>
            </w:pPr>
            <w:r w:rsidRPr="0070545B">
              <w:rPr>
                <w:rFonts w:ascii="Calibri" w:hAnsi="Calibri" w:cs="Times New Roman"/>
              </w:rPr>
              <w:t>0.006% </w:t>
            </w:r>
          </w:p>
        </w:tc>
      </w:tr>
      <w:tr w:rsidR="0070545B" w14:paraId="11225088" w14:textId="77777777" w:rsidTr="0070545B">
        <w:trPr>
          <w:trHeight w:val="300"/>
        </w:trPr>
        <w:tc>
          <w:tcPr>
            <w:tcW w:w="265" w:type="dxa"/>
            <w:tcBorders>
              <w:top w:val="nil"/>
              <w:left w:val="single" w:sz="4" w:space="0" w:color="auto"/>
              <w:bottom w:val="single" w:sz="4" w:space="0" w:color="auto"/>
              <w:right w:val="nil"/>
            </w:tcBorders>
            <w:vAlign w:val="bottom"/>
            <w:hideMark/>
          </w:tcPr>
          <w:p w14:paraId="51341A24"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56DBC260" w14:textId="77777777" w:rsidR="0070545B" w:rsidRDefault="0070545B" w:rsidP="0070545B">
            <w:pPr>
              <w:spacing w:after="0" w:line="240" w:lineRule="auto"/>
              <w:rPr>
                <w:rFonts w:ascii="Calibri" w:hAnsi="Calibri" w:cs="Times New Roman"/>
              </w:rPr>
            </w:pPr>
            <w:r>
              <w:rPr>
                <w:rFonts w:ascii="Calibri" w:hAnsi="Calibri" w:cs="Times New Roman"/>
              </w:rPr>
              <w:t>Female, 60-64 years</w:t>
            </w:r>
          </w:p>
        </w:tc>
        <w:tc>
          <w:tcPr>
            <w:tcW w:w="1134" w:type="dxa"/>
            <w:tcBorders>
              <w:top w:val="nil"/>
              <w:left w:val="nil"/>
              <w:bottom w:val="single" w:sz="4" w:space="0" w:color="auto"/>
              <w:right w:val="single" w:sz="4" w:space="0" w:color="auto"/>
            </w:tcBorders>
            <w:vAlign w:val="bottom"/>
            <w:hideMark/>
          </w:tcPr>
          <w:p w14:paraId="47BCBAE9" w14:textId="77777777" w:rsidR="0070545B" w:rsidRDefault="0070545B" w:rsidP="0070545B">
            <w:pPr>
              <w:spacing w:after="0" w:line="240" w:lineRule="auto"/>
              <w:jc w:val="center"/>
              <w:rPr>
                <w:rFonts w:ascii="Calibri" w:hAnsi="Calibri" w:cs="Times New Roman"/>
              </w:rPr>
            </w:pPr>
            <w:r>
              <w:rPr>
                <w:rFonts w:ascii="Calibri" w:hAnsi="Calibri" w:cs="Times New Roman"/>
              </w:rPr>
              <w:t>0.006%</w:t>
            </w:r>
          </w:p>
        </w:tc>
        <w:tc>
          <w:tcPr>
            <w:tcW w:w="1520" w:type="dxa"/>
            <w:tcBorders>
              <w:top w:val="nil"/>
              <w:left w:val="nil"/>
              <w:bottom w:val="single" w:sz="4" w:space="0" w:color="auto"/>
              <w:right w:val="single" w:sz="4" w:space="0" w:color="auto"/>
            </w:tcBorders>
            <w:vAlign w:val="bottom"/>
            <w:hideMark/>
          </w:tcPr>
          <w:p w14:paraId="2E5B54E9" w14:textId="673B1278" w:rsidR="0070545B" w:rsidRDefault="0070545B" w:rsidP="0070545B">
            <w:pPr>
              <w:spacing w:after="0" w:line="240" w:lineRule="auto"/>
              <w:jc w:val="center"/>
              <w:rPr>
                <w:rFonts w:ascii="Calibri" w:hAnsi="Calibri" w:cs="Times New Roman"/>
              </w:rPr>
            </w:pPr>
            <w:r w:rsidRPr="0070545B">
              <w:rPr>
                <w:rFonts w:ascii="Calibri" w:hAnsi="Calibri" w:cs="Times New Roman"/>
              </w:rPr>
              <w:t>0.035% </w:t>
            </w:r>
          </w:p>
        </w:tc>
        <w:tc>
          <w:tcPr>
            <w:tcW w:w="1560" w:type="dxa"/>
            <w:tcBorders>
              <w:top w:val="nil"/>
              <w:left w:val="nil"/>
              <w:bottom w:val="single" w:sz="4" w:space="0" w:color="auto"/>
              <w:right w:val="single" w:sz="4" w:space="0" w:color="auto"/>
            </w:tcBorders>
            <w:vAlign w:val="bottom"/>
          </w:tcPr>
          <w:p w14:paraId="00D54770" w14:textId="1FE90752" w:rsidR="0070545B" w:rsidRDefault="0070545B" w:rsidP="0070545B">
            <w:pPr>
              <w:spacing w:after="0" w:line="240" w:lineRule="auto"/>
              <w:jc w:val="center"/>
              <w:rPr>
                <w:rFonts w:ascii="Calibri" w:hAnsi="Calibri" w:cs="Times New Roman"/>
              </w:rPr>
            </w:pPr>
            <w:r w:rsidRPr="0070545B">
              <w:rPr>
                <w:rFonts w:ascii="Calibri" w:hAnsi="Calibri" w:cs="Times New Roman"/>
              </w:rPr>
              <w:t>0.006% </w:t>
            </w:r>
          </w:p>
        </w:tc>
      </w:tr>
      <w:tr w:rsidR="0070545B" w14:paraId="770939E5" w14:textId="77777777" w:rsidTr="0070545B">
        <w:trPr>
          <w:trHeight w:val="300"/>
        </w:trPr>
        <w:tc>
          <w:tcPr>
            <w:tcW w:w="265" w:type="dxa"/>
            <w:tcBorders>
              <w:top w:val="nil"/>
              <w:left w:val="single" w:sz="4" w:space="0" w:color="auto"/>
              <w:bottom w:val="single" w:sz="4" w:space="0" w:color="auto"/>
              <w:right w:val="nil"/>
            </w:tcBorders>
            <w:vAlign w:val="bottom"/>
            <w:hideMark/>
          </w:tcPr>
          <w:p w14:paraId="6C7837C3"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5B002EAF" w14:textId="77777777" w:rsidR="0070545B" w:rsidRDefault="0070545B" w:rsidP="0070545B">
            <w:pPr>
              <w:spacing w:after="0" w:line="240" w:lineRule="auto"/>
              <w:rPr>
                <w:rFonts w:ascii="Calibri" w:hAnsi="Calibri" w:cs="Times New Roman"/>
              </w:rPr>
            </w:pPr>
            <w:r>
              <w:rPr>
                <w:rFonts w:ascii="Calibri" w:hAnsi="Calibri" w:cs="Times New Roman"/>
              </w:rPr>
              <w:t>Female, 65-69 years</w:t>
            </w:r>
          </w:p>
        </w:tc>
        <w:tc>
          <w:tcPr>
            <w:tcW w:w="1134" w:type="dxa"/>
            <w:tcBorders>
              <w:top w:val="nil"/>
              <w:left w:val="nil"/>
              <w:bottom w:val="single" w:sz="4" w:space="0" w:color="auto"/>
              <w:right w:val="single" w:sz="4" w:space="0" w:color="auto"/>
            </w:tcBorders>
            <w:vAlign w:val="bottom"/>
            <w:hideMark/>
          </w:tcPr>
          <w:p w14:paraId="310BD4F4" w14:textId="77777777" w:rsidR="0070545B" w:rsidRDefault="0070545B" w:rsidP="0070545B">
            <w:pPr>
              <w:spacing w:after="0" w:line="240" w:lineRule="auto"/>
              <w:jc w:val="center"/>
              <w:rPr>
                <w:rFonts w:ascii="Calibri" w:hAnsi="Calibri" w:cs="Times New Roman"/>
              </w:rPr>
            </w:pPr>
            <w:r>
              <w:rPr>
                <w:rFonts w:ascii="Calibri" w:hAnsi="Calibri" w:cs="Times New Roman"/>
              </w:rPr>
              <w:t>0.007%</w:t>
            </w:r>
          </w:p>
        </w:tc>
        <w:tc>
          <w:tcPr>
            <w:tcW w:w="1520" w:type="dxa"/>
            <w:tcBorders>
              <w:top w:val="nil"/>
              <w:left w:val="nil"/>
              <w:bottom w:val="single" w:sz="4" w:space="0" w:color="auto"/>
              <w:right w:val="single" w:sz="4" w:space="0" w:color="auto"/>
            </w:tcBorders>
            <w:vAlign w:val="bottom"/>
            <w:hideMark/>
          </w:tcPr>
          <w:p w14:paraId="2DF56544" w14:textId="604071CA" w:rsidR="0070545B" w:rsidRDefault="0070545B" w:rsidP="0070545B">
            <w:pPr>
              <w:spacing w:after="0" w:line="240" w:lineRule="auto"/>
              <w:jc w:val="center"/>
              <w:rPr>
                <w:rFonts w:ascii="Calibri" w:hAnsi="Calibri" w:cs="Times New Roman"/>
              </w:rPr>
            </w:pPr>
            <w:r w:rsidRPr="0070545B">
              <w:rPr>
                <w:rFonts w:ascii="Calibri" w:hAnsi="Calibri" w:cs="Times New Roman"/>
              </w:rPr>
              <w:t>0.036% </w:t>
            </w:r>
          </w:p>
        </w:tc>
        <w:tc>
          <w:tcPr>
            <w:tcW w:w="1560" w:type="dxa"/>
            <w:tcBorders>
              <w:top w:val="nil"/>
              <w:left w:val="nil"/>
              <w:bottom w:val="single" w:sz="4" w:space="0" w:color="auto"/>
              <w:right w:val="single" w:sz="4" w:space="0" w:color="auto"/>
            </w:tcBorders>
            <w:vAlign w:val="bottom"/>
          </w:tcPr>
          <w:p w14:paraId="3A3AA643" w14:textId="49CA977A" w:rsidR="0070545B" w:rsidRDefault="0070545B" w:rsidP="0070545B">
            <w:pPr>
              <w:spacing w:after="0" w:line="240" w:lineRule="auto"/>
              <w:jc w:val="center"/>
              <w:rPr>
                <w:rFonts w:ascii="Calibri" w:hAnsi="Calibri" w:cs="Times New Roman"/>
              </w:rPr>
            </w:pPr>
            <w:r w:rsidRPr="0070545B">
              <w:rPr>
                <w:rFonts w:ascii="Calibri" w:hAnsi="Calibri" w:cs="Times New Roman"/>
              </w:rPr>
              <w:t>0.006% </w:t>
            </w:r>
          </w:p>
        </w:tc>
      </w:tr>
      <w:tr w:rsidR="0070545B" w14:paraId="0A5E7605" w14:textId="77777777" w:rsidTr="0070545B">
        <w:trPr>
          <w:trHeight w:val="300"/>
        </w:trPr>
        <w:tc>
          <w:tcPr>
            <w:tcW w:w="265" w:type="dxa"/>
            <w:tcBorders>
              <w:top w:val="nil"/>
              <w:left w:val="single" w:sz="4" w:space="0" w:color="auto"/>
              <w:bottom w:val="single" w:sz="4" w:space="0" w:color="auto"/>
              <w:right w:val="nil"/>
            </w:tcBorders>
            <w:vAlign w:val="bottom"/>
            <w:hideMark/>
          </w:tcPr>
          <w:p w14:paraId="37FEF310"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ABF83CE" w14:textId="77777777" w:rsidR="0070545B" w:rsidRDefault="0070545B" w:rsidP="0070545B">
            <w:pPr>
              <w:spacing w:after="0" w:line="240" w:lineRule="auto"/>
              <w:rPr>
                <w:rFonts w:ascii="Calibri" w:hAnsi="Calibri" w:cs="Times New Roman"/>
              </w:rPr>
            </w:pPr>
            <w:r>
              <w:rPr>
                <w:rFonts w:ascii="Calibri" w:hAnsi="Calibri" w:cs="Times New Roman"/>
              </w:rPr>
              <w:t>Female, 70-74 years</w:t>
            </w:r>
          </w:p>
        </w:tc>
        <w:tc>
          <w:tcPr>
            <w:tcW w:w="1134" w:type="dxa"/>
            <w:tcBorders>
              <w:top w:val="nil"/>
              <w:left w:val="nil"/>
              <w:bottom w:val="single" w:sz="4" w:space="0" w:color="auto"/>
              <w:right w:val="single" w:sz="4" w:space="0" w:color="auto"/>
            </w:tcBorders>
            <w:vAlign w:val="bottom"/>
            <w:hideMark/>
          </w:tcPr>
          <w:p w14:paraId="30304B41" w14:textId="77777777" w:rsidR="0070545B" w:rsidRDefault="0070545B" w:rsidP="0070545B">
            <w:pPr>
              <w:spacing w:after="0" w:line="240" w:lineRule="auto"/>
              <w:jc w:val="center"/>
              <w:rPr>
                <w:rFonts w:ascii="Calibri" w:hAnsi="Calibri" w:cs="Times New Roman"/>
              </w:rPr>
            </w:pPr>
            <w:r>
              <w:rPr>
                <w:rFonts w:ascii="Calibri" w:hAnsi="Calibri" w:cs="Times New Roman"/>
              </w:rPr>
              <w:t>0.007%</w:t>
            </w:r>
          </w:p>
        </w:tc>
        <w:tc>
          <w:tcPr>
            <w:tcW w:w="1520" w:type="dxa"/>
            <w:tcBorders>
              <w:top w:val="nil"/>
              <w:left w:val="nil"/>
              <w:bottom w:val="single" w:sz="4" w:space="0" w:color="auto"/>
              <w:right w:val="single" w:sz="4" w:space="0" w:color="auto"/>
            </w:tcBorders>
            <w:vAlign w:val="bottom"/>
            <w:hideMark/>
          </w:tcPr>
          <w:p w14:paraId="47C3D926" w14:textId="235A3750" w:rsidR="0070545B" w:rsidRDefault="0070545B" w:rsidP="0070545B">
            <w:pPr>
              <w:spacing w:after="0" w:line="240" w:lineRule="auto"/>
              <w:jc w:val="center"/>
              <w:rPr>
                <w:rFonts w:ascii="Calibri" w:hAnsi="Calibri" w:cs="Times New Roman"/>
              </w:rPr>
            </w:pPr>
            <w:r w:rsidRPr="0070545B">
              <w:rPr>
                <w:rFonts w:ascii="Calibri" w:hAnsi="Calibri" w:cs="Times New Roman"/>
              </w:rPr>
              <w:t>0.036% </w:t>
            </w:r>
          </w:p>
        </w:tc>
        <w:tc>
          <w:tcPr>
            <w:tcW w:w="1560" w:type="dxa"/>
            <w:tcBorders>
              <w:top w:val="nil"/>
              <w:left w:val="nil"/>
              <w:bottom w:val="single" w:sz="4" w:space="0" w:color="auto"/>
              <w:right w:val="single" w:sz="4" w:space="0" w:color="auto"/>
            </w:tcBorders>
            <w:vAlign w:val="bottom"/>
          </w:tcPr>
          <w:p w14:paraId="3F6E6D28" w14:textId="7C21F01E" w:rsidR="0070545B" w:rsidRDefault="0070545B" w:rsidP="0070545B">
            <w:pPr>
              <w:spacing w:after="0" w:line="240" w:lineRule="auto"/>
              <w:jc w:val="center"/>
              <w:rPr>
                <w:rFonts w:ascii="Calibri" w:hAnsi="Calibri" w:cs="Times New Roman"/>
              </w:rPr>
            </w:pPr>
            <w:r w:rsidRPr="0070545B">
              <w:rPr>
                <w:rFonts w:ascii="Calibri" w:hAnsi="Calibri" w:cs="Times New Roman"/>
              </w:rPr>
              <w:t>0.006% </w:t>
            </w:r>
          </w:p>
        </w:tc>
      </w:tr>
      <w:tr w:rsidR="0070545B" w14:paraId="548AD419" w14:textId="77777777" w:rsidTr="0070545B">
        <w:trPr>
          <w:trHeight w:val="300"/>
        </w:trPr>
        <w:tc>
          <w:tcPr>
            <w:tcW w:w="265" w:type="dxa"/>
            <w:tcBorders>
              <w:top w:val="nil"/>
              <w:left w:val="single" w:sz="4" w:space="0" w:color="auto"/>
              <w:bottom w:val="single" w:sz="4" w:space="0" w:color="auto"/>
              <w:right w:val="nil"/>
            </w:tcBorders>
            <w:vAlign w:val="bottom"/>
            <w:hideMark/>
          </w:tcPr>
          <w:p w14:paraId="64E2532A"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599D58AF" w14:textId="77777777" w:rsidR="0070545B" w:rsidRDefault="0070545B" w:rsidP="0070545B">
            <w:pPr>
              <w:spacing w:after="0" w:line="240" w:lineRule="auto"/>
              <w:rPr>
                <w:rFonts w:ascii="Calibri" w:hAnsi="Calibri" w:cs="Times New Roman"/>
              </w:rPr>
            </w:pPr>
            <w:r>
              <w:rPr>
                <w:rFonts w:ascii="Calibri" w:hAnsi="Calibri" w:cs="Times New Roman"/>
              </w:rPr>
              <w:t>Female, 75+ years</w:t>
            </w:r>
          </w:p>
        </w:tc>
        <w:tc>
          <w:tcPr>
            <w:tcW w:w="1134" w:type="dxa"/>
            <w:tcBorders>
              <w:top w:val="nil"/>
              <w:left w:val="nil"/>
              <w:bottom w:val="single" w:sz="4" w:space="0" w:color="auto"/>
              <w:right w:val="single" w:sz="4" w:space="0" w:color="auto"/>
            </w:tcBorders>
            <w:vAlign w:val="bottom"/>
            <w:hideMark/>
          </w:tcPr>
          <w:p w14:paraId="04601708" w14:textId="77777777" w:rsidR="0070545B" w:rsidRDefault="0070545B" w:rsidP="0070545B">
            <w:pPr>
              <w:spacing w:after="0" w:line="240" w:lineRule="auto"/>
              <w:jc w:val="center"/>
              <w:rPr>
                <w:rFonts w:ascii="Calibri" w:hAnsi="Calibri" w:cs="Times New Roman"/>
              </w:rPr>
            </w:pPr>
            <w:r>
              <w:rPr>
                <w:rFonts w:ascii="Calibri" w:hAnsi="Calibri" w:cs="Times New Roman"/>
              </w:rPr>
              <w:t>0.007%</w:t>
            </w:r>
          </w:p>
        </w:tc>
        <w:tc>
          <w:tcPr>
            <w:tcW w:w="1520" w:type="dxa"/>
            <w:tcBorders>
              <w:top w:val="nil"/>
              <w:left w:val="nil"/>
              <w:bottom w:val="single" w:sz="4" w:space="0" w:color="auto"/>
              <w:right w:val="single" w:sz="4" w:space="0" w:color="auto"/>
            </w:tcBorders>
            <w:vAlign w:val="bottom"/>
            <w:hideMark/>
          </w:tcPr>
          <w:p w14:paraId="75603F22" w14:textId="5708C53D" w:rsidR="0070545B" w:rsidRDefault="0070545B" w:rsidP="0070545B">
            <w:pPr>
              <w:spacing w:after="0" w:line="240" w:lineRule="auto"/>
              <w:jc w:val="center"/>
              <w:rPr>
                <w:rFonts w:ascii="Calibri" w:hAnsi="Calibri" w:cs="Times New Roman"/>
              </w:rPr>
            </w:pPr>
            <w:r w:rsidRPr="0070545B">
              <w:rPr>
                <w:rFonts w:ascii="Calibri" w:hAnsi="Calibri" w:cs="Times New Roman"/>
              </w:rPr>
              <w:t>0.036% </w:t>
            </w:r>
          </w:p>
        </w:tc>
        <w:tc>
          <w:tcPr>
            <w:tcW w:w="1560" w:type="dxa"/>
            <w:tcBorders>
              <w:top w:val="nil"/>
              <w:left w:val="nil"/>
              <w:bottom w:val="single" w:sz="4" w:space="0" w:color="auto"/>
              <w:right w:val="single" w:sz="4" w:space="0" w:color="auto"/>
            </w:tcBorders>
            <w:vAlign w:val="bottom"/>
          </w:tcPr>
          <w:p w14:paraId="0862E228" w14:textId="3D05B612" w:rsidR="0070545B" w:rsidRDefault="0070545B" w:rsidP="0070545B">
            <w:pPr>
              <w:spacing w:after="0" w:line="240" w:lineRule="auto"/>
              <w:jc w:val="center"/>
              <w:rPr>
                <w:rFonts w:ascii="Calibri" w:hAnsi="Calibri" w:cs="Times New Roman"/>
              </w:rPr>
            </w:pPr>
            <w:r w:rsidRPr="0070545B">
              <w:rPr>
                <w:rFonts w:ascii="Calibri" w:hAnsi="Calibri" w:cs="Times New Roman"/>
              </w:rPr>
              <w:t>0.006% </w:t>
            </w:r>
          </w:p>
        </w:tc>
      </w:tr>
      <w:tr w:rsidR="00F73ADF" w14:paraId="0E1C9D9E"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749EE0A2" w14:textId="4FFB9242" w:rsidR="00F73ADF" w:rsidRDefault="00F73ADF" w:rsidP="00F42F36">
            <w:pPr>
              <w:spacing w:after="0" w:line="240" w:lineRule="auto"/>
              <w:rPr>
                <w:rFonts w:ascii="Calibri" w:hAnsi="Calibri" w:cs="Times New Roman"/>
                <w:i/>
                <w:iCs/>
              </w:rPr>
            </w:pPr>
            <w:r>
              <w:rPr>
                <w:rFonts w:ascii="Calibri" w:hAnsi="Calibri" w:cs="Times New Roman"/>
                <w:i/>
                <w:iCs/>
              </w:rPr>
              <w:t>Hyperplastic polyps size progression and regression rate</w:t>
            </w:r>
            <w:r>
              <w:rPr>
                <w:rFonts w:ascii="Calibri" w:hAnsi="Calibri" w:cs="Times New Roman"/>
                <w:i/>
                <w:iCs/>
                <w:vertAlign w:val="superscript"/>
              </w:rPr>
              <w:t xml:space="preserve"> a</w:t>
            </w:r>
          </w:p>
        </w:tc>
      </w:tr>
      <w:tr w:rsidR="0070545B" w14:paraId="7AD0680E" w14:textId="77777777" w:rsidTr="0070545B">
        <w:trPr>
          <w:trHeight w:val="300"/>
        </w:trPr>
        <w:tc>
          <w:tcPr>
            <w:tcW w:w="265" w:type="dxa"/>
            <w:tcBorders>
              <w:top w:val="nil"/>
              <w:left w:val="single" w:sz="4" w:space="0" w:color="auto"/>
              <w:bottom w:val="single" w:sz="4" w:space="0" w:color="auto"/>
              <w:right w:val="nil"/>
            </w:tcBorders>
            <w:vAlign w:val="bottom"/>
            <w:hideMark/>
          </w:tcPr>
          <w:p w14:paraId="7AD76620"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475CE84" w14:textId="77777777" w:rsidR="0070545B" w:rsidRDefault="0070545B" w:rsidP="0070545B">
            <w:pPr>
              <w:spacing w:after="0" w:line="240" w:lineRule="auto"/>
              <w:rPr>
                <w:rFonts w:ascii="Calibri" w:hAnsi="Calibri" w:cs="Times New Roman"/>
              </w:rPr>
            </w:pPr>
            <w:r>
              <w:rPr>
                <w:rFonts w:ascii="Calibri" w:hAnsi="Calibri" w:cs="Times New Roman"/>
              </w:rPr>
              <w:t>Progress from small (&lt;10 mm) to large (&gt;=10 mm) size</w:t>
            </w:r>
          </w:p>
        </w:tc>
        <w:tc>
          <w:tcPr>
            <w:tcW w:w="1134" w:type="dxa"/>
            <w:tcBorders>
              <w:top w:val="nil"/>
              <w:left w:val="nil"/>
              <w:bottom w:val="single" w:sz="4" w:space="0" w:color="auto"/>
              <w:right w:val="single" w:sz="4" w:space="0" w:color="auto"/>
            </w:tcBorders>
            <w:vAlign w:val="bottom"/>
            <w:hideMark/>
          </w:tcPr>
          <w:p w14:paraId="26805F38" w14:textId="77777777" w:rsidR="0070545B" w:rsidRDefault="0070545B" w:rsidP="0070545B">
            <w:pPr>
              <w:spacing w:after="0" w:line="240" w:lineRule="auto"/>
              <w:jc w:val="center"/>
              <w:rPr>
                <w:rFonts w:ascii="Calibri" w:hAnsi="Calibri" w:cs="Times New Roman"/>
              </w:rPr>
            </w:pPr>
            <w:r>
              <w:rPr>
                <w:rFonts w:ascii="Calibri" w:hAnsi="Calibri" w:cs="Times New Roman"/>
              </w:rPr>
              <w:t>2%</w:t>
            </w:r>
          </w:p>
        </w:tc>
        <w:tc>
          <w:tcPr>
            <w:tcW w:w="1520" w:type="dxa"/>
            <w:tcBorders>
              <w:top w:val="nil"/>
              <w:left w:val="nil"/>
              <w:bottom w:val="single" w:sz="4" w:space="0" w:color="auto"/>
              <w:right w:val="single" w:sz="4" w:space="0" w:color="auto"/>
            </w:tcBorders>
            <w:vAlign w:val="bottom"/>
            <w:hideMark/>
          </w:tcPr>
          <w:p w14:paraId="25D1A2D7" w14:textId="06839273" w:rsidR="0070545B" w:rsidRDefault="0070545B" w:rsidP="0070545B">
            <w:pPr>
              <w:spacing w:after="0" w:line="240" w:lineRule="auto"/>
              <w:jc w:val="center"/>
              <w:rPr>
                <w:rFonts w:ascii="Calibri" w:hAnsi="Calibri" w:cs="Times New Roman"/>
              </w:rPr>
            </w:pPr>
            <w:r w:rsidRPr="0070545B">
              <w:rPr>
                <w:rFonts w:ascii="Calibri" w:hAnsi="Calibri" w:cs="Times New Roman"/>
              </w:rPr>
              <w:t>3% </w:t>
            </w:r>
          </w:p>
        </w:tc>
        <w:tc>
          <w:tcPr>
            <w:tcW w:w="1560" w:type="dxa"/>
            <w:tcBorders>
              <w:top w:val="nil"/>
              <w:left w:val="nil"/>
              <w:bottom w:val="single" w:sz="4" w:space="0" w:color="auto"/>
              <w:right w:val="single" w:sz="4" w:space="0" w:color="auto"/>
            </w:tcBorders>
            <w:vAlign w:val="bottom"/>
          </w:tcPr>
          <w:p w14:paraId="7660CE1F" w14:textId="0EE1E6A0" w:rsidR="0070545B" w:rsidRDefault="0070545B" w:rsidP="0070545B">
            <w:pPr>
              <w:spacing w:after="0" w:line="240" w:lineRule="auto"/>
              <w:jc w:val="center"/>
              <w:rPr>
                <w:rFonts w:ascii="Calibri" w:hAnsi="Calibri" w:cs="Times New Roman"/>
              </w:rPr>
            </w:pPr>
            <w:r w:rsidRPr="0070545B">
              <w:rPr>
                <w:rFonts w:ascii="Calibri" w:hAnsi="Calibri" w:cs="Times New Roman"/>
              </w:rPr>
              <w:t>1% </w:t>
            </w:r>
          </w:p>
        </w:tc>
      </w:tr>
      <w:tr w:rsidR="0070545B" w14:paraId="07F5363C" w14:textId="77777777" w:rsidTr="0070545B">
        <w:trPr>
          <w:trHeight w:val="300"/>
        </w:trPr>
        <w:tc>
          <w:tcPr>
            <w:tcW w:w="265" w:type="dxa"/>
            <w:tcBorders>
              <w:top w:val="nil"/>
              <w:left w:val="single" w:sz="4" w:space="0" w:color="auto"/>
              <w:bottom w:val="single" w:sz="4" w:space="0" w:color="auto"/>
              <w:right w:val="nil"/>
            </w:tcBorders>
            <w:vAlign w:val="bottom"/>
            <w:hideMark/>
          </w:tcPr>
          <w:p w14:paraId="2834D766"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E3836B4" w14:textId="77777777" w:rsidR="0070545B" w:rsidRDefault="0070545B" w:rsidP="0070545B">
            <w:pPr>
              <w:spacing w:after="0" w:line="240" w:lineRule="auto"/>
              <w:rPr>
                <w:rFonts w:ascii="Calibri" w:hAnsi="Calibri" w:cs="Times New Roman"/>
              </w:rPr>
            </w:pPr>
            <w:r>
              <w:rPr>
                <w:rFonts w:ascii="Calibri" w:hAnsi="Calibri" w:cs="Times New Roman"/>
              </w:rPr>
              <w:t>Regress from small (&lt;10 mm) size to none</w:t>
            </w:r>
          </w:p>
        </w:tc>
        <w:tc>
          <w:tcPr>
            <w:tcW w:w="1134" w:type="dxa"/>
            <w:tcBorders>
              <w:top w:val="nil"/>
              <w:left w:val="nil"/>
              <w:bottom w:val="single" w:sz="4" w:space="0" w:color="auto"/>
              <w:right w:val="single" w:sz="4" w:space="0" w:color="auto"/>
            </w:tcBorders>
            <w:vAlign w:val="bottom"/>
            <w:hideMark/>
          </w:tcPr>
          <w:p w14:paraId="1D975848" w14:textId="77777777" w:rsidR="0070545B" w:rsidRDefault="0070545B" w:rsidP="0070545B">
            <w:pPr>
              <w:spacing w:after="0" w:line="240" w:lineRule="auto"/>
              <w:jc w:val="center"/>
              <w:rPr>
                <w:rFonts w:ascii="Calibri" w:hAnsi="Calibri" w:cs="Times New Roman"/>
              </w:rPr>
            </w:pPr>
            <w:r>
              <w:rPr>
                <w:rFonts w:ascii="Calibri" w:hAnsi="Calibri" w:cs="Times New Roman"/>
              </w:rPr>
              <w:t>7%</w:t>
            </w:r>
          </w:p>
        </w:tc>
        <w:tc>
          <w:tcPr>
            <w:tcW w:w="1520" w:type="dxa"/>
            <w:tcBorders>
              <w:top w:val="nil"/>
              <w:left w:val="nil"/>
              <w:bottom w:val="single" w:sz="4" w:space="0" w:color="auto"/>
              <w:right w:val="single" w:sz="4" w:space="0" w:color="auto"/>
            </w:tcBorders>
            <w:vAlign w:val="bottom"/>
            <w:hideMark/>
          </w:tcPr>
          <w:p w14:paraId="5222812C" w14:textId="0095FEBA" w:rsidR="0070545B" w:rsidRDefault="0070545B" w:rsidP="0070545B">
            <w:pPr>
              <w:spacing w:after="0" w:line="240" w:lineRule="auto"/>
              <w:jc w:val="center"/>
              <w:rPr>
                <w:rFonts w:ascii="Calibri" w:hAnsi="Calibri" w:cs="Times New Roman"/>
              </w:rPr>
            </w:pPr>
            <w:r w:rsidRPr="0070545B">
              <w:rPr>
                <w:rFonts w:ascii="Calibri" w:hAnsi="Calibri" w:cs="Times New Roman"/>
              </w:rPr>
              <w:t>11% </w:t>
            </w:r>
          </w:p>
        </w:tc>
        <w:tc>
          <w:tcPr>
            <w:tcW w:w="1560" w:type="dxa"/>
            <w:tcBorders>
              <w:top w:val="nil"/>
              <w:left w:val="nil"/>
              <w:bottom w:val="single" w:sz="4" w:space="0" w:color="auto"/>
              <w:right w:val="single" w:sz="4" w:space="0" w:color="auto"/>
            </w:tcBorders>
            <w:vAlign w:val="bottom"/>
          </w:tcPr>
          <w:p w14:paraId="10C2459C" w14:textId="0B5938FB" w:rsidR="0070545B" w:rsidRDefault="0070545B" w:rsidP="0070545B">
            <w:pPr>
              <w:spacing w:after="0" w:line="240" w:lineRule="auto"/>
              <w:jc w:val="center"/>
              <w:rPr>
                <w:rFonts w:ascii="Calibri" w:hAnsi="Calibri" w:cs="Times New Roman"/>
              </w:rPr>
            </w:pPr>
            <w:r w:rsidRPr="0070545B">
              <w:rPr>
                <w:rFonts w:ascii="Calibri" w:hAnsi="Calibri" w:cs="Times New Roman"/>
              </w:rPr>
              <w:t>3% </w:t>
            </w:r>
          </w:p>
        </w:tc>
      </w:tr>
      <w:tr w:rsidR="0070545B" w14:paraId="542BAC52" w14:textId="77777777" w:rsidTr="0070545B">
        <w:trPr>
          <w:trHeight w:val="300"/>
        </w:trPr>
        <w:tc>
          <w:tcPr>
            <w:tcW w:w="265" w:type="dxa"/>
            <w:tcBorders>
              <w:top w:val="nil"/>
              <w:left w:val="single" w:sz="4" w:space="0" w:color="auto"/>
              <w:bottom w:val="single" w:sz="4" w:space="0" w:color="auto"/>
              <w:right w:val="nil"/>
            </w:tcBorders>
            <w:vAlign w:val="bottom"/>
            <w:hideMark/>
          </w:tcPr>
          <w:p w14:paraId="652E56FD"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DCC14C8" w14:textId="77777777" w:rsidR="0070545B" w:rsidRDefault="0070545B" w:rsidP="0070545B">
            <w:pPr>
              <w:spacing w:after="0" w:line="240" w:lineRule="auto"/>
              <w:rPr>
                <w:rFonts w:ascii="Calibri" w:hAnsi="Calibri" w:cs="Times New Roman"/>
              </w:rPr>
            </w:pPr>
            <w:r>
              <w:rPr>
                <w:rFonts w:ascii="Calibri" w:hAnsi="Calibri" w:cs="Times New Roman"/>
              </w:rPr>
              <w:t>Regress from large (&gt;= 10 mm) to small (&lt;10 mm) size</w:t>
            </w:r>
          </w:p>
        </w:tc>
        <w:tc>
          <w:tcPr>
            <w:tcW w:w="1134" w:type="dxa"/>
            <w:tcBorders>
              <w:top w:val="nil"/>
              <w:left w:val="nil"/>
              <w:bottom w:val="single" w:sz="4" w:space="0" w:color="auto"/>
              <w:right w:val="single" w:sz="4" w:space="0" w:color="auto"/>
            </w:tcBorders>
            <w:vAlign w:val="bottom"/>
            <w:hideMark/>
          </w:tcPr>
          <w:p w14:paraId="59461392" w14:textId="77777777" w:rsidR="0070545B" w:rsidRDefault="0070545B" w:rsidP="0070545B">
            <w:pPr>
              <w:spacing w:after="0" w:line="240" w:lineRule="auto"/>
              <w:jc w:val="center"/>
              <w:rPr>
                <w:rFonts w:ascii="Calibri" w:hAnsi="Calibri" w:cs="Times New Roman"/>
              </w:rPr>
            </w:pPr>
            <w:r>
              <w:rPr>
                <w:rFonts w:ascii="Calibri" w:hAnsi="Calibri" w:cs="Times New Roman"/>
              </w:rPr>
              <w:t>29%</w:t>
            </w:r>
          </w:p>
        </w:tc>
        <w:tc>
          <w:tcPr>
            <w:tcW w:w="1520" w:type="dxa"/>
            <w:tcBorders>
              <w:top w:val="nil"/>
              <w:left w:val="nil"/>
              <w:bottom w:val="single" w:sz="4" w:space="0" w:color="auto"/>
              <w:right w:val="single" w:sz="4" w:space="0" w:color="auto"/>
            </w:tcBorders>
            <w:vAlign w:val="bottom"/>
            <w:hideMark/>
          </w:tcPr>
          <w:p w14:paraId="7069BCDA" w14:textId="1559DAD9" w:rsidR="0070545B" w:rsidRDefault="0070545B" w:rsidP="0070545B">
            <w:pPr>
              <w:spacing w:after="0" w:line="240" w:lineRule="auto"/>
              <w:jc w:val="center"/>
              <w:rPr>
                <w:rFonts w:ascii="Calibri" w:hAnsi="Calibri" w:cs="Times New Roman"/>
              </w:rPr>
            </w:pPr>
            <w:r w:rsidRPr="0070545B">
              <w:rPr>
                <w:rFonts w:ascii="Calibri" w:hAnsi="Calibri" w:cs="Times New Roman"/>
              </w:rPr>
              <w:t>44% </w:t>
            </w:r>
          </w:p>
        </w:tc>
        <w:tc>
          <w:tcPr>
            <w:tcW w:w="1560" w:type="dxa"/>
            <w:tcBorders>
              <w:top w:val="nil"/>
              <w:left w:val="nil"/>
              <w:bottom w:val="single" w:sz="4" w:space="0" w:color="auto"/>
              <w:right w:val="single" w:sz="4" w:space="0" w:color="auto"/>
            </w:tcBorders>
            <w:vAlign w:val="bottom"/>
          </w:tcPr>
          <w:p w14:paraId="237ED7DB" w14:textId="78EBB924" w:rsidR="0070545B" w:rsidRDefault="0070545B" w:rsidP="0070545B">
            <w:pPr>
              <w:spacing w:after="0" w:line="240" w:lineRule="auto"/>
              <w:jc w:val="center"/>
              <w:rPr>
                <w:rFonts w:ascii="Calibri" w:hAnsi="Calibri" w:cs="Times New Roman"/>
              </w:rPr>
            </w:pPr>
            <w:r w:rsidRPr="0070545B">
              <w:rPr>
                <w:rFonts w:ascii="Calibri" w:hAnsi="Calibri" w:cs="Times New Roman"/>
              </w:rPr>
              <w:t>22% </w:t>
            </w:r>
          </w:p>
        </w:tc>
      </w:tr>
      <w:tr w:rsidR="00F73ADF" w14:paraId="005CC509"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5A0EAF02" w14:textId="2B69901E" w:rsidR="00F73ADF" w:rsidRDefault="00F73ADF" w:rsidP="00F42F36">
            <w:pPr>
              <w:spacing w:after="0" w:line="240" w:lineRule="auto"/>
              <w:rPr>
                <w:rFonts w:ascii="Calibri" w:hAnsi="Calibri" w:cs="Times New Roman"/>
                <w:i/>
                <w:iCs/>
              </w:rPr>
            </w:pPr>
            <w:r>
              <w:rPr>
                <w:rFonts w:ascii="Calibri" w:hAnsi="Calibri" w:cs="Times New Roman"/>
                <w:i/>
                <w:iCs/>
              </w:rPr>
              <w:t>Sessile serrate polyp size progression and regression rate</w:t>
            </w:r>
            <w:r>
              <w:rPr>
                <w:rFonts w:ascii="Calibri" w:hAnsi="Calibri" w:cs="Times New Roman"/>
                <w:i/>
                <w:iCs/>
                <w:vertAlign w:val="superscript"/>
              </w:rPr>
              <w:t xml:space="preserve"> a</w:t>
            </w:r>
          </w:p>
        </w:tc>
      </w:tr>
      <w:tr w:rsidR="0070545B" w14:paraId="506A1570" w14:textId="77777777" w:rsidTr="0070545B">
        <w:trPr>
          <w:trHeight w:val="300"/>
        </w:trPr>
        <w:tc>
          <w:tcPr>
            <w:tcW w:w="265" w:type="dxa"/>
            <w:tcBorders>
              <w:top w:val="nil"/>
              <w:left w:val="single" w:sz="4" w:space="0" w:color="auto"/>
              <w:bottom w:val="single" w:sz="4" w:space="0" w:color="auto"/>
              <w:right w:val="nil"/>
            </w:tcBorders>
            <w:vAlign w:val="bottom"/>
            <w:hideMark/>
          </w:tcPr>
          <w:p w14:paraId="01FF8D91"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43E695FF" w14:textId="77777777" w:rsidR="0070545B" w:rsidRDefault="0070545B" w:rsidP="0070545B">
            <w:pPr>
              <w:spacing w:after="0" w:line="240" w:lineRule="auto"/>
              <w:rPr>
                <w:rFonts w:ascii="Calibri" w:hAnsi="Calibri" w:cs="Times New Roman"/>
              </w:rPr>
            </w:pPr>
            <w:r>
              <w:rPr>
                <w:rFonts w:ascii="Calibri" w:hAnsi="Calibri" w:cs="Times New Roman"/>
              </w:rPr>
              <w:t>Progress from small (&lt;10 mm) to large (&gt;=10 mm) size</w:t>
            </w:r>
          </w:p>
        </w:tc>
        <w:tc>
          <w:tcPr>
            <w:tcW w:w="1134" w:type="dxa"/>
            <w:tcBorders>
              <w:top w:val="nil"/>
              <w:left w:val="nil"/>
              <w:bottom w:val="single" w:sz="4" w:space="0" w:color="auto"/>
              <w:right w:val="single" w:sz="4" w:space="0" w:color="auto"/>
            </w:tcBorders>
            <w:vAlign w:val="bottom"/>
            <w:hideMark/>
          </w:tcPr>
          <w:p w14:paraId="001520D6" w14:textId="77777777" w:rsidR="0070545B" w:rsidRDefault="0070545B" w:rsidP="0070545B">
            <w:pPr>
              <w:spacing w:after="0" w:line="240" w:lineRule="auto"/>
              <w:jc w:val="center"/>
              <w:rPr>
                <w:rFonts w:ascii="Calibri" w:hAnsi="Calibri" w:cs="Times New Roman"/>
              </w:rPr>
            </w:pPr>
            <w:r>
              <w:rPr>
                <w:rFonts w:ascii="Calibri" w:hAnsi="Calibri" w:cs="Times New Roman"/>
              </w:rPr>
              <w:t>3%</w:t>
            </w:r>
          </w:p>
        </w:tc>
        <w:tc>
          <w:tcPr>
            <w:tcW w:w="1520" w:type="dxa"/>
            <w:tcBorders>
              <w:top w:val="nil"/>
              <w:left w:val="nil"/>
              <w:bottom w:val="single" w:sz="4" w:space="0" w:color="auto"/>
              <w:right w:val="single" w:sz="4" w:space="0" w:color="auto"/>
            </w:tcBorders>
            <w:vAlign w:val="bottom"/>
            <w:hideMark/>
          </w:tcPr>
          <w:p w14:paraId="459950B0" w14:textId="332D6FEE" w:rsidR="0070545B" w:rsidRDefault="0070545B" w:rsidP="0070545B">
            <w:pPr>
              <w:spacing w:after="0" w:line="240" w:lineRule="auto"/>
              <w:jc w:val="center"/>
              <w:rPr>
                <w:rFonts w:ascii="Calibri" w:hAnsi="Calibri" w:cs="Times New Roman"/>
              </w:rPr>
            </w:pPr>
            <w:r w:rsidRPr="0070545B">
              <w:rPr>
                <w:rFonts w:ascii="Calibri" w:hAnsi="Calibri" w:cs="Times New Roman"/>
              </w:rPr>
              <w:t>3% </w:t>
            </w:r>
          </w:p>
        </w:tc>
        <w:tc>
          <w:tcPr>
            <w:tcW w:w="1560" w:type="dxa"/>
            <w:tcBorders>
              <w:top w:val="nil"/>
              <w:left w:val="nil"/>
              <w:bottom w:val="single" w:sz="4" w:space="0" w:color="auto"/>
              <w:right w:val="single" w:sz="4" w:space="0" w:color="auto"/>
            </w:tcBorders>
            <w:vAlign w:val="bottom"/>
          </w:tcPr>
          <w:p w14:paraId="25B94A74" w14:textId="02065DBC" w:rsidR="0070545B" w:rsidRDefault="0070545B" w:rsidP="0070545B">
            <w:pPr>
              <w:spacing w:after="0" w:line="240" w:lineRule="auto"/>
              <w:jc w:val="center"/>
              <w:rPr>
                <w:rFonts w:ascii="Calibri" w:hAnsi="Calibri" w:cs="Times New Roman"/>
              </w:rPr>
            </w:pPr>
            <w:r w:rsidRPr="0070545B">
              <w:rPr>
                <w:rFonts w:ascii="Calibri" w:hAnsi="Calibri" w:cs="Times New Roman"/>
              </w:rPr>
              <w:t>2% </w:t>
            </w:r>
          </w:p>
        </w:tc>
      </w:tr>
      <w:tr w:rsidR="0070545B" w14:paraId="634227EE" w14:textId="77777777" w:rsidTr="0070545B">
        <w:trPr>
          <w:trHeight w:val="300"/>
        </w:trPr>
        <w:tc>
          <w:tcPr>
            <w:tcW w:w="265" w:type="dxa"/>
            <w:tcBorders>
              <w:top w:val="nil"/>
              <w:left w:val="single" w:sz="4" w:space="0" w:color="auto"/>
              <w:bottom w:val="single" w:sz="4" w:space="0" w:color="auto"/>
              <w:right w:val="nil"/>
            </w:tcBorders>
            <w:vAlign w:val="bottom"/>
            <w:hideMark/>
          </w:tcPr>
          <w:p w14:paraId="10C5469A" w14:textId="77777777" w:rsidR="0070545B" w:rsidRDefault="0070545B" w:rsidP="0070545B">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7B323E69" w14:textId="77777777" w:rsidR="0070545B" w:rsidRDefault="0070545B" w:rsidP="0070545B">
            <w:pPr>
              <w:spacing w:after="0" w:line="240" w:lineRule="auto"/>
              <w:rPr>
                <w:rFonts w:ascii="Calibri" w:hAnsi="Calibri" w:cs="Times New Roman"/>
              </w:rPr>
            </w:pPr>
            <w:r>
              <w:rPr>
                <w:rFonts w:ascii="Calibri" w:hAnsi="Calibri" w:cs="Times New Roman"/>
              </w:rPr>
              <w:t>Regress from large (&gt;= 10mm) to small (&lt;10 mm) size</w:t>
            </w:r>
          </w:p>
        </w:tc>
        <w:tc>
          <w:tcPr>
            <w:tcW w:w="1134" w:type="dxa"/>
            <w:tcBorders>
              <w:top w:val="nil"/>
              <w:left w:val="nil"/>
              <w:bottom w:val="single" w:sz="4" w:space="0" w:color="auto"/>
              <w:right w:val="single" w:sz="4" w:space="0" w:color="auto"/>
            </w:tcBorders>
            <w:vAlign w:val="bottom"/>
            <w:hideMark/>
          </w:tcPr>
          <w:p w14:paraId="51913263" w14:textId="77777777" w:rsidR="0070545B" w:rsidRDefault="0070545B" w:rsidP="0070545B">
            <w:pPr>
              <w:spacing w:after="0" w:line="240" w:lineRule="auto"/>
              <w:jc w:val="center"/>
              <w:rPr>
                <w:rFonts w:ascii="Calibri" w:hAnsi="Calibri" w:cs="Times New Roman"/>
              </w:rPr>
            </w:pPr>
            <w:r>
              <w:rPr>
                <w:rFonts w:ascii="Calibri" w:hAnsi="Calibri" w:cs="Times New Roman"/>
              </w:rPr>
              <w:t>33%</w:t>
            </w:r>
          </w:p>
        </w:tc>
        <w:tc>
          <w:tcPr>
            <w:tcW w:w="1520" w:type="dxa"/>
            <w:tcBorders>
              <w:top w:val="nil"/>
              <w:left w:val="nil"/>
              <w:bottom w:val="single" w:sz="4" w:space="0" w:color="auto"/>
              <w:right w:val="single" w:sz="4" w:space="0" w:color="auto"/>
            </w:tcBorders>
            <w:vAlign w:val="bottom"/>
            <w:hideMark/>
          </w:tcPr>
          <w:p w14:paraId="4A46DDB3" w14:textId="712BCC2C" w:rsidR="0070545B" w:rsidRDefault="0070545B" w:rsidP="0070545B">
            <w:pPr>
              <w:spacing w:after="0" w:line="240" w:lineRule="auto"/>
              <w:jc w:val="center"/>
              <w:rPr>
                <w:rFonts w:ascii="Calibri" w:hAnsi="Calibri" w:cs="Times New Roman"/>
              </w:rPr>
            </w:pPr>
            <w:r w:rsidRPr="0070545B">
              <w:rPr>
                <w:rFonts w:ascii="Calibri" w:hAnsi="Calibri" w:cs="Times New Roman"/>
              </w:rPr>
              <w:t>33% </w:t>
            </w:r>
          </w:p>
        </w:tc>
        <w:tc>
          <w:tcPr>
            <w:tcW w:w="1560" w:type="dxa"/>
            <w:tcBorders>
              <w:top w:val="nil"/>
              <w:left w:val="nil"/>
              <w:bottom w:val="single" w:sz="4" w:space="0" w:color="auto"/>
              <w:right w:val="single" w:sz="4" w:space="0" w:color="auto"/>
            </w:tcBorders>
            <w:vAlign w:val="bottom"/>
          </w:tcPr>
          <w:p w14:paraId="1BB3FEC9" w14:textId="4946A8C6" w:rsidR="0070545B" w:rsidRDefault="0070545B" w:rsidP="0070545B">
            <w:pPr>
              <w:spacing w:after="0" w:line="240" w:lineRule="auto"/>
              <w:jc w:val="center"/>
              <w:rPr>
                <w:rFonts w:ascii="Calibri" w:hAnsi="Calibri" w:cs="Times New Roman"/>
              </w:rPr>
            </w:pPr>
            <w:r w:rsidRPr="0070545B">
              <w:rPr>
                <w:rFonts w:ascii="Calibri" w:hAnsi="Calibri" w:cs="Times New Roman"/>
              </w:rPr>
              <w:t>17% </w:t>
            </w:r>
          </w:p>
        </w:tc>
      </w:tr>
      <w:tr w:rsidR="00F73ADF" w14:paraId="35B077ED"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0F39C112" w14:textId="5D6A0797" w:rsidR="00F73ADF" w:rsidRDefault="00F73ADF" w:rsidP="00F42F36">
            <w:pPr>
              <w:spacing w:after="0" w:line="240" w:lineRule="auto"/>
              <w:rPr>
                <w:rFonts w:ascii="Calibri" w:hAnsi="Calibri" w:cs="Times New Roman"/>
                <w:i/>
                <w:iCs/>
              </w:rPr>
            </w:pPr>
            <w:r>
              <w:rPr>
                <w:rFonts w:ascii="Calibri" w:hAnsi="Calibri" w:cs="Times New Roman"/>
                <w:i/>
                <w:iCs/>
              </w:rPr>
              <w:t xml:space="preserve">Distribution of </w:t>
            </w:r>
            <w:proofErr w:type="spellStart"/>
            <w:r>
              <w:rPr>
                <w:rFonts w:ascii="Calibri" w:hAnsi="Calibri" w:cs="Times New Roman"/>
                <w:i/>
                <w:iCs/>
              </w:rPr>
              <w:t>hyperplastics</w:t>
            </w:r>
            <w:proofErr w:type="spellEnd"/>
            <w:r>
              <w:rPr>
                <w:rFonts w:ascii="Calibri" w:hAnsi="Calibri" w:cs="Times New Roman"/>
                <w:i/>
                <w:iCs/>
              </w:rPr>
              <w:t xml:space="preserve"> polyps by section of bowel </w:t>
            </w:r>
            <w:r>
              <w:rPr>
                <w:rFonts w:ascii="Calibri" w:hAnsi="Calibri" w:cs="Times New Roman"/>
                <w:i/>
                <w:iCs/>
                <w:vertAlign w:val="superscript"/>
              </w:rPr>
              <w:t>b</w:t>
            </w:r>
          </w:p>
        </w:tc>
      </w:tr>
      <w:tr w:rsidR="00F73ADF" w14:paraId="6D97FCC6" w14:textId="77777777" w:rsidTr="003E59DC">
        <w:trPr>
          <w:trHeight w:val="300"/>
        </w:trPr>
        <w:tc>
          <w:tcPr>
            <w:tcW w:w="265" w:type="dxa"/>
            <w:tcBorders>
              <w:top w:val="nil"/>
              <w:left w:val="single" w:sz="4" w:space="0" w:color="auto"/>
              <w:bottom w:val="single" w:sz="4" w:space="0" w:color="auto"/>
              <w:right w:val="nil"/>
            </w:tcBorders>
            <w:vAlign w:val="bottom"/>
            <w:hideMark/>
          </w:tcPr>
          <w:p w14:paraId="4DF59544"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16C2732" w14:textId="77777777" w:rsidR="00F73ADF" w:rsidRDefault="00F73ADF" w:rsidP="00F73ADF">
            <w:pPr>
              <w:spacing w:after="0" w:line="240" w:lineRule="auto"/>
              <w:rPr>
                <w:rFonts w:ascii="Calibri" w:hAnsi="Calibri" w:cs="Times New Roman"/>
              </w:rPr>
            </w:pPr>
            <w:r>
              <w:rPr>
                <w:rFonts w:ascii="Calibri" w:hAnsi="Calibri" w:cs="Times New Roman"/>
              </w:rPr>
              <w:t>Cecum</w:t>
            </w:r>
          </w:p>
        </w:tc>
        <w:tc>
          <w:tcPr>
            <w:tcW w:w="1134" w:type="dxa"/>
            <w:tcBorders>
              <w:top w:val="nil"/>
              <w:left w:val="nil"/>
              <w:bottom w:val="single" w:sz="4" w:space="0" w:color="auto"/>
              <w:right w:val="single" w:sz="4" w:space="0" w:color="auto"/>
            </w:tcBorders>
            <w:vAlign w:val="bottom"/>
            <w:hideMark/>
          </w:tcPr>
          <w:p w14:paraId="0D288CAC" w14:textId="77777777" w:rsidR="00F73ADF" w:rsidRDefault="00F73ADF" w:rsidP="00F73ADF">
            <w:pPr>
              <w:spacing w:after="0" w:line="240" w:lineRule="auto"/>
              <w:jc w:val="center"/>
              <w:rPr>
                <w:rFonts w:ascii="Calibri" w:hAnsi="Calibri" w:cs="Times New Roman"/>
              </w:rPr>
            </w:pPr>
            <w:r>
              <w:rPr>
                <w:rFonts w:ascii="Calibri" w:hAnsi="Calibri" w:cs="Times New Roman"/>
              </w:rPr>
              <w:t>4%</w:t>
            </w:r>
          </w:p>
        </w:tc>
        <w:tc>
          <w:tcPr>
            <w:tcW w:w="1520" w:type="dxa"/>
            <w:tcBorders>
              <w:top w:val="nil"/>
              <w:left w:val="nil"/>
              <w:bottom w:val="single" w:sz="4" w:space="0" w:color="auto"/>
              <w:right w:val="single" w:sz="4" w:space="0" w:color="auto"/>
            </w:tcBorders>
            <w:hideMark/>
          </w:tcPr>
          <w:p w14:paraId="67A95E5A" w14:textId="3F657F11" w:rsidR="00F73ADF" w:rsidRDefault="00F73ADF" w:rsidP="00F73ADF">
            <w:pPr>
              <w:spacing w:after="0" w:line="240" w:lineRule="auto"/>
              <w:jc w:val="center"/>
              <w:rPr>
                <w:rFonts w:ascii="Calibri" w:hAnsi="Calibri" w:cs="Times New Roman"/>
              </w:rPr>
            </w:pPr>
            <w:r w:rsidRPr="006D532E">
              <w:rPr>
                <w:rFonts w:ascii="Calibri" w:hAnsi="Calibri" w:cs="Times New Roman"/>
              </w:rPr>
              <w:t>As baseline</w:t>
            </w:r>
          </w:p>
        </w:tc>
        <w:tc>
          <w:tcPr>
            <w:tcW w:w="1560" w:type="dxa"/>
            <w:tcBorders>
              <w:top w:val="nil"/>
              <w:left w:val="nil"/>
              <w:bottom w:val="single" w:sz="4" w:space="0" w:color="auto"/>
              <w:right w:val="single" w:sz="4" w:space="0" w:color="auto"/>
            </w:tcBorders>
          </w:tcPr>
          <w:p w14:paraId="6795818D" w14:textId="58CAB43A" w:rsidR="00F73ADF" w:rsidRDefault="00F73ADF" w:rsidP="00F73ADF">
            <w:pPr>
              <w:spacing w:after="0" w:line="240" w:lineRule="auto"/>
              <w:jc w:val="center"/>
              <w:rPr>
                <w:rFonts w:ascii="Calibri" w:hAnsi="Calibri" w:cs="Times New Roman"/>
              </w:rPr>
            </w:pPr>
            <w:r w:rsidRPr="006D532E">
              <w:rPr>
                <w:rFonts w:ascii="Calibri" w:hAnsi="Calibri" w:cs="Times New Roman"/>
              </w:rPr>
              <w:t>As baseline</w:t>
            </w:r>
          </w:p>
        </w:tc>
      </w:tr>
      <w:tr w:rsidR="00F73ADF" w14:paraId="58883DC5" w14:textId="77777777" w:rsidTr="003E59DC">
        <w:trPr>
          <w:trHeight w:val="300"/>
        </w:trPr>
        <w:tc>
          <w:tcPr>
            <w:tcW w:w="265" w:type="dxa"/>
            <w:tcBorders>
              <w:top w:val="nil"/>
              <w:left w:val="single" w:sz="4" w:space="0" w:color="auto"/>
              <w:bottom w:val="single" w:sz="4" w:space="0" w:color="auto"/>
              <w:right w:val="nil"/>
            </w:tcBorders>
            <w:vAlign w:val="bottom"/>
            <w:hideMark/>
          </w:tcPr>
          <w:p w14:paraId="7AC9301D"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347AFDD" w14:textId="77777777" w:rsidR="00F73ADF" w:rsidRDefault="00F73ADF" w:rsidP="00F73ADF">
            <w:pPr>
              <w:spacing w:after="0" w:line="240" w:lineRule="auto"/>
              <w:rPr>
                <w:rFonts w:ascii="Calibri" w:hAnsi="Calibri" w:cs="Times New Roman"/>
              </w:rPr>
            </w:pPr>
            <w:r>
              <w:rPr>
                <w:rFonts w:ascii="Calibri" w:hAnsi="Calibri" w:cs="Times New Roman"/>
              </w:rPr>
              <w:t>Ascending colon</w:t>
            </w:r>
          </w:p>
        </w:tc>
        <w:tc>
          <w:tcPr>
            <w:tcW w:w="1134" w:type="dxa"/>
            <w:tcBorders>
              <w:top w:val="nil"/>
              <w:left w:val="nil"/>
              <w:bottom w:val="single" w:sz="4" w:space="0" w:color="auto"/>
              <w:right w:val="single" w:sz="4" w:space="0" w:color="auto"/>
            </w:tcBorders>
            <w:vAlign w:val="bottom"/>
            <w:hideMark/>
          </w:tcPr>
          <w:p w14:paraId="40327758" w14:textId="77777777" w:rsidR="00F73ADF" w:rsidRDefault="00F73ADF" w:rsidP="00F73ADF">
            <w:pPr>
              <w:spacing w:after="0" w:line="240" w:lineRule="auto"/>
              <w:jc w:val="center"/>
              <w:rPr>
                <w:rFonts w:ascii="Calibri" w:hAnsi="Calibri" w:cs="Times New Roman"/>
              </w:rPr>
            </w:pPr>
            <w:r>
              <w:rPr>
                <w:rFonts w:ascii="Calibri" w:hAnsi="Calibri" w:cs="Times New Roman"/>
              </w:rPr>
              <w:t>12%</w:t>
            </w:r>
          </w:p>
        </w:tc>
        <w:tc>
          <w:tcPr>
            <w:tcW w:w="1520" w:type="dxa"/>
            <w:tcBorders>
              <w:top w:val="nil"/>
              <w:left w:val="nil"/>
              <w:bottom w:val="single" w:sz="4" w:space="0" w:color="auto"/>
              <w:right w:val="single" w:sz="4" w:space="0" w:color="auto"/>
            </w:tcBorders>
            <w:hideMark/>
          </w:tcPr>
          <w:p w14:paraId="6B193E70" w14:textId="309BE059" w:rsidR="00F73ADF" w:rsidRDefault="00F73ADF" w:rsidP="00F73ADF">
            <w:pPr>
              <w:spacing w:after="0" w:line="240" w:lineRule="auto"/>
              <w:jc w:val="center"/>
              <w:rPr>
                <w:rFonts w:ascii="Calibri" w:hAnsi="Calibri" w:cs="Times New Roman"/>
              </w:rPr>
            </w:pPr>
            <w:r w:rsidRPr="006D532E">
              <w:rPr>
                <w:rFonts w:ascii="Calibri" w:hAnsi="Calibri" w:cs="Times New Roman"/>
              </w:rPr>
              <w:t>As baseline</w:t>
            </w:r>
          </w:p>
        </w:tc>
        <w:tc>
          <w:tcPr>
            <w:tcW w:w="1560" w:type="dxa"/>
            <w:tcBorders>
              <w:top w:val="nil"/>
              <w:left w:val="nil"/>
              <w:bottom w:val="single" w:sz="4" w:space="0" w:color="auto"/>
              <w:right w:val="single" w:sz="4" w:space="0" w:color="auto"/>
            </w:tcBorders>
          </w:tcPr>
          <w:p w14:paraId="427D35DD" w14:textId="7370EDA2" w:rsidR="00F73ADF" w:rsidRDefault="00F73ADF" w:rsidP="00F73ADF">
            <w:pPr>
              <w:spacing w:after="0" w:line="240" w:lineRule="auto"/>
              <w:jc w:val="center"/>
              <w:rPr>
                <w:rFonts w:ascii="Calibri" w:hAnsi="Calibri" w:cs="Times New Roman"/>
              </w:rPr>
            </w:pPr>
            <w:r w:rsidRPr="006D532E">
              <w:rPr>
                <w:rFonts w:ascii="Calibri" w:hAnsi="Calibri" w:cs="Times New Roman"/>
              </w:rPr>
              <w:t>As baseline</w:t>
            </w:r>
          </w:p>
        </w:tc>
      </w:tr>
      <w:tr w:rsidR="00F73ADF" w14:paraId="7F7D7625" w14:textId="77777777" w:rsidTr="003E59DC">
        <w:trPr>
          <w:trHeight w:val="300"/>
        </w:trPr>
        <w:tc>
          <w:tcPr>
            <w:tcW w:w="265" w:type="dxa"/>
            <w:tcBorders>
              <w:top w:val="nil"/>
              <w:left w:val="single" w:sz="4" w:space="0" w:color="auto"/>
              <w:bottom w:val="single" w:sz="4" w:space="0" w:color="auto"/>
              <w:right w:val="nil"/>
            </w:tcBorders>
            <w:vAlign w:val="bottom"/>
            <w:hideMark/>
          </w:tcPr>
          <w:p w14:paraId="7DB68A46"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5EE3AC38" w14:textId="77777777" w:rsidR="00F73ADF" w:rsidRDefault="00F73ADF" w:rsidP="00F73ADF">
            <w:pPr>
              <w:spacing w:after="0" w:line="240" w:lineRule="auto"/>
              <w:rPr>
                <w:rFonts w:ascii="Calibri" w:hAnsi="Calibri" w:cs="Times New Roman"/>
              </w:rPr>
            </w:pPr>
            <w:r>
              <w:rPr>
                <w:rFonts w:ascii="Calibri" w:hAnsi="Calibri" w:cs="Times New Roman"/>
              </w:rPr>
              <w:t>Transverse colon</w:t>
            </w:r>
          </w:p>
        </w:tc>
        <w:tc>
          <w:tcPr>
            <w:tcW w:w="1134" w:type="dxa"/>
            <w:tcBorders>
              <w:top w:val="nil"/>
              <w:left w:val="nil"/>
              <w:bottom w:val="single" w:sz="4" w:space="0" w:color="auto"/>
              <w:right w:val="single" w:sz="4" w:space="0" w:color="auto"/>
            </w:tcBorders>
            <w:vAlign w:val="bottom"/>
            <w:hideMark/>
          </w:tcPr>
          <w:p w14:paraId="5F52C5DF" w14:textId="77777777" w:rsidR="00F73ADF" w:rsidRDefault="00F73ADF" w:rsidP="00F73ADF">
            <w:pPr>
              <w:spacing w:after="0" w:line="240" w:lineRule="auto"/>
              <w:jc w:val="center"/>
              <w:rPr>
                <w:rFonts w:ascii="Calibri" w:hAnsi="Calibri" w:cs="Times New Roman"/>
              </w:rPr>
            </w:pPr>
            <w:r>
              <w:rPr>
                <w:rFonts w:ascii="Calibri" w:hAnsi="Calibri" w:cs="Times New Roman"/>
              </w:rPr>
              <w:t>9%</w:t>
            </w:r>
          </w:p>
        </w:tc>
        <w:tc>
          <w:tcPr>
            <w:tcW w:w="1520" w:type="dxa"/>
            <w:tcBorders>
              <w:top w:val="nil"/>
              <w:left w:val="nil"/>
              <w:bottom w:val="single" w:sz="4" w:space="0" w:color="auto"/>
              <w:right w:val="single" w:sz="4" w:space="0" w:color="auto"/>
            </w:tcBorders>
            <w:hideMark/>
          </w:tcPr>
          <w:p w14:paraId="057DDA93" w14:textId="34CD416B" w:rsidR="00F73ADF" w:rsidRDefault="00F73ADF" w:rsidP="00F73ADF">
            <w:pPr>
              <w:spacing w:after="0" w:line="240" w:lineRule="auto"/>
              <w:jc w:val="center"/>
              <w:rPr>
                <w:rFonts w:ascii="Calibri" w:hAnsi="Calibri" w:cs="Times New Roman"/>
              </w:rPr>
            </w:pPr>
            <w:r w:rsidRPr="006D532E">
              <w:rPr>
                <w:rFonts w:ascii="Calibri" w:hAnsi="Calibri" w:cs="Times New Roman"/>
              </w:rPr>
              <w:t>As baseline</w:t>
            </w:r>
          </w:p>
        </w:tc>
        <w:tc>
          <w:tcPr>
            <w:tcW w:w="1560" w:type="dxa"/>
            <w:tcBorders>
              <w:top w:val="nil"/>
              <w:left w:val="nil"/>
              <w:bottom w:val="single" w:sz="4" w:space="0" w:color="auto"/>
              <w:right w:val="single" w:sz="4" w:space="0" w:color="auto"/>
            </w:tcBorders>
          </w:tcPr>
          <w:p w14:paraId="4836F5B8" w14:textId="4E595484" w:rsidR="00F73ADF" w:rsidRDefault="00F73ADF" w:rsidP="00F73ADF">
            <w:pPr>
              <w:spacing w:after="0" w:line="240" w:lineRule="auto"/>
              <w:jc w:val="center"/>
              <w:rPr>
                <w:rFonts w:ascii="Calibri" w:hAnsi="Calibri" w:cs="Times New Roman"/>
              </w:rPr>
            </w:pPr>
            <w:r w:rsidRPr="006D532E">
              <w:rPr>
                <w:rFonts w:ascii="Calibri" w:hAnsi="Calibri" w:cs="Times New Roman"/>
              </w:rPr>
              <w:t>As baseline</w:t>
            </w:r>
          </w:p>
        </w:tc>
      </w:tr>
      <w:tr w:rsidR="00F73ADF" w14:paraId="2F726B17" w14:textId="77777777" w:rsidTr="00F42F36">
        <w:trPr>
          <w:trHeight w:val="300"/>
        </w:trPr>
        <w:tc>
          <w:tcPr>
            <w:tcW w:w="265" w:type="dxa"/>
            <w:tcBorders>
              <w:top w:val="nil"/>
              <w:left w:val="single" w:sz="4" w:space="0" w:color="auto"/>
              <w:bottom w:val="single" w:sz="4" w:space="0" w:color="auto"/>
              <w:right w:val="nil"/>
            </w:tcBorders>
            <w:vAlign w:val="bottom"/>
            <w:hideMark/>
          </w:tcPr>
          <w:p w14:paraId="0B2A75A3"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76EF9BFE" w14:textId="77777777" w:rsidR="00F73ADF" w:rsidRDefault="00F73ADF" w:rsidP="00F73ADF">
            <w:pPr>
              <w:spacing w:after="0" w:line="240" w:lineRule="auto"/>
              <w:rPr>
                <w:rFonts w:ascii="Calibri" w:hAnsi="Calibri" w:cs="Times New Roman"/>
              </w:rPr>
            </w:pPr>
            <w:r>
              <w:rPr>
                <w:rFonts w:ascii="Calibri" w:hAnsi="Calibri" w:cs="Times New Roman"/>
              </w:rPr>
              <w:t>Descending colon</w:t>
            </w:r>
          </w:p>
        </w:tc>
        <w:tc>
          <w:tcPr>
            <w:tcW w:w="1134" w:type="dxa"/>
            <w:tcBorders>
              <w:top w:val="nil"/>
              <w:left w:val="nil"/>
              <w:bottom w:val="single" w:sz="4" w:space="0" w:color="auto"/>
              <w:right w:val="single" w:sz="4" w:space="0" w:color="auto"/>
            </w:tcBorders>
            <w:vAlign w:val="bottom"/>
            <w:hideMark/>
          </w:tcPr>
          <w:p w14:paraId="61405ECD" w14:textId="77777777" w:rsidR="00F73ADF" w:rsidRDefault="00F73ADF" w:rsidP="00F73ADF">
            <w:pPr>
              <w:spacing w:after="0" w:line="240" w:lineRule="auto"/>
              <w:jc w:val="center"/>
              <w:rPr>
                <w:rFonts w:ascii="Calibri" w:hAnsi="Calibri" w:cs="Times New Roman"/>
              </w:rPr>
            </w:pPr>
            <w:r>
              <w:rPr>
                <w:rFonts w:ascii="Calibri" w:hAnsi="Calibri" w:cs="Times New Roman"/>
              </w:rPr>
              <w:t>7%</w:t>
            </w:r>
          </w:p>
        </w:tc>
        <w:tc>
          <w:tcPr>
            <w:tcW w:w="1520" w:type="dxa"/>
            <w:tcBorders>
              <w:top w:val="nil"/>
              <w:left w:val="nil"/>
              <w:bottom w:val="single" w:sz="4" w:space="0" w:color="auto"/>
              <w:right w:val="single" w:sz="4" w:space="0" w:color="auto"/>
            </w:tcBorders>
            <w:hideMark/>
          </w:tcPr>
          <w:p w14:paraId="7D81BE4D" w14:textId="3815A04B" w:rsidR="00F73ADF" w:rsidRDefault="00F73ADF" w:rsidP="00F73ADF">
            <w:pPr>
              <w:spacing w:after="0" w:line="240" w:lineRule="auto"/>
              <w:jc w:val="center"/>
              <w:rPr>
                <w:rFonts w:ascii="Calibri" w:hAnsi="Calibri" w:cs="Times New Roman"/>
              </w:rPr>
            </w:pPr>
            <w:r w:rsidRPr="006D532E">
              <w:rPr>
                <w:rFonts w:ascii="Calibri" w:hAnsi="Calibri" w:cs="Times New Roman"/>
              </w:rPr>
              <w:t>As baseline</w:t>
            </w:r>
          </w:p>
        </w:tc>
        <w:tc>
          <w:tcPr>
            <w:tcW w:w="1560" w:type="dxa"/>
            <w:tcBorders>
              <w:top w:val="nil"/>
              <w:left w:val="nil"/>
              <w:bottom w:val="single" w:sz="4" w:space="0" w:color="auto"/>
              <w:right w:val="single" w:sz="4" w:space="0" w:color="auto"/>
            </w:tcBorders>
          </w:tcPr>
          <w:p w14:paraId="756E9C63" w14:textId="540C1EBF" w:rsidR="00F73ADF" w:rsidRDefault="00F73ADF" w:rsidP="00F73ADF">
            <w:pPr>
              <w:spacing w:after="0" w:line="240" w:lineRule="auto"/>
              <w:jc w:val="center"/>
              <w:rPr>
                <w:rFonts w:ascii="Calibri" w:hAnsi="Calibri" w:cs="Times New Roman"/>
              </w:rPr>
            </w:pPr>
            <w:r w:rsidRPr="006D532E">
              <w:rPr>
                <w:rFonts w:ascii="Calibri" w:hAnsi="Calibri" w:cs="Times New Roman"/>
              </w:rPr>
              <w:t>As baseline</w:t>
            </w:r>
          </w:p>
        </w:tc>
      </w:tr>
      <w:tr w:rsidR="00F73ADF" w14:paraId="6F8AC1C7" w14:textId="77777777" w:rsidTr="00F42F36">
        <w:trPr>
          <w:trHeight w:val="300"/>
        </w:trPr>
        <w:tc>
          <w:tcPr>
            <w:tcW w:w="265" w:type="dxa"/>
            <w:tcBorders>
              <w:top w:val="nil"/>
              <w:left w:val="single" w:sz="4" w:space="0" w:color="auto"/>
              <w:bottom w:val="single" w:sz="4" w:space="0" w:color="auto"/>
              <w:right w:val="nil"/>
            </w:tcBorders>
            <w:vAlign w:val="bottom"/>
            <w:hideMark/>
          </w:tcPr>
          <w:p w14:paraId="53832533"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936F92E" w14:textId="77777777" w:rsidR="00F73ADF" w:rsidRDefault="00F73ADF" w:rsidP="00F73ADF">
            <w:pPr>
              <w:spacing w:after="0" w:line="240" w:lineRule="auto"/>
              <w:rPr>
                <w:rFonts w:ascii="Calibri" w:hAnsi="Calibri" w:cs="Times New Roman"/>
              </w:rPr>
            </w:pPr>
            <w:r>
              <w:rPr>
                <w:rFonts w:ascii="Calibri" w:hAnsi="Calibri" w:cs="Times New Roman"/>
              </w:rPr>
              <w:t>Sigmoid</w:t>
            </w:r>
          </w:p>
        </w:tc>
        <w:tc>
          <w:tcPr>
            <w:tcW w:w="1134" w:type="dxa"/>
            <w:tcBorders>
              <w:top w:val="nil"/>
              <w:left w:val="nil"/>
              <w:bottom w:val="single" w:sz="4" w:space="0" w:color="auto"/>
              <w:right w:val="single" w:sz="4" w:space="0" w:color="auto"/>
            </w:tcBorders>
            <w:vAlign w:val="bottom"/>
            <w:hideMark/>
          </w:tcPr>
          <w:p w14:paraId="7D0249E0" w14:textId="77777777" w:rsidR="00F73ADF" w:rsidRDefault="00F73ADF" w:rsidP="00F73ADF">
            <w:pPr>
              <w:spacing w:after="0" w:line="240" w:lineRule="auto"/>
              <w:jc w:val="center"/>
              <w:rPr>
                <w:rFonts w:ascii="Calibri" w:hAnsi="Calibri" w:cs="Times New Roman"/>
              </w:rPr>
            </w:pPr>
            <w:r>
              <w:rPr>
                <w:rFonts w:ascii="Calibri" w:hAnsi="Calibri" w:cs="Times New Roman"/>
              </w:rPr>
              <w:t>26%</w:t>
            </w:r>
          </w:p>
        </w:tc>
        <w:tc>
          <w:tcPr>
            <w:tcW w:w="1520" w:type="dxa"/>
            <w:tcBorders>
              <w:top w:val="nil"/>
              <w:left w:val="nil"/>
              <w:bottom w:val="single" w:sz="4" w:space="0" w:color="auto"/>
              <w:right w:val="single" w:sz="4" w:space="0" w:color="auto"/>
            </w:tcBorders>
            <w:hideMark/>
          </w:tcPr>
          <w:p w14:paraId="5BD9135B" w14:textId="67240F5A" w:rsidR="00F73ADF" w:rsidRDefault="00F73ADF" w:rsidP="00F73ADF">
            <w:pPr>
              <w:spacing w:after="0" w:line="240" w:lineRule="auto"/>
              <w:jc w:val="center"/>
              <w:rPr>
                <w:rFonts w:ascii="Calibri" w:hAnsi="Calibri" w:cs="Times New Roman"/>
              </w:rPr>
            </w:pPr>
            <w:r w:rsidRPr="006D532E">
              <w:rPr>
                <w:rFonts w:ascii="Calibri" w:hAnsi="Calibri" w:cs="Times New Roman"/>
              </w:rPr>
              <w:t>As baseline</w:t>
            </w:r>
          </w:p>
        </w:tc>
        <w:tc>
          <w:tcPr>
            <w:tcW w:w="1560" w:type="dxa"/>
            <w:tcBorders>
              <w:top w:val="nil"/>
              <w:left w:val="nil"/>
              <w:bottom w:val="single" w:sz="4" w:space="0" w:color="auto"/>
              <w:right w:val="single" w:sz="4" w:space="0" w:color="auto"/>
            </w:tcBorders>
          </w:tcPr>
          <w:p w14:paraId="31C86300" w14:textId="70047A92" w:rsidR="00F73ADF" w:rsidRDefault="00F73ADF" w:rsidP="00F73ADF">
            <w:pPr>
              <w:spacing w:after="0" w:line="240" w:lineRule="auto"/>
              <w:jc w:val="center"/>
              <w:rPr>
                <w:rFonts w:ascii="Calibri" w:hAnsi="Calibri" w:cs="Times New Roman"/>
              </w:rPr>
            </w:pPr>
            <w:r w:rsidRPr="006D532E">
              <w:rPr>
                <w:rFonts w:ascii="Calibri" w:hAnsi="Calibri" w:cs="Times New Roman"/>
              </w:rPr>
              <w:t>As baseline</w:t>
            </w:r>
          </w:p>
        </w:tc>
      </w:tr>
      <w:tr w:rsidR="00F73ADF" w14:paraId="111915B8" w14:textId="77777777" w:rsidTr="00F42F36">
        <w:trPr>
          <w:trHeight w:val="300"/>
        </w:trPr>
        <w:tc>
          <w:tcPr>
            <w:tcW w:w="265" w:type="dxa"/>
            <w:tcBorders>
              <w:top w:val="nil"/>
              <w:left w:val="single" w:sz="4" w:space="0" w:color="auto"/>
              <w:bottom w:val="single" w:sz="4" w:space="0" w:color="auto"/>
              <w:right w:val="nil"/>
            </w:tcBorders>
            <w:vAlign w:val="bottom"/>
            <w:hideMark/>
          </w:tcPr>
          <w:p w14:paraId="3938D3C6"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54211CBC" w14:textId="77777777" w:rsidR="00F73ADF" w:rsidRDefault="00F73ADF" w:rsidP="00F73ADF">
            <w:pPr>
              <w:spacing w:after="0" w:line="240" w:lineRule="auto"/>
              <w:rPr>
                <w:rFonts w:ascii="Calibri" w:hAnsi="Calibri" w:cs="Times New Roman"/>
              </w:rPr>
            </w:pPr>
            <w:r>
              <w:rPr>
                <w:rFonts w:ascii="Calibri" w:hAnsi="Calibri" w:cs="Times New Roman"/>
              </w:rPr>
              <w:t>Rectum</w:t>
            </w:r>
          </w:p>
        </w:tc>
        <w:tc>
          <w:tcPr>
            <w:tcW w:w="1134" w:type="dxa"/>
            <w:tcBorders>
              <w:top w:val="nil"/>
              <w:left w:val="nil"/>
              <w:bottom w:val="single" w:sz="4" w:space="0" w:color="auto"/>
              <w:right w:val="single" w:sz="4" w:space="0" w:color="auto"/>
            </w:tcBorders>
            <w:vAlign w:val="bottom"/>
            <w:hideMark/>
          </w:tcPr>
          <w:p w14:paraId="15582EEB" w14:textId="77777777" w:rsidR="00F73ADF" w:rsidRDefault="00F73ADF" w:rsidP="00F73ADF">
            <w:pPr>
              <w:spacing w:after="0" w:line="240" w:lineRule="auto"/>
              <w:jc w:val="center"/>
              <w:rPr>
                <w:rFonts w:ascii="Calibri" w:hAnsi="Calibri" w:cs="Times New Roman"/>
              </w:rPr>
            </w:pPr>
            <w:r>
              <w:rPr>
                <w:rFonts w:ascii="Calibri" w:hAnsi="Calibri" w:cs="Times New Roman"/>
              </w:rPr>
              <w:t>42%</w:t>
            </w:r>
          </w:p>
        </w:tc>
        <w:tc>
          <w:tcPr>
            <w:tcW w:w="1520" w:type="dxa"/>
            <w:tcBorders>
              <w:top w:val="nil"/>
              <w:left w:val="nil"/>
              <w:bottom w:val="single" w:sz="4" w:space="0" w:color="auto"/>
              <w:right w:val="single" w:sz="4" w:space="0" w:color="auto"/>
            </w:tcBorders>
            <w:hideMark/>
          </w:tcPr>
          <w:p w14:paraId="730C9FF2" w14:textId="294F0DA1" w:rsidR="00F73ADF" w:rsidRDefault="00F73ADF" w:rsidP="00F73ADF">
            <w:pPr>
              <w:spacing w:after="0" w:line="240" w:lineRule="auto"/>
              <w:jc w:val="center"/>
              <w:rPr>
                <w:rFonts w:ascii="Calibri" w:hAnsi="Calibri" w:cs="Times New Roman"/>
              </w:rPr>
            </w:pPr>
            <w:r w:rsidRPr="006D532E">
              <w:rPr>
                <w:rFonts w:ascii="Calibri" w:hAnsi="Calibri" w:cs="Times New Roman"/>
              </w:rPr>
              <w:t>As baseline</w:t>
            </w:r>
          </w:p>
        </w:tc>
        <w:tc>
          <w:tcPr>
            <w:tcW w:w="1560" w:type="dxa"/>
            <w:tcBorders>
              <w:top w:val="nil"/>
              <w:left w:val="nil"/>
              <w:bottom w:val="single" w:sz="4" w:space="0" w:color="auto"/>
              <w:right w:val="single" w:sz="4" w:space="0" w:color="auto"/>
            </w:tcBorders>
          </w:tcPr>
          <w:p w14:paraId="4660F80E" w14:textId="76DF3689" w:rsidR="00F73ADF" w:rsidRDefault="00F73ADF" w:rsidP="00F73ADF">
            <w:pPr>
              <w:spacing w:after="0" w:line="240" w:lineRule="auto"/>
              <w:jc w:val="center"/>
              <w:rPr>
                <w:rFonts w:ascii="Calibri" w:hAnsi="Calibri" w:cs="Times New Roman"/>
              </w:rPr>
            </w:pPr>
            <w:r w:rsidRPr="006D532E">
              <w:rPr>
                <w:rFonts w:ascii="Calibri" w:hAnsi="Calibri" w:cs="Times New Roman"/>
              </w:rPr>
              <w:t>As baseline</w:t>
            </w:r>
          </w:p>
        </w:tc>
      </w:tr>
      <w:tr w:rsidR="00F73ADF" w14:paraId="3477B76E"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0EFDAA37" w14:textId="5F41E5A5" w:rsidR="00F73ADF" w:rsidRDefault="00F73ADF" w:rsidP="00F42F36">
            <w:pPr>
              <w:spacing w:after="0" w:line="240" w:lineRule="auto"/>
              <w:rPr>
                <w:rFonts w:ascii="Calibri" w:hAnsi="Calibri" w:cs="Times New Roman"/>
                <w:i/>
                <w:iCs/>
              </w:rPr>
            </w:pPr>
            <w:r>
              <w:rPr>
                <w:rFonts w:ascii="Calibri" w:hAnsi="Calibri" w:cs="Times New Roman"/>
                <w:i/>
                <w:iCs/>
              </w:rPr>
              <w:t>Distribution of sessile serrated polyp by section of bowel</w:t>
            </w:r>
            <w:r>
              <w:rPr>
                <w:rFonts w:ascii="Calibri" w:hAnsi="Calibri" w:cs="Times New Roman"/>
                <w:i/>
                <w:iCs/>
                <w:vertAlign w:val="superscript"/>
              </w:rPr>
              <w:t xml:space="preserve"> b</w:t>
            </w:r>
          </w:p>
        </w:tc>
      </w:tr>
      <w:tr w:rsidR="00F73ADF" w14:paraId="0705C702" w14:textId="77777777" w:rsidTr="003E59DC">
        <w:trPr>
          <w:trHeight w:val="300"/>
        </w:trPr>
        <w:tc>
          <w:tcPr>
            <w:tcW w:w="265" w:type="dxa"/>
            <w:tcBorders>
              <w:top w:val="nil"/>
              <w:left w:val="single" w:sz="4" w:space="0" w:color="auto"/>
              <w:bottom w:val="single" w:sz="4" w:space="0" w:color="auto"/>
              <w:right w:val="nil"/>
            </w:tcBorders>
            <w:vAlign w:val="bottom"/>
            <w:hideMark/>
          </w:tcPr>
          <w:p w14:paraId="6FC4BA52"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692CC0F1" w14:textId="77777777" w:rsidR="00F73ADF" w:rsidRDefault="00F73ADF" w:rsidP="00F73ADF">
            <w:pPr>
              <w:spacing w:after="0" w:line="240" w:lineRule="auto"/>
              <w:rPr>
                <w:rFonts w:ascii="Calibri" w:hAnsi="Calibri" w:cs="Times New Roman"/>
              </w:rPr>
            </w:pPr>
            <w:r>
              <w:rPr>
                <w:rFonts w:ascii="Calibri" w:hAnsi="Calibri" w:cs="Times New Roman"/>
              </w:rPr>
              <w:t>Cecum</w:t>
            </w:r>
          </w:p>
        </w:tc>
        <w:tc>
          <w:tcPr>
            <w:tcW w:w="1134" w:type="dxa"/>
            <w:tcBorders>
              <w:top w:val="nil"/>
              <w:left w:val="nil"/>
              <w:bottom w:val="single" w:sz="4" w:space="0" w:color="auto"/>
              <w:right w:val="single" w:sz="4" w:space="0" w:color="auto"/>
            </w:tcBorders>
            <w:vAlign w:val="bottom"/>
            <w:hideMark/>
          </w:tcPr>
          <w:p w14:paraId="74F2BFC7" w14:textId="77777777" w:rsidR="00F73ADF" w:rsidRDefault="00F73ADF" w:rsidP="00F73ADF">
            <w:pPr>
              <w:spacing w:after="0" w:line="240" w:lineRule="auto"/>
              <w:jc w:val="center"/>
              <w:rPr>
                <w:rFonts w:ascii="Calibri" w:hAnsi="Calibri" w:cs="Times New Roman"/>
              </w:rPr>
            </w:pPr>
            <w:r>
              <w:rPr>
                <w:rFonts w:ascii="Calibri" w:hAnsi="Calibri" w:cs="Times New Roman"/>
              </w:rPr>
              <w:t>12%</w:t>
            </w:r>
          </w:p>
        </w:tc>
        <w:tc>
          <w:tcPr>
            <w:tcW w:w="1520" w:type="dxa"/>
            <w:tcBorders>
              <w:top w:val="nil"/>
              <w:left w:val="nil"/>
              <w:bottom w:val="single" w:sz="4" w:space="0" w:color="auto"/>
              <w:right w:val="single" w:sz="4" w:space="0" w:color="auto"/>
            </w:tcBorders>
            <w:hideMark/>
          </w:tcPr>
          <w:p w14:paraId="1FB43A85" w14:textId="25C0C594" w:rsidR="00F73ADF" w:rsidRDefault="00F73ADF" w:rsidP="00F73ADF">
            <w:pPr>
              <w:spacing w:after="0" w:line="240" w:lineRule="auto"/>
              <w:jc w:val="center"/>
              <w:rPr>
                <w:rFonts w:ascii="Calibri" w:hAnsi="Calibri" w:cs="Times New Roman"/>
              </w:rPr>
            </w:pPr>
            <w:r w:rsidRPr="00126624">
              <w:rPr>
                <w:rFonts w:ascii="Calibri" w:hAnsi="Calibri" w:cs="Times New Roman"/>
              </w:rPr>
              <w:t>As baseline</w:t>
            </w:r>
          </w:p>
        </w:tc>
        <w:tc>
          <w:tcPr>
            <w:tcW w:w="1560" w:type="dxa"/>
            <w:tcBorders>
              <w:top w:val="nil"/>
              <w:left w:val="nil"/>
              <w:bottom w:val="single" w:sz="4" w:space="0" w:color="auto"/>
              <w:right w:val="single" w:sz="4" w:space="0" w:color="auto"/>
            </w:tcBorders>
          </w:tcPr>
          <w:p w14:paraId="6035B24B" w14:textId="30E63EC4" w:rsidR="00F73ADF" w:rsidRDefault="00F73ADF" w:rsidP="00F73ADF">
            <w:pPr>
              <w:spacing w:after="0" w:line="240" w:lineRule="auto"/>
              <w:jc w:val="center"/>
              <w:rPr>
                <w:rFonts w:ascii="Calibri" w:hAnsi="Calibri" w:cs="Times New Roman"/>
              </w:rPr>
            </w:pPr>
            <w:r w:rsidRPr="00126624">
              <w:rPr>
                <w:rFonts w:ascii="Calibri" w:hAnsi="Calibri" w:cs="Times New Roman"/>
              </w:rPr>
              <w:t>As baseline</w:t>
            </w:r>
          </w:p>
        </w:tc>
      </w:tr>
      <w:tr w:rsidR="00F73ADF" w14:paraId="5C1A0FAB" w14:textId="77777777" w:rsidTr="003E59DC">
        <w:trPr>
          <w:trHeight w:val="300"/>
        </w:trPr>
        <w:tc>
          <w:tcPr>
            <w:tcW w:w="265" w:type="dxa"/>
            <w:tcBorders>
              <w:top w:val="nil"/>
              <w:left w:val="single" w:sz="4" w:space="0" w:color="auto"/>
              <w:bottom w:val="single" w:sz="4" w:space="0" w:color="auto"/>
              <w:right w:val="nil"/>
            </w:tcBorders>
            <w:vAlign w:val="bottom"/>
            <w:hideMark/>
          </w:tcPr>
          <w:p w14:paraId="03B05074"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1E0B1283" w14:textId="77777777" w:rsidR="00F73ADF" w:rsidRDefault="00F73ADF" w:rsidP="00F73ADF">
            <w:pPr>
              <w:spacing w:after="0" w:line="240" w:lineRule="auto"/>
              <w:rPr>
                <w:rFonts w:ascii="Calibri" w:hAnsi="Calibri" w:cs="Times New Roman"/>
              </w:rPr>
            </w:pPr>
            <w:r>
              <w:rPr>
                <w:rFonts w:ascii="Calibri" w:hAnsi="Calibri" w:cs="Times New Roman"/>
              </w:rPr>
              <w:t>Ascending colon</w:t>
            </w:r>
          </w:p>
        </w:tc>
        <w:tc>
          <w:tcPr>
            <w:tcW w:w="1134" w:type="dxa"/>
            <w:tcBorders>
              <w:top w:val="nil"/>
              <w:left w:val="nil"/>
              <w:bottom w:val="single" w:sz="4" w:space="0" w:color="auto"/>
              <w:right w:val="single" w:sz="4" w:space="0" w:color="auto"/>
            </w:tcBorders>
            <w:vAlign w:val="bottom"/>
            <w:hideMark/>
          </w:tcPr>
          <w:p w14:paraId="29D1F10D" w14:textId="77777777" w:rsidR="00F73ADF" w:rsidRDefault="00F73ADF" w:rsidP="00F73ADF">
            <w:pPr>
              <w:spacing w:after="0" w:line="240" w:lineRule="auto"/>
              <w:jc w:val="center"/>
              <w:rPr>
                <w:rFonts w:ascii="Calibri" w:hAnsi="Calibri" w:cs="Times New Roman"/>
              </w:rPr>
            </w:pPr>
            <w:r>
              <w:rPr>
                <w:rFonts w:ascii="Calibri" w:hAnsi="Calibri" w:cs="Times New Roman"/>
              </w:rPr>
              <w:t>28%</w:t>
            </w:r>
          </w:p>
        </w:tc>
        <w:tc>
          <w:tcPr>
            <w:tcW w:w="1520" w:type="dxa"/>
            <w:tcBorders>
              <w:top w:val="nil"/>
              <w:left w:val="nil"/>
              <w:bottom w:val="single" w:sz="4" w:space="0" w:color="auto"/>
              <w:right w:val="single" w:sz="4" w:space="0" w:color="auto"/>
            </w:tcBorders>
            <w:hideMark/>
          </w:tcPr>
          <w:p w14:paraId="761941CE" w14:textId="1AA7C480" w:rsidR="00F73ADF" w:rsidRDefault="00F73ADF" w:rsidP="00F73ADF">
            <w:pPr>
              <w:spacing w:after="0" w:line="240" w:lineRule="auto"/>
              <w:jc w:val="center"/>
              <w:rPr>
                <w:rFonts w:ascii="Calibri" w:hAnsi="Calibri" w:cs="Times New Roman"/>
              </w:rPr>
            </w:pPr>
            <w:r w:rsidRPr="00126624">
              <w:rPr>
                <w:rFonts w:ascii="Calibri" w:hAnsi="Calibri" w:cs="Times New Roman"/>
              </w:rPr>
              <w:t>As baseline</w:t>
            </w:r>
          </w:p>
        </w:tc>
        <w:tc>
          <w:tcPr>
            <w:tcW w:w="1560" w:type="dxa"/>
            <w:tcBorders>
              <w:top w:val="nil"/>
              <w:left w:val="nil"/>
              <w:bottom w:val="single" w:sz="4" w:space="0" w:color="auto"/>
              <w:right w:val="single" w:sz="4" w:space="0" w:color="auto"/>
            </w:tcBorders>
          </w:tcPr>
          <w:p w14:paraId="41FE83FB" w14:textId="0C02A6D8" w:rsidR="00F73ADF" w:rsidRDefault="00F73ADF" w:rsidP="00F73ADF">
            <w:pPr>
              <w:spacing w:after="0" w:line="240" w:lineRule="auto"/>
              <w:jc w:val="center"/>
              <w:rPr>
                <w:rFonts w:ascii="Calibri" w:hAnsi="Calibri" w:cs="Times New Roman"/>
              </w:rPr>
            </w:pPr>
            <w:r w:rsidRPr="00126624">
              <w:rPr>
                <w:rFonts w:ascii="Calibri" w:hAnsi="Calibri" w:cs="Times New Roman"/>
              </w:rPr>
              <w:t>As baseline</w:t>
            </w:r>
          </w:p>
        </w:tc>
      </w:tr>
      <w:tr w:rsidR="00F73ADF" w14:paraId="6C3C8452" w14:textId="77777777" w:rsidTr="003E59DC">
        <w:trPr>
          <w:trHeight w:val="300"/>
        </w:trPr>
        <w:tc>
          <w:tcPr>
            <w:tcW w:w="265" w:type="dxa"/>
            <w:tcBorders>
              <w:top w:val="nil"/>
              <w:left w:val="single" w:sz="4" w:space="0" w:color="auto"/>
              <w:bottom w:val="single" w:sz="4" w:space="0" w:color="auto"/>
              <w:right w:val="nil"/>
            </w:tcBorders>
            <w:vAlign w:val="bottom"/>
            <w:hideMark/>
          </w:tcPr>
          <w:p w14:paraId="6ED80B01"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712B172D" w14:textId="77777777" w:rsidR="00F73ADF" w:rsidRDefault="00F73ADF" w:rsidP="00F73ADF">
            <w:pPr>
              <w:spacing w:after="0" w:line="240" w:lineRule="auto"/>
              <w:rPr>
                <w:rFonts w:ascii="Calibri" w:hAnsi="Calibri" w:cs="Times New Roman"/>
              </w:rPr>
            </w:pPr>
            <w:r>
              <w:rPr>
                <w:rFonts w:ascii="Calibri" w:hAnsi="Calibri" w:cs="Times New Roman"/>
              </w:rPr>
              <w:t>Transverse colon</w:t>
            </w:r>
          </w:p>
        </w:tc>
        <w:tc>
          <w:tcPr>
            <w:tcW w:w="1134" w:type="dxa"/>
            <w:tcBorders>
              <w:top w:val="nil"/>
              <w:left w:val="nil"/>
              <w:bottom w:val="single" w:sz="4" w:space="0" w:color="auto"/>
              <w:right w:val="single" w:sz="4" w:space="0" w:color="auto"/>
            </w:tcBorders>
            <w:vAlign w:val="bottom"/>
            <w:hideMark/>
          </w:tcPr>
          <w:p w14:paraId="1D251641" w14:textId="77777777" w:rsidR="00F73ADF" w:rsidRDefault="00F73ADF" w:rsidP="00F73ADF">
            <w:pPr>
              <w:spacing w:after="0" w:line="240" w:lineRule="auto"/>
              <w:jc w:val="center"/>
              <w:rPr>
                <w:rFonts w:ascii="Calibri" w:hAnsi="Calibri" w:cs="Times New Roman"/>
              </w:rPr>
            </w:pPr>
            <w:r>
              <w:rPr>
                <w:rFonts w:ascii="Calibri" w:hAnsi="Calibri" w:cs="Times New Roman"/>
              </w:rPr>
              <w:t>20%</w:t>
            </w:r>
          </w:p>
        </w:tc>
        <w:tc>
          <w:tcPr>
            <w:tcW w:w="1520" w:type="dxa"/>
            <w:tcBorders>
              <w:top w:val="nil"/>
              <w:left w:val="nil"/>
              <w:bottom w:val="single" w:sz="4" w:space="0" w:color="auto"/>
              <w:right w:val="single" w:sz="4" w:space="0" w:color="auto"/>
            </w:tcBorders>
            <w:hideMark/>
          </w:tcPr>
          <w:p w14:paraId="32D38DA9" w14:textId="3906CD8F" w:rsidR="00F73ADF" w:rsidRDefault="00F73ADF" w:rsidP="00F73ADF">
            <w:pPr>
              <w:spacing w:after="0" w:line="240" w:lineRule="auto"/>
              <w:jc w:val="center"/>
              <w:rPr>
                <w:rFonts w:ascii="Calibri" w:hAnsi="Calibri" w:cs="Times New Roman"/>
              </w:rPr>
            </w:pPr>
            <w:r w:rsidRPr="00126624">
              <w:rPr>
                <w:rFonts w:ascii="Calibri" w:hAnsi="Calibri" w:cs="Times New Roman"/>
              </w:rPr>
              <w:t>As baseline</w:t>
            </w:r>
          </w:p>
        </w:tc>
        <w:tc>
          <w:tcPr>
            <w:tcW w:w="1560" w:type="dxa"/>
            <w:tcBorders>
              <w:top w:val="nil"/>
              <w:left w:val="nil"/>
              <w:bottom w:val="single" w:sz="4" w:space="0" w:color="auto"/>
              <w:right w:val="single" w:sz="4" w:space="0" w:color="auto"/>
            </w:tcBorders>
          </w:tcPr>
          <w:p w14:paraId="78EE6242" w14:textId="5CC76470" w:rsidR="00F73ADF" w:rsidRDefault="00F73ADF" w:rsidP="00F73ADF">
            <w:pPr>
              <w:spacing w:after="0" w:line="240" w:lineRule="auto"/>
              <w:jc w:val="center"/>
              <w:rPr>
                <w:rFonts w:ascii="Calibri" w:hAnsi="Calibri" w:cs="Times New Roman"/>
              </w:rPr>
            </w:pPr>
            <w:r w:rsidRPr="00126624">
              <w:rPr>
                <w:rFonts w:ascii="Calibri" w:hAnsi="Calibri" w:cs="Times New Roman"/>
              </w:rPr>
              <w:t>As baseline</w:t>
            </w:r>
          </w:p>
        </w:tc>
      </w:tr>
      <w:tr w:rsidR="00F73ADF" w14:paraId="55D361AD" w14:textId="77777777" w:rsidTr="00F42F36">
        <w:trPr>
          <w:trHeight w:val="300"/>
        </w:trPr>
        <w:tc>
          <w:tcPr>
            <w:tcW w:w="265" w:type="dxa"/>
            <w:tcBorders>
              <w:top w:val="nil"/>
              <w:left w:val="single" w:sz="4" w:space="0" w:color="auto"/>
              <w:bottom w:val="single" w:sz="4" w:space="0" w:color="auto"/>
              <w:right w:val="nil"/>
            </w:tcBorders>
            <w:vAlign w:val="bottom"/>
            <w:hideMark/>
          </w:tcPr>
          <w:p w14:paraId="68AD31DA"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575E5FF8" w14:textId="77777777" w:rsidR="00F73ADF" w:rsidRDefault="00F73ADF" w:rsidP="00F73ADF">
            <w:pPr>
              <w:spacing w:after="0" w:line="240" w:lineRule="auto"/>
              <w:rPr>
                <w:rFonts w:ascii="Calibri" w:hAnsi="Calibri" w:cs="Times New Roman"/>
              </w:rPr>
            </w:pPr>
            <w:r>
              <w:rPr>
                <w:rFonts w:ascii="Calibri" w:hAnsi="Calibri" w:cs="Times New Roman"/>
              </w:rPr>
              <w:t>Descending colon</w:t>
            </w:r>
          </w:p>
        </w:tc>
        <w:tc>
          <w:tcPr>
            <w:tcW w:w="1134" w:type="dxa"/>
            <w:tcBorders>
              <w:top w:val="nil"/>
              <w:left w:val="nil"/>
              <w:bottom w:val="single" w:sz="4" w:space="0" w:color="auto"/>
              <w:right w:val="single" w:sz="4" w:space="0" w:color="auto"/>
            </w:tcBorders>
            <w:vAlign w:val="bottom"/>
            <w:hideMark/>
          </w:tcPr>
          <w:p w14:paraId="5A949CE3" w14:textId="77777777" w:rsidR="00F73ADF" w:rsidRDefault="00F73ADF" w:rsidP="00F73ADF">
            <w:pPr>
              <w:spacing w:after="0" w:line="240" w:lineRule="auto"/>
              <w:jc w:val="center"/>
              <w:rPr>
                <w:rFonts w:ascii="Calibri" w:hAnsi="Calibri" w:cs="Times New Roman"/>
              </w:rPr>
            </w:pPr>
            <w:r>
              <w:rPr>
                <w:rFonts w:ascii="Calibri" w:hAnsi="Calibri" w:cs="Times New Roman"/>
              </w:rPr>
              <w:t>7%</w:t>
            </w:r>
          </w:p>
        </w:tc>
        <w:tc>
          <w:tcPr>
            <w:tcW w:w="1520" w:type="dxa"/>
            <w:tcBorders>
              <w:top w:val="nil"/>
              <w:left w:val="nil"/>
              <w:bottom w:val="single" w:sz="4" w:space="0" w:color="auto"/>
              <w:right w:val="single" w:sz="4" w:space="0" w:color="auto"/>
            </w:tcBorders>
            <w:hideMark/>
          </w:tcPr>
          <w:p w14:paraId="12538A9B" w14:textId="4A9CA548" w:rsidR="00F73ADF" w:rsidRDefault="00F73ADF" w:rsidP="00F73ADF">
            <w:pPr>
              <w:spacing w:after="0" w:line="240" w:lineRule="auto"/>
              <w:jc w:val="center"/>
              <w:rPr>
                <w:rFonts w:ascii="Calibri" w:hAnsi="Calibri" w:cs="Times New Roman"/>
              </w:rPr>
            </w:pPr>
            <w:r w:rsidRPr="00126624">
              <w:rPr>
                <w:rFonts w:ascii="Calibri" w:hAnsi="Calibri" w:cs="Times New Roman"/>
              </w:rPr>
              <w:t>As baseline</w:t>
            </w:r>
          </w:p>
        </w:tc>
        <w:tc>
          <w:tcPr>
            <w:tcW w:w="1560" w:type="dxa"/>
            <w:tcBorders>
              <w:top w:val="nil"/>
              <w:left w:val="nil"/>
              <w:bottom w:val="single" w:sz="4" w:space="0" w:color="auto"/>
              <w:right w:val="single" w:sz="4" w:space="0" w:color="auto"/>
            </w:tcBorders>
          </w:tcPr>
          <w:p w14:paraId="29F9237E" w14:textId="686510D3" w:rsidR="00F73ADF" w:rsidRDefault="00F73ADF" w:rsidP="00F73ADF">
            <w:pPr>
              <w:spacing w:after="0" w:line="240" w:lineRule="auto"/>
              <w:jc w:val="center"/>
              <w:rPr>
                <w:rFonts w:ascii="Calibri" w:hAnsi="Calibri" w:cs="Times New Roman"/>
              </w:rPr>
            </w:pPr>
            <w:r w:rsidRPr="00126624">
              <w:rPr>
                <w:rFonts w:ascii="Calibri" w:hAnsi="Calibri" w:cs="Times New Roman"/>
              </w:rPr>
              <w:t>As baseline</w:t>
            </w:r>
          </w:p>
        </w:tc>
      </w:tr>
      <w:tr w:rsidR="00F73ADF" w14:paraId="59D826AB" w14:textId="77777777" w:rsidTr="00F42F36">
        <w:trPr>
          <w:trHeight w:val="300"/>
        </w:trPr>
        <w:tc>
          <w:tcPr>
            <w:tcW w:w="265" w:type="dxa"/>
            <w:tcBorders>
              <w:top w:val="nil"/>
              <w:left w:val="single" w:sz="4" w:space="0" w:color="auto"/>
              <w:bottom w:val="single" w:sz="4" w:space="0" w:color="auto"/>
              <w:right w:val="nil"/>
            </w:tcBorders>
            <w:vAlign w:val="bottom"/>
            <w:hideMark/>
          </w:tcPr>
          <w:p w14:paraId="29571FF0"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E70F7DB" w14:textId="77777777" w:rsidR="00F73ADF" w:rsidRDefault="00F73ADF" w:rsidP="00F73ADF">
            <w:pPr>
              <w:spacing w:after="0" w:line="240" w:lineRule="auto"/>
              <w:rPr>
                <w:rFonts w:ascii="Calibri" w:hAnsi="Calibri" w:cs="Times New Roman"/>
              </w:rPr>
            </w:pPr>
            <w:r>
              <w:rPr>
                <w:rFonts w:ascii="Calibri" w:hAnsi="Calibri" w:cs="Times New Roman"/>
              </w:rPr>
              <w:t>Sigmoid</w:t>
            </w:r>
          </w:p>
        </w:tc>
        <w:tc>
          <w:tcPr>
            <w:tcW w:w="1134" w:type="dxa"/>
            <w:tcBorders>
              <w:top w:val="nil"/>
              <w:left w:val="nil"/>
              <w:bottom w:val="single" w:sz="4" w:space="0" w:color="auto"/>
              <w:right w:val="single" w:sz="4" w:space="0" w:color="auto"/>
            </w:tcBorders>
            <w:vAlign w:val="bottom"/>
            <w:hideMark/>
          </w:tcPr>
          <w:p w14:paraId="1EE152D8" w14:textId="77777777" w:rsidR="00F73ADF" w:rsidRDefault="00F73ADF" w:rsidP="00F73ADF">
            <w:pPr>
              <w:spacing w:after="0" w:line="240" w:lineRule="auto"/>
              <w:jc w:val="center"/>
              <w:rPr>
                <w:rFonts w:ascii="Calibri" w:hAnsi="Calibri" w:cs="Times New Roman"/>
              </w:rPr>
            </w:pPr>
            <w:r>
              <w:rPr>
                <w:rFonts w:ascii="Calibri" w:hAnsi="Calibri" w:cs="Times New Roman"/>
              </w:rPr>
              <w:t>13%</w:t>
            </w:r>
          </w:p>
        </w:tc>
        <w:tc>
          <w:tcPr>
            <w:tcW w:w="1520" w:type="dxa"/>
            <w:tcBorders>
              <w:top w:val="nil"/>
              <w:left w:val="nil"/>
              <w:bottom w:val="single" w:sz="4" w:space="0" w:color="auto"/>
              <w:right w:val="single" w:sz="4" w:space="0" w:color="auto"/>
            </w:tcBorders>
            <w:hideMark/>
          </w:tcPr>
          <w:p w14:paraId="4533EA7B" w14:textId="49AA593E" w:rsidR="00F73ADF" w:rsidRDefault="00F73ADF" w:rsidP="00F73ADF">
            <w:pPr>
              <w:spacing w:after="0" w:line="240" w:lineRule="auto"/>
              <w:jc w:val="center"/>
              <w:rPr>
                <w:rFonts w:ascii="Calibri" w:hAnsi="Calibri" w:cs="Times New Roman"/>
              </w:rPr>
            </w:pPr>
            <w:r w:rsidRPr="00126624">
              <w:rPr>
                <w:rFonts w:ascii="Calibri" w:hAnsi="Calibri" w:cs="Times New Roman"/>
              </w:rPr>
              <w:t>As baseline</w:t>
            </w:r>
          </w:p>
        </w:tc>
        <w:tc>
          <w:tcPr>
            <w:tcW w:w="1560" w:type="dxa"/>
            <w:tcBorders>
              <w:top w:val="nil"/>
              <w:left w:val="nil"/>
              <w:bottom w:val="single" w:sz="4" w:space="0" w:color="auto"/>
              <w:right w:val="single" w:sz="4" w:space="0" w:color="auto"/>
            </w:tcBorders>
          </w:tcPr>
          <w:p w14:paraId="73B74B7E" w14:textId="08435D53" w:rsidR="00F73ADF" w:rsidRDefault="00F73ADF" w:rsidP="00F73ADF">
            <w:pPr>
              <w:spacing w:after="0" w:line="240" w:lineRule="auto"/>
              <w:jc w:val="center"/>
              <w:rPr>
                <w:rFonts w:ascii="Calibri" w:hAnsi="Calibri" w:cs="Times New Roman"/>
              </w:rPr>
            </w:pPr>
            <w:r w:rsidRPr="00126624">
              <w:rPr>
                <w:rFonts w:ascii="Calibri" w:hAnsi="Calibri" w:cs="Times New Roman"/>
              </w:rPr>
              <w:t>As baseline</w:t>
            </w:r>
          </w:p>
        </w:tc>
      </w:tr>
      <w:tr w:rsidR="00F73ADF" w14:paraId="392AAF61" w14:textId="77777777" w:rsidTr="00F42F36">
        <w:trPr>
          <w:trHeight w:val="300"/>
        </w:trPr>
        <w:tc>
          <w:tcPr>
            <w:tcW w:w="265" w:type="dxa"/>
            <w:tcBorders>
              <w:top w:val="nil"/>
              <w:left w:val="single" w:sz="4" w:space="0" w:color="auto"/>
              <w:bottom w:val="single" w:sz="4" w:space="0" w:color="auto"/>
              <w:right w:val="nil"/>
            </w:tcBorders>
            <w:vAlign w:val="bottom"/>
            <w:hideMark/>
          </w:tcPr>
          <w:p w14:paraId="54505EBD"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2A4F52BA" w14:textId="77777777" w:rsidR="00F73ADF" w:rsidRDefault="00F73ADF" w:rsidP="00F73ADF">
            <w:pPr>
              <w:spacing w:after="0" w:line="240" w:lineRule="auto"/>
              <w:rPr>
                <w:rFonts w:ascii="Calibri" w:hAnsi="Calibri" w:cs="Times New Roman"/>
              </w:rPr>
            </w:pPr>
            <w:r>
              <w:rPr>
                <w:rFonts w:ascii="Calibri" w:hAnsi="Calibri" w:cs="Times New Roman"/>
              </w:rPr>
              <w:t>Rectum</w:t>
            </w:r>
          </w:p>
        </w:tc>
        <w:tc>
          <w:tcPr>
            <w:tcW w:w="1134" w:type="dxa"/>
            <w:tcBorders>
              <w:top w:val="nil"/>
              <w:left w:val="nil"/>
              <w:bottom w:val="single" w:sz="4" w:space="0" w:color="auto"/>
              <w:right w:val="single" w:sz="4" w:space="0" w:color="auto"/>
            </w:tcBorders>
            <w:vAlign w:val="bottom"/>
            <w:hideMark/>
          </w:tcPr>
          <w:p w14:paraId="402569C9" w14:textId="77777777" w:rsidR="00F73ADF" w:rsidRDefault="00F73ADF" w:rsidP="00F73ADF">
            <w:pPr>
              <w:spacing w:after="0" w:line="240" w:lineRule="auto"/>
              <w:jc w:val="center"/>
              <w:rPr>
                <w:rFonts w:ascii="Calibri" w:hAnsi="Calibri" w:cs="Times New Roman"/>
              </w:rPr>
            </w:pPr>
            <w:r>
              <w:rPr>
                <w:rFonts w:ascii="Calibri" w:hAnsi="Calibri" w:cs="Times New Roman"/>
              </w:rPr>
              <w:t>21%</w:t>
            </w:r>
          </w:p>
        </w:tc>
        <w:tc>
          <w:tcPr>
            <w:tcW w:w="1520" w:type="dxa"/>
            <w:tcBorders>
              <w:top w:val="nil"/>
              <w:left w:val="nil"/>
              <w:bottom w:val="single" w:sz="4" w:space="0" w:color="auto"/>
              <w:right w:val="single" w:sz="4" w:space="0" w:color="auto"/>
            </w:tcBorders>
            <w:hideMark/>
          </w:tcPr>
          <w:p w14:paraId="7658110B" w14:textId="3B6BC80C" w:rsidR="00F73ADF" w:rsidRDefault="00F73ADF" w:rsidP="00F73ADF">
            <w:pPr>
              <w:spacing w:after="0" w:line="240" w:lineRule="auto"/>
              <w:jc w:val="center"/>
              <w:rPr>
                <w:rFonts w:ascii="Calibri" w:hAnsi="Calibri" w:cs="Times New Roman"/>
              </w:rPr>
            </w:pPr>
            <w:r w:rsidRPr="00126624">
              <w:rPr>
                <w:rFonts w:ascii="Calibri" w:hAnsi="Calibri" w:cs="Times New Roman"/>
              </w:rPr>
              <w:t>As baseline</w:t>
            </w:r>
          </w:p>
        </w:tc>
        <w:tc>
          <w:tcPr>
            <w:tcW w:w="1560" w:type="dxa"/>
            <w:tcBorders>
              <w:top w:val="nil"/>
              <w:left w:val="nil"/>
              <w:bottom w:val="single" w:sz="4" w:space="0" w:color="auto"/>
              <w:right w:val="single" w:sz="4" w:space="0" w:color="auto"/>
            </w:tcBorders>
          </w:tcPr>
          <w:p w14:paraId="2B92C8B6" w14:textId="1B5FF77F" w:rsidR="00F73ADF" w:rsidRDefault="00F73ADF" w:rsidP="00F73ADF">
            <w:pPr>
              <w:spacing w:after="0" w:line="240" w:lineRule="auto"/>
              <w:jc w:val="center"/>
              <w:rPr>
                <w:rFonts w:ascii="Calibri" w:hAnsi="Calibri" w:cs="Times New Roman"/>
              </w:rPr>
            </w:pPr>
            <w:r w:rsidRPr="00126624">
              <w:rPr>
                <w:rFonts w:ascii="Calibri" w:hAnsi="Calibri" w:cs="Times New Roman"/>
              </w:rPr>
              <w:t>As baseline</w:t>
            </w:r>
          </w:p>
        </w:tc>
      </w:tr>
      <w:tr w:rsidR="00F73ADF" w14:paraId="7162C8E0" w14:textId="77777777" w:rsidTr="00F42F36">
        <w:trPr>
          <w:trHeight w:val="300"/>
        </w:trPr>
        <w:tc>
          <w:tcPr>
            <w:tcW w:w="8926" w:type="dxa"/>
            <w:gridSpan w:val="5"/>
            <w:tcBorders>
              <w:top w:val="nil"/>
              <w:left w:val="single" w:sz="4" w:space="0" w:color="auto"/>
              <w:bottom w:val="single" w:sz="4" w:space="0" w:color="auto"/>
              <w:right w:val="single" w:sz="4" w:space="0" w:color="auto"/>
            </w:tcBorders>
            <w:vAlign w:val="bottom"/>
          </w:tcPr>
          <w:p w14:paraId="7C9EC119" w14:textId="60ADA475" w:rsidR="00F73ADF" w:rsidRDefault="00F73ADF" w:rsidP="00F42F36">
            <w:pPr>
              <w:pStyle w:val="Default"/>
              <w:rPr>
                <w:i/>
                <w:iCs/>
                <w:sz w:val="22"/>
                <w:szCs w:val="22"/>
              </w:rPr>
            </w:pPr>
            <w:r>
              <w:rPr>
                <w:i/>
                <w:iCs/>
                <w:sz w:val="22"/>
                <w:szCs w:val="22"/>
              </w:rPr>
              <w:t xml:space="preserve">Probability of sessile serrated polyp (any size) progress into stage 1 non-symptomatic cancer </w:t>
            </w:r>
            <w:r w:rsidRPr="001E1E31">
              <w:rPr>
                <w:i/>
                <w:iCs/>
                <w:sz w:val="22"/>
                <w:szCs w:val="22"/>
                <w:vertAlign w:val="superscript"/>
              </w:rPr>
              <w:t>a</w:t>
            </w:r>
            <w:r>
              <w:rPr>
                <w:i/>
                <w:iCs/>
                <w:sz w:val="22"/>
                <w:szCs w:val="22"/>
              </w:rPr>
              <w:t xml:space="preserve"> </w:t>
            </w:r>
          </w:p>
        </w:tc>
      </w:tr>
      <w:tr w:rsidR="00F73ADF" w14:paraId="33575AAF" w14:textId="77777777" w:rsidTr="003E59DC">
        <w:trPr>
          <w:trHeight w:val="300"/>
        </w:trPr>
        <w:tc>
          <w:tcPr>
            <w:tcW w:w="265" w:type="dxa"/>
            <w:tcBorders>
              <w:top w:val="nil"/>
              <w:left w:val="single" w:sz="4" w:space="0" w:color="auto"/>
              <w:bottom w:val="single" w:sz="4" w:space="0" w:color="auto"/>
              <w:right w:val="nil"/>
            </w:tcBorders>
            <w:vAlign w:val="bottom"/>
            <w:hideMark/>
          </w:tcPr>
          <w:p w14:paraId="75C12FAF"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0F4F4596" w14:textId="77777777" w:rsidR="00F73ADF" w:rsidRDefault="00F73ADF" w:rsidP="00F73ADF">
            <w:pPr>
              <w:spacing w:after="0" w:line="240" w:lineRule="auto"/>
              <w:rPr>
                <w:rFonts w:ascii="Calibri" w:hAnsi="Calibri" w:cs="Times New Roman"/>
              </w:rPr>
            </w:pPr>
            <w:r>
              <w:rPr>
                <w:rFonts w:ascii="Calibri" w:hAnsi="Calibri" w:cs="Times New Roman"/>
              </w:rPr>
              <w:t>Male, colon cancer</w:t>
            </w:r>
          </w:p>
        </w:tc>
        <w:tc>
          <w:tcPr>
            <w:tcW w:w="1134" w:type="dxa"/>
            <w:tcBorders>
              <w:top w:val="nil"/>
              <w:left w:val="nil"/>
              <w:bottom w:val="single" w:sz="4" w:space="0" w:color="auto"/>
              <w:right w:val="single" w:sz="4" w:space="0" w:color="auto"/>
            </w:tcBorders>
            <w:vAlign w:val="bottom"/>
            <w:hideMark/>
          </w:tcPr>
          <w:p w14:paraId="6F2D4C74" w14:textId="77777777" w:rsidR="00F73ADF" w:rsidRDefault="00F73ADF" w:rsidP="00F73ADF">
            <w:pPr>
              <w:spacing w:after="0" w:line="240" w:lineRule="auto"/>
              <w:jc w:val="center"/>
              <w:rPr>
                <w:rFonts w:ascii="Calibri" w:hAnsi="Calibri" w:cs="Times New Roman"/>
              </w:rPr>
            </w:pPr>
            <w:r>
              <w:rPr>
                <w:rFonts w:ascii="Calibri" w:hAnsi="Calibri" w:cs="Times New Roman"/>
              </w:rPr>
              <w:t>0.17%</w:t>
            </w:r>
          </w:p>
        </w:tc>
        <w:tc>
          <w:tcPr>
            <w:tcW w:w="1520" w:type="dxa"/>
            <w:tcBorders>
              <w:top w:val="nil"/>
              <w:left w:val="nil"/>
              <w:bottom w:val="single" w:sz="4" w:space="0" w:color="auto"/>
              <w:right w:val="single" w:sz="4" w:space="0" w:color="auto"/>
            </w:tcBorders>
            <w:hideMark/>
          </w:tcPr>
          <w:p w14:paraId="37DAEA7D" w14:textId="541BD5D9" w:rsidR="00F73ADF" w:rsidRDefault="00F73ADF" w:rsidP="00F73ADF">
            <w:pPr>
              <w:spacing w:after="0" w:line="240" w:lineRule="auto"/>
              <w:jc w:val="center"/>
              <w:rPr>
                <w:rFonts w:ascii="Calibri" w:hAnsi="Calibri" w:cs="Times New Roman"/>
              </w:rPr>
            </w:pPr>
            <w:r w:rsidRPr="00D64F92">
              <w:rPr>
                <w:rFonts w:ascii="Calibri" w:hAnsi="Calibri" w:cs="Times New Roman"/>
              </w:rPr>
              <w:t>As baseline</w:t>
            </w:r>
          </w:p>
        </w:tc>
        <w:tc>
          <w:tcPr>
            <w:tcW w:w="1560" w:type="dxa"/>
            <w:tcBorders>
              <w:top w:val="nil"/>
              <w:left w:val="nil"/>
              <w:bottom w:val="single" w:sz="4" w:space="0" w:color="auto"/>
              <w:right w:val="single" w:sz="4" w:space="0" w:color="auto"/>
            </w:tcBorders>
          </w:tcPr>
          <w:p w14:paraId="64628A0F" w14:textId="12545C72" w:rsidR="00F73ADF" w:rsidRDefault="00F73ADF" w:rsidP="00F73ADF">
            <w:pPr>
              <w:spacing w:after="0" w:line="240" w:lineRule="auto"/>
              <w:jc w:val="center"/>
              <w:rPr>
                <w:rFonts w:ascii="Calibri" w:hAnsi="Calibri" w:cs="Times New Roman"/>
              </w:rPr>
            </w:pPr>
            <w:r w:rsidRPr="00D64F92">
              <w:rPr>
                <w:rFonts w:ascii="Calibri" w:hAnsi="Calibri" w:cs="Times New Roman"/>
              </w:rPr>
              <w:t>As baseline</w:t>
            </w:r>
          </w:p>
        </w:tc>
      </w:tr>
      <w:tr w:rsidR="00F73ADF" w14:paraId="47EC7344" w14:textId="77777777" w:rsidTr="00F42F36">
        <w:trPr>
          <w:trHeight w:val="300"/>
        </w:trPr>
        <w:tc>
          <w:tcPr>
            <w:tcW w:w="265" w:type="dxa"/>
            <w:tcBorders>
              <w:top w:val="nil"/>
              <w:left w:val="single" w:sz="4" w:space="0" w:color="auto"/>
              <w:bottom w:val="single" w:sz="4" w:space="0" w:color="auto"/>
              <w:right w:val="nil"/>
            </w:tcBorders>
            <w:vAlign w:val="bottom"/>
            <w:hideMark/>
          </w:tcPr>
          <w:p w14:paraId="393EC15E"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78D0C2A" w14:textId="77777777" w:rsidR="00F73ADF" w:rsidRDefault="00F73ADF" w:rsidP="00F73ADF">
            <w:pPr>
              <w:spacing w:after="0" w:line="240" w:lineRule="auto"/>
              <w:rPr>
                <w:rFonts w:ascii="Calibri" w:hAnsi="Calibri" w:cs="Times New Roman"/>
              </w:rPr>
            </w:pPr>
            <w:r>
              <w:rPr>
                <w:rFonts w:ascii="Calibri" w:hAnsi="Calibri" w:cs="Times New Roman"/>
              </w:rPr>
              <w:t>Male, rectum cancer</w:t>
            </w:r>
          </w:p>
        </w:tc>
        <w:tc>
          <w:tcPr>
            <w:tcW w:w="1134" w:type="dxa"/>
            <w:tcBorders>
              <w:top w:val="nil"/>
              <w:left w:val="nil"/>
              <w:bottom w:val="single" w:sz="4" w:space="0" w:color="auto"/>
              <w:right w:val="single" w:sz="4" w:space="0" w:color="auto"/>
            </w:tcBorders>
            <w:vAlign w:val="bottom"/>
            <w:hideMark/>
          </w:tcPr>
          <w:p w14:paraId="39187901" w14:textId="77777777" w:rsidR="00F73ADF" w:rsidRDefault="00F73ADF" w:rsidP="00F73ADF">
            <w:pPr>
              <w:spacing w:after="0" w:line="240" w:lineRule="auto"/>
              <w:jc w:val="center"/>
              <w:rPr>
                <w:rFonts w:ascii="Calibri" w:hAnsi="Calibri" w:cs="Times New Roman"/>
              </w:rPr>
            </w:pPr>
            <w:r>
              <w:rPr>
                <w:rFonts w:ascii="Calibri" w:hAnsi="Calibri" w:cs="Times New Roman"/>
              </w:rPr>
              <w:t>0.43%</w:t>
            </w:r>
          </w:p>
        </w:tc>
        <w:tc>
          <w:tcPr>
            <w:tcW w:w="1520" w:type="dxa"/>
            <w:tcBorders>
              <w:top w:val="nil"/>
              <w:left w:val="nil"/>
              <w:bottom w:val="single" w:sz="4" w:space="0" w:color="auto"/>
              <w:right w:val="single" w:sz="4" w:space="0" w:color="auto"/>
            </w:tcBorders>
            <w:hideMark/>
          </w:tcPr>
          <w:p w14:paraId="7AE6FBB8" w14:textId="3B5CF0DE" w:rsidR="00F73ADF" w:rsidRDefault="00F73ADF" w:rsidP="00F73ADF">
            <w:pPr>
              <w:spacing w:after="0" w:line="240" w:lineRule="auto"/>
              <w:jc w:val="center"/>
              <w:rPr>
                <w:rFonts w:ascii="Calibri" w:hAnsi="Calibri" w:cs="Times New Roman"/>
              </w:rPr>
            </w:pPr>
            <w:r w:rsidRPr="00D64F92">
              <w:rPr>
                <w:rFonts w:ascii="Calibri" w:hAnsi="Calibri" w:cs="Times New Roman"/>
              </w:rPr>
              <w:t>As baseline</w:t>
            </w:r>
          </w:p>
        </w:tc>
        <w:tc>
          <w:tcPr>
            <w:tcW w:w="1560" w:type="dxa"/>
            <w:tcBorders>
              <w:top w:val="nil"/>
              <w:left w:val="nil"/>
              <w:bottom w:val="single" w:sz="4" w:space="0" w:color="auto"/>
              <w:right w:val="single" w:sz="4" w:space="0" w:color="auto"/>
            </w:tcBorders>
          </w:tcPr>
          <w:p w14:paraId="0A53B251" w14:textId="496B2C93" w:rsidR="00F73ADF" w:rsidRDefault="00F73ADF" w:rsidP="00F73ADF">
            <w:pPr>
              <w:spacing w:after="0" w:line="240" w:lineRule="auto"/>
              <w:jc w:val="center"/>
              <w:rPr>
                <w:rFonts w:ascii="Calibri" w:hAnsi="Calibri" w:cs="Times New Roman"/>
              </w:rPr>
            </w:pPr>
            <w:r w:rsidRPr="00D64F92">
              <w:rPr>
                <w:rFonts w:ascii="Calibri" w:hAnsi="Calibri" w:cs="Times New Roman"/>
              </w:rPr>
              <w:t>As baseline</w:t>
            </w:r>
          </w:p>
        </w:tc>
      </w:tr>
      <w:tr w:rsidR="00F73ADF" w14:paraId="65E9B2B1" w14:textId="77777777" w:rsidTr="00F42F36">
        <w:trPr>
          <w:trHeight w:val="300"/>
        </w:trPr>
        <w:tc>
          <w:tcPr>
            <w:tcW w:w="265" w:type="dxa"/>
            <w:tcBorders>
              <w:top w:val="nil"/>
              <w:left w:val="single" w:sz="4" w:space="0" w:color="auto"/>
              <w:bottom w:val="single" w:sz="4" w:space="0" w:color="auto"/>
              <w:right w:val="nil"/>
            </w:tcBorders>
            <w:vAlign w:val="bottom"/>
            <w:hideMark/>
          </w:tcPr>
          <w:p w14:paraId="550EC720"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2FA0525" w14:textId="77777777" w:rsidR="00F73ADF" w:rsidRDefault="00F73ADF" w:rsidP="00F73ADF">
            <w:pPr>
              <w:spacing w:after="0" w:line="240" w:lineRule="auto"/>
              <w:rPr>
                <w:rFonts w:ascii="Calibri" w:hAnsi="Calibri" w:cs="Times New Roman"/>
              </w:rPr>
            </w:pPr>
            <w:r>
              <w:rPr>
                <w:rFonts w:ascii="Calibri" w:hAnsi="Calibri" w:cs="Times New Roman"/>
              </w:rPr>
              <w:t>Female, colon cancer</w:t>
            </w:r>
          </w:p>
        </w:tc>
        <w:tc>
          <w:tcPr>
            <w:tcW w:w="1134" w:type="dxa"/>
            <w:tcBorders>
              <w:top w:val="nil"/>
              <w:left w:val="nil"/>
              <w:bottom w:val="single" w:sz="4" w:space="0" w:color="auto"/>
              <w:right w:val="single" w:sz="4" w:space="0" w:color="auto"/>
            </w:tcBorders>
            <w:vAlign w:val="bottom"/>
            <w:hideMark/>
          </w:tcPr>
          <w:p w14:paraId="3CA43335" w14:textId="77777777" w:rsidR="00F73ADF" w:rsidRDefault="00F73ADF" w:rsidP="00F73ADF">
            <w:pPr>
              <w:spacing w:after="0" w:line="240" w:lineRule="auto"/>
              <w:jc w:val="center"/>
              <w:rPr>
                <w:rFonts w:ascii="Calibri" w:hAnsi="Calibri" w:cs="Times New Roman"/>
              </w:rPr>
            </w:pPr>
            <w:r>
              <w:rPr>
                <w:rFonts w:ascii="Calibri" w:hAnsi="Calibri" w:cs="Times New Roman"/>
              </w:rPr>
              <w:t>0.16%</w:t>
            </w:r>
          </w:p>
        </w:tc>
        <w:tc>
          <w:tcPr>
            <w:tcW w:w="1520" w:type="dxa"/>
            <w:tcBorders>
              <w:top w:val="nil"/>
              <w:left w:val="nil"/>
              <w:bottom w:val="single" w:sz="4" w:space="0" w:color="auto"/>
              <w:right w:val="single" w:sz="4" w:space="0" w:color="auto"/>
            </w:tcBorders>
            <w:hideMark/>
          </w:tcPr>
          <w:p w14:paraId="024D5F22" w14:textId="1BB0CC44" w:rsidR="00F73ADF" w:rsidRDefault="00F73ADF" w:rsidP="00F73ADF">
            <w:pPr>
              <w:spacing w:after="0" w:line="240" w:lineRule="auto"/>
              <w:jc w:val="center"/>
              <w:rPr>
                <w:rFonts w:ascii="Calibri" w:hAnsi="Calibri" w:cs="Times New Roman"/>
              </w:rPr>
            </w:pPr>
            <w:r w:rsidRPr="00D64F92">
              <w:rPr>
                <w:rFonts w:ascii="Calibri" w:hAnsi="Calibri" w:cs="Times New Roman"/>
              </w:rPr>
              <w:t>As baseline</w:t>
            </w:r>
          </w:p>
        </w:tc>
        <w:tc>
          <w:tcPr>
            <w:tcW w:w="1560" w:type="dxa"/>
            <w:tcBorders>
              <w:top w:val="nil"/>
              <w:left w:val="nil"/>
              <w:bottom w:val="single" w:sz="4" w:space="0" w:color="auto"/>
              <w:right w:val="single" w:sz="4" w:space="0" w:color="auto"/>
            </w:tcBorders>
          </w:tcPr>
          <w:p w14:paraId="6D475DE3" w14:textId="2F99CEDB" w:rsidR="00F73ADF" w:rsidRDefault="00F73ADF" w:rsidP="00F73ADF">
            <w:pPr>
              <w:spacing w:after="0" w:line="240" w:lineRule="auto"/>
              <w:jc w:val="center"/>
              <w:rPr>
                <w:rFonts w:ascii="Calibri" w:hAnsi="Calibri" w:cs="Times New Roman"/>
              </w:rPr>
            </w:pPr>
            <w:r w:rsidRPr="00D64F92">
              <w:rPr>
                <w:rFonts w:ascii="Calibri" w:hAnsi="Calibri" w:cs="Times New Roman"/>
              </w:rPr>
              <w:t>As baseline</w:t>
            </w:r>
          </w:p>
        </w:tc>
      </w:tr>
      <w:tr w:rsidR="00F73ADF" w14:paraId="720E129D" w14:textId="77777777" w:rsidTr="00F42F36">
        <w:trPr>
          <w:trHeight w:val="300"/>
        </w:trPr>
        <w:tc>
          <w:tcPr>
            <w:tcW w:w="265" w:type="dxa"/>
            <w:tcBorders>
              <w:top w:val="nil"/>
              <w:left w:val="single" w:sz="4" w:space="0" w:color="auto"/>
              <w:bottom w:val="single" w:sz="4" w:space="0" w:color="auto"/>
              <w:right w:val="nil"/>
            </w:tcBorders>
            <w:vAlign w:val="bottom"/>
            <w:hideMark/>
          </w:tcPr>
          <w:p w14:paraId="5179305A" w14:textId="77777777" w:rsidR="00F73ADF" w:rsidRDefault="00F73ADF" w:rsidP="00F73ADF">
            <w:pPr>
              <w:spacing w:after="0" w:line="240" w:lineRule="auto"/>
              <w:rPr>
                <w:rFonts w:ascii="Calibri" w:hAnsi="Calibri" w:cs="Times New Roman"/>
              </w:rPr>
            </w:pPr>
            <w:r>
              <w:rPr>
                <w:rFonts w:ascii="Calibri" w:hAnsi="Calibri" w:cs="Times New Roman"/>
              </w:rPr>
              <w:t> </w:t>
            </w:r>
          </w:p>
        </w:tc>
        <w:tc>
          <w:tcPr>
            <w:tcW w:w="4447" w:type="dxa"/>
            <w:tcBorders>
              <w:top w:val="nil"/>
              <w:left w:val="nil"/>
              <w:bottom w:val="single" w:sz="4" w:space="0" w:color="auto"/>
              <w:right w:val="single" w:sz="4" w:space="0" w:color="auto"/>
            </w:tcBorders>
            <w:vAlign w:val="bottom"/>
            <w:hideMark/>
          </w:tcPr>
          <w:p w14:paraId="3140D6CC" w14:textId="77777777" w:rsidR="00F73ADF" w:rsidRDefault="00F73ADF" w:rsidP="00F73ADF">
            <w:pPr>
              <w:spacing w:after="0" w:line="240" w:lineRule="auto"/>
              <w:rPr>
                <w:rFonts w:ascii="Calibri" w:hAnsi="Calibri" w:cs="Times New Roman"/>
              </w:rPr>
            </w:pPr>
            <w:r>
              <w:rPr>
                <w:rFonts w:ascii="Calibri" w:hAnsi="Calibri" w:cs="Times New Roman"/>
              </w:rPr>
              <w:t>Female, rectum cancer</w:t>
            </w:r>
          </w:p>
        </w:tc>
        <w:tc>
          <w:tcPr>
            <w:tcW w:w="1134" w:type="dxa"/>
            <w:tcBorders>
              <w:top w:val="nil"/>
              <w:left w:val="nil"/>
              <w:bottom w:val="single" w:sz="4" w:space="0" w:color="auto"/>
              <w:right w:val="single" w:sz="4" w:space="0" w:color="auto"/>
            </w:tcBorders>
            <w:vAlign w:val="bottom"/>
            <w:hideMark/>
          </w:tcPr>
          <w:p w14:paraId="1F7D0B61" w14:textId="77777777" w:rsidR="00F73ADF" w:rsidRDefault="00F73ADF" w:rsidP="00F73ADF">
            <w:pPr>
              <w:spacing w:after="0" w:line="240" w:lineRule="auto"/>
              <w:jc w:val="center"/>
              <w:rPr>
                <w:rFonts w:ascii="Calibri" w:hAnsi="Calibri" w:cs="Times New Roman"/>
              </w:rPr>
            </w:pPr>
            <w:r>
              <w:rPr>
                <w:rFonts w:ascii="Calibri" w:hAnsi="Calibri" w:cs="Times New Roman"/>
              </w:rPr>
              <w:t>0.29%</w:t>
            </w:r>
          </w:p>
        </w:tc>
        <w:tc>
          <w:tcPr>
            <w:tcW w:w="1520" w:type="dxa"/>
            <w:tcBorders>
              <w:top w:val="nil"/>
              <w:left w:val="nil"/>
              <w:bottom w:val="single" w:sz="4" w:space="0" w:color="auto"/>
              <w:right w:val="single" w:sz="4" w:space="0" w:color="auto"/>
            </w:tcBorders>
            <w:hideMark/>
          </w:tcPr>
          <w:p w14:paraId="1B2A55B7" w14:textId="54350D84" w:rsidR="00F73ADF" w:rsidRDefault="00F73ADF" w:rsidP="00F73ADF">
            <w:pPr>
              <w:spacing w:after="0" w:line="240" w:lineRule="auto"/>
              <w:jc w:val="center"/>
              <w:rPr>
                <w:rFonts w:ascii="Calibri" w:hAnsi="Calibri" w:cs="Times New Roman"/>
              </w:rPr>
            </w:pPr>
            <w:r w:rsidRPr="00D64F92">
              <w:rPr>
                <w:rFonts w:ascii="Calibri" w:hAnsi="Calibri" w:cs="Times New Roman"/>
              </w:rPr>
              <w:t>As baseline</w:t>
            </w:r>
          </w:p>
        </w:tc>
        <w:tc>
          <w:tcPr>
            <w:tcW w:w="1560" w:type="dxa"/>
            <w:tcBorders>
              <w:top w:val="nil"/>
              <w:left w:val="nil"/>
              <w:bottom w:val="single" w:sz="4" w:space="0" w:color="auto"/>
              <w:right w:val="single" w:sz="4" w:space="0" w:color="auto"/>
            </w:tcBorders>
          </w:tcPr>
          <w:p w14:paraId="42272047" w14:textId="3AA17E07" w:rsidR="00F73ADF" w:rsidRDefault="00F73ADF" w:rsidP="00F73ADF">
            <w:pPr>
              <w:spacing w:after="0" w:line="240" w:lineRule="auto"/>
              <w:jc w:val="center"/>
              <w:rPr>
                <w:rFonts w:ascii="Calibri" w:hAnsi="Calibri" w:cs="Times New Roman"/>
              </w:rPr>
            </w:pPr>
            <w:r w:rsidRPr="00D64F92">
              <w:rPr>
                <w:rFonts w:ascii="Calibri" w:hAnsi="Calibri" w:cs="Times New Roman"/>
              </w:rPr>
              <w:t>As baseline</w:t>
            </w:r>
          </w:p>
        </w:tc>
      </w:tr>
    </w:tbl>
    <w:p w14:paraId="344CF47B" w14:textId="77777777" w:rsidR="00F73ADF" w:rsidRPr="00F73ADF" w:rsidRDefault="00F73ADF" w:rsidP="00F73ADF"/>
    <w:p w14:paraId="2CF6CBDF" w14:textId="77777777" w:rsidR="003F5E9F" w:rsidRPr="00BE2E27" w:rsidRDefault="003F5E9F" w:rsidP="003F5E9F">
      <w:pPr>
        <w:pStyle w:val="Tblfootnote"/>
        <w:rPr>
          <w:rFonts w:ascii="Calibri" w:hAnsi="Calibri"/>
          <w:sz w:val="20"/>
          <w:lang w:val="en-AU"/>
        </w:rPr>
      </w:pPr>
      <w:proofErr w:type="spellStart"/>
      <w:proofErr w:type="gramStart"/>
      <w:r w:rsidRPr="00BE2E27">
        <w:rPr>
          <w:rFonts w:ascii="Calibri" w:hAnsi="Calibri"/>
          <w:sz w:val="20"/>
          <w:vertAlign w:val="superscript"/>
          <w:lang w:val="en-AU"/>
        </w:rPr>
        <w:lastRenderedPageBreak/>
        <w:t>a</w:t>
      </w:r>
      <w:proofErr w:type="spellEnd"/>
      <w:proofErr w:type="gramEnd"/>
      <w:r w:rsidRPr="00BE2E27">
        <w:rPr>
          <w:rFonts w:ascii="Calibri" w:hAnsi="Calibri"/>
          <w:sz w:val="20"/>
          <w:vertAlign w:val="superscript"/>
          <w:lang w:val="en-AU"/>
        </w:rPr>
        <w:t xml:space="preserve"> </w:t>
      </w:r>
      <w:r w:rsidRPr="00BE2E27">
        <w:rPr>
          <w:rFonts w:ascii="Calibri" w:hAnsi="Calibri"/>
          <w:sz w:val="20"/>
          <w:lang w:val="en-AU"/>
        </w:rPr>
        <w:t>Annual rate</w:t>
      </w:r>
    </w:p>
    <w:p w14:paraId="12F802E1" w14:textId="77777777" w:rsidR="003F5E9F" w:rsidRPr="00BE2E27" w:rsidRDefault="003F5E9F" w:rsidP="003F5E9F">
      <w:pPr>
        <w:pStyle w:val="Tblfootnote"/>
        <w:rPr>
          <w:rFonts w:ascii="Calibri" w:hAnsi="Calibri"/>
          <w:sz w:val="20"/>
        </w:rPr>
      </w:pPr>
      <w:r w:rsidRPr="00BE2E27">
        <w:rPr>
          <w:rFonts w:ascii="Calibri" w:hAnsi="Calibri"/>
          <w:sz w:val="20"/>
          <w:vertAlign w:val="superscript"/>
        </w:rPr>
        <w:t xml:space="preserve">b </w:t>
      </w:r>
      <w:r w:rsidRPr="00BE2E27">
        <w:rPr>
          <w:rFonts w:ascii="Calibri" w:hAnsi="Calibri"/>
          <w:sz w:val="20"/>
        </w:rPr>
        <w:t>Input parameters not outcome of calibration</w:t>
      </w:r>
    </w:p>
    <w:p w14:paraId="4F93358C" w14:textId="77777777" w:rsidR="003F5E9F" w:rsidRDefault="003F5E9F" w:rsidP="003F5E9F">
      <w:pPr>
        <w:pStyle w:val="Tblfootnote"/>
        <w:rPr>
          <w:rFonts w:ascii="Calibri" w:hAnsi="Calibri"/>
        </w:rPr>
      </w:pPr>
    </w:p>
    <w:p w14:paraId="5D7A2475" w14:textId="3FC9141D" w:rsidR="003F5E9F" w:rsidRDefault="003F5E9F" w:rsidP="0026156B">
      <w:pPr>
        <w:pStyle w:val="Caption"/>
        <w:keepNext/>
        <w:keepLines/>
      </w:pPr>
      <w:bookmarkStart w:id="5" w:name="_Ref487801336"/>
      <w:r>
        <w:t xml:space="preserve">Figure </w:t>
      </w:r>
      <w:r w:rsidR="0065136C">
        <w:t>B</w:t>
      </w:r>
      <w:bookmarkEnd w:id="5"/>
      <w:r w:rsidR="000736B8">
        <w:t>1</w:t>
      </w:r>
      <w:r>
        <w:t xml:space="preserve"> </w:t>
      </w:r>
      <w:r w:rsidR="0065136C">
        <w:t xml:space="preserve">- </w:t>
      </w:r>
      <w:r>
        <w:t>Modelled age-specific colorectal cancer incidence and mortality rates associated with the base case, the least aggressive precancer natural history assumptions, and the most aggressive precancer natural history assumptions when screening was no available</w:t>
      </w:r>
    </w:p>
    <w:tbl>
      <w:tblPr>
        <w:tblW w:w="0" w:type="auto"/>
        <w:tblInd w:w="108" w:type="dxa"/>
        <w:tblLook w:val="04A0" w:firstRow="1" w:lastRow="0" w:firstColumn="1" w:lastColumn="0" w:noHBand="0" w:noVBand="1"/>
      </w:tblPr>
      <w:tblGrid>
        <w:gridCol w:w="4411"/>
        <w:gridCol w:w="4497"/>
      </w:tblGrid>
      <w:tr w:rsidR="003F5E9F" w14:paraId="5AC6380A" w14:textId="77777777" w:rsidTr="003F5E9F">
        <w:tc>
          <w:tcPr>
            <w:tcW w:w="4531" w:type="dxa"/>
            <w:tcBorders>
              <w:top w:val="single" w:sz="4" w:space="0" w:color="auto"/>
              <w:left w:val="single" w:sz="4" w:space="0" w:color="auto"/>
              <w:bottom w:val="single" w:sz="4" w:space="0" w:color="auto"/>
              <w:right w:val="single" w:sz="4" w:space="0" w:color="auto"/>
            </w:tcBorders>
            <w:hideMark/>
          </w:tcPr>
          <w:p w14:paraId="31D58C39" w14:textId="06006E42" w:rsidR="003F5E9F" w:rsidRDefault="003F5E9F" w:rsidP="0026156B">
            <w:pPr>
              <w:keepNext/>
              <w:keepLines/>
              <w:spacing w:after="0"/>
            </w:pPr>
            <w:r>
              <w:rPr>
                <w:noProof/>
              </w:rPr>
              <w:drawing>
                <wp:inline distT="0" distB="0" distL="0" distR="0" wp14:anchorId="500FB753" wp14:editId="3EC77C82">
                  <wp:extent cx="2800350" cy="15906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1590675"/>
                          </a:xfrm>
                          <a:prstGeom prst="rect">
                            <a:avLst/>
                          </a:prstGeom>
                          <a:noFill/>
                          <a:ln>
                            <a:noFill/>
                          </a:ln>
                        </pic:spPr>
                      </pic:pic>
                    </a:graphicData>
                  </a:graphic>
                </wp:inline>
              </w:drawing>
            </w:r>
          </w:p>
        </w:tc>
        <w:tc>
          <w:tcPr>
            <w:tcW w:w="4541" w:type="dxa"/>
            <w:tcBorders>
              <w:top w:val="single" w:sz="4" w:space="0" w:color="auto"/>
              <w:left w:val="single" w:sz="4" w:space="0" w:color="auto"/>
              <w:bottom w:val="single" w:sz="4" w:space="0" w:color="auto"/>
              <w:right w:val="single" w:sz="4" w:space="0" w:color="auto"/>
            </w:tcBorders>
            <w:hideMark/>
          </w:tcPr>
          <w:p w14:paraId="687139E0" w14:textId="1F2E1A5E" w:rsidR="003F5E9F" w:rsidRDefault="003F5E9F" w:rsidP="0026156B">
            <w:pPr>
              <w:keepNext/>
              <w:keepLines/>
              <w:spacing w:after="0"/>
            </w:pPr>
            <w:r>
              <w:rPr>
                <w:noProof/>
              </w:rPr>
              <w:drawing>
                <wp:inline distT="0" distB="0" distL="0" distR="0" wp14:anchorId="05F8DD32" wp14:editId="701CE29A">
                  <wp:extent cx="2847975" cy="15811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47975" cy="1581150"/>
                          </a:xfrm>
                          <a:prstGeom prst="rect">
                            <a:avLst/>
                          </a:prstGeom>
                          <a:noFill/>
                          <a:ln>
                            <a:noFill/>
                          </a:ln>
                        </pic:spPr>
                      </pic:pic>
                    </a:graphicData>
                  </a:graphic>
                </wp:inline>
              </w:drawing>
            </w:r>
          </w:p>
        </w:tc>
      </w:tr>
    </w:tbl>
    <w:p w14:paraId="0160C688" w14:textId="77777777" w:rsidR="003F5E9F" w:rsidRDefault="003F5E9F" w:rsidP="003F5E9F"/>
    <w:p w14:paraId="14C8F1FC" w14:textId="77777777" w:rsidR="003F5E9F" w:rsidRDefault="003F5E9F" w:rsidP="003F5E9F">
      <w:pPr>
        <w:pStyle w:val="Heading2"/>
        <w:rPr>
          <w:bCs/>
        </w:rPr>
      </w:pPr>
      <w:bookmarkStart w:id="6" w:name="_Toc481590073"/>
      <w:bookmarkStart w:id="7" w:name="_Toc503369594"/>
      <w:r>
        <w:t>Immunochemical Faecal Occult Blood Test (iFOBT)</w:t>
      </w:r>
      <w:bookmarkEnd w:id="6"/>
      <w:r>
        <w:t xml:space="preserve"> characteristics</w:t>
      </w:r>
      <w:bookmarkEnd w:id="7"/>
    </w:p>
    <w:p w14:paraId="7BF805F8" w14:textId="5E19997F" w:rsidR="003F5E9F" w:rsidRDefault="003F5E9F" w:rsidP="003F5E9F">
      <w:pPr>
        <w:jc w:val="both"/>
      </w:pPr>
      <w:r>
        <w:t>An iFOBT is used as the primary screening test by NBCSP in Australia.</w:t>
      </w:r>
      <w:r w:rsidR="0026156B">
        <w:fldChar w:fldCharType="begin"/>
      </w:r>
      <w:r w:rsidR="001F6FE0">
        <w:instrText xml:space="preserve"> ADDIN EN.CITE &lt;EndNote&gt;&lt;Cite&gt;&lt;Author&gt;Australian Government Department of Health&lt;/Author&gt;&lt;Year&gt;2014&lt;/Year&gt;&lt;RecNum&gt;71&lt;/RecNum&gt;&lt;DisplayText&gt;[3]&lt;/DisplayText&gt;&lt;record&gt;&lt;rec-number&gt;71&lt;/rec-number&gt;&lt;foreign-keys&gt;&lt;key app="EN" db-id="da5e0t5d9t9vfgeewz95e0eee0faf5pfxx9r" timestamp="1516594529"&gt;71&lt;/key&gt;&lt;/foreign-keys&gt;&lt;ref-type name="Journal Article"&gt;17&lt;/ref-type&gt;&lt;contributors&gt;&lt;authors&gt;&lt;author&gt;Australian Government Department of Health,&lt;/author&gt;&lt;/authors&gt;&lt;/contributors&gt;&lt;titles&gt;&lt;title&gt;National Bowel Cancer Screening Program - About the Program&lt;/title&gt;&lt;/titles&gt;&lt;volume&gt;2014&lt;/volume&gt;&lt;number&gt;20 May&lt;/number&gt;&lt;dates&gt;&lt;year&gt;2014&lt;/year&gt;&lt;/dates&gt;&lt;urls&gt;&lt;/urls&gt;&lt;electronic-resource-num&gt;http://www.cancerscreening.gov.au/internet/screening/publishing.nsf/Content/bowel-about&lt;/electronic-resource-num&gt;&lt;access-date&gt;2014/05/13/&lt;/access-date&gt;&lt;/record&gt;&lt;/Cite&gt;&lt;/EndNote&gt;</w:instrText>
      </w:r>
      <w:r w:rsidR="0026156B">
        <w:fldChar w:fldCharType="separate"/>
      </w:r>
      <w:r w:rsidR="001F6FE0">
        <w:rPr>
          <w:noProof/>
        </w:rPr>
        <w:t>[3]</w:t>
      </w:r>
      <w:r w:rsidR="0026156B">
        <w:fldChar w:fldCharType="end"/>
      </w:r>
      <w:r>
        <w:t xml:space="preserve"> The NBCSP used </w:t>
      </w:r>
      <w:proofErr w:type="spellStart"/>
      <w:r>
        <w:rPr>
          <w:i/>
        </w:rPr>
        <w:t>Magstream</w:t>
      </w:r>
      <w:proofErr w:type="spellEnd"/>
      <w:r>
        <w:rPr>
          <w:i/>
        </w:rPr>
        <w:t xml:space="preserve"> </w:t>
      </w:r>
      <w:proofErr w:type="spellStart"/>
      <w:r>
        <w:rPr>
          <w:i/>
        </w:rPr>
        <w:t>HemSp</w:t>
      </w:r>
      <w:proofErr w:type="spellEnd"/>
      <w:r>
        <w:t xml:space="preserve"> with a rabbit serum buffer, manufactured by </w:t>
      </w:r>
      <w:proofErr w:type="spellStart"/>
      <w:r>
        <w:t>Fujirebio</w:t>
      </w:r>
      <w:proofErr w:type="spellEnd"/>
      <w:r>
        <w:t xml:space="preserve"> Inc (Tokyo), as the screening test in 2006-2017.</w:t>
      </w:r>
      <w:r w:rsidR="0026156B">
        <w:fldChar w:fldCharType="begin"/>
      </w:r>
      <w:r w:rsidR="003E59DC">
        <w:instrText xml:space="preserve"> ADDIN EN.CITE &lt;EndNote&gt;&lt;Cite&gt;&lt;Author&gt;St&lt;/Author&gt;&lt;Year&gt;2016&lt;/Year&gt;&lt;RecNum&gt;1122&lt;/RecNum&gt;&lt;DisplayText&gt;[4]&lt;/DisplayText&gt;&lt;record&gt;&lt;rec-number&gt;1122&lt;/rec-number&gt;&lt;foreign-keys&gt;&lt;key app="EN" db-id="x50da5ezff5faue2296x5z26twvpfe5wa90e" timestamp="1568007504"&gt;1122&lt;/key&gt;&lt;/foreign-keys&gt;&lt;ref-type name="Journal Article"&gt;17&lt;/ref-type&gt;&lt;contributors&gt;&lt;authors&gt;&lt;author&gt;Binefa, Gemma&lt;/author&gt;&lt;author&gt;Garcia, Montse&lt;/author&gt;&lt;author&gt;Milà, Núria&lt;/author&gt;&lt;author&gt;Fernández, Esteve&lt;/author&gt;&lt;author&gt;Rodríguez-Moranta, Francisco&lt;/author&gt;&lt;author&gt;Gonzalo, Núria&lt;/author&gt;&lt;author&gt;Benito, Llúcia&lt;/author&gt;&lt;author&gt;Clopés, Ana&lt;/author&gt;&lt;author&gt;Guardiola, Jordi&lt;/author&gt;&lt;author&gt;Moreno, Víctor&lt;/author&gt;&lt;/authors&gt;&lt;/contributors&gt;&lt;titles&gt;&lt;title&gt;Colorectal cancer screening programme in Spain: results of key performance indicators after five rounds (2000–2012)&lt;/title&gt;&lt;secondary-title&gt;Scientific reports&lt;/secondary-title&gt;&lt;/titles&gt;&lt;periodical&gt;&lt;full-title&gt;Scientific reports&lt;/full-title&gt;&lt;/periodical&gt;&lt;pages&gt;19532&lt;/pages&gt;&lt;volume&gt;6&lt;/volume&gt;&lt;dates&gt;&lt;year&gt;2016&lt;/year&gt;&lt;/dates&gt;&lt;isbn&gt;2045-2322&lt;/isbn&gt;&lt;urls&gt;&lt;/urls&gt;&lt;/record&gt;&lt;/Cite&gt;&lt;/EndNote&gt;</w:instrText>
      </w:r>
      <w:r w:rsidR="0026156B">
        <w:fldChar w:fldCharType="separate"/>
      </w:r>
      <w:r w:rsidR="001F6FE0">
        <w:rPr>
          <w:noProof/>
        </w:rPr>
        <w:t>[4]</w:t>
      </w:r>
      <w:r w:rsidR="0026156B">
        <w:fldChar w:fldCharType="end"/>
      </w:r>
      <w:r>
        <w:t xml:space="preserve"> The Program followed the manufacturer's recommendations to use 20 ng Hb/ml buffer (equivalent to 20 ug Hb/g faeces) as the cut-off for test positivity and to collect two faecal samples from participants. In January 2018, the Program switched-over to a new iFOBT kit (an </w:t>
      </w:r>
      <w:proofErr w:type="spellStart"/>
      <w:r>
        <w:t>Eiken</w:t>
      </w:r>
      <w:proofErr w:type="spellEnd"/>
      <w:r>
        <w:t xml:space="preserve"> kit – OC Sensor Auto-sampling Bottle 3 – using the </w:t>
      </w:r>
      <w:proofErr w:type="spellStart"/>
      <w:r>
        <w:t>Pledia</w:t>
      </w:r>
      <w:proofErr w:type="spellEnd"/>
      <w:r>
        <w:t xml:space="preserve"> analyser). However, the modelled test characteristics of iFOBT in this study was derived from NBCSP data in 2006-2014, when </w:t>
      </w:r>
      <w:proofErr w:type="spellStart"/>
      <w:r>
        <w:rPr>
          <w:color w:val="000000" w:themeColor="text1"/>
        </w:rPr>
        <w:t>Magstream</w:t>
      </w:r>
      <w:proofErr w:type="spellEnd"/>
      <w:r>
        <w:rPr>
          <w:color w:val="000000" w:themeColor="text1"/>
        </w:rPr>
        <w:t xml:space="preserve"> </w:t>
      </w:r>
      <w:proofErr w:type="spellStart"/>
      <w:r>
        <w:rPr>
          <w:color w:val="000000" w:themeColor="text1"/>
        </w:rPr>
        <w:t>HemSp</w:t>
      </w:r>
      <w:proofErr w:type="spellEnd"/>
      <w:r>
        <w:rPr>
          <w:color w:val="000000" w:themeColor="text1"/>
        </w:rPr>
        <w:t xml:space="preserve"> was used</w:t>
      </w:r>
      <w:r>
        <w:t xml:space="preserve"> </w:t>
      </w:r>
      <w:r>
        <w:rPr>
          <w:color w:val="000000" w:themeColor="text1"/>
        </w:rPr>
        <w:t>as the single program-wide iFOBT technology.</w:t>
      </w:r>
    </w:p>
    <w:p w14:paraId="7509E87C" w14:textId="16654BE8" w:rsidR="003F5E9F" w:rsidRDefault="003F5E9F" w:rsidP="003F5E9F">
      <w:r>
        <w:t>The model assumed 1.6% of all iFOBT tests returned were incorrectly completed based on observed data in 2013-14.</w:t>
      </w:r>
      <w:r w:rsidR="006726DF">
        <w:fldChar w:fldCharType="begin"/>
      </w:r>
      <w:r w:rsidR="006726DF">
        <w:instrText xml:space="preserve"> ADDIN EN.CITE &lt;EndNote&gt;&lt;Cite&gt;&lt;Author&gt;Australian Institute of Health and Welfare&lt;/Author&gt;&lt;Year&gt;2015&lt;/Year&gt;&lt;RecNum&gt;1343&lt;/RecNum&gt;&lt;DisplayText&gt;[5]&lt;/DisplayText&gt;&lt;record&gt;&lt;rec-number&gt;1343&lt;/rec-number&gt;&lt;foreign-keys&gt;&lt;key app="EN" db-id="da5e0t5d9t9vfgeewz95e0eee0faf5pfxx9r" timestamp="1522303121"&gt;1343&lt;/key&gt;&lt;/foreign-keys&gt;&lt;ref-type name="Report"&gt;27&lt;/ref-type&gt;&lt;contributors&gt;&lt;authors&gt;&lt;author&gt;Australian Institute of Health and Welfare,&lt;/author&gt;&lt;/authors&gt;&lt;/contributors&gt;&lt;titles&gt;&lt;title&gt;National Bowel Cancer Screening Program: monitoring report 2013-14&lt;/title&gt;&lt;/titles&gt;&lt;volume&gt;2018&lt;/volume&gt;&lt;number&gt;15/01/2018&lt;/number&gt;&lt;dates&gt;&lt;year&gt;2015&lt;/year&gt;&lt;/dates&gt;&lt;pub-location&gt;Cancer series No. 94. Cat. no. CAN 94.&lt;/pub-location&gt;&lt;urls&gt;&lt;/urls&gt;&lt;/record&gt;&lt;/Cite&gt;&lt;/EndNote&gt;</w:instrText>
      </w:r>
      <w:r w:rsidR="006726DF">
        <w:fldChar w:fldCharType="separate"/>
      </w:r>
      <w:r w:rsidR="006726DF">
        <w:rPr>
          <w:noProof/>
        </w:rPr>
        <w:t>[5]</w:t>
      </w:r>
      <w:r w:rsidR="006726DF">
        <w:fldChar w:fldCharType="end"/>
      </w:r>
      <w:r>
        <w:t xml:space="preserve"> </w:t>
      </w:r>
      <w:r>
        <w:rPr>
          <w:rFonts w:ascii="Calibri" w:hAnsi="Calibri"/>
        </w:rPr>
        <w:t>The modelled test characteristics of a correctly completed iFOBT were obtained via calibrating to (</w:t>
      </w:r>
      <w:proofErr w:type="spellStart"/>
      <w:r>
        <w:rPr>
          <w:rFonts w:ascii="Calibri" w:hAnsi="Calibri"/>
        </w:rPr>
        <w:t>i</w:t>
      </w:r>
      <w:proofErr w:type="spellEnd"/>
      <w:r>
        <w:rPr>
          <w:rFonts w:ascii="Calibri" w:hAnsi="Calibri"/>
        </w:rPr>
        <w:t xml:space="preserve">) iFOBT positive rates (the proportion of participants with a positive result out of all participants who returned a valid FOBT kit) observed among the men and women invited to participate in NBCSP, and (ii) the colonoscopy outcomes among those with a positive iFOBT result in </w:t>
      </w:r>
      <w:r>
        <w:rPr>
          <w:rFonts w:ascii="Calibri" w:hAnsi="Calibri"/>
        </w:rPr>
        <w:lastRenderedPageBreak/>
        <w:t>the period between 2006 and 2014. The relevant model calibration outcomes were reported elsewhere.</w:t>
      </w:r>
      <w:r w:rsidR="006726DF">
        <w:rPr>
          <w:rFonts w:ascii="Calibri" w:hAnsi="Calibri"/>
        </w:rPr>
        <w:fldChar w:fldCharType="begin"/>
      </w:r>
      <w:r w:rsidR="003E59DC">
        <w:rPr>
          <w:rFonts w:ascii="Calibri" w:hAnsi="Calibri"/>
        </w:rPr>
        <w:instrText xml:space="preserve"> ADDIN EN.CITE &lt;EndNote&gt;&lt;Cite&gt;&lt;Author&gt;Lew&lt;/Author&gt;&lt;Year&gt;2017&lt;/Year&gt;&lt;RecNum&gt;1089&lt;/RecNum&gt;&lt;DisplayText&gt;[2]&lt;/DisplayText&gt;&lt;record&gt;&lt;rec-number&gt;1089&lt;/rec-number&gt;&lt;foreign-keys&gt;&lt;key app="EN" db-id="x50da5ezff5faue2296x5z26twvpfe5wa90e" timestamp="1561088186"&gt;1089&lt;/key&gt;&lt;/foreign-keys&gt;&lt;ref-type name="Journal Article"&gt;17&lt;/ref-type&gt;&lt;contributors&gt;&lt;authors&gt;&lt;author&gt;Lew, Jie Bin&lt;/author&gt;&lt;author&gt;St John, D. James&lt;/author&gt;&lt;author&gt;Xu, Xiang Ming&lt;/author&gt;&lt;author&gt;Greuter, Marjolein J. E.&lt;/author&gt;&lt;author&gt;Caruana, Michael&lt;/author&gt;&lt;author&gt;Cenin, Dayna R.&lt;/author&gt;&lt;author&gt;He, Emily&lt;/author&gt;&lt;author&gt;Saville, Marion&lt;/author&gt;&lt;author&gt;Grogan, Paul&lt;/author&gt;&lt;author&gt;Coup+©, Veerle M. H.&lt;/author&gt;&lt;author&gt;Canfell, Karen&lt;/author&gt;&lt;/authors&gt;&lt;/contributors&gt;&lt;titles&gt;&lt;title&gt;Long-term evaluation of benefits, harms, and cost-effectiveness of the National Bowel Cancer Screening Program in Australia: a modelling study&lt;/title&gt;&lt;secondary-title&gt;Lancet Public Health&lt;/secondary-title&gt;&lt;/titles&gt;&lt;periodical&gt;&lt;full-title&gt;Lancet Public Health&lt;/full-title&gt;&lt;abbr-1&gt;The Lancet. Public health&lt;/abbr-1&gt;&lt;/periodical&gt;&lt;pages&gt;e331-e340&lt;/pages&gt;&lt;volume&gt;2&lt;/volume&gt;&lt;reprint-edition&gt;NOT IN FILE&lt;/reprint-edition&gt;&lt;keywords&gt;&lt;keyword&gt;analysis&lt;/keyword&gt;&lt;keyword&gt;Australia&lt;/keyword&gt;&lt;keyword&gt;blood&lt;/keyword&gt;&lt;keyword&gt;bowel cancer&lt;/keyword&gt;&lt;keyword&gt;Cancer&lt;/keyword&gt;&lt;keyword&gt;Cancer screening&lt;/keyword&gt;&lt;keyword&gt;Colonoscopy&lt;/keyword&gt;&lt;keyword&gt;control&lt;/keyword&gt;&lt;keyword&gt;cost effectiveness&lt;/keyword&gt;&lt;keyword&gt;diagnosis&lt;/keyword&gt;&lt;keyword&gt;Health&lt;/keyword&gt;&lt;keyword&gt;history&lt;/keyword&gt;&lt;keyword&gt;methods&lt;/keyword&gt;&lt;keyword&gt;NSW&lt;/keyword&gt;&lt;keyword&gt;Occult Blood&lt;/keyword&gt;&lt;keyword&gt;Population&lt;/keyword&gt;&lt;keyword&gt;screening&lt;/keyword&gt;&lt;keyword&gt;use&lt;/keyword&gt;&lt;/keywords&gt;&lt;dates&gt;&lt;year&gt;2017&lt;/year&gt;&lt;/dates&gt;&lt;publisher&gt;Elsevier&lt;/publisher&gt;&lt;isbn&gt;2468-2667&lt;/isbn&gt;&lt;urls&gt;&lt;related-urls&gt;&lt;url&gt;http://dx.doi.org/10.1016/S2468-2667(17)30105-6&lt;/url&gt;&lt;/related-urls&gt;&lt;/urls&gt;&lt;electronic-resource-num&gt;10.1016/S2468-2667(17)30105-6&lt;/electronic-resource-num&gt;&lt;/record&gt;&lt;/Cite&gt;&lt;/EndNote&gt;</w:instrText>
      </w:r>
      <w:r w:rsidR="006726DF">
        <w:rPr>
          <w:rFonts w:ascii="Calibri" w:hAnsi="Calibri"/>
        </w:rPr>
        <w:fldChar w:fldCharType="separate"/>
      </w:r>
      <w:r w:rsidR="001F6FE0">
        <w:rPr>
          <w:rFonts w:ascii="Calibri" w:hAnsi="Calibri"/>
          <w:noProof/>
        </w:rPr>
        <w:t>[2]</w:t>
      </w:r>
      <w:r w:rsidR="006726DF">
        <w:rPr>
          <w:rFonts w:ascii="Calibri" w:hAnsi="Calibri"/>
        </w:rPr>
        <w:fldChar w:fldCharType="end"/>
      </w:r>
      <w:r>
        <w:rPr>
          <w:rFonts w:ascii="Calibri" w:hAnsi="Calibri"/>
        </w:rPr>
        <w:t xml:space="preserve"> </w:t>
      </w:r>
      <w:r w:rsidR="00824A95">
        <w:rPr>
          <w:rFonts w:ascii="Calibri" w:hAnsi="Calibri"/>
        </w:rPr>
        <w:fldChar w:fldCharType="begin"/>
      </w:r>
      <w:r w:rsidR="00824A95">
        <w:rPr>
          <w:rFonts w:ascii="Calibri" w:hAnsi="Calibri"/>
        </w:rPr>
        <w:instrText xml:space="preserve"> REF _Ref437514859 \h  \* MERGEFORMAT </w:instrText>
      </w:r>
      <w:r w:rsidR="00824A95">
        <w:rPr>
          <w:rFonts w:ascii="Calibri" w:hAnsi="Calibri"/>
        </w:rPr>
      </w:r>
      <w:r w:rsidR="00824A95">
        <w:rPr>
          <w:rFonts w:ascii="Calibri" w:hAnsi="Calibri"/>
        </w:rPr>
        <w:fldChar w:fldCharType="separate"/>
      </w:r>
      <w:r w:rsidR="003B6A3A">
        <w:rPr>
          <w:rFonts w:ascii="Calibri" w:hAnsi="Calibri"/>
        </w:rPr>
        <w:t xml:space="preserve">Table </w:t>
      </w:r>
      <w:r w:rsidR="00824A95">
        <w:rPr>
          <w:rFonts w:ascii="Calibri" w:hAnsi="Calibri"/>
        </w:rPr>
        <w:fldChar w:fldCharType="end"/>
      </w:r>
      <w:r w:rsidR="0065136C">
        <w:rPr>
          <w:rFonts w:ascii="Calibri" w:hAnsi="Calibri"/>
        </w:rPr>
        <w:t>B3</w:t>
      </w:r>
      <w:r w:rsidR="00824A95">
        <w:rPr>
          <w:rFonts w:ascii="Calibri" w:hAnsi="Calibri"/>
        </w:rPr>
        <w:t xml:space="preserve"> </w:t>
      </w:r>
      <w:r>
        <w:rPr>
          <w:rFonts w:ascii="Calibri" w:hAnsi="Calibri"/>
        </w:rPr>
        <w:t xml:space="preserve">shows the modelled lesion-specific iFOBT test positive rate for baseline. </w:t>
      </w:r>
    </w:p>
    <w:p w14:paraId="1828E4BF" w14:textId="15CEAA87" w:rsidR="003F5E9F" w:rsidRDefault="003F5E9F" w:rsidP="003F5E9F">
      <w:pPr>
        <w:pStyle w:val="Caption"/>
        <w:rPr>
          <w:rFonts w:ascii="Calibri" w:hAnsi="Calibri"/>
        </w:rPr>
      </w:pPr>
      <w:bookmarkStart w:id="8" w:name="_Ref437514859"/>
      <w:bookmarkStart w:id="9" w:name="_Ref437514852"/>
      <w:r>
        <w:rPr>
          <w:rFonts w:ascii="Calibri" w:hAnsi="Calibri"/>
        </w:rPr>
        <w:t xml:space="preserve">Table </w:t>
      </w:r>
      <w:bookmarkEnd w:id="8"/>
      <w:r w:rsidR="0064442B">
        <w:rPr>
          <w:rFonts w:ascii="Calibri" w:hAnsi="Calibri"/>
        </w:rPr>
        <w:t>B</w:t>
      </w:r>
      <w:r w:rsidR="0064442B">
        <w:t>3</w:t>
      </w:r>
      <w:r w:rsidR="0064442B">
        <w:rPr>
          <w:rFonts w:ascii="Calibri" w:hAnsi="Calibri"/>
        </w:rPr>
        <w:t xml:space="preserve"> </w:t>
      </w:r>
      <w:r w:rsidR="0065136C">
        <w:rPr>
          <w:rFonts w:ascii="Calibri" w:hAnsi="Calibri"/>
        </w:rPr>
        <w:t xml:space="preserve">- </w:t>
      </w:r>
      <w:r>
        <w:rPr>
          <w:rFonts w:ascii="Calibri" w:hAnsi="Calibri"/>
        </w:rPr>
        <w:t>Modelled lesion-specific test positive rate of iFOBT</w:t>
      </w:r>
      <w:bookmarkEnd w:id="9"/>
    </w:p>
    <w:tbl>
      <w:tblPr>
        <w:tblW w:w="0" w:type="auto"/>
        <w:tblInd w:w="108" w:type="dxa"/>
        <w:tblLook w:val="04A0" w:firstRow="1" w:lastRow="0" w:firstColumn="1" w:lastColumn="0" w:noHBand="0" w:noVBand="1"/>
      </w:tblPr>
      <w:tblGrid>
        <w:gridCol w:w="4690"/>
        <w:gridCol w:w="3419"/>
      </w:tblGrid>
      <w:tr w:rsidR="00FC2D23" w14:paraId="5025414B" w14:textId="77777777" w:rsidTr="00FC2D23">
        <w:trPr>
          <w:trHeight w:val="363"/>
        </w:trPr>
        <w:tc>
          <w:tcPr>
            <w:tcW w:w="0" w:type="auto"/>
            <w:tcBorders>
              <w:top w:val="single" w:sz="4" w:space="0" w:color="auto"/>
              <w:left w:val="single" w:sz="4" w:space="0" w:color="auto"/>
              <w:bottom w:val="single" w:sz="4" w:space="0" w:color="auto"/>
              <w:right w:val="single" w:sz="4" w:space="0" w:color="auto"/>
            </w:tcBorders>
          </w:tcPr>
          <w:p w14:paraId="37C21A9C" w14:textId="4E5C2D3F" w:rsidR="00FC2D23" w:rsidRPr="00FC2D23" w:rsidRDefault="00FC2D23" w:rsidP="00FC2D23">
            <w:pPr>
              <w:pStyle w:val="Table"/>
              <w:rPr>
                <w:b/>
              </w:rPr>
            </w:pPr>
            <w:r w:rsidRPr="00FC2D23">
              <w:rPr>
                <w:rFonts w:ascii="Calibri" w:hAnsi="Calibri"/>
                <w:b/>
              </w:rPr>
              <w:t>Category</w:t>
            </w:r>
          </w:p>
        </w:tc>
        <w:tc>
          <w:tcPr>
            <w:tcW w:w="3419" w:type="dxa"/>
            <w:tcBorders>
              <w:top w:val="single" w:sz="4" w:space="0" w:color="auto"/>
              <w:left w:val="single" w:sz="4" w:space="0" w:color="auto"/>
              <w:bottom w:val="single" w:sz="4" w:space="0" w:color="auto"/>
              <w:right w:val="single" w:sz="4" w:space="0" w:color="auto"/>
            </w:tcBorders>
          </w:tcPr>
          <w:p w14:paraId="2C839CDB" w14:textId="4140AD18" w:rsidR="00FC2D23" w:rsidRPr="00FC2D23" w:rsidRDefault="00FC2D23" w:rsidP="00FC2D23">
            <w:pPr>
              <w:pStyle w:val="Table"/>
              <w:rPr>
                <w:b/>
              </w:rPr>
            </w:pPr>
            <w:r w:rsidRPr="00FC2D23">
              <w:rPr>
                <w:rFonts w:ascii="Calibri" w:hAnsi="Calibri"/>
                <w:b/>
              </w:rPr>
              <w:t>Modelled iFOBT positive rate</w:t>
            </w:r>
          </w:p>
        </w:tc>
      </w:tr>
      <w:tr w:rsidR="00FC2D23" w14:paraId="66BAC247" w14:textId="77777777" w:rsidTr="00FC2D23">
        <w:trPr>
          <w:trHeight w:val="363"/>
        </w:trPr>
        <w:tc>
          <w:tcPr>
            <w:tcW w:w="0" w:type="auto"/>
            <w:tcBorders>
              <w:top w:val="single" w:sz="4" w:space="0" w:color="auto"/>
              <w:left w:val="single" w:sz="4" w:space="0" w:color="auto"/>
              <w:bottom w:val="single" w:sz="4" w:space="0" w:color="auto"/>
              <w:right w:val="single" w:sz="4" w:space="0" w:color="auto"/>
            </w:tcBorders>
            <w:vAlign w:val="center"/>
            <w:hideMark/>
          </w:tcPr>
          <w:p w14:paraId="00145323" w14:textId="77777777" w:rsidR="00FC2D23" w:rsidRDefault="00FC2D23" w:rsidP="00FC2D23">
            <w:pPr>
              <w:pStyle w:val="Table"/>
            </w:pPr>
            <w:r>
              <w:t xml:space="preserve">Background rate in all individuals (per individual) </w:t>
            </w:r>
            <w:r>
              <w:rPr>
                <w:vertAlign w:val="superscript"/>
              </w:rPr>
              <w:t>a</w:t>
            </w:r>
          </w:p>
        </w:tc>
        <w:tc>
          <w:tcPr>
            <w:tcW w:w="3419" w:type="dxa"/>
            <w:tcBorders>
              <w:top w:val="single" w:sz="4" w:space="0" w:color="auto"/>
              <w:left w:val="single" w:sz="4" w:space="0" w:color="auto"/>
              <w:bottom w:val="single" w:sz="4" w:space="0" w:color="auto"/>
              <w:right w:val="single" w:sz="4" w:space="0" w:color="auto"/>
            </w:tcBorders>
          </w:tcPr>
          <w:p w14:paraId="781351CD" w14:textId="7C4E487A" w:rsidR="00FC2D23" w:rsidRDefault="00FC2D23" w:rsidP="00FC2D23">
            <w:pPr>
              <w:pStyle w:val="Table"/>
            </w:pPr>
            <w:r>
              <w:t>5.0%</w:t>
            </w:r>
          </w:p>
        </w:tc>
      </w:tr>
      <w:tr w:rsidR="00FC2D23" w14:paraId="008B9FFB" w14:textId="77777777" w:rsidTr="00FC2D23">
        <w:trPr>
          <w:trHeight w:val="363"/>
        </w:trPr>
        <w:tc>
          <w:tcPr>
            <w:tcW w:w="0" w:type="auto"/>
            <w:tcBorders>
              <w:top w:val="single" w:sz="4" w:space="0" w:color="auto"/>
              <w:left w:val="single" w:sz="4" w:space="0" w:color="auto"/>
              <w:bottom w:val="single" w:sz="4" w:space="0" w:color="auto"/>
              <w:right w:val="single" w:sz="4" w:space="0" w:color="auto"/>
            </w:tcBorders>
            <w:vAlign w:val="center"/>
            <w:hideMark/>
          </w:tcPr>
          <w:p w14:paraId="25BBFA7B" w14:textId="77777777" w:rsidR="00FC2D23" w:rsidRDefault="00FC2D23" w:rsidP="00FC2D23">
            <w:pPr>
              <w:pStyle w:val="Table"/>
            </w:pPr>
            <w:r>
              <w:t xml:space="preserve">Additional positive rate per adenoma 1-5 mm </w:t>
            </w:r>
            <w:r>
              <w:rPr>
                <w:vertAlign w:val="superscript"/>
              </w:rPr>
              <w:t>b</w:t>
            </w:r>
          </w:p>
        </w:tc>
        <w:tc>
          <w:tcPr>
            <w:tcW w:w="3419" w:type="dxa"/>
            <w:tcBorders>
              <w:top w:val="single" w:sz="4" w:space="0" w:color="auto"/>
              <w:left w:val="single" w:sz="4" w:space="0" w:color="auto"/>
              <w:bottom w:val="single" w:sz="4" w:space="0" w:color="auto"/>
              <w:right w:val="single" w:sz="4" w:space="0" w:color="auto"/>
            </w:tcBorders>
          </w:tcPr>
          <w:p w14:paraId="6DBB2444" w14:textId="623F740B" w:rsidR="00FC2D23" w:rsidRDefault="00FC2D23" w:rsidP="00FC2D23">
            <w:pPr>
              <w:pStyle w:val="Table"/>
            </w:pPr>
            <w:r>
              <w:t>0.7%</w:t>
            </w:r>
          </w:p>
        </w:tc>
      </w:tr>
      <w:tr w:rsidR="00FC2D23" w14:paraId="173D471A" w14:textId="77777777" w:rsidTr="00FC2D23">
        <w:trPr>
          <w:trHeight w:val="363"/>
        </w:trPr>
        <w:tc>
          <w:tcPr>
            <w:tcW w:w="0" w:type="auto"/>
            <w:tcBorders>
              <w:top w:val="single" w:sz="4" w:space="0" w:color="auto"/>
              <w:left w:val="single" w:sz="4" w:space="0" w:color="auto"/>
              <w:bottom w:val="single" w:sz="4" w:space="0" w:color="auto"/>
              <w:right w:val="single" w:sz="4" w:space="0" w:color="auto"/>
            </w:tcBorders>
            <w:hideMark/>
          </w:tcPr>
          <w:p w14:paraId="07851C6E" w14:textId="77777777" w:rsidR="00FC2D23" w:rsidRDefault="00FC2D23" w:rsidP="00FC2D23">
            <w:pPr>
              <w:pStyle w:val="Table"/>
            </w:pPr>
            <w:r>
              <w:t xml:space="preserve">Additional positive rate per adenoma 6-9 mm </w:t>
            </w:r>
            <w:r>
              <w:rPr>
                <w:vertAlign w:val="superscript"/>
              </w:rPr>
              <w:t>b</w:t>
            </w:r>
          </w:p>
        </w:tc>
        <w:tc>
          <w:tcPr>
            <w:tcW w:w="3419" w:type="dxa"/>
            <w:tcBorders>
              <w:top w:val="single" w:sz="4" w:space="0" w:color="auto"/>
              <w:left w:val="single" w:sz="4" w:space="0" w:color="auto"/>
              <w:bottom w:val="single" w:sz="4" w:space="0" w:color="auto"/>
              <w:right w:val="single" w:sz="4" w:space="0" w:color="auto"/>
            </w:tcBorders>
          </w:tcPr>
          <w:p w14:paraId="0E230DEE" w14:textId="3753B06D" w:rsidR="00FC2D23" w:rsidRDefault="00FC2D23" w:rsidP="00FC2D23">
            <w:pPr>
              <w:pStyle w:val="Table"/>
            </w:pPr>
            <w:r>
              <w:t>11.0%</w:t>
            </w:r>
          </w:p>
        </w:tc>
      </w:tr>
      <w:tr w:rsidR="00FC2D23" w14:paraId="5F560AF7" w14:textId="77777777" w:rsidTr="00FC2D23">
        <w:trPr>
          <w:trHeight w:val="363"/>
        </w:trPr>
        <w:tc>
          <w:tcPr>
            <w:tcW w:w="0" w:type="auto"/>
            <w:tcBorders>
              <w:top w:val="single" w:sz="4" w:space="0" w:color="auto"/>
              <w:left w:val="single" w:sz="4" w:space="0" w:color="auto"/>
              <w:bottom w:val="single" w:sz="4" w:space="0" w:color="auto"/>
              <w:right w:val="single" w:sz="4" w:space="0" w:color="auto"/>
            </w:tcBorders>
            <w:hideMark/>
          </w:tcPr>
          <w:p w14:paraId="24DD5F94" w14:textId="77777777" w:rsidR="00FC2D23" w:rsidRDefault="00FC2D23" w:rsidP="00FC2D23">
            <w:pPr>
              <w:pStyle w:val="Table"/>
            </w:pPr>
            <w:r>
              <w:t xml:space="preserve">Additional positive rate per adenoma &gt;10 mm </w:t>
            </w:r>
            <w:r>
              <w:rPr>
                <w:vertAlign w:val="superscript"/>
              </w:rPr>
              <w:t>b</w:t>
            </w:r>
          </w:p>
        </w:tc>
        <w:tc>
          <w:tcPr>
            <w:tcW w:w="3419" w:type="dxa"/>
            <w:tcBorders>
              <w:top w:val="single" w:sz="4" w:space="0" w:color="auto"/>
              <w:left w:val="single" w:sz="4" w:space="0" w:color="auto"/>
              <w:bottom w:val="single" w:sz="4" w:space="0" w:color="auto"/>
              <w:right w:val="single" w:sz="4" w:space="0" w:color="auto"/>
            </w:tcBorders>
          </w:tcPr>
          <w:p w14:paraId="574CDFBF" w14:textId="20A404B1" w:rsidR="00FC2D23" w:rsidRDefault="00FC2D23" w:rsidP="00FC2D23">
            <w:pPr>
              <w:pStyle w:val="Table"/>
            </w:pPr>
            <w:r>
              <w:t>35.0%</w:t>
            </w:r>
          </w:p>
        </w:tc>
      </w:tr>
      <w:tr w:rsidR="00FC2D23" w14:paraId="4D5663A2" w14:textId="77777777" w:rsidTr="00FC2D23">
        <w:trPr>
          <w:trHeight w:val="363"/>
        </w:trPr>
        <w:tc>
          <w:tcPr>
            <w:tcW w:w="0" w:type="auto"/>
            <w:tcBorders>
              <w:top w:val="single" w:sz="4" w:space="0" w:color="auto"/>
              <w:left w:val="single" w:sz="4" w:space="0" w:color="auto"/>
              <w:bottom w:val="single" w:sz="4" w:space="0" w:color="auto"/>
              <w:right w:val="single" w:sz="4" w:space="0" w:color="auto"/>
            </w:tcBorders>
            <w:hideMark/>
          </w:tcPr>
          <w:p w14:paraId="02EF9DEB" w14:textId="77777777" w:rsidR="00FC2D23" w:rsidRDefault="00FC2D23" w:rsidP="00FC2D23">
            <w:pPr>
              <w:pStyle w:val="Table"/>
            </w:pPr>
            <w:r>
              <w:t>Additional positive rate per HP</w:t>
            </w:r>
          </w:p>
        </w:tc>
        <w:tc>
          <w:tcPr>
            <w:tcW w:w="3419" w:type="dxa"/>
            <w:tcBorders>
              <w:top w:val="single" w:sz="4" w:space="0" w:color="auto"/>
              <w:left w:val="single" w:sz="4" w:space="0" w:color="auto"/>
              <w:bottom w:val="single" w:sz="4" w:space="0" w:color="auto"/>
              <w:right w:val="single" w:sz="4" w:space="0" w:color="auto"/>
            </w:tcBorders>
          </w:tcPr>
          <w:p w14:paraId="4E93494F" w14:textId="4F54AB87" w:rsidR="00FC2D23" w:rsidRDefault="00FC2D23" w:rsidP="00FC2D23">
            <w:pPr>
              <w:pStyle w:val="Table"/>
            </w:pPr>
            <w:r>
              <w:t>0%</w:t>
            </w:r>
          </w:p>
        </w:tc>
      </w:tr>
      <w:tr w:rsidR="00FC2D23" w14:paraId="50313AEC" w14:textId="77777777" w:rsidTr="00FC2D23">
        <w:trPr>
          <w:trHeight w:val="363"/>
        </w:trPr>
        <w:tc>
          <w:tcPr>
            <w:tcW w:w="0" w:type="auto"/>
            <w:tcBorders>
              <w:top w:val="single" w:sz="4" w:space="0" w:color="auto"/>
              <w:left w:val="single" w:sz="4" w:space="0" w:color="auto"/>
              <w:bottom w:val="single" w:sz="4" w:space="0" w:color="auto"/>
              <w:right w:val="single" w:sz="4" w:space="0" w:color="auto"/>
            </w:tcBorders>
            <w:hideMark/>
          </w:tcPr>
          <w:p w14:paraId="06391CB7" w14:textId="0BCD23C3" w:rsidR="00FC2D23" w:rsidRDefault="00FC2D23" w:rsidP="00FC2D23">
            <w:pPr>
              <w:pStyle w:val="Table"/>
            </w:pPr>
            <w:r>
              <w:t>Additional positive rate per SS</w:t>
            </w:r>
            <w:r w:rsidR="00EE2605">
              <w:t>P</w:t>
            </w:r>
          </w:p>
        </w:tc>
        <w:tc>
          <w:tcPr>
            <w:tcW w:w="3419" w:type="dxa"/>
            <w:tcBorders>
              <w:top w:val="single" w:sz="4" w:space="0" w:color="auto"/>
              <w:left w:val="single" w:sz="4" w:space="0" w:color="auto"/>
              <w:bottom w:val="single" w:sz="4" w:space="0" w:color="auto"/>
              <w:right w:val="single" w:sz="4" w:space="0" w:color="auto"/>
            </w:tcBorders>
          </w:tcPr>
          <w:p w14:paraId="05802141" w14:textId="7E4540D7" w:rsidR="00FC2D23" w:rsidRDefault="00FC2D23" w:rsidP="00FC2D23">
            <w:pPr>
              <w:pStyle w:val="Table"/>
            </w:pPr>
            <w:r>
              <w:t>0%</w:t>
            </w:r>
          </w:p>
        </w:tc>
      </w:tr>
      <w:tr w:rsidR="00FC2D23" w14:paraId="32F181F5" w14:textId="77777777" w:rsidTr="00FC2D23">
        <w:trPr>
          <w:trHeight w:val="363"/>
        </w:trPr>
        <w:tc>
          <w:tcPr>
            <w:tcW w:w="0" w:type="auto"/>
            <w:tcBorders>
              <w:top w:val="single" w:sz="4" w:space="0" w:color="auto"/>
              <w:left w:val="single" w:sz="4" w:space="0" w:color="auto"/>
              <w:bottom w:val="single" w:sz="4" w:space="0" w:color="auto"/>
              <w:right w:val="single" w:sz="4" w:space="0" w:color="auto"/>
            </w:tcBorders>
            <w:hideMark/>
          </w:tcPr>
          <w:p w14:paraId="0BAE629A" w14:textId="77777777" w:rsidR="00FC2D23" w:rsidRDefault="00FC2D23" w:rsidP="00FC2D23">
            <w:pPr>
              <w:pStyle w:val="Table"/>
            </w:pPr>
            <w:r>
              <w:t>Additional positive rate for stage 1 CRC</w:t>
            </w:r>
          </w:p>
        </w:tc>
        <w:tc>
          <w:tcPr>
            <w:tcW w:w="3419" w:type="dxa"/>
            <w:tcBorders>
              <w:top w:val="single" w:sz="4" w:space="0" w:color="auto"/>
              <w:left w:val="single" w:sz="4" w:space="0" w:color="auto"/>
              <w:bottom w:val="single" w:sz="4" w:space="0" w:color="auto"/>
              <w:right w:val="single" w:sz="4" w:space="0" w:color="auto"/>
            </w:tcBorders>
          </w:tcPr>
          <w:p w14:paraId="4EAC88C5" w14:textId="41D58066" w:rsidR="00FC2D23" w:rsidRDefault="00FC2D23" w:rsidP="00FC2D23">
            <w:pPr>
              <w:pStyle w:val="Table"/>
            </w:pPr>
            <w:r>
              <w:t>40.0%</w:t>
            </w:r>
          </w:p>
        </w:tc>
      </w:tr>
      <w:tr w:rsidR="00FC2D23" w14:paraId="2783BA22" w14:textId="77777777" w:rsidTr="00FC2D23">
        <w:trPr>
          <w:trHeight w:val="363"/>
        </w:trPr>
        <w:tc>
          <w:tcPr>
            <w:tcW w:w="0" w:type="auto"/>
            <w:tcBorders>
              <w:top w:val="single" w:sz="4" w:space="0" w:color="auto"/>
              <w:left w:val="single" w:sz="4" w:space="0" w:color="auto"/>
              <w:bottom w:val="single" w:sz="4" w:space="0" w:color="auto"/>
              <w:right w:val="single" w:sz="4" w:space="0" w:color="auto"/>
            </w:tcBorders>
            <w:hideMark/>
          </w:tcPr>
          <w:p w14:paraId="761350D8" w14:textId="77777777" w:rsidR="00FC2D23" w:rsidRDefault="00FC2D23" w:rsidP="00FC2D23">
            <w:pPr>
              <w:pStyle w:val="Table"/>
            </w:pPr>
            <w:r>
              <w:t>Additional positive rate for stage 2 CRC</w:t>
            </w:r>
          </w:p>
        </w:tc>
        <w:tc>
          <w:tcPr>
            <w:tcW w:w="3419" w:type="dxa"/>
            <w:tcBorders>
              <w:top w:val="single" w:sz="4" w:space="0" w:color="auto"/>
              <w:left w:val="single" w:sz="4" w:space="0" w:color="auto"/>
              <w:bottom w:val="single" w:sz="4" w:space="0" w:color="auto"/>
              <w:right w:val="single" w:sz="4" w:space="0" w:color="auto"/>
            </w:tcBorders>
          </w:tcPr>
          <w:p w14:paraId="62D2A2EF" w14:textId="36ABB27B" w:rsidR="00FC2D23" w:rsidRDefault="00FC2D23" w:rsidP="00FC2D23">
            <w:pPr>
              <w:pStyle w:val="Table"/>
            </w:pPr>
            <w:r>
              <w:t>65.0%</w:t>
            </w:r>
          </w:p>
        </w:tc>
      </w:tr>
      <w:tr w:rsidR="00FC2D23" w14:paraId="2D859F74" w14:textId="77777777" w:rsidTr="00FC2D23">
        <w:trPr>
          <w:trHeight w:val="363"/>
        </w:trPr>
        <w:tc>
          <w:tcPr>
            <w:tcW w:w="0" w:type="auto"/>
            <w:tcBorders>
              <w:top w:val="single" w:sz="4" w:space="0" w:color="auto"/>
              <w:left w:val="single" w:sz="4" w:space="0" w:color="auto"/>
              <w:bottom w:val="single" w:sz="4" w:space="0" w:color="auto"/>
              <w:right w:val="single" w:sz="4" w:space="0" w:color="auto"/>
            </w:tcBorders>
            <w:hideMark/>
          </w:tcPr>
          <w:p w14:paraId="03887176" w14:textId="77777777" w:rsidR="00FC2D23" w:rsidRDefault="00FC2D23" w:rsidP="00FC2D23">
            <w:pPr>
              <w:pStyle w:val="Table"/>
            </w:pPr>
            <w:r>
              <w:t>Additional positive rate for stage 3 CRC</w:t>
            </w:r>
          </w:p>
        </w:tc>
        <w:tc>
          <w:tcPr>
            <w:tcW w:w="3419" w:type="dxa"/>
            <w:tcBorders>
              <w:top w:val="single" w:sz="4" w:space="0" w:color="auto"/>
              <w:left w:val="single" w:sz="4" w:space="0" w:color="auto"/>
              <w:bottom w:val="single" w:sz="4" w:space="0" w:color="auto"/>
              <w:right w:val="single" w:sz="4" w:space="0" w:color="auto"/>
            </w:tcBorders>
          </w:tcPr>
          <w:p w14:paraId="2C9AF8F7" w14:textId="73EAE1F6" w:rsidR="00FC2D23" w:rsidRDefault="00FC2D23" w:rsidP="00FC2D23">
            <w:pPr>
              <w:pStyle w:val="Table"/>
            </w:pPr>
            <w:r>
              <w:t>75.0%</w:t>
            </w:r>
          </w:p>
        </w:tc>
      </w:tr>
      <w:tr w:rsidR="00FC2D23" w14:paraId="1BC29383" w14:textId="77777777" w:rsidTr="00FC2D23">
        <w:trPr>
          <w:trHeight w:val="363"/>
        </w:trPr>
        <w:tc>
          <w:tcPr>
            <w:tcW w:w="0" w:type="auto"/>
            <w:tcBorders>
              <w:top w:val="single" w:sz="4" w:space="0" w:color="auto"/>
              <w:left w:val="single" w:sz="4" w:space="0" w:color="auto"/>
              <w:bottom w:val="single" w:sz="4" w:space="0" w:color="auto"/>
              <w:right w:val="single" w:sz="4" w:space="0" w:color="auto"/>
            </w:tcBorders>
            <w:hideMark/>
          </w:tcPr>
          <w:p w14:paraId="7A42FBC1" w14:textId="77777777" w:rsidR="00FC2D23" w:rsidRDefault="00FC2D23" w:rsidP="00FC2D23">
            <w:pPr>
              <w:pStyle w:val="Table"/>
            </w:pPr>
            <w:r>
              <w:t>Additional positive rate for stage 4 CRC</w:t>
            </w:r>
          </w:p>
        </w:tc>
        <w:tc>
          <w:tcPr>
            <w:tcW w:w="3419" w:type="dxa"/>
            <w:tcBorders>
              <w:top w:val="single" w:sz="4" w:space="0" w:color="auto"/>
              <w:left w:val="single" w:sz="4" w:space="0" w:color="auto"/>
              <w:bottom w:val="single" w:sz="4" w:space="0" w:color="auto"/>
              <w:right w:val="single" w:sz="4" w:space="0" w:color="auto"/>
            </w:tcBorders>
          </w:tcPr>
          <w:p w14:paraId="579F4D0F" w14:textId="14EB8CEF" w:rsidR="00FC2D23" w:rsidRDefault="00FC2D23" w:rsidP="00FC2D23">
            <w:pPr>
              <w:pStyle w:val="Table"/>
            </w:pPr>
            <w:r>
              <w:t>75.0%</w:t>
            </w:r>
          </w:p>
        </w:tc>
      </w:tr>
    </w:tbl>
    <w:p w14:paraId="12A1D4A5" w14:textId="264E8202" w:rsidR="003F5E9F" w:rsidRPr="00BE2E27" w:rsidRDefault="003F5E9F" w:rsidP="003F5E9F">
      <w:pPr>
        <w:pStyle w:val="Footnote0"/>
        <w:rPr>
          <w:i/>
          <w:sz w:val="20"/>
        </w:rPr>
      </w:pPr>
      <w:r w:rsidRPr="00BE2E27">
        <w:rPr>
          <w:i/>
          <w:sz w:val="20"/>
        </w:rPr>
        <w:t xml:space="preserve">CRC- colorectal cancer; HP- hyperplastic polyp; </w:t>
      </w:r>
      <w:r w:rsidR="00EE2605" w:rsidRPr="00BE2E27">
        <w:rPr>
          <w:i/>
          <w:sz w:val="20"/>
        </w:rPr>
        <w:t>SS</w:t>
      </w:r>
      <w:r w:rsidR="00EE2605">
        <w:rPr>
          <w:i/>
          <w:sz w:val="20"/>
        </w:rPr>
        <w:t>P</w:t>
      </w:r>
      <w:r w:rsidR="00EE2605" w:rsidRPr="00BE2E27">
        <w:rPr>
          <w:i/>
          <w:sz w:val="20"/>
        </w:rPr>
        <w:t xml:space="preserve"> </w:t>
      </w:r>
      <w:r w:rsidRPr="00BE2E27">
        <w:rPr>
          <w:i/>
          <w:sz w:val="20"/>
        </w:rPr>
        <w:t xml:space="preserve">– sessile serrate </w:t>
      </w:r>
      <w:r w:rsidR="00EE2605">
        <w:rPr>
          <w:i/>
          <w:sz w:val="20"/>
        </w:rPr>
        <w:t>polyp</w:t>
      </w:r>
    </w:p>
    <w:p w14:paraId="65677F6D" w14:textId="77777777" w:rsidR="003F5E9F" w:rsidRPr="00BE2E27" w:rsidRDefault="003F5E9F" w:rsidP="003F5E9F">
      <w:pPr>
        <w:pStyle w:val="Footnote0"/>
        <w:rPr>
          <w:i/>
          <w:sz w:val="20"/>
        </w:rPr>
      </w:pPr>
      <w:r w:rsidRPr="00BE2E27">
        <w:rPr>
          <w:i/>
          <w:sz w:val="20"/>
          <w:vertAlign w:val="superscript"/>
        </w:rPr>
        <w:t xml:space="preserve">a </w:t>
      </w:r>
      <w:proofErr w:type="spellStart"/>
      <w:r w:rsidRPr="00BE2E27">
        <w:rPr>
          <w:i/>
          <w:sz w:val="20"/>
        </w:rPr>
        <w:t>A</w:t>
      </w:r>
      <w:proofErr w:type="spellEnd"/>
      <w:r w:rsidRPr="00BE2E27">
        <w:rPr>
          <w:i/>
          <w:sz w:val="20"/>
        </w:rPr>
        <w:t xml:space="preserve"> background positive rate was assumed for all individuals (including perfectly healthy individuals who have no polyps or cancer) </w:t>
      </w:r>
    </w:p>
    <w:p w14:paraId="4E906F5C" w14:textId="77777777" w:rsidR="003F5E9F" w:rsidRPr="00BE2E27" w:rsidRDefault="003F5E9F" w:rsidP="003F5E9F">
      <w:pPr>
        <w:pStyle w:val="Footnote0"/>
        <w:rPr>
          <w:i/>
          <w:sz w:val="20"/>
        </w:rPr>
      </w:pPr>
      <w:r w:rsidRPr="00BE2E27">
        <w:rPr>
          <w:i/>
          <w:sz w:val="20"/>
          <w:vertAlign w:val="superscript"/>
        </w:rPr>
        <w:t>b</w:t>
      </w:r>
      <w:r w:rsidRPr="00BE2E27">
        <w:rPr>
          <w:i/>
          <w:sz w:val="20"/>
        </w:rPr>
        <w:t xml:space="preserve"> Same positive rate was assumed for adenoma within the same size category regardless of the histopathology characteristic of the adenoma (i.e. with or without high-grade dysplasia, and with/without villous architecture)</w:t>
      </w:r>
    </w:p>
    <w:p w14:paraId="19AC69D9" w14:textId="77777777" w:rsidR="00BE2E27" w:rsidRDefault="00BE2E27" w:rsidP="003F5E9F"/>
    <w:p w14:paraId="160CF271" w14:textId="7D7B05D9" w:rsidR="003F5E9F" w:rsidRDefault="00824A95" w:rsidP="003F5E9F">
      <w:r>
        <w:fldChar w:fldCharType="begin"/>
      </w:r>
      <w:r>
        <w:instrText xml:space="preserve"> REF _Ref462770293 \h  \* MERGEFORMAT </w:instrText>
      </w:r>
      <w:r>
        <w:fldChar w:fldCharType="separate"/>
      </w:r>
      <w:r w:rsidR="003B6A3A">
        <w:t xml:space="preserve">Table </w:t>
      </w:r>
      <w:r>
        <w:fldChar w:fldCharType="end"/>
      </w:r>
      <w:r w:rsidR="0065136C">
        <w:t>B4</w:t>
      </w:r>
      <w:r>
        <w:t xml:space="preserve"> </w:t>
      </w:r>
      <w:r w:rsidR="003F5E9F">
        <w:t xml:space="preserve">provides a summary of the modelled per-person iFOBT test sensitivity and specificity that are associated with the modelled lesion-specific test positive rate of iFOBT summarised in </w:t>
      </w:r>
      <w:r w:rsidR="003F5E9F">
        <w:fldChar w:fldCharType="begin"/>
      </w:r>
      <w:r w:rsidR="003F5E9F">
        <w:instrText xml:space="preserve"> REF _Ref437514859 \h </w:instrText>
      </w:r>
      <w:r w:rsidR="003F5E9F">
        <w:fldChar w:fldCharType="separate"/>
      </w:r>
      <w:r w:rsidR="003B6A3A">
        <w:rPr>
          <w:rFonts w:ascii="Calibri" w:hAnsi="Calibri"/>
        </w:rPr>
        <w:t xml:space="preserve">Table </w:t>
      </w:r>
      <w:r w:rsidR="003F5E9F">
        <w:fldChar w:fldCharType="end"/>
      </w:r>
      <w:r w:rsidR="00BE2E27">
        <w:t>B3</w:t>
      </w:r>
      <w:r w:rsidR="003F5E9F">
        <w:t xml:space="preserve">. These per-person iFOBT test sensitivity and specificity summarised in </w:t>
      </w:r>
      <w:r>
        <w:fldChar w:fldCharType="begin"/>
      </w:r>
      <w:r>
        <w:instrText xml:space="preserve"> REF _Ref462770293 \h </w:instrText>
      </w:r>
      <w:r>
        <w:fldChar w:fldCharType="separate"/>
      </w:r>
      <w:r w:rsidR="003B6A3A">
        <w:t xml:space="preserve">Table </w:t>
      </w:r>
      <w:r>
        <w:fldChar w:fldCharType="end"/>
      </w:r>
      <w:r w:rsidR="0065136C">
        <w:t>B3</w:t>
      </w:r>
      <w:r>
        <w:t xml:space="preserve"> </w:t>
      </w:r>
      <w:r w:rsidR="003F5E9F">
        <w:t xml:space="preserve">were estimated from iFOBT and colonoscopy outcomes of a group of never-screened individuals aged 50-74 years who underwent one round of screening using both iFOBT (as per test characteristics provided in </w:t>
      </w:r>
      <w:r>
        <w:fldChar w:fldCharType="begin"/>
      </w:r>
      <w:r>
        <w:instrText xml:space="preserve"> REF _Ref437514859 \h </w:instrText>
      </w:r>
      <w:r>
        <w:fldChar w:fldCharType="separate"/>
      </w:r>
      <w:r w:rsidR="003B6A3A">
        <w:rPr>
          <w:rFonts w:ascii="Calibri" w:hAnsi="Calibri"/>
        </w:rPr>
        <w:t xml:space="preserve">Table </w:t>
      </w:r>
      <w:r>
        <w:fldChar w:fldCharType="end"/>
      </w:r>
      <w:r w:rsidR="00DF295F">
        <w:t>B3</w:t>
      </w:r>
      <w:r w:rsidR="003F5E9F">
        <w:t>) and colonoscopy in the model. The following definitions were used for the test sensitivity and test specificity calculations:</w:t>
      </w:r>
    </w:p>
    <w:p w14:paraId="09BDA09C" w14:textId="34461AD4" w:rsidR="003F5E9F" w:rsidRDefault="003F5E9F" w:rsidP="003F5E9F">
      <w:pPr>
        <w:pStyle w:val="ListParagraph"/>
        <w:numPr>
          <w:ilvl w:val="0"/>
          <w:numId w:val="23"/>
        </w:numPr>
        <w:spacing w:after="200" w:line="360" w:lineRule="auto"/>
      </w:pPr>
      <w:r>
        <w:t xml:space="preserve">Individuals who had a positive iFOBT result were counted as true positive if their colonoscopy findings met the criteria defined for each category of colonoscopy outcome </w:t>
      </w:r>
      <w:r>
        <w:lastRenderedPageBreak/>
        <w:t xml:space="preserve">specified in </w:t>
      </w:r>
      <w:r>
        <w:fldChar w:fldCharType="begin"/>
      </w:r>
      <w:r>
        <w:instrText xml:space="preserve"> REF _Ref462770293 \h </w:instrText>
      </w:r>
      <w:r>
        <w:fldChar w:fldCharType="separate"/>
      </w:r>
      <w:r w:rsidR="003B6A3A">
        <w:t xml:space="preserve">Table </w:t>
      </w:r>
      <w:r>
        <w:fldChar w:fldCharType="end"/>
      </w:r>
      <w:r w:rsidR="006726DF">
        <w:t>B4</w:t>
      </w:r>
      <w:r>
        <w:t>, i.e. any adenoma, adenoma &gt;5mm, &gt;10mm, respectively; otherwise, the individuals were counted as false positive.</w:t>
      </w:r>
    </w:p>
    <w:p w14:paraId="4AC7460E" w14:textId="0BAD9B0D" w:rsidR="003F5E9F" w:rsidRDefault="003F5E9F" w:rsidP="003F5E9F">
      <w:pPr>
        <w:pStyle w:val="ListParagraph"/>
        <w:numPr>
          <w:ilvl w:val="0"/>
          <w:numId w:val="23"/>
        </w:numPr>
        <w:spacing w:after="200" w:line="360" w:lineRule="auto"/>
      </w:pPr>
      <w:r>
        <w:t xml:space="preserve">Individuals who had a negative iFOBT result were counted as false negative if their colonoscopy outcome met the criteria defined for each category of colonoscopy outcome specified in </w:t>
      </w:r>
      <w:r>
        <w:fldChar w:fldCharType="begin"/>
      </w:r>
      <w:r>
        <w:instrText xml:space="preserve"> REF _Ref462770293 \h </w:instrText>
      </w:r>
      <w:r>
        <w:fldChar w:fldCharType="separate"/>
      </w:r>
      <w:r w:rsidR="003B6A3A">
        <w:t xml:space="preserve">Table </w:t>
      </w:r>
      <w:r>
        <w:fldChar w:fldCharType="end"/>
      </w:r>
      <w:r w:rsidR="006726DF">
        <w:t>B4</w:t>
      </w:r>
      <w:r>
        <w:t xml:space="preserve">; otherwise, the individuals were counted as true negative. </w:t>
      </w:r>
    </w:p>
    <w:p w14:paraId="59D76891" w14:textId="77777777" w:rsidR="003F5E9F" w:rsidRDefault="003F5E9F" w:rsidP="003F5E9F">
      <w:pPr>
        <w:pStyle w:val="ListParagraph"/>
        <w:numPr>
          <w:ilvl w:val="0"/>
          <w:numId w:val="23"/>
        </w:numPr>
        <w:spacing w:after="200" w:line="360" w:lineRule="auto"/>
      </w:pPr>
      <w:r>
        <w:t>Test sensitivity was calculated by dividing true positive by the sum of true positive and false negative.</w:t>
      </w:r>
    </w:p>
    <w:p w14:paraId="37D36894" w14:textId="77777777" w:rsidR="003F5E9F" w:rsidRDefault="003F5E9F" w:rsidP="003F5E9F">
      <w:pPr>
        <w:pStyle w:val="ListParagraph"/>
        <w:numPr>
          <w:ilvl w:val="0"/>
          <w:numId w:val="23"/>
        </w:numPr>
        <w:spacing w:after="200" w:line="360" w:lineRule="auto"/>
      </w:pPr>
      <w:r>
        <w:t>Test specificity was calculated by dividing the true negative by the sum of true negative and false positive.</w:t>
      </w:r>
    </w:p>
    <w:p w14:paraId="445FD0CE" w14:textId="7281E63E" w:rsidR="003F5E9F" w:rsidRDefault="003F5E9F" w:rsidP="003F5E9F">
      <w:pPr>
        <w:pStyle w:val="Caption"/>
      </w:pPr>
      <w:bookmarkStart w:id="10" w:name="_Ref462770293"/>
      <w:bookmarkStart w:id="11" w:name="_Ref481429331"/>
      <w:r>
        <w:t xml:space="preserve">Table </w:t>
      </w:r>
      <w:bookmarkEnd w:id="10"/>
      <w:r w:rsidR="0064442B">
        <w:t>B4</w:t>
      </w:r>
      <w:r w:rsidR="0065136C">
        <w:t xml:space="preserve"> -</w:t>
      </w:r>
      <w:r w:rsidR="0064442B">
        <w:t xml:space="preserve"> </w:t>
      </w:r>
      <w:r>
        <w:t>Modelled test sensitivity and specificity of iFOBT (per person)</w:t>
      </w:r>
      <w:bookmarkEnd w:id="11"/>
    </w:p>
    <w:tbl>
      <w:tblPr>
        <w:tblW w:w="0" w:type="auto"/>
        <w:tblInd w:w="108" w:type="dxa"/>
        <w:tblLook w:val="04A0" w:firstRow="1" w:lastRow="0" w:firstColumn="1" w:lastColumn="0" w:noHBand="0" w:noVBand="1"/>
      </w:tblPr>
      <w:tblGrid>
        <w:gridCol w:w="2864"/>
        <w:gridCol w:w="2197"/>
        <w:gridCol w:w="2197"/>
      </w:tblGrid>
      <w:tr w:rsidR="00FD4D64" w14:paraId="03432A02" w14:textId="77777777" w:rsidTr="00DF295F">
        <w:tc>
          <w:tcPr>
            <w:tcW w:w="2864" w:type="dxa"/>
            <w:vMerge w:val="restart"/>
            <w:tcBorders>
              <w:top w:val="single" w:sz="4" w:space="0" w:color="auto"/>
              <w:left w:val="single" w:sz="4" w:space="0" w:color="auto"/>
              <w:bottom w:val="single" w:sz="4" w:space="0" w:color="auto"/>
              <w:right w:val="single" w:sz="4" w:space="0" w:color="auto"/>
            </w:tcBorders>
            <w:hideMark/>
          </w:tcPr>
          <w:p w14:paraId="2ADA3CEA" w14:textId="77777777" w:rsidR="00FD4D64" w:rsidRDefault="00FD4D64">
            <w:pPr>
              <w:spacing w:after="0" w:line="240" w:lineRule="auto"/>
            </w:pPr>
            <w:r>
              <w:t xml:space="preserve">Colonoscopy outcome </w:t>
            </w:r>
          </w:p>
        </w:tc>
        <w:tc>
          <w:tcPr>
            <w:tcW w:w="4394" w:type="dxa"/>
            <w:gridSpan w:val="2"/>
            <w:tcBorders>
              <w:top w:val="single" w:sz="4" w:space="0" w:color="auto"/>
              <w:left w:val="single" w:sz="4" w:space="0" w:color="auto"/>
              <w:bottom w:val="single" w:sz="4" w:space="0" w:color="auto"/>
              <w:right w:val="single" w:sz="4" w:space="0" w:color="auto"/>
            </w:tcBorders>
            <w:hideMark/>
          </w:tcPr>
          <w:p w14:paraId="115F9AD4" w14:textId="77777777" w:rsidR="00FD4D64" w:rsidRDefault="00FD4D64">
            <w:pPr>
              <w:spacing w:after="0" w:line="240" w:lineRule="auto"/>
              <w:jc w:val="center"/>
            </w:pPr>
            <w:r>
              <w:t>Baseline</w:t>
            </w:r>
          </w:p>
        </w:tc>
      </w:tr>
      <w:tr w:rsidR="00FD4D64" w14:paraId="6146BB55" w14:textId="77777777" w:rsidTr="00DF295F">
        <w:tc>
          <w:tcPr>
            <w:tcW w:w="2864" w:type="dxa"/>
            <w:vMerge/>
            <w:tcBorders>
              <w:top w:val="single" w:sz="4" w:space="0" w:color="auto"/>
              <w:left w:val="single" w:sz="4" w:space="0" w:color="auto"/>
              <w:bottom w:val="single" w:sz="4" w:space="0" w:color="auto"/>
              <w:right w:val="single" w:sz="4" w:space="0" w:color="auto"/>
            </w:tcBorders>
            <w:vAlign w:val="center"/>
            <w:hideMark/>
          </w:tcPr>
          <w:p w14:paraId="42AF40DB" w14:textId="77777777" w:rsidR="00FD4D64" w:rsidRDefault="00FD4D64">
            <w:pPr>
              <w:spacing w:after="0" w:line="240" w:lineRule="auto"/>
            </w:pPr>
          </w:p>
        </w:tc>
        <w:tc>
          <w:tcPr>
            <w:tcW w:w="2197" w:type="dxa"/>
            <w:tcBorders>
              <w:top w:val="single" w:sz="4" w:space="0" w:color="auto"/>
              <w:left w:val="single" w:sz="4" w:space="0" w:color="auto"/>
              <w:bottom w:val="single" w:sz="4" w:space="0" w:color="auto"/>
              <w:right w:val="single" w:sz="4" w:space="0" w:color="auto"/>
            </w:tcBorders>
            <w:hideMark/>
          </w:tcPr>
          <w:p w14:paraId="5857D8E4" w14:textId="77777777" w:rsidR="00FD4D64" w:rsidRDefault="00FD4D64">
            <w:pPr>
              <w:spacing w:after="0" w:line="240" w:lineRule="auto"/>
              <w:jc w:val="center"/>
            </w:pPr>
            <w:r>
              <w:t>Sens</w:t>
            </w:r>
          </w:p>
        </w:tc>
        <w:tc>
          <w:tcPr>
            <w:tcW w:w="2197" w:type="dxa"/>
            <w:tcBorders>
              <w:top w:val="single" w:sz="4" w:space="0" w:color="auto"/>
              <w:left w:val="single" w:sz="4" w:space="0" w:color="auto"/>
              <w:bottom w:val="single" w:sz="4" w:space="0" w:color="auto"/>
              <w:right w:val="single" w:sz="4" w:space="0" w:color="auto"/>
            </w:tcBorders>
            <w:hideMark/>
          </w:tcPr>
          <w:p w14:paraId="3D2890AC" w14:textId="77777777" w:rsidR="00FD4D64" w:rsidRDefault="00FD4D64">
            <w:pPr>
              <w:spacing w:after="0" w:line="240" w:lineRule="auto"/>
              <w:jc w:val="center"/>
            </w:pPr>
            <w:r>
              <w:t>Spec</w:t>
            </w:r>
          </w:p>
        </w:tc>
      </w:tr>
      <w:tr w:rsidR="00FD4D64" w14:paraId="53956118" w14:textId="77777777" w:rsidTr="00DF295F">
        <w:tc>
          <w:tcPr>
            <w:tcW w:w="2864" w:type="dxa"/>
            <w:tcBorders>
              <w:top w:val="single" w:sz="4" w:space="0" w:color="auto"/>
              <w:left w:val="single" w:sz="4" w:space="0" w:color="auto"/>
              <w:bottom w:val="single" w:sz="4" w:space="0" w:color="auto"/>
              <w:right w:val="single" w:sz="4" w:space="0" w:color="auto"/>
            </w:tcBorders>
            <w:hideMark/>
          </w:tcPr>
          <w:p w14:paraId="718D8E2F" w14:textId="77777777" w:rsidR="00FD4D64" w:rsidRDefault="00FD4D64">
            <w:pPr>
              <w:spacing w:after="0" w:line="240" w:lineRule="auto"/>
            </w:pPr>
            <w:r>
              <w:t>Any adenoma</w:t>
            </w:r>
          </w:p>
        </w:tc>
        <w:tc>
          <w:tcPr>
            <w:tcW w:w="2197" w:type="dxa"/>
            <w:tcBorders>
              <w:top w:val="single" w:sz="4" w:space="0" w:color="auto"/>
              <w:left w:val="single" w:sz="4" w:space="0" w:color="auto"/>
              <w:bottom w:val="single" w:sz="4" w:space="0" w:color="auto"/>
              <w:right w:val="single" w:sz="4" w:space="0" w:color="auto"/>
            </w:tcBorders>
            <w:hideMark/>
          </w:tcPr>
          <w:p w14:paraId="5E9486E6" w14:textId="77777777" w:rsidR="00FD4D64" w:rsidRDefault="00FD4D64">
            <w:pPr>
              <w:spacing w:after="0" w:line="240" w:lineRule="auto"/>
              <w:jc w:val="center"/>
            </w:pPr>
            <w:r>
              <w:t>15.2%</w:t>
            </w:r>
          </w:p>
        </w:tc>
        <w:tc>
          <w:tcPr>
            <w:tcW w:w="2197" w:type="dxa"/>
            <w:tcBorders>
              <w:top w:val="single" w:sz="4" w:space="0" w:color="auto"/>
              <w:left w:val="single" w:sz="4" w:space="0" w:color="auto"/>
              <w:bottom w:val="single" w:sz="4" w:space="0" w:color="auto"/>
              <w:right w:val="single" w:sz="4" w:space="0" w:color="auto"/>
            </w:tcBorders>
            <w:hideMark/>
          </w:tcPr>
          <w:p w14:paraId="03082011" w14:textId="77777777" w:rsidR="00FD4D64" w:rsidRDefault="00FD4D64">
            <w:pPr>
              <w:spacing w:after="0" w:line="240" w:lineRule="auto"/>
              <w:jc w:val="center"/>
            </w:pPr>
            <w:r>
              <w:t>94.8%</w:t>
            </w:r>
          </w:p>
        </w:tc>
      </w:tr>
      <w:tr w:rsidR="00FD4D64" w14:paraId="794F7AE2" w14:textId="77777777" w:rsidTr="00DF295F">
        <w:trPr>
          <w:trHeight w:val="97"/>
        </w:trPr>
        <w:tc>
          <w:tcPr>
            <w:tcW w:w="2864" w:type="dxa"/>
            <w:tcBorders>
              <w:top w:val="single" w:sz="4" w:space="0" w:color="auto"/>
              <w:left w:val="single" w:sz="4" w:space="0" w:color="auto"/>
              <w:bottom w:val="single" w:sz="4" w:space="0" w:color="auto"/>
              <w:right w:val="single" w:sz="4" w:space="0" w:color="auto"/>
            </w:tcBorders>
            <w:hideMark/>
          </w:tcPr>
          <w:p w14:paraId="24BAC477" w14:textId="77777777" w:rsidR="00FD4D64" w:rsidRDefault="00FD4D64">
            <w:pPr>
              <w:spacing w:after="0" w:line="240" w:lineRule="auto"/>
            </w:pPr>
            <w:r>
              <w:t>Adenoma &gt; 5mm</w:t>
            </w:r>
          </w:p>
        </w:tc>
        <w:tc>
          <w:tcPr>
            <w:tcW w:w="2197" w:type="dxa"/>
            <w:tcBorders>
              <w:top w:val="single" w:sz="4" w:space="0" w:color="auto"/>
              <w:left w:val="single" w:sz="4" w:space="0" w:color="auto"/>
              <w:bottom w:val="single" w:sz="4" w:space="0" w:color="auto"/>
              <w:right w:val="single" w:sz="4" w:space="0" w:color="auto"/>
            </w:tcBorders>
            <w:hideMark/>
          </w:tcPr>
          <w:p w14:paraId="2C0FCE8A" w14:textId="77777777" w:rsidR="00FD4D64" w:rsidRDefault="00FD4D64">
            <w:pPr>
              <w:spacing w:after="0" w:line="240" w:lineRule="auto"/>
              <w:jc w:val="center"/>
            </w:pPr>
            <w:r>
              <w:t>30.2%</w:t>
            </w:r>
          </w:p>
        </w:tc>
        <w:tc>
          <w:tcPr>
            <w:tcW w:w="2197" w:type="dxa"/>
            <w:tcBorders>
              <w:top w:val="single" w:sz="4" w:space="0" w:color="auto"/>
              <w:left w:val="single" w:sz="4" w:space="0" w:color="auto"/>
              <w:bottom w:val="single" w:sz="4" w:space="0" w:color="auto"/>
              <w:right w:val="single" w:sz="4" w:space="0" w:color="auto"/>
            </w:tcBorders>
            <w:hideMark/>
          </w:tcPr>
          <w:p w14:paraId="75735EA5" w14:textId="77777777" w:rsidR="00FD4D64" w:rsidRDefault="00FD4D64">
            <w:pPr>
              <w:spacing w:after="0" w:line="240" w:lineRule="auto"/>
              <w:jc w:val="center"/>
            </w:pPr>
            <w:r>
              <w:t>94.6%</w:t>
            </w:r>
          </w:p>
        </w:tc>
      </w:tr>
      <w:tr w:rsidR="00FD4D64" w14:paraId="5F260B3D" w14:textId="77777777" w:rsidTr="00DF295F">
        <w:tc>
          <w:tcPr>
            <w:tcW w:w="2864" w:type="dxa"/>
            <w:tcBorders>
              <w:top w:val="single" w:sz="4" w:space="0" w:color="auto"/>
              <w:left w:val="single" w:sz="4" w:space="0" w:color="auto"/>
              <w:bottom w:val="single" w:sz="4" w:space="0" w:color="auto"/>
              <w:right w:val="single" w:sz="4" w:space="0" w:color="auto"/>
            </w:tcBorders>
            <w:hideMark/>
          </w:tcPr>
          <w:p w14:paraId="792A29D2" w14:textId="77777777" w:rsidR="00FD4D64" w:rsidRDefault="00FD4D64">
            <w:pPr>
              <w:spacing w:after="0" w:line="240" w:lineRule="auto"/>
            </w:pPr>
            <w:r>
              <w:t>Adenoma &gt;=10mm</w:t>
            </w:r>
          </w:p>
        </w:tc>
        <w:tc>
          <w:tcPr>
            <w:tcW w:w="2197" w:type="dxa"/>
            <w:tcBorders>
              <w:top w:val="single" w:sz="4" w:space="0" w:color="auto"/>
              <w:left w:val="single" w:sz="4" w:space="0" w:color="auto"/>
              <w:bottom w:val="single" w:sz="4" w:space="0" w:color="auto"/>
              <w:right w:val="single" w:sz="4" w:space="0" w:color="auto"/>
            </w:tcBorders>
            <w:hideMark/>
          </w:tcPr>
          <w:p w14:paraId="61934D4E" w14:textId="77777777" w:rsidR="00FD4D64" w:rsidRDefault="00FD4D64">
            <w:pPr>
              <w:spacing w:after="0" w:line="240" w:lineRule="auto"/>
              <w:jc w:val="center"/>
            </w:pPr>
            <w:r>
              <w:t>41.5%</w:t>
            </w:r>
          </w:p>
        </w:tc>
        <w:tc>
          <w:tcPr>
            <w:tcW w:w="2197" w:type="dxa"/>
            <w:tcBorders>
              <w:top w:val="single" w:sz="4" w:space="0" w:color="auto"/>
              <w:left w:val="single" w:sz="4" w:space="0" w:color="auto"/>
              <w:bottom w:val="single" w:sz="4" w:space="0" w:color="auto"/>
              <w:right w:val="single" w:sz="4" w:space="0" w:color="auto"/>
            </w:tcBorders>
            <w:hideMark/>
          </w:tcPr>
          <w:p w14:paraId="6B099874" w14:textId="77777777" w:rsidR="00FD4D64" w:rsidRDefault="00FD4D64">
            <w:pPr>
              <w:spacing w:after="0" w:line="240" w:lineRule="auto"/>
              <w:jc w:val="center"/>
            </w:pPr>
            <w:r>
              <w:t>94.1%</w:t>
            </w:r>
          </w:p>
        </w:tc>
      </w:tr>
      <w:tr w:rsidR="00FD4D64" w14:paraId="0DC88ABA" w14:textId="77777777" w:rsidTr="00DF295F">
        <w:tc>
          <w:tcPr>
            <w:tcW w:w="2864" w:type="dxa"/>
            <w:tcBorders>
              <w:top w:val="single" w:sz="4" w:space="0" w:color="auto"/>
              <w:left w:val="single" w:sz="4" w:space="0" w:color="auto"/>
              <w:bottom w:val="single" w:sz="4" w:space="0" w:color="auto"/>
              <w:right w:val="single" w:sz="4" w:space="0" w:color="auto"/>
            </w:tcBorders>
            <w:hideMark/>
          </w:tcPr>
          <w:p w14:paraId="518A1606" w14:textId="77777777" w:rsidR="00FD4D64" w:rsidRDefault="00FD4D64">
            <w:pPr>
              <w:spacing w:after="0" w:line="240" w:lineRule="auto"/>
            </w:pPr>
            <w:r>
              <w:t>CRC</w:t>
            </w:r>
          </w:p>
        </w:tc>
        <w:tc>
          <w:tcPr>
            <w:tcW w:w="2197" w:type="dxa"/>
            <w:tcBorders>
              <w:top w:val="single" w:sz="4" w:space="0" w:color="auto"/>
              <w:left w:val="single" w:sz="4" w:space="0" w:color="auto"/>
              <w:bottom w:val="single" w:sz="4" w:space="0" w:color="auto"/>
              <w:right w:val="single" w:sz="4" w:space="0" w:color="auto"/>
            </w:tcBorders>
            <w:hideMark/>
          </w:tcPr>
          <w:p w14:paraId="397BCF7A" w14:textId="77777777" w:rsidR="00FD4D64" w:rsidRDefault="00FD4D64">
            <w:pPr>
              <w:spacing w:after="0" w:line="240" w:lineRule="auto"/>
              <w:jc w:val="center"/>
            </w:pPr>
            <w:r>
              <w:t>58.6%</w:t>
            </w:r>
          </w:p>
        </w:tc>
        <w:tc>
          <w:tcPr>
            <w:tcW w:w="2197" w:type="dxa"/>
            <w:tcBorders>
              <w:top w:val="single" w:sz="4" w:space="0" w:color="auto"/>
              <w:left w:val="single" w:sz="4" w:space="0" w:color="auto"/>
              <w:bottom w:val="single" w:sz="4" w:space="0" w:color="auto"/>
              <w:right w:val="single" w:sz="4" w:space="0" w:color="auto"/>
            </w:tcBorders>
            <w:hideMark/>
          </w:tcPr>
          <w:p w14:paraId="5DD3595B" w14:textId="77777777" w:rsidR="00FD4D64" w:rsidRDefault="00FD4D64">
            <w:pPr>
              <w:spacing w:after="0" w:line="240" w:lineRule="auto"/>
              <w:jc w:val="center"/>
            </w:pPr>
            <w:r>
              <w:t>-</w:t>
            </w:r>
          </w:p>
        </w:tc>
      </w:tr>
    </w:tbl>
    <w:p w14:paraId="617EB1E6" w14:textId="77777777" w:rsidR="003F5E9F" w:rsidRDefault="003F5E9F" w:rsidP="003F5E9F">
      <w:pPr>
        <w:pStyle w:val="Tblfootnote"/>
        <w:rPr>
          <w:rFonts w:asciiTheme="minorHAnsi" w:hAnsiTheme="minorHAnsi"/>
        </w:rPr>
      </w:pPr>
      <w:r>
        <w:t>CRC- colorectal cancer; Sens- sensitivity; Spec-specificity</w:t>
      </w:r>
    </w:p>
    <w:p w14:paraId="547BA476" w14:textId="77777777" w:rsidR="003F5E9F" w:rsidRDefault="003F5E9F" w:rsidP="003F5E9F">
      <w:pPr>
        <w:pStyle w:val="Tblfootnote"/>
      </w:pPr>
    </w:p>
    <w:p w14:paraId="26612FE4" w14:textId="541578E7" w:rsidR="003F5E9F" w:rsidRDefault="003F5E9F" w:rsidP="003F5E9F">
      <w:r>
        <w:t xml:space="preserve">In a publication </w:t>
      </w:r>
      <w:r w:rsidR="006726DF">
        <w:t xml:space="preserve">by the </w:t>
      </w:r>
      <w:r>
        <w:t>Australian Institute of Health and Welfare (AIHW), the sensitivity of iFOBT was reported to be 83% for colorectal cancer (any stage) detection within the NBCSP.</w:t>
      </w:r>
      <w:r w:rsidR="006726DF">
        <w:fldChar w:fldCharType="begin"/>
      </w:r>
      <w:r w:rsidR="001F6FE0">
        <w:instrText xml:space="preserve"> ADDIN EN.CITE &lt;EndNote&gt;&lt;Cite&gt;&lt;Author&gt;Australian Institute of Health and Welfare&lt;/Author&gt;&lt;Year&gt;2016&lt;/Year&gt;&lt;RecNum&gt;94&lt;/RecNum&gt;&lt;DisplayText&gt;[6]&lt;/DisplayText&gt;&lt;record&gt;&lt;rec-number&gt;94&lt;/rec-number&gt;&lt;foreign-keys&gt;&lt;key app="EN" db-id="da5e0t5d9t9vfgeewz95e0eee0faf5pfxx9r" timestamp="1516594529"&gt;94&lt;/key&gt;&lt;/foreign-keys&gt;&lt;ref-type name="Journal Article"&gt;17&lt;/ref-type&gt;&lt;contributors&gt;&lt;authors&gt;&lt;author&gt;Australian Institute of Health and Welfare,&lt;/author&gt;&lt;author&gt;Australian Government Department of, Health&lt;/author&gt;&lt;/authors&gt;&lt;/contributors&gt;&lt;titles&gt;&lt;title&gt;Analysis of colorectal cancer outcomes for the Australian National Bowel Cancer Screening Program&lt;/title&gt;&lt;secondary-title&gt;Asia Pac J Clin Oncol&lt;/secondary-title&gt;&lt;/titles&gt;&lt;periodical&gt;&lt;full-title&gt;Asia Pac J Clin Oncol&lt;/full-title&gt;&lt;/periodical&gt;&lt;pages&gt;22-32&lt;/pages&gt;&lt;volume&gt;12&lt;/volume&gt;&lt;number&gt;1&lt;/number&gt;&lt;reprint-edition&gt;NOT IN FILE&lt;/reprint-edition&gt;&lt;keywords&gt;&lt;keyword&gt;analysis&lt;/keyword&gt;&lt;keyword&gt;Australia&lt;/keyword&gt;&lt;keyword&gt;bowel cancer&lt;/keyword&gt;&lt;keyword&gt;Cancer&lt;/keyword&gt;&lt;keyword&gt;Cancer screening&lt;/keyword&gt;&lt;keyword&gt;for&lt;/keyword&gt;&lt;keyword&gt;Incidence&lt;/keyword&gt;&lt;keyword&gt;Morbidity&lt;/keyword&gt;&lt;keyword&gt;mortality&lt;/keyword&gt;&lt;keyword&gt;Risk&lt;/keyword&gt;&lt;keyword&gt;screening&lt;/keyword&gt;&lt;/keywords&gt;&lt;dates&gt;&lt;year&gt;2016&lt;/year&gt;&lt;/dates&gt;&lt;work-type&gt;10.1111/ajco.12452 doi&lt;/work-type&gt;&lt;urls&gt;&lt;related-urls&gt;&lt;url&gt;PM:26803949&lt;/url&gt;&lt;/related-urls&gt;&lt;/urls&gt;&lt;/record&gt;&lt;/Cite&gt;&lt;/EndNote&gt;</w:instrText>
      </w:r>
      <w:r w:rsidR="006726DF">
        <w:fldChar w:fldCharType="separate"/>
      </w:r>
      <w:r w:rsidR="001F6FE0">
        <w:rPr>
          <w:noProof/>
        </w:rPr>
        <w:t>[6]</w:t>
      </w:r>
      <w:r w:rsidR="006726DF">
        <w:fldChar w:fldCharType="end"/>
      </w:r>
      <w:r>
        <w:t xml:space="preserve"> This ‘program sensitivity’ was measured based on screen-detected cancers individuals with positive iFOBT result (as true positive outcome of the iFOBT) and </w:t>
      </w:r>
      <w:r>
        <w:rPr>
          <w:rFonts w:ascii="Calibri" w:hAnsi="Calibri"/>
        </w:rPr>
        <w:t>the subsequent interval cancers diagnosed within 2 years in people with a negative iFOBT at screening (as the false negative of iFOBT).</w:t>
      </w:r>
      <w:r w:rsidR="006726DF">
        <w:rPr>
          <w:rFonts w:ascii="Calibri" w:hAnsi="Calibri"/>
        </w:rPr>
        <w:t xml:space="preserve"> </w:t>
      </w:r>
      <w:r>
        <w:t xml:space="preserve">Using this definition, the test sensitivity for colorectal cancer detection of the modelled base case iFOBT was estimated to be 82.5%, consistent with the AIHW findings. </w:t>
      </w:r>
    </w:p>
    <w:p w14:paraId="7976FC51" w14:textId="77777777" w:rsidR="003F5E9F" w:rsidRDefault="003F5E9F" w:rsidP="003F5E9F">
      <w:pPr>
        <w:pStyle w:val="Heading2"/>
      </w:pPr>
      <w:bookmarkStart w:id="12" w:name="_Toc481590076"/>
      <w:bookmarkStart w:id="13" w:name="_Ref451786886"/>
      <w:bookmarkStart w:id="14" w:name="_Toc462748389"/>
      <w:bookmarkStart w:id="15" w:name="_Toc503369595"/>
      <w:r>
        <w:t>Colonoscopy</w:t>
      </w:r>
      <w:bookmarkEnd w:id="12"/>
      <w:bookmarkEnd w:id="13"/>
      <w:bookmarkEnd w:id="14"/>
      <w:r>
        <w:t xml:space="preserve"> test characteristics</w:t>
      </w:r>
      <w:bookmarkEnd w:id="15"/>
    </w:p>
    <w:p w14:paraId="64BA9BFF" w14:textId="2CDE5C39" w:rsidR="003F5E9F" w:rsidRDefault="003F5E9F" w:rsidP="003F5E9F">
      <w:pPr>
        <w:rPr>
          <w:rFonts w:ascii="Calibri" w:hAnsi="Calibri"/>
        </w:rPr>
      </w:pPr>
      <w:r>
        <w:rPr>
          <w:rFonts w:ascii="Calibri" w:hAnsi="Calibri"/>
        </w:rPr>
        <w:t xml:space="preserve">The modelled lesion-specific positive rates of colonoscopy are summarised in </w:t>
      </w:r>
      <w:r>
        <w:rPr>
          <w:rFonts w:ascii="Calibri" w:hAnsi="Calibri"/>
        </w:rPr>
        <w:fldChar w:fldCharType="begin"/>
      </w:r>
      <w:r>
        <w:rPr>
          <w:rFonts w:ascii="Calibri" w:hAnsi="Calibri"/>
        </w:rPr>
        <w:instrText xml:space="preserve"> REF _Ref462828222 \h </w:instrText>
      </w:r>
      <w:r>
        <w:rPr>
          <w:rFonts w:ascii="Calibri" w:hAnsi="Calibri"/>
        </w:rPr>
      </w:r>
      <w:r>
        <w:rPr>
          <w:rFonts w:ascii="Calibri" w:hAnsi="Calibri"/>
        </w:rPr>
        <w:fldChar w:fldCharType="separate"/>
      </w:r>
      <w:r w:rsidR="003B6A3A">
        <w:rPr>
          <w:rFonts w:ascii="Calibri" w:hAnsi="Calibri"/>
        </w:rPr>
        <w:t xml:space="preserve">Table </w:t>
      </w:r>
      <w:r>
        <w:rPr>
          <w:rFonts w:ascii="Calibri" w:hAnsi="Calibri"/>
        </w:rPr>
        <w:fldChar w:fldCharType="end"/>
      </w:r>
      <w:r w:rsidR="002F0768">
        <w:rPr>
          <w:rFonts w:ascii="Calibri" w:hAnsi="Calibri"/>
        </w:rPr>
        <w:t>B5</w:t>
      </w:r>
      <w:r>
        <w:rPr>
          <w:rFonts w:ascii="Calibri" w:hAnsi="Calibri"/>
        </w:rPr>
        <w:t xml:space="preserve">. </w:t>
      </w:r>
      <w:r>
        <w:rPr>
          <w:lang w:val="en"/>
        </w:rPr>
        <w:t xml:space="preserve">The modelled positive rate of colonoscopy for conventional adenomas, hyperplastic polyps and sessile serrated </w:t>
      </w:r>
      <w:r w:rsidR="00EE2605">
        <w:rPr>
          <w:lang w:val="en"/>
        </w:rPr>
        <w:t xml:space="preserve">polyps </w:t>
      </w:r>
      <w:r>
        <w:rPr>
          <w:lang w:val="en"/>
        </w:rPr>
        <w:t>were based on the findings of a 2006</w:t>
      </w:r>
      <w:r>
        <w:rPr>
          <w:rFonts w:ascii="Calibri" w:hAnsi="Calibri"/>
          <w:lang w:val="en"/>
        </w:rPr>
        <w:t xml:space="preserve"> </w:t>
      </w:r>
      <w:r>
        <w:rPr>
          <w:rFonts w:ascii="Calibri" w:hAnsi="Calibri"/>
        </w:rPr>
        <w:t>systematic review by van Rijn and colleagues.</w:t>
      </w:r>
      <w:r w:rsidR="006726DF">
        <w:rPr>
          <w:rFonts w:ascii="Calibri" w:hAnsi="Calibri"/>
        </w:rPr>
        <w:fldChar w:fldCharType="begin"/>
      </w:r>
      <w:r w:rsidR="001F6FE0">
        <w:rPr>
          <w:rFonts w:ascii="Calibri" w:hAnsi="Calibri"/>
        </w:rPr>
        <w:instrText xml:space="preserve"> ADDIN EN.CITE &lt;EndNote&gt;&lt;Cite&gt;&lt;Author&gt;van Rijn&lt;/Author&gt;&lt;Year&gt;2006&lt;/Year&gt;&lt;RecNum&gt;1209&lt;/RecNum&gt;&lt;DisplayText&gt;[7]&lt;/DisplayText&gt;&lt;record&gt;&lt;rec-number&gt;1209&lt;/rec-number&gt;&lt;foreign-keys&gt;&lt;key app="EN" db-id="da5e0t5d9t9vfgeewz95e0eee0faf5pfxx9r" timestamp="1516594533"&gt;1209&lt;/key&gt;&lt;/foreign-keys&gt;&lt;ref-type name="Journal Article"&gt;17&lt;/ref-type&gt;&lt;contributors&gt;&lt;authors&gt;&lt;author&gt;van Rijn, J. C.&lt;/author&gt;&lt;author&gt;Reitsma, J. B.&lt;/author&gt;&lt;author&gt;Stoker, J.&lt;/author&gt;&lt;author&gt;Bossuyt, P. M.&lt;/author&gt;&lt;author&gt;van Deventer, S. J.&lt;/author&gt;&lt;author&gt;Dekker, E.&lt;/author&gt;&lt;/authors&gt;&lt;/contributors&gt;&lt;auth-address&gt;Department of Clinical Epidemiology &amp;amp; Biostatistics, Academic Medical Center (University of Amsterdam), Amsterdam, The Netherlands&lt;/auth-address&gt;&lt;titles&gt;&lt;title&gt;Polyp miss rate determined by tandem colonoscopy: a systematic review&lt;/title&gt;&lt;secondary-title&gt;Am J Gastroenterol&lt;/secondary-title&gt;&lt;/titles&gt;&lt;periodical&gt;&lt;full-title&gt;Am J Gastroenterol&lt;/full-title&gt;&lt;/periodical&gt;&lt;pages&gt;343-350&lt;/pages&gt;&lt;volume&gt;101&lt;/volume&gt;&lt;number&gt;2&lt;/number&gt;&lt;keywords&gt;&lt;keyword&gt;Adenoma&lt;/keyword&gt;&lt;keyword&gt;Colonic Polyps&lt;/keyword&gt;&lt;keyword&gt;Colonoscopy&lt;/keyword&gt;&lt;keyword&gt;diagnosis&lt;/keyword&gt;&lt;keyword&gt;Diagnosis,Differential&lt;/keyword&gt;&lt;keyword&gt;Diagnostic Errors&lt;/keyword&gt;&lt;keyword&gt;epidemiology&lt;/keyword&gt;&lt;keyword&gt;Humans&lt;/keyword&gt;&lt;keyword&gt;methods&lt;/keyword&gt;&lt;keyword&gt;Netherlands&lt;/keyword&gt;&lt;keyword&gt;Polyps&lt;/keyword&gt;&lt;/keywords&gt;&lt;dates&gt;&lt;year&gt;2006&lt;/year&gt;&lt;/dates&gt;&lt;urls&gt;&lt;/urls&gt;&lt;electronic-resource-num&gt;http://www.ncbi.nlm.nih.gov/pubmed/16454841;file://G:\CERU\General\HPVCC%20Model\CRC\Publications\AmJGastroenterol2006-p343-VanRijnJC-PolypMissRateDeterminedByTandemColonoscopy.pdf&lt;/electronic-resource-num&gt;&lt;/record&gt;&lt;/Cite&gt;&lt;/EndNote&gt;</w:instrText>
      </w:r>
      <w:r w:rsidR="006726DF">
        <w:rPr>
          <w:rFonts w:ascii="Calibri" w:hAnsi="Calibri"/>
        </w:rPr>
        <w:fldChar w:fldCharType="separate"/>
      </w:r>
      <w:r w:rsidR="001F6FE0">
        <w:rPr>
          <w:rFonts w:ascii="Calibri" w:hAnsi="Calibri"/>
          <w:noProof/>
        </w:rPr>
        <w:t>[7]</w:t>
      </w:r>
      <w:r w:rsidR="006726DF">
        <w:rPr>
          <w:rFonts w:ascii="Calibri" w:hAnsi="Calibri"/>
        </w:rPr>
        <w:fldChar w:fldCharType="end"/>
      </w:r>
      <w:r>
        <w:rPr>
          <w:rFonts w:ascii="Calibri" w:hAnsi="Calibri"/>
        </w:rPr>
        <w:t xml:space="preserve"> The study found the colonoscopy miss rate for large adenoma (&gt;= 10mm) was 2.1% </w:t>
      </w:r>
      <w:r>
        <w:rPr>
          <w:rFonts w:ascii="Calibri" w:hAnsi="Calibri"/>
        </w:rPr>
        <w:lastRenderedPageBreak/>
        <w:t xml:space="preserve">(95% confidence interval [CI]: 0.3-7.3%), for small adenoma (5 -10mm) was 13% (95% CI: 8.0-18.0%), and for diminutive adenomas (&lt; 5 mm) was 26% (95% CI: 27-35%). The modelled detection rate of colorectal cancer (any stage) was based on the findings of a 2011 systematic review and meta-analysis conducted by </w:t>
      </w:r>
      <w:proofErr w:type="spellStart"/>
      <w:r>
        <w:rPr>
          <w:rFonts w:ascii="Calibri" w:hAnsi="Calibri"/>
        </w:rPr>
        <w:t>Pickhardt</w:t>
      </w:r>
      <w:proofErr w:type="spellEnd"/>
      <w:r>
        <w:rPr>
          <w:rFonts w:ascii="Calibri" w:hAnsi="Calibri"/>
        </w:rPr>
        <w:t xml:space="preserve"> and colleagues, which reported a sensitivity of 94.7% (95% CI: 90.4-97.2%) for colorectal cancer detection.</w:t>
      </w:r>
      <w:r w:rsidR="006726DF">
        <w:rPr>
          <w:rFonts w:ascii="Calibri" w:hAnsi="Calibri"/>
        </w:rPr>
        <w:fldChar w:fldCharType="begin"/>
      </w:r>
      <w:r w:rsidR="001F6FE0">
        <w:rPr>
          <w:rFonts w:ascii="Calibri" w:hAnsi="Calibri"/>
        </w:rPr>
        <w:instrText xml:space="preserve"> ADDIN EN.CITE &lt;EndNote&gt;&lt;Cite&gt;&lt;Author&gt;Pickhardt&lt;/Author&gt;&lt;Year&gt;2011&lt;/Year&gt;&lt;RecNum&gt;951&lt;/RecNum&gt;&lt;DisplayText&gt;[8]&lt;/DisplayText&gt;&lt;record&gt;&lt;rec-number&gt;951&lt;/rec-number&gt;&lt;foreign-keys&gt;&lt;key app="EN" db-id="x50da5ezff5faue2296x5z26twvpfe5wa90e" timestamp="1432110283"&gt;951&lt;/key&gt;&lt;/foreign-keys&gt;&lt;ref-type name="Journal Article"&gt;17&lt;/ref-type&gt;&lt;contributors&gt;&lt;authors&gt;&lt;author&gt;Pickhardt, P. J.&lt;/author&gt;&lt;author&gt;Hassan, C.&lt;/author&gt;&lt;author&gt;Halligan, S.&lt;/author&gt;&lt;author&gt;Marmo, R.&lt;/author&gt;&lt;/authors&gt;&lt;/contributors&gt;&lt;auth-address&gt;Department of Radiology, University of Wisconsin School of Medicine and Public Health, E3/311 Clinical Science Center, 600 Highland Ave, Madison, WI 53792-3252, USA. ppickhardt2@uwhealth.org&lt;/auth-address&gt;&lt;titles&gt;&lt;title&gt;Colorectal cancer: CT colonography and colonoscopy for detection--systematic review and meta-analysis&lt;/title&gt;&lt;secondary-title&gt;Radiology&lt;/secondary-title&gt;&lt;/titles&gt;&lt;periodical&gt;&lt;full-title&gt;Radiology&lt;/full-title&gt;&lt;/periodical&gt;&lt;pages&gt;393-405&lt;/pages&gt;&lt;volume&gt;259&lt;/volume&gt;&lt;number&gt;2&lt;/number&gt;&lt;edition&gt;2011/03/19&lt;/edition&gt;&lt;keywords&gt;&lt;keyword&gt;Colonic Polyps/ diagnosis/pathology/radiography&lt;/keyword&gt;&lt;keyword&gt;Colonography, Computed Tomographic&lt;/keyword&gt;&lt;keyword&gt;Colonoscopy&lt;/keyword&gt;&lt;keyword&gt;Colorectal Neoplasms/ diagnosis/pathology/radiography&lt;/keyword&gt;&lt;keyword&gt;Humans&lt;/keyword&gt;&lt;keyword&gt;Sensitivity and Specificity&lt;/keyword&gt;&lt;/keywords&gt;&lt;dates&gt;&lt;year&gt;2011&lt;/year&gt;&lt;pub-dates&gt;&lt;date&gt;May&lt;/date&gt;&lt;/pub-dates&gt;&lt;/dates&gt;&lt;isbn&gt;1527-1315 (Electronic)&amp;#xD;0033-8419 (Linking)&lt;/isbn&gt;&lt;accession-num&gt;21415247&lt;/accession-num&gt;&lt;urls&gt;&lt;/urls&gt;&lt;custom2&gt;3079122&lt;/custom2&gt;&lt;electronic-resource-num&gt;10.1148/radiol.11101887&lt;/electronic-resource-num&gt;&lt;remote-database-provider&gt;NLM&lt;/remote-database-provider&gt;&lt;language&gt;eng&lt;/language&gt;&lt;/record&gt;&lt;/Cite&gt;&lt;/EndNote&gt;</w:instrText>
      </w:r>
      <w:r w:rsidR="006726DF">
        <w:rPr>
          <w:rFonts w:ascii="Calibri" w:hAnsi="Calibri"/>
        </w:rPr>
        <w:fldChar w:fldCharType="separate"/>
      </w:r>
      <w:r w:rsidR="001F6FE0">
        <w:rPr>
          <w:rFonts w:ascii="Calibri" w:hAnsi="Calibri"/>
          <w:noProof/>
        </w:rPr>
        <w:t>[8]</w:t>
      </w:r>
      <w:r w:rsidR="006726DF">
        <w:rPr>
          <w:rFonts w:ascii="Calibri" w:hAnsi="Calibri"/>
        </w:rPr>
        <w:fldChar w:fldCharType="end"/>
      </w:r>
      <w:r>
        <w:rPr>
          <w:rFonts w:ascii="Calibri" w:hAnsi="Calibri"/>
        </w:rPr>
        <w:t xml:space="preserve"> The model assumed the end of caecum was reached in all colonoscopy procedures and the test specificity for detecting polyps and colorectal cancer of colonoscopy was 100%. That means individuals who have no polyp or cancer in the bowel would always have a negative colonoscopy outcome in the model. Polypectomy was assumed to be performed on all polyps detected by colonoscopy, except hyperplastic polyps, with 100% success rate. Based on the NBCSP data observed in 2013-2014, 0.27% individuals undergoing colonoscopy in the model were assumed to experience colonoscopy-related-non-fatal adverse events.</w:t>
      </w:r>
      <w:r w:rsidR="006726DF">
        <w:rPr>
          <w:rFonts w:ascii="Calibri" w:hAnsi="Calibri"/>
        </w:rPr>
        <w:fldChar w:fldCharType="begin"/>
      </w:r>
      <w:r w:rsidR="006726DF">
        <w:rPr>
          <w:rFonts w:ascii="Calibri" w:hAnsi="Calibri"/>
        </w:rPr>
        <w:instrText xml:space="preserve"> ADDIN EN.CITE &lt;EndNote&gt;&lt;Cite&gt;&lt;Author&gt;Australian Institute of Health and Welfare&lt;/Author&gt;&lt;Year&gt;2015&lt;/Year&gt;&lt;RecNum&gt;1343&lt;/RecNum&gt;&lt;DisplayText&gt;[5]&lt;/DisplayText&gt;&lt;record&gt;&lt;rec-number&gt;1343&lt;/rec-number&gt;&lt;foreign-keys&gt;&lt;key app="EN" db-id="da5e0t5d9t9vfgeewz95e0eee0faf5pfxx9r" timestamp="1522303121"&gt;1343&lt;/key&gt;&lt;/foreign-keys&gt;&lt;ref-type name="Report"&gt;27&lt;/ref-type&gt;&lt;contributors&gt;&lt;authors&gt;&lt;author&gt;Australian Institute of Health and Welfare,&lt;/author&gt;&lt;/authors&gt;&lt;/contributors&gt;&lt;titles&gt;&lt;title&gt;National Bowel Cancer Screening Program: monitoring report 2013-14&lt;/title&gt;&lt;/titles&gt;&lt;volume&gt;2018&lt;/volume&gt;&lt;number&gt;15/01/2018&lt;/number&gt;&lt;dates&gt;&lt;year&gt;2015&lt;/year&gt;&lt;/dates&gt;&lt;pub-location&gt;Cancer series No. 94. Cat. no. CAN 94.&lt;/pub-location&gt;&lt;urls&gt;&lt;/urls&gt;&lt;/record&gt;&lt;/Cite&gt;&lt;/EndNote&gt;</w:instrText>
      </w:r>
      <w:r w:rsidR="006726DF">
        <w:rPr>
          <w:rFonts w:ascii="Calibri" w:hAnsi="Calibri"/>
        </w:rPr>
        <w:fldChar w:fldCharType="separate"/>
      </w:r>
      <w:r w:rsidR="006726DF">
        <w:rPr>
          <w:rFonts w:ascii="Calibri" w:hAnsi="Calibri"/>
          <w:noProof/>
        </w:rPr>
        <w:t>[5]</w:t>
      </w:r>
      <w:r w:rsidR="006726DF">
        <w:rPr>
          <w:rFonts w:ascii="Calibri" w:hAnsi="Calibri"/>
        </w:rPr>
        <w:fldChar w:fldCharType="end"/>
      </w:r>
    </w:p>
    <w:p w14:paraId="65FF671E" w14:textId="3F396B87" w:rsidR="003F5E9F" w:rsidRDefault="003F5E9F" w:rsidP="003F5E9F">
      <w:pPr>
        <w:pStyle w:val="Caption"/>
        <w:rPr>
          <w:rFonts w:ascii="Calibri" w:hAnsi="Calibri"/>
        </w:rPr>
      </w:pPr>
      <w:bookmarkStart w:id="16" w:name="_Ref462828222"/>
      <w:bookmarkStart w:id="17" w:name="_Ref437601848"/>
      <w:r>
        <w:rPr>
          <w:rFonts w:ascii="Calibri" w:hAnsi="Calibri"/>
        </w:rPr>
        <w:t xml:space="preserve">Table </w:t>
      </w:r>
      <w:bookmarkEnd w:id="16"/>
      <w:bookmarkEnd w:id="17"/>
      <w:r w:rsidR="0064442B">
        <w:rPr>
          <w:rFonts w:ascii="Calibri" w:hAnsi="Calibri"/>
        </w:rPr>
        <w:t>B</w:t>
      </w:r>
      <w:r w:rsidR="0064442B">
        <w:t>5</w:t>
      </w:r>
      <w:r w:rsidR="0064442B">
        <w:rPr>
          <w:rFonts w:ascii="Calibri" w:hAnsi="Calibri"/>
        </w:rPr>
        <w:t xml:space="preserve"> </w:t>
      </w:r>
      <w:r w:rsidR="00BE2E27">
        <w:rPr>
          <w:rFonts w:ascii="Calibri" w:hAnsi="Calibri"/>
        </w:rPr>
        <w:t xml:space="preserve">- </w:t>
      </w:r>
      <w:r>
        <w:rPr>
          <w:rFonts w:ascii="Calibri" w:hAnsi="Calibri"/>
        </w:rPr>
        <w:t>Modelled lesion-specific positive rate of colonoscopy</w:t>
      </w:r>
    </w:p>
    <w:tbl>
      <w:tblPr>
        <w:tblW w:w="0" w:type="auto"/>
        <w:tblInd w:w="108" w:type="dxa"/>
        <w:tblLook w:val="04A0" w:firstRow="1" w:lastRow="0" w:firstColumn="1" w:lastColumn="0" w:noHBand="0" w:noVBand="1"/>
      </w:tblPr>
      <w:tblGrid>
        <w:gridCol w:w="3155"/>
        <w:gridCol w:w="2686"/>
      </w:tblGrid>
      <w:tr w:rsidR="005A530C" w14:paraId="10B75DAB" w14:textId="77777777" w:rsidTr="00DF295F">
        <w:trPr>
          <w:trHeight w:val="509"/>
        </w:trPr>
        <w:tc>
          <w:tcPr>
            <w:tcW w:w="3155" w:type="dxa"/>
            <w:vMerge w:val="restart"/>
            <w:tcBorders>
              <w:top w:val="single" w:sz="4" w:space="0" w:color="auto"/>
              <w:left w:val="single" w:sz="4" w:space="0" w:color="auto"/>
              <w:bottom w:val="single" w:sz="4" w:space="0" w:color="auto"/>
              <w:right w:val="single" w:sz="4" w:space="0" w:color="auto"/>
            </w:tcBorders>
            <w:hideMark/>
          </w:tcPr>
          <w:p w14:paraId="1223CFCE" w14:textId="77777777" w:rsidR="005A530C" w:rsidRDefault="005A530C">
            <w:pPr>
              <w:pStyle w:val="Table"/>
              <w:rPr>
                <w:rFonts w:ascii="Calibri" w:hAnsi="Calibri"/>
              </w:rPr>
            </w:pPr>
            <w:r>
              <w:rPr>
                <w:rFonts w:ascii="Calibri" w:hAnsi="Calibri"/>
              </w:rPr>
              <w:t>Polyp/cancer</w:t>
            </w:r>
          </w:p>
        </w:tc>
        <w:tc>
          <w:tcPr>
            <w:tcW w:w="2686" w:type="dxa"/>
            <w:vMerge w:val="restart"/>
            <w:tcBorders>
              <w:top w:val="single" w:sz="4" w:space="0" w:color="auto"/>
              <w:left w:val="single" w:sz="4" w:space="0" w:color="auto"/>
              <w:right w:val="single" w:sz="4" w:space="0" w:color="auto"/>
            </w:tcBorders>
          </w:tcPr>
          <w:p w14:paraId="6B67CF0E" w14:textId="280A6268" w:rsidR="005A530C" w:rsidRDefault="005A530C">
            <w:pPr>
              <w:pStyle w:val="Table"/>
              <w:jc w:val="center"/>
              <w:rPr>
                <w:rFonts w:ascii="Calibri" w:hAnsi="Calibri"/>
              </w:rPr>
            </w:pPr>
            <w:r>
              <w:rPr>
                <w:rFonts w:ascii="Calibri" w:hAnsi="Calibri"/>
              </w:rPr>
              <w:t>Base case</w:t>
            </w:r>
          </w:p>
        </w:tc>
      </w:tr>
      <w:tr w:rsidR="005A530C" w14:paraId="2D267DDB" w14:textId="77777777" w:rsidTr="00DF295F">
        <w:trPr>
          <w:trHeight w:val="509"/>
        </w:trPr>
        <w:tc>
          <w:tcPr>
            <w:tcW w:w="3155" w:type="dxa"/>
            <w:vMerge/>
            <w:tcBorders>
              <w:top w:val="single" w:sz="4" w:space="0" w:color="auto"/>
              <w:left w:val="single" w:sz="4" w:space="0" w:color="auto"/>
              <w:bottom w:val="single" w:sz="4" w:space="0" w:color="auto"/>
              <w:right w:val="single" w:sz="4" w:space="0" w:color="auto"/>
            </w:tcBorders>
            <w:vAlign w:val="center"/>
            <w:hideMark/>
          </w:tcPr>
          <w:p w14:paraId="659126F0" w14:textId="77777777" w:rsidR="005A530C" w:rsidRDefault="005A530C">
            <w:pPr>
              <w:spacing w:after="0" w:line="240" w:lineRule="auto"/>
              <w:rPr>
                <w:rFonts w:ascii="Calibri" w:eastAsia="Times New Roman" w:hAnsi="Calibri" w:cs="Times New Roman"/>
                <w:color w:val="000000"/>
                <w:lang w:val="en"/>
              </w:rPr>
            </w:pPr>
          </w:p>
        </w:tc>
        <w:tc>
          <w:tcPr>
            <w:tcW w:w="2686" w:type="dxa"/>
            <w:vMerge/>
            <w:tcBorders>
              <w:left w:val="single" w:sz="4" w:space="0" w:color="auto"/>
              <w:bottom w:val="single" w:sz="4" w:space="0" w:color="auto"/>
              <w:right w:val="single" w:sz="4" w:space="0" w:color="auto"/>
            </w:tcBorders>
          </w:tcPr>
          <w:p w14:paraId="13C4657B" w14:textId="77777777" w:rsidR="005A530C" w:rsidRDefault="005A530C">
            <w:pPr>
              <w:pStyle w:val="Table"/>
              <w:jc w:val="center"/>
              <w:rPr>
                <w:rFonts w:ascii="Calibri" w:hAnsi="Calibri"/>
              </w:rPr>
            </w:pPr>
          </w:p>
        </w:tc>
      </w:tr>
      <w:tr w:rsidR="005A530C" w14:paraId="08320B34" w14:textId="77777777" w:rsidTr="00DF295F">
        <w:tc>
          <w:tcPr>
            <w:tcW w:w="3155" w:type="dxa"/>
            <w:tcBorders>
              <w:top w:val="single" w:sz="4" w:space="0" w:color="auto"/>
              <w:left w:val="single" w:sz="4" w:space="0" w:color="auto"/>
              <w:bottom w:val="single" w:sz="4" w:space="0" w:color="auto"/>
              <w:right w:val="single" w:sz="4" w:space="0" w:color="auto"/>
            </w:tcBorders>
            <w:hideMark/>
          </w:tcPr>
          <w:p w14:paraId="38B701F7" w14:textId="77777777" w:rsidR="005A530C" w:rsidRDefault="005A530C" w:rsidP="005A530C">
            <w:pPr>
              <w:pStyle w:val="Table"/>
              <w:rPr>
                <w:rFonts w:ascii="Calibri" w:hAnsi="Calibri"/>
              </w:rPr>
            </w:pPr>
            <w:r>
              <w:rPr>
                <w:rFonts w:ascii="Calibri" w:hAnsi="Calibri"/>
              </w:rPr>
              <w:t>Diminutive adenoma (&lt;5mm)</w:t>
            </w:r>
          </w:p>
        </w:tc>
        <w:tc>
          <w:tcPr>
            <w:tcW w:w="2686" w:type="dxa"/>
            <w:tcBorders>
              <w:top w:val="single" w:sz="4" w:space="0" w:color="auto"/>
              <w:left w:val="single" w:sz="4" w:space="0" w:color="auto"/>
              <w:bottom w:val="single" w:sz="4" w:space="0" w:color="auto"/>
              <w:right w:val="single" w:sz="4" w:space="0" w:color="auto"/>
            </w:tcBorders>
          </w:tcPr>
          <w:p w14:paraId="75D05F6E" w14:textId="134D3528" w:rsidR="005A530C" w:rsidRDefault="005A530C" w:rsidP="005A530C">
            <w:pPr>
              <w:pStyle w:val="Table"/>
              <w:jc w:val="center"/>
              <w:rPr>
                <w:rFonts w:ascii="Calibri" w:hAnsi="Calibri"/>
              </w:rPr>
            </w:pPr>
            <w:r>
              <w:rPr>
                <w:rFonts w:ascii="Calibri" w:hAnsi="Calibri"/>
              </w:rPr>
              <w:t>79.0%</w:t>
            </w:r>
          </w:p>
        </w:tc>
      </w:tr>
      <w:tr w:rsidR="005A530C" w14:paraId="04BDD5D5" w14:textId="77777777" w:rsidTr="00DF295F">
        <w:tc>
          <w:tcPr>
            <w:tcW w:w="3155" w:type="dxa"/>
            <w:tcBorders>
              <w:top w:val="single" w:sz="4" w:space="0" w:color="auto"/>
              <w:left w:val="single" w:sz="4" w:space="0" w:color="auto"/>
              <w:bottom w:val="single" w:sz="4" w:space="0" w:color="auto"/>
              <w:right w:val="single" w:sz="4" w:space="0" w:color="auto"/>
            </w:tcBorders>
            <w:hideMark/>
          </w:tcPr>
          <w:p w14:paraId="02E47474" w14:textId="77777777" w:rsidR="005A530C" w:rsidRDefault="005A530C" w:rsidP="005A530C">
            <w:pPr>
              <w:pStyle w:val="Table"/>
              <w:rPr>
                <w:rFonts w:ascii="Calibri" w:hAnsi="Calibri"/>
                <w:color w:val="000000"/>
              </w:rPr>
            </w:pPr>
            <w:r>
              <w:rPr>
                <w:rFonts w:ascii="Calibri" w:hAnsi="Calibri"/>
              </w:rPr>
              <w:t>Small adenoma (6-9mm)</w:t>
            </w:r>
          </w:p>
        </w:tc>
        <w:tc>
          <w:tcPr>
            <w:tcW w:w="2686" w:type="dxa"/>
            <w:tcBorders>
              <w:top w:val="single" w:sz="4" w:space="0" w:color="auto"/>
              <w:left w:val="single" w:sz="4" w:space="0" w:color="auto"/>
              <w:bottom w:val="single" w:sz="4" w:space="0" w:color="auto"/>
              <w:right w:val="single" w:sz="4" w:space="0" w:color="auto"/>
            </w:tcBorders>
          </w:tcPr>
          <w:p w14:paraId="0CB54298" w14:textId="13FD0D3C" w:rsidR="005A530C" w:rsidRDefault="005A530C" w:rsidP="005A530C">
            <w:pPr>
              <w:pStyle w:val="Table"/>
              <w:jc w:val="center"/>
              <w:rPr>
                <w:rFonts w:ascii="Calibri" w:hAnsi="Calibri"/>
              </w:rPr>
            </w:pPr>
            <w:r>
              <w:rPr>
                <w:rFonts w:ascii="Calibri" w:hAnsi="Calibri"/>
              </w:rPr>
              <w:t>85.0%</w:t>
            </w:r>
          </w:p>
        </w:tc>
      </w:tr>
      <w:tr w:rsidR="005A530C" w14:paraId="0BD236B8" w14:textId="77777777" w:rsidTr="00DF295F">
        <w:tc>
          <w:tcPr>
            <w:tcW w:w="3155" w:type="dxa"/>
            <w:tcBorders>
              <w:top w:val="single" w:sz="4" w:space="0" w:color="auto"/>
              <w:left w:val="single" w:sz="4" w:space="0" w:color="auto"/>
              <w:bottom w:val="single" w:sz="4" w:space="0" w:color="auto"/>
              <w:right w:val="single" w:sz="4" w:space="0" w:color="auto"/>
            </w:tcBorders>
            <w:hideMark/>
          </w:tcPr>
          <w:p w14:paraId="01C0EF99" w14:textId="77777777" w:rsidR="005A530C" w:rsidRDefault="005A530C" w:rsidP="005A530C">
            <w:pPr>
              <w:pStyle w:val="Table"/>
              <w:rPr>
                <w:rFonts w:ascii="Calibri" w:hAnsi="Calibri"/>
                <w:color w:val="000000"/>
              </w:rPr>
            </w:pPr>
            <w:r>
              <w:rPr>
                <w:rFonts w:ascii="Calibri" w:hAnsi="Calibri"/>
              </w:rPr>
              <w:t>Large adenoma (&gt;= 10mm)</w:t>
            </w:r>
          </w:p>
        </w:tc>
        <w:tc>
          <w:tcPr>
            <w:tcW w:w="2686" w:type="dxa"/>
            <w:tcBorders>
              <w:top w:val="single" w:sz="4" w:space="0" w:color="auto"/>
              <w:left w:val="single" w:sz="4" w:space="0" w:color="auto"/>
              <w:bottom w:val="single" w:sz="4" w:space="0" w:color="auto"/>
              <w:right w:val="single" w:sz="4" w:space="0" w:color="auto"/>
            </w:tcBorders>
          </w:tcPr>
          <w:p w14:paraId="47062D41" w14:textId="6DF17822" w:rsidR="005A530C" w:rsidRDefault="005A530C" w:rsidP="005A530C">
            <w:pPr>
              <w:pStyle w:val="Table"/>
              <w:jc w:val="center"/>
              <w:rPr>
                <w:rFonts w:ascii="Calibri" w:hAnsi="Calibri"/>
              </w:rPr>
            </w:pPr>
            <w:r>
              <w:rPr>
                <w:rFonts w:ascii="Calibri" w:hAnsi="Calibri"/>
              </w:rPr>
              <w:t>92.0%</w:t>
            </w:r>
          </w:p>
        </w:tc>
      </w:tr>
      <w:tr w:rsidR="005A530C" w14:paraId="35C10E0E" w14:textId="77777777" w:rsidTr="00DF295F">
        <w:tc>
          <w:tcPr>
            <w:tcW w:w="3155" w:type="dxa"/>
            <w:tcBorders>
              <w:top w:val="single" w:sz="4" w:space="0" w:color="auto"/>
              <w:left w:val="single" w:sz="4" w:space="0" w:color="auto"/>
              <w:bottom w:val="single" w:sz="4" w:space="0" w:color="auto"/>
              <w:right w:val="single" w:sz="4" w:space="0" w:color="auto"/>
            </w:tcBorders>
            <w:hideMark/>
          </w:tcPr>
          <w:p w14:paraId="1A89EC7E" w14:textId="77777777" w:rsidR="005A530C" w:rsidRDefault="005A530C" w:rsidP="005A530C">
            <w:pPr>
              <w:pStyle w:val="Table"/>
              <w:rPr>
                <w:rFonts w:ascii="Calibri" w:hAnsi="Calibri"/>
                <w:color w:val="000000"/>
              </w:rPr>
            </w:pPr>
            <w:r>
              <w:rPr>
                <w:rFonts w:ascii="Calibri" w:hAnsi="Calibri"/>
              </w:rPr>
              <w:t>Sessile serrated polyp (any size)</w:t>
            </w:r>
          </w:p>
        </w:tc>
        <w:tc>
          <w:tcPr>
            <w:tcW w:w="2686" w:type="dxa"/>
            <w:tcBorders>
              <w:top w:val="single" w:sz="4" w:space="0" w:color="auto"/>
              <w:left w:val="single" w:sz="4" w:space="0" w:color="auto"/>
              <w:bottom w:val="single" w:sz="4" w:space="0" w:color="auto"/>
              <w:right w:val="single" w:sz="4" w:space="0" w:color="auto"/>
            </w:tcBorders>
          </w:tcPr>
          <w:p w14:paraId="358FA421" w14:textId="639A992D" w:rsidR="005A530C" w:rsidRDefault="005A530C" w:rsidP="005A530C">
            <w:pPr>
              <w:pStyle w:val="Table"/>
              <w:jc w:val="center"/>
              <w:rPr>
                <w:rFonts w:ascii="Calibri" w:hAnsi="Calibri"/>
              </w:rPr>
            </w:pPr>
            <w:r>
              <w:rPr>
                <w:rFonts w:ascii="Calibri" w:hAnsi="Calibri"/>
              </w:rPr>
              <w:t>78.0%</w:t>
            </w:r>
          </w:p>
        </w:tc>
      </w:tr>
      <w:tr w:rsidR="005A530C" w14:paraId="74C8FA6C" w14:textId="77777777" w:rsidTr="00DF295F">
        <w:tc>
          <w:tcPr>
            <w:tcW w:w="3155" w:type="dxa"/>
            <w:tcBorders>
              <w:top w:val="single" w:sz="4" w:space="0" w:color="auto"/>
              <w:left w:val="single" w:sz="4" w:space="0" w:color="auto"/>
              <w:bottom w:val="single" w:sz="4" w:space="0" w:color="auto"/>
              <w:right w:val="single" w:sz="4" w:space="0" w:color="auto"/>
            </w:tcBorders>
            <w:hideMark/>
          </w:tcPr>
          <w:p w14:paraId="4A44F7EA" w14:textId="003B35A6" w:rsidR="005A530C" w:rsidRDefault="005A530C" w:rsidP="005A530C">
            <w:pPr>
              <w:pStyle w:val="Table"/>
              <w:rPr>
                <w:rFonts w:ascii="Calibri" w:hAnsi="Calibri"/>
                <w:color w:val="000000"/>
              </w:rPr>
            </w:pPr>
            <w:r>
              <w:rPr>
                <w:rFonts w:ascii="Calibri" w:hAnsi="Calibri"/>
              </w:rPr>
              <w:t>Hyperplastic polyp (&lt;10 mm)</w:t>
            </w:r>
          </w:p>
        </w:tc>
        <w:tc>
          <w:tcPr>
            <w:tcW w:w="2686" w:type="dxa"/>
            <w:tcBorders>
              <w:top w:val="single" w:sz="4" w:space="0" w:color="auto"/>
              <w:left w:val="single" w:sz="4" w:space="0" w:color="auto"/>
              <w:bottom w:val="single" w:sz="4" w:space="0" w:color="auto"/>
              <w:right w:val="single" w:sz="4" w:space="0" w:color="auto"/>
            </w:tcBorders>
          </w:tcPr>
          <w:p w14:paraId="08BB4F8C" w14:textId="3CF331AF" w:rsidR="005A530C" w:rsidRDefault="005A530C" w:rsidP="005A530C">
            <w:pPr>
              <w:pStyle w:val="Table"/>
              <w:jc w:val="center"/>
              <w:rPr>
                <w:rFonts w:ascii="Calibri" w:hAnsi="Calibri"/>
              </w:rPr>
            </w:pPr>
            <w:r>
              <w:rPr>
                <w:rFonts w:ascii="Calibri" w:hAnsi="Calibri"/>
              </w:rPr>
              <w:t>78.0%</w:t>
            </w:r>
          </w:p>
        </w:tc>
      </w:tr>
      <w:tr w:rsidR="005A530C" w14:paraId="7F7568AE" w14:textId="77777777" w:rsidTr="00DF295F">
        <w:tc>
          <w:tcPr>
            <w:tcW w:w="3155" w:type="dxa"/>
            <w:tcBorders>
              <w:top w:val="single" w:sz="4" w:space="0" w:color="auto"/>
              <w:left w:val="single" w:sz="4" w:space="0" w:color="auto"/>
              <w:bottom w:val="single" w:sz="4" w:space="0" w:color="auto"/>
              <w:right w:val="single" w:sz="4" w:space="0" w:color="auto"/>
            </w:tcBorders>
            <w:hideMark/>
          </w:tcPr>
          <w:p w14:paraId="5D3BF0A7" w14:textId="7A85D214" w:rsidR="005A530C" w:rsidRDefault="005A530C" w:rsidP="005A530C">
            <w:pPr>
              <w:pStyle w:val="Table"/>
              <w:rPr>
                <w:rFonts w:ascii="Calibri" w:hAnsi="Calibri"/>
                <w:color w:val="000000"/>
              </w:rPr>
            </w:pPr>
            <w:r>
              <w:rPr>
                <w:rFonts w:ascii="Calibri" w:hAnsi="Calibri"/>
              </w:rPr>
              <w:t>Hyperplastic polyp (&gt;=10 mm)</w:t>
            </w:r>
          </w:p>
        </w:tc>
        <w:tc>
          <w:tcPr>
            <w:tcW w:w="2686" w:type="dxa"/>
            <w:tcBorders>
              <w:top w:val="single" w:sz="4" w:space="0" w:color="auto"/>
              <w:left w:val="single" w:sz="4" w:space="0" w:color="auto"/>
              <w:bottom w:val="single" w:sz="4" w:space="0" w:color="auto"/>
              <w:right w:val="single" w:sz="4" w:space="0" w:color="auto"/>
            </w:tcBorders>
          </w:tcPr>
          <w:p w14:paraId="0C5FC87A" w14:textId="58C5D459" w:rsidR="005A530C" w:rsidRDefault="005A530C" w:rsidP="005A530C">
            <w:pPr>
              <w:pStyle w:val="Table"/>
              <w:jc w:val="center"/>
              <w:rPr>
                <w:rFonts w:ascii="Calibri" w:hAnsi="Calibri"/>
              </w:rPr>
            </w:pPr>
            <w:r>
              <w:rPr>
                <w:rFonts w:ascii="Calibri" w:hAnsi="Calibri"/>
              </w:rPr>
              <w:t>92.0%</w:t>
            </w:r>
          </w:p>
        </w:tc>
      </w:tr>
      <w:tr w:rsidR="005A530C" w14:paraId="246BD3F3" w14:textId="77777777" w:rsidTr="00DF295F">
        <w:tc>
          <w:tcPr>
            <w:tcW w:w="3155" w:type="dxa"/>
            <w:tcBorders>
              <w:top w:val="single" w:sz="4" w:space="0" w:color="auto"/>
              <w:left w:val="single" w:sz="4" w:space="0" w:color="auto"/>
              <w:bottom w:val="single" w:sz="4" w:space="0" w:color="auto"/>
              <w:right w:val="single" w:sz="4" w:space="0" w:color="auto"/>
            </w:tcBorders>
            <w:hideMark/>
          </w:tcPr>
          <w:p w14:paraId="563DD604" w14:textId="77777777" w:rsidR="005A530C" w:rsidRDefault="005A530C" w:rsidP="005A530C">
            <w:pPr>
              <w:pStyle w:val="Table"/>
              <w:rPr>
                <w:rFonts w:ascii="Calibri" w:hAnsi="Calibri"/>
                <w:color w:val="000000"/>
              </w:rPr>
            </w:pPr>
            <w:r>
              <w:rPr>
                <w:rFonts w:ascii="Calibri" w:hAnsi="Calibri"/>
              </w:rPr>
              <w:t>Colorectal cancer (any stage)</w:t>
            </w:r>
          </w:p>
        </w:tc>
        <w:tc>
          <w:tcPr>
            <w:tcW w:w="2686" w:type="dxa"/>
            <w:tcBorders>
              <w:top w:val="single" w:sz="4" w:space="0" w:color="auto"/>
              <w:left w:val="single" w:sz="4" w:space="0" w:color="auto"/>
              <w:bottom w:val="single" w:sz="4" w:space="0" w:color="auto"/>
              <w:right w:val="single" w:sz="4" w:space="0" w:color="auto"/>
            </w:tcBorders>
          </w:tcPr>
          <w:p w14:paraId="35623115" w14:textId="38704900" w:rsidR="005A530C" w:rsidRDefault="005A530C" w:rsidP="005A530C">
            <w:pPr>
              <w:pStyle w:val="Table"/>
              <w:jc w:val="center"/>
              <w:rPr>
                <w:rFonts w:ascii="Calibri" w:hAnsi="Calibri"/>
              </w:rPr>
            </w:pPr>
            <w:r>
              <w:rPr>
                <w:rFonts w:ascii="Calibri" w:hAnsi="Calibri"/>
              </w:rPr>
              <w:t>95.0%</w:t>
            </w:r>
          </w:p>
        </w:tc>
      </w:tr>
    </w:tbl>
    <w:p w14:paraId="57AED41D" w14:textId="77777777" w:rsidR="003F5E9F" w:rsidRDefault="003F5E9F" w:rsidP="003F5E9F">
      <w:pPr>
        <w:rPr>
          <w:rFonts w:ascii="Calibri" w:hAnsi="Calibri"/>
        </w:rPr>
      </w:pPr>
    </w:p>
    <w:p w14:paraId="32F260A2" w14:textId="4477522C" w:rsidR="003F5E9F" w:rsidRDefault="003F5E9F" w:rsidP="003F5E9F">
      <w:pPr>
        <w:rPr>
          <w:rFonts w:ascii="Calibri" w:hAnsi="Calibri"/>
        </w:rPr>
      </w:pPr>
      <w:r>
        <w:rPr>
          <w:rFonts w:ascii="Calibri" w:hAnsi="Calibri"/>
        </w:rPr>
        <w:t xml:space="preserve">Taking both the test characteristics of iFOBT and colonoscopy into account, the modelled colonoscopy outcomes among individuals with positive </w:t>
      </w:r>
      <w:proofErr w:type="spellStart"/>
      <w:r>
        <w:rPr>
          <w:rFonts w:ascii="Calibri" w:hAnsi="Calibri"/>
        </w:rPr>
        <w:t>iFOBTs</w:t>
      </w:r>
      <w:proofErr w:type="spellEnd"/>
      <w:r>
        <w:rPr>
          <w:rFonts w:ascii="Calibri" w:hAnsi="Calibri"/>
        </w:rPr>
        <w:t xml:space="preserve"> were validated to data observed in the NBCSP in the period between 2006 and 2014.</w:t>
      </w:r>
      <w:r w:rsidR="002C10CE">
        <w:rPr>
          <w:rFonts w:ascii="Calibri" w:hAnsi="Calibri"/>
        </w:rPr>
        <w:fldChar w:fldCharType="begin">
          <w:fldData xml:space="preserve">PEVuZE5vdGU+PENpdGU+PEF1dGhvcj5BdXN0cmFsaWFuIEluc3RpdHV0ZSBvZiBIZWFsdGggYW5k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</w:fldData>
        </w:fldChar>
      </w:r>
      <w:r w:rsidR="001F6FE0">
        <w:rPr>
          <w:rFonts w:ascii="Calibri" w:hAnsi="Calibri"/>
        </w:rPr>
        <w:instrText xml:space="preserve"> ADDIN EN.CITE </w:instrText>
      </w:r>
      <w:r w:rsidR="001F6FE0">
        <w:rPr>
          <w:rFonts w:ascii="Calibri" w:hAnsi="Calibri"/>
        </w:rPr>
        <w:fldChar w:fldCharType="begin">
          <w:fldData xml:space="preserve">PEVuZE5vdGU+PENpdGU+PEF1dGhvcj5BdXN0cmFsaWFuIEluc3RpdHV0ZSBvZiBIZWFsdGggYW5k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</w:fldData>
        </w:fldChar>
      </w:r>
      <w:r w:rsidR="001F6FE0">
        <w:rPr>
          <w:rFonts w:ascii="Calibri" w:hAnsi="Calibri"/>
        </w:rPr>
        <w:instrText xml:space="preserve"> ADDIN EN.CITE.DATA </w:instrText>
      </w:r>
      <w:r w:rsidR="001F6FE0">
        <w:rPr>
          <w:rFonts w:ascii="Calibri" w:hAnsi="Calibri"/>
        </w:rPr>
      </w:r>
      <w:r w:rsidR="001F6FE0">
        <w:rPr>
          <w:rFonts w:ascii="Calibri" w:hAnsi="Calibri"/>
        </w:rPr>
        <w:fldChar w:fldCharType="end"/>
      </w:r>
      <w:r w:rsidR="002C10CE">
        <w:rPr>
          <w:rFonts w:ascii="Calibri" w:hAnsi="Calibri"/>
        </w:rPr>
      </w:r>
      <w:r w:rsidR="002C10CE">
        <w:rPr>
          <w:rFonts w:ascii="Calibri" w:hAnsi="Calibri"/>
        </w:rPr>
        <w:fldChar w:fldCharType="separate"/>
      </w:r>
      <w:r w:rsidR="001F6FE0">
        <w:rPr>
          <w:rFonts w:ascii="Calibri" w:hAnsi="Calibri"/>
          <w:noProof/>
        </w:rPr>
        <w:t>[5, 9-13]</w:t>
      </w:r>
      <w:r w:rsidR="002C10CE">
        <w:rPr>
          <w:rFonts w:ascii="Calibri" w:hAnsi="Calibri"/>
        </w:rPr>
        <w:fldChar w:fldCharType="end"/>
      </w:r>
      <w:r w:rsidR="002C10CE">
        <w:rPr>
          <w:rFonts w:ascii="Calibri" w:hAnsi="Calibri"/>
        </w:rPr>
        <w:t xml:space="preserve"> </w:t>
      </w:r>
      <w:r>
        <w:rPr>
          <w:rFonts w:ascii="Calibri" w:hAnsi="Calibri"/>
        </w:rPr>
        <w:t>The model validation outcomes were reported elsewhere.</w:t>
      </w:r>
      <w:r w:rsidR="002C10CE">
        <w:rPr>
          <w:rFonts w:ascii="Calibri" w:hAnsi="Calibri"/>
        </w:rPr>
        <w:fldChar w:fldCharType="begin"/>
      </w:r>
      <w:r w:rsidR="003E59DC">
        <w:rPr>
          <w:rFonts w:ascii="Calibri" w:hAnsi="Calibri"/>
        </w:rPr>
        <w:instrText xml:space="preserve"> ADDIN EN.CITE &lt;EndNote&gt;&lt;Cite&gt;&lt;Author&gt;Lew&lt;/Author&gt;&lt;Year&gt;2017&lt;/Year&gt;&lt;RecNum&gt;1089&lt;/RecNum&gt;&lt;DisplayText&gt;[2]&lt;/DisplayText&gt;&lt;record&gt;&lt;rec-number&gt;1089&lt;/rec-number&gt;&lt;foreign-keys&gt;&lt;key app="EN" db-id="x50da5ezff5faue2296x5z26twvpfe5wa90e" timestamp="1561088186"&gt;1089&lt;/key&gt;&lt;/foreign-keys&gt;&lt;ref-type name="Journal Article"&gt;17&lt;/ref-type&gt;&lt;contributors&gt;&lt;authors&gt;&lt;author&gt;Lew, Jie Bin&lt;/author&gt;&lt;author&gt;St John, D. James&lt;/author&gt;&lt;author&gt;Xu, Xiang Ming&lt;/author&gt;&lt;author&gt;Greuter, Marjolein J. E.&lt;/author&gt;&lt;author&gt;Caruana, Michael&lt;/author&gt;&lt;author&gt;Cenin, Dayna R.&lt;/author&gt;&lt;author&gt;He, Emily&lt;/author&gt;&lt;author&gt;Saville, Marion&lt;/author&gt;&lt;author&gt;Grogan, Paul&lt;/author&gt;&lt;author&gt;Coup+©, Veerle M. H.&lt;/author&gt;&lt;author&gt;Canfell, Karen&lt;/author&gt;&lt;/authors&gt;&lt;/contributors&gt;&lt;titles&gt;&lt;title&gt;Long-term evaluation of benefits, harms, and cost-effectiveness of the National Bowel Cancer Screening Program in Australia: a modelling study&lt;/title&gt;&lt;secondary-title&gt;Lancet Public Health&lt;/secondary-title&gt;&lt;/titles&gt;&lt;periodical&gt;&lt;full-title&gt;Lancet Public Health&lt;/full-title&gt;&lt;abbr-1&gt;The Lancet. Public health&lt;/abbr-1&gt;&lt;/periodical&gt;&lt;pages&gt;e331-e340&lt;/pages&gt;&lt;volume&gt;2&lt;/volume&gt;&lt;reprint-edition&gt;NOT IN FILE&lt;/reprint-edition&gt;&lt;keywords&gt;&lt;keyword&gt;analysis&lt;/keyword&gt;&lt;keyword&gt;Australia&lt;/keyword&gt;&lt;keyword&gt;blood&lt;/keyword&gt;&lt;keyword&gt;bowel cancer&lt;/keyword&gt;&lt;keyword&gt;Cancer&lt;/keyword&gt;&lt;keyword&gt;Cancer screening&lt;/keyword&gt;&lt;keyword&gt;Colonoscopy&lt;/keyword&gt;&lt;keyword&gt;control&lt;/keyword&gt;&lt;keyword&gt;cost effectiveness&lt;/keyword&gt;&lt;keyword&gt;diagnosis&lt;/keyword&gt;&lt;keyword&gt;Health&lt;/keyword&gt;&lt;keyword&gt;history&lt;/keyword&gt;&lt;keyword&gt;methods&lt;/keyword&gt;&lt;keyword&gt;NSW&lt;/keyword&gt;&lt;keyword&gt;Occult Blood&lt;/keyword&gt;&lt;keyword&gt;Population&lt;/keyword&gt;&lt;keyword&gt;screening&lt;/keyword&gt;&lt;keyword&gt;use&lt;/keyword&gt;&lt;/keywords&gt;&lt;dates&gt;&lt;year&gt;2017&lt;/year&gt;&lt;/dates&gt;&lt;publisher&gt;Elsevier&lt;/publisher&gt;&lt;isbn&gt;2468-2667&lt;/isbn&gt;&lt;urls&gt;&lt;related-urls&gt;&lt;url&gt;http://dx.doi.org/10.1016/S2468-2667(17)30105-6&lt;/url&gt;&lt;/related-urls&gt;&lt;/urls&gt;&lt;electronic-resource-num&gt;10.1016/S2468-2667(17)30105-6&lt;/electronic-resource-num&gt;&lt;/record&gt;&lt;/Cite&gt;&lt;/EndNote&gt;</w:instrText>
      </w:r>
      <w:r w:rsidR="002C10CE">
        <w:rPr>
          <w:rFonts w:ascii="Calibri" w:hAnsi="Calibri"/>
        </w:rPr>
        <w:fldChar w:fldCharType="separate"/>
      </w:r>
      <w:r w:rsidR="001F6FE0">
        <w:rPr>
          <w:rFonts w:ascii="Calibri" w:hAnsi="Calibri"/>
          <w:noProof/>
        </w:rPr>
        <w:t>[2]</w:t>
      </w:r>
      <w:r w:rsidR="002C10CE">
        <w:rPr>
          <w:rFonts w:ascii="Calibri" w:hAnsi="Calibri"/>
        </w:rPr>
        <w:fldChar w:fldCharType="end"/>
      </w:r>
      <w:r>
        <w:rPr>
          <w:rFonts w:ascii="Calibri" w:hAnsi="Calibri"/>
        </w:rPr>
        <w:t xml:space="preserve"> Two alternative colonoscopy test characteristics assuming colonoscopy detection rates increased/decreased by 10% were assessed in sensitivity analysis.</w:t>
      </w:r>
    </w:p>
    <w:p w14:paraId="17286F1C" w14:textId="77777777" w:rsidR="00DB2230" w:rsidRPr="00A73C7A" w:rsidRDefault="00DB2230" w:rsidP="00DB2230">
      <w:pPr>
        <w:pStyle w:val="Heading1"/>
      </w:pPr>
      <w:r>
        <w:lastRenderedPageBreak/>
        <w:t>Appendix C – Supplementary analysis on the addition of screening colonoscopies to the NBCSP</w:t>
      </w:r>
    </w:p>
    <w:p w14:paraId="053B489C" w14:textId="1D05CE59" w:rsidR="00DB2230" w:rsidRPr="00A73C7A" w:rsidRDefault="00DB2230" w:rsidP="00DB2230">
      <w:pPr>
        <w:rPr>
          <w:rFonts w:ascii="Calibri" w:hAnsi="Calibri"/>
        </w:rPr>
      </w:pPr>
      <w:r w:rsidRPr="00A73C7A">
        <w:rPr>
          <w:rFonts w:ascii="Calibri" w:hAnsi="Calibri"/>
        </w:rPr>
        <w:t>An extreme scenario designed to evaluate the potential maximum number of CRC deaths which could be prevented via population-level screening was modelled</w:t>
      </w:r>
      <w:r>
        <w:rPr>
          <w:rFonts w:ascii="Calibri" w:hAnsi="Calibri"/>
        </w:rPr>
        <w:t xml:space="preserve">. This scenario </w:t>
      </w:r>
      <w:r w:rsidRPr="00A73C7A">
        <w:rPr>
          <w:rFonts w:ascii="Calibri" w:hAnsi="Calibri"/>
        </w:rPr>
        <w:t>assumed supplementary screening colonoscopies were offered to</w:t>
      </w:r>
      <w:r>
        <w:rPr>
          <w:rFonts w:ascii="Calibri" w:hAnsi="Calibri"/>
        </w:rPr>
        <w:t xml:space="preserve"> people aged</w:t>
      </w:r>
      <w:r w:rsidRPr="00A73C7A">
        <w:rPr>
          <w:rFonts w:ascii="Calibri" w:hAnsi="Calibri"/>
        </w:rPr>
        <w:t xml:space="preserve"> 40 and 60 years in parallel to the current NBCSP. Colonoscopy is considered a gold-standard in bowel screening efficacy, with a recent study estimating that once-off colonoscopy screening alongside iFOBT screening could reduce CRC mortality by 78%, although it would not be cost-effective.</w:t>
      </w:r>
      <w:r w:rsidR="003E59DC">
        <w:rPr>
          <w:rFonts w:ascii="Calibri" w:hAnsi="Calibri"/>
        </w:rPr>
        <w:fldChar w:fldCharType="begin">
          <w:fldData xml:space="preserve">PEVuZE5vdGU+PENpdGU+PEF1dGhvcj5MZXc8L0F1dGhvcj48WWVhcj4yMDE4PC9ZZWFyPjxSZWNO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</w:fldData>
        </w:fldChar>
      </w:r>
      <w:r w:rsidR="003E59DC">
        <w:rPr>
          <w:rFonts w:ascii="Calibri" w:hAnsi="Calibri"/>
        </w:rPr>
        <w:instrText xml:space="preserve"> ADDIN EN.CITE </w:instrText>
      </w:r>
      <w:r w:rsidR="003E59DC">
        <w:rPr>
          <w:rFonts w:ascii="Calibri" w:hAnsi="Calibri"/>
        </w:rPr>
        <w:fldChar w:fldCharType="begin">
          <w:fldData xml:space="preserve">PEVuZE5vdGU+PENpdGU+PEF1dGhvcj5MZXc8L0F1dGhvcj48WWVhcj4yMDE4PC9ZZWFyPjxSZWNO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</w:fldData>
        </w:fldChar>
      </w:r>
      <w:r w:rsidR="003E59DC">
        <w:rPr>
          <w:rFonts w:ascii="Calibri" w:hAnsi="Calibri"/>
        </w:rPr>
        <w:instrText xml:space="preserve"> ADDIN EN.CITE.DATA </w:instrText>
      </w:r>
      <w:r w:rsidR="003E59DC">
        <w:rPr>
          <w:rFonts w:ascii="Calibri" w:hAnsi="Calibri"/>
        </w:rPr>
      </w:r>
      <w:r w:rsidR="003E59DC">
        <w:rPr>
          <w:rFonts w:ascii="Calibri" w:hAnsi="Calibri"/>
        </w:rPr>
        <w:fldChar w:fldCharType="end"/>
      </w:r>
      <w:r w:rsidR="003E59DC">
        <w:rPr>
          <w:rFonts w:ascii="Calibri" w:hAnsi="Calibri"/>
        </w:rPr>
      </w:r>
      <w:r w:rsidR="003E59DC">
        <w:rPr>
          <w:rFonts w:ascii="Calibri" w:hAnsi="Calibri"/>
        </w:rPr>
        <w:fldChar w:fldCharType="separate"/>
      </w:r>
      <w:r w:rsidR="003E59DC">
        <w:rPr>
          <w:rFonts w:ascii="Calibri" w:hAnsi="Calibri"/>
          <w:noProof/>
        </w:rPr>
        <w:t>[14]</w:t>
      </w:r>
      <w:r w:rsidR="003E59DC">
        <w:rPr>
          <w:rFonts w:ascii="Calibri" w:hAnsi="Calibri"/>
        </w:rPr>
        <w:fldChar w:fldCharType="end"/>
      </w:r>
      <w:r w:rsidRPr="00A73C7A">
        <w:rPr>
          <w:rFonts w:ascii="Calibri" w:hAnsi="Calibri"/>
        </w:rPr>
        <w:t xml:space="preserve"> </w:t>
      </w:r>
    </w:p>
    <w:p w14:paraId="4E5D4E6E" w14:textId="77777777" w:rsidR="00DB2230" w:rsidRPr="00A73C7A" w:rsidRDefault="00DB2230" w:rsidP="00DB2230">
      <w:pPr>
        <w:rPr>
          <w:rFonts w:ascii="Calibri" w:hAnsi="Calibri"/>
        </w:rPr>
      </w:pPr>
      <w:r>
        <w:rPr>
          <w:rFonts w:ascii="Calibri" w:hAnsi="Calibri"/>
        </w:rPr>
        <w:t>For the supplementary analysis iFOBT screening was assumed to have a 90% participation rate from 2020, and colonoscopy follow-up rates were modelled at 90%, as in Scenario 3 of the main analysis. Compliance to the screening colonoscopies was modelled at 90%.</w:t>
      </w:r>
    </w:p>
    <w:p w14:paraId="6C96AFEB" w14:textId="77777777" w:rsidR="00DB2230" w:rsidRPr="00D81007" w:rsidRDefault="00DB2230" w:rsidP="00DB2230">
      <w:pPr>
        <w:rPr>
          <w:rFonts w:ascii="Calibri" w:hAnsi="Calibri"/>
        </w:rPr>
      </w:pPr>
      <w:r>
        <w:rPr>
          <w:rFonts w:ascii="Calibri" w:hAnsi="Calibri"/>
        </w:rPr>
        <w:t>This scenario</w:t>
      </w:r>
      <w:r w:rsidRPr="00D81007">
        <w:rPr>
          <w:rFonts w:ascii="Calibri" w:hAnsi="Calibri"/>
        </w:rPr>
        <w:t xml:space="preserve"> was estimated to reduce CRC incidence and mortality ASRs to 21.2 and 4.1 per 100,000 respectively by 2040</w:t>
      </w:r>
      <w:r>
        <w:rPr>
          <w:rFonts w:ascii="Calibri" w:hAnsi="Calibri"/>
        </w:rPr>
        <w:t xml:space="preserve">. The addition of colonoscopies </w:t>
      </w:r>
      <w:r w:rsidRPr="00D81007">
        <w:rPr>
          <w:rFonts w:ascii="Calibri" w:hAnsi="Calibri"/>
        </w:rPr>
        <w:t>would be associated with a significant increase in the overall cost (40.1% increase vs no screening annually) and number of colonoscopies (615% increase over the period of 2020-2040) versus</w:t>
      </w:r>
      <w:r>
        <w:rPr>
          <w:rFonts w:ascii="Calibri" w:hAnsi="Calibri"/>
        </w:rPr>
        <w:t xml:space="preserve"> the comparator, the NBCSP with currently observed participation rates</w:t>
      </w:r>
      <w:r w:rsidRPr="00D81007">
        <w:rPr>
          <w:rFonts w:ascii="Calibri" w:hAnsi="Calibri"/>
        </w:rPr>
        <w:t>. It would also be associated with a very high NNC of 348.5 per CRC death prevented (about 3.5 times higher than Scenarios 1-3).</w:t>
      </w:r>
      <w:r>
        <w:rPr>
          <w:rFonts w:ascii="Calibri" w:hAnsi="Calibri"/>
        </w:rPr>
        <w:t xml:space="preserve"> This scenario was not found to be cost-effective. The full results are shown in Table C3. Note that t</w:t>
      </w:r>
      <w:r w:rsidRPr="00D81007">
        <w:rPr>
          <w:rFonts w:ascii="Calibri" w:hAnsi="Calibri"/>
        </w:rPr>
        <w:t>he MTI was not calculated for Scenario 4 because it was not cost-effective.</w:t>
      </w:r>
    </w:p>
    <w:p w14:paraId="6BE7C207" w14:textId="53A444D4" w:rsidR="00DB2230" w:rsidRDefault="00DB2230" w:rsidP="00DB2230">
      <w:r w:rsidRPr="00A73C7A">
        <w:rPr>
          <w:b/>
        </w:rPr>
        <w:t xml:space="preserve">Table </w:t>
      </w:r>
      <w:r>
        <w:rPr>
          <w:b/>
        </w:rPr>
        <w:t>C</w:t>
      </w:r>
      <w:r w:rsidRPr="00A73C7A">
        <w:rPr>
          <w:b/>
        </w:rPr>
        <w:t>3</w:t>
      </w:r>
      <w:r>
        <w:t xml:space="preserve"> </w:t>
      </w:r>
      <w:r w:rsidRPr="00A73C7A">
        <w:t>– Outcomes</w:t>
      </w:r>
      <w:r>
        <w:t xml:space="preserve"> for supplementary analysis: screening colonoscopies at age 40 and 60 alongside NBCSP iFOBT screening. iFOBT screening participation, colonoscopy follow-up rates, and </w:t>
      </w:r>
      <w:r>
        <w:lastRenderedPageBreak/>
        <w:t>participation in screening colonoscopies were all assumed to be 90%.</w:t>
      </w:r>
      <w:r w:rsidR="006B1B9F">
        <w:t xml:space="preserve"> All costs throughout are in AUD.</w:t>
      </w:r>
    </w:p>
    <w:tbl>
      <w:tblPr>
        <w:tblStyle w:val="TableGrid"/>
        <w:tblW w:w="7366" w:type="dxa"/>
        <w:tblLook w:val="04A0" w:firstRow="1" w:lastRow="0" w:firstColumn="1" w:lastColumn="0" w:noHBand="0" w:noVBand="1"/>
      </w:tblPr>
      <w:tblGrid>
        <w:gridCol w:w="2689"/>
        <w:gridCol w:w="2551"/>
        <w:gridCol w:w="2126"/>
      </w:tblGrid>
      <w:tr w:rsidR="00DB2230" w14:paraId="5CE4A7BC" w14:textId="77777777" w:rsidTr="009A0BC7">
        <w:trPr>
          <w:trHeight w:hRule="exact" w:val="283"/>
        </w:trPr>
        <w:tc>
          <w:tcPr>
            <w:tcW w:w="2689" w:type="dxa"/>
            <w:vMerge w:val="restart"/>
            <w:shd w:val="clear" w:color="auto" w:fill="D9D9D9" w:themeFill="background1" w:themeFillShade="D9"/>
          </w:tcPr>
          <w:p w14:paraId="350B89E5"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Colorectal Cancer Cases</w:t>
            </w:r>
          </w:p>
        </w:tc>
        <w:tc>
          <w:tcPr>
            <w:tcW w:w="2551" w:type="dxa"/>
            <w:shd w:val="clear" w:color="auto" w:fill="D9D9D9" w:themeFill="background1" w:themeFillShade="D9"/>
          </w:tcPr>
          <w:p w14:paraId="16B5D9B4" w14:textId="77777777" w:rsidR="00DB2230" w:rsidRPr="00A73C7A" w:rsidRDefault="00DB2230" w:rsidP="009A0BC7">
            <w:pPr>
              <w:keepNext/>
              <w:keepLines/>
              <w:pBdr>
                <w:top w:val="nil"/>
                <w:left w:val="nil"/>
                <w:bottom w:val="nil"/>
                <w:right w:val="nil"/>
                <w:between w:val="nil"/>
                <w:bar w:val="nil"/>
              </w:pBdr>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Total 2020-2040</w:t>
            </w:r>
          </w:p>
        </w:tc>
        <w:tc>
          <w:tcPr>
            <w:tcW w:w="2126" w:type="dxa"/>
          </w:tcPr>
          <w:p w14:paraId="596D9B1E"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294,800</w:t>
            </w:r>
          </w:p>
        </w:tc>
      </w:tr>
      <w:tr w:rsidR="00DB2230" w14:paraId="049E4B01" w14:textId="77777777" w:rsidTr="009A0BC7">
        <w:trPr>
          <w:trHeight w:hRule="exact" w:val="283"/>
        </w:trPr>
        <w:tc>
          <w:tcPr>
            <w:tcW w:w="2689" w:type="dxa"/>
            <w:vMerge/>
            <w:shd w:val="clear" w:color="auto" w:fill="D9D9D9" w:themeFill="background1" w:themeFillShade="D9"/>
          </w:tcPr>
          <w:p w14:paraId="4B03CF55"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p>
        </w:tc>
        <w:tc>
          <w:tcPr>
            <w:tcW w:w="2551" w:type="dxa"/>
            <w:shd w:val="clear" w:color="auto" w:fill="D9D9D9" w:themeFill="background1" w:themeFillShade="D9"/>
          </w:tcPr>
          <w:p w14:paraId="6C35C944" w14:textId="77777777" w:rsidR="00DB2230" w:rsidRPr="00A73C7A" w:rsidRDefault="00DB2230" w:rsidP="009A0BC7">
            <w:pPr>
              <w:keepNext/>
              <w:keepLines/>
              <w:pBdr>
                <w:top w:val="nil"/>
                <w:left w:val="nil"/>
                <w:bottom w:val="nil"/>
                <w:right w:val="nil"/>
                <w:between w:val="nil"/>
                <w:bar w:val="nil"/>
              </w:pBdr>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vs Comparator (% change)</w:t>
            </w:r>
          </w:p>
        </w:tc>
        <w:tc>
          <w:tcPr>
            <w:tcW w:w="2126" w:type="dxa"/>
          </w:tcPr>
          <w:p w14:paraId="66772A4A"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-121,600 (-29.2%)</w:t>
            </w:r>
          </w:p>
        </w:tc>
      </w:tr>
      <w:tr w:rsidR="00DB2230" w14:paraId="7B14BA49" w14:textId="77777777" w:rsidTr="009A0BC7">
        <w:trPr>
          <w:trHeight w:hRule="exact" w:val="283"/>
        </w:trPr>
        <w:tc>
          <w:tcPr>
            <w:tcW w:w="2689" w:type="dxa"/>
            <w:vMerge w:val="restart"/>
            <w:shd w:val="clear" w:color="auto" w:fill="D9D9D9" w:themeFill="background1" w:themeFillShade="D9"/>
          </w:tcPr>
          <w:p w14:paraId="47B00AFA"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Colorectal Cancer Deaths</w:t>
            </w:r>
          </w:p>
        </w:tc>
        <w:tc>
          <w:tcPr>
            <w:tcW w:w="2551" w:type="dxa"/>
            <w:shd w:val="clear" w:color="auto" w:fill="D9D9D9" w:themeFill="background1" w:themeFillShade="D9"/>
          </w:tcPr>
          <w:p w14:paraId="47A1F9B4"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Total 2020-2040</w:t>
            </w:r>
          </w:p>
        </w:tc>
        <w:tc>
          <w:tcPr>
            <w:tcW w:w="2126" w:type="dxa"/>
          </w:tcPr>
          <w:p w14:paraId="2BF542E9"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79,100</w:t>
            </w:r>
          </w:p>
        </w:tc>
      </w:tr>
      <w:tr w:rsidR="00DB2230" w14:paraId="0BC56D0E" w14:textId="77777777" w:rsidTr="009A0BC7">
        <w:trPr>
          <w:trHeight w:hRule="exact" w:val="283"/>
        </w:trPr>
        <w:tc>
          <w:tcPr>
            <w:tcW w:w="2689" w:type="dxa"/>
            <w:vMerge/>
            <w:shd w:val="clear" w:color="auto" w:fill="D9D9D9" w:themeFill="background1" w:themeFillShade="D9"/>
          </w:tcPr>
          <w:p w14:paraId="653B73F6"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p>
        </w:tc>
        <w:tc>
          <w:tcPr>
            <w:tcW w:w="2551" w:type="dxa"/>
            <w:shd w:val="clear" w:color="auto" w:fill="D9D9D9" w:themeFill="background1" w:themeFillShade="D9"/>
          </w:tcPr>
          <w:p w14:paraId="34DC7E82"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vs Comparator (% change)</w:t>
            </w:r>
          </w:p>
        </w:tc>
        <w:tc>
          <w:tcPr>
            <w:tcW w:w="2126" w:type="dxa"/>
          </w:tcPr>
          <w:p w14:paraId="09EE0869"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-52,500 (-39.9%)</w:t>
            </w:r>
          </w:p>
        </w:tc>
      </w:tr>
      <w:tr w:rsidR="00DB2230" w14:paraId="35C26C31" w14:textId="77777777" w:rsidTr="009A0BC7">
        <w:trPr>
          <w:trHeight w:hRule="exact" w:val="283"/>
        </w:trPr>
        <w:tc>
          <w:tcPr>
            <w:tcW w:w="2689" w:type="dxa"/>
            <w:vMerge w:val="restart"/>
            <w:shd w:val="clear" w:color="auto" w:fill="D9D9D9" w:themeFill="background1" w:themeFillShade="D9"/>
          </w:tcPr>
          <w:p w14:paraId="2FF55B73"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 xml:space="preserve">Number of </w:t>
            </w:r>
            <w:proofErr w:type="spellStart"/>
            <w:r w:rsidRPr="00A73C7A">
              <w:rPr>
                <w:rFonts w:ascii="Calibri" w:eastAsia="Times New Roman" w:hAnsi="Calibri" w:cs="Times New Roman"/>
                <w:b/>
                <w:bCs/>
                <w:color w:val="000000"/>
                <w:sz w:val="20"/>
                <w:szCs w:val="20"/>
                <w:lang w:eastAsia="en-AU"/>
              </w:rPr>
              <w:t>colonoscopies</w:t>
            </w:r>
            <w:r w:rsidRPr="00A73C7A">
              <w:rPr>
                <w:rFonts w:ascii="Calibri" w:eastAsia="Times New Roman" w:hAnsi="Calibri" w:cs="Times New Roman"/>
                <w:b/>
                <w:bCs/>
                <w:color w:val="000000"/>
                <w:sz w:val="20"/>
                <w:szCs w:val="20"/>
                <w:vertAlign w:val="superscript"/>
                <w:lang w:eastAsia="en-AU"/>
              </w:rPr>
              <w:t>a</w:t>
            </w:r>
            <w:proofErr w:type="spellEnd"/>
          </w:p>
        </w:tc>
        <w:tc>
          <w:tcPr>
            <w:tcW w:w="2551" w:type="dxa"/>
            <w:shd w:val="clear" w:color="auto" w:fill="D9D9D9" w:themeFill="background1" w:themeFillShade="D9"/>
          </w:tcPr>
          <w:p w14:paraId="72C20871"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Total 2020-2040</w:t>
            </w:r>
          </w:p>
        </w:tc>
        <w:tc>
          <w:tcPr>
            <w:tcW w:w="2126" w:type="dxa"/>
          </w:tcPr>
          <w:p w14:paraId="18CAC3B3"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21,258,800</w:t>
            </w:r>
          </w:p>
        </w:tc>
      </w:tr>
      <w:tr w:rsidR="00DB2230" w14:paraId="53695035" w14:textId="77777777" w:rsidTr="009A0BC7">
        <w:trPr>
          <w:trHeight w:hRule="exact" w:val="283"/>
        </w:trPr>
        <w:tc>
          <w:tcPr>
            <w:tcW w:w="2689" w:type="dxa"/>
            <w:vMerge/>
            <w:shd w:val="clear" w:color="auto" w:fill="D9D9D9" w:themeFill="background1" w:themeFillShade="D9"/>
          </w:tcPr>
          <w:p w14:paraId="7EBD562F"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p>
        </w:tc>
        <w:tc>
          <w:tcPr>
            <w:tcW w:w="2551" w:type="dxa"/>
            <w:shd w:val="clear" w:color="auto" w:fill="D9D9D9" w:themeFill="background1" w:themeFillShade="D9"/>
          </w:tcPr>
          <w:p w14:paraId="40A046BB"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vs Comparator (% change)</w:t>
            </w:r>
          </w:p>
        </w:tc>
        <w:tc>
          <w:tcPr>
            <w:tcW w:w="2126" w:type="dxa"/>
          </w:tcPr>
          <w:p w14:paraId="5FC63EEF"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18,288,200 (615.6%)</w:t>
            </w:r>
          </w:p>
        </w:tc>
      </w:tr>
      <w:tr w:rsidR="00DB2230" w14:paraId="4C8B9DE9" w14:textId="77777777" w:rsidTr="009A0BC7">
        <w:trPr>
          <w:trHeight w:hRule="exact" w:val="283"/>
        </w:trPr>
        <w:tc>
          <w:tcPr>
            <w:tcW w:w="2689" w:type="dxa"/>
            <w:vMerge w:val="restart"/>
            <w:shd w:val="clear" w:color="auto" w:fill="D9D9D9" w:themeFill="background1" w:themeFillShade="D9"/>
          </w:tcPr>
          <w:p w14:paraId="0A36E4FD"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Colonoscopy-related adverse events</w:t>
            </w:r>
          </w:p>
        </w:tc>
        <w:tc>
          <w:tcPr>
            <w:tcW w:w="2551" w:type="dxa"/>
            <w:shd w:val="clear" w:color="auto" w:fill="D9D9D9" w:themeFill="background1" w:themeFillShade="D9"/>
          </w:tcPr>
          <w:p w14:paraId="76FB6851"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Total 2020-2040</w:t>
            </w:r>
          </w:p>
        </w:tc>
        <w:tc>
          <w:tcPr>
            <w:tcW w:w="2126" w:type="dxa"/>
          </w:tcPr>
          <w:p w14:paraId="25DDE449"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57,400</w:t>
            </w:r>
          </w:p>
        </w:tc>
      </w:tr>
      <w:tr w:rsidR="00DB2230" w14:paraId="3CC28F98" w14:textId="77777777" w:rsidTr="009A0BC7">
        <w:trPr>
          <w:trHeight w:hRule="exact" w:val="283"/>
        </w:trPr>
        <w:tc>
          <w:tcPr>
            <w:tcW w:w="2689" w:type="dxa"/>
            <w:vMerge/>
            <w:shd w:val="clear" w:color="auto" w:fill="D9D9D9" w:themeFill="background1" w:themeFillShade="D9"/>
          </w:tcPr>
          <w:p w14:paraId="2335C1DF"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p>
        </w:tc>
        <w:tc>
          <w:tcPr>
            <w:tcW w:w="2551" w:type="dxa"/>
            <w:shd w:val="clear" w:color="auto" w:fill="D9D9D9" w:themeFill="background1" w:themeFillShade="D9"/>
          </w:tcPr>
          <w:p w14:paraId="605B53C3"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vs Comparator (% change)</w:t>
            </w:r>
          </w:p>
        </w:tc>
        <w:tc>
          <w:tcPr>
            <w:tcW w:w="2126" w:type="dxa"/>
          </w:tcPr>
          <w:p w14:paraId="2AA9522F"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49,400 (615.9%)</w:t>
            </w:r>
          </w:p>
        </w:tc>
      </w:tr>
      <w:tr w:rsidR="00DB2230" w14:paraId="7F45997E" w14:textId="77777777" w:rsidTr="009A0BC7">
        <w:trPr>
          <w:trHeight w:hRule="exact" w:val="283"/>
        </w:trPr>
        <w:tc>
          <w:tcPr>
            <w:tcW w:w="2689" w:type="dxa"/>
            <w:vMerge w:val="restart"/>
            <w:shd w:val="clear" w:color="auto" w:fill="D9D9D9" w:themeFill="background1" w:themeFillShade="D9"/>
          </w:tcPr>
          <w:p w14:paraId="0F0B8EBE"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 xml:space="preserve">Total </w:t>
            </w:r>
            <w:proofErr w:type="spellStart"/>
            <w:r w:rsidRPr="00A73C7A">
              <w:rPr>
                <w:rFonts w:ascii="Calibri" w:eastAsia="Times New Roman" w:hAnsi="Calibri" w:cs="Times New Roman"/>
                <w:b/>
                <w:bCs/>
                <w:color w:val="000000"/>
                <w:sz w:val="20"/>
                <w:szCs w:val="20"/>
                <w:lang w:eastAsia="en-AU"/>
              </w:rPr>
              <w:t>costs</w:t>
            </w:r>
            <w:r w:rsidRPr="00A73C7A">
              <w:rPr>
                <w:rFonts w:ascii="Calibri" w:eastAsia="Times New Roman" w:hAnsi="Calibri" w:cs="Times New Roman"/>
                <w:b/>
                <w:bCs/>
                <w:color w:val="000000"/>
                <w:sz w:val="20"/>
                <w:szCs w:val="20"/>
                <w:vertAlign w:val="superscript"/>
                <w:lang w:eastAsia="en-AU"/>
              </w:rPr>
              <w:t>b</w:t>
            </w:r>
            <w:proofErr w:type="spellEnd"/>
          </w:p>
        </w:tc>
        <w:tc>
          <w:tcPr>
            <w:tcW w:w="2551" w:type="dxa"/>
            <w:shd w:val="clear" w:color="auto" w:fill="D9D9D9" w:themeFill="background1" w:themeFillShade="D9"/>
          </w:tcPr>
          <w:p w14:paraId="496FBE4E"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Total 2020-2040</w:t>
            </w:r>
          </w:p>
        </w:tc>
        <w:tc>
          <w:tcPr>
            <w:tcW w:w="2126" w:type="dxa"/>
            <w:vAlign w:val="center"/>
          </w:tcPr>
          <w:p w14:paraId="5EE4816A"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$64.52</w:t>
            </w:r>
          </w:p>
        </w:tc>
      </w:tr>
      <w:tr w:rsidR="00DB2230" w14:paraId="45BAFE19" w14:textId="77777777" w:rsidTr="009A0BC7">
        <w:trPr>
          <w:trHeight w:hRule="exact" w:val="283"/>
        </w:trPr>
        <w:tc>
          <w:tcPr>
            <w:tcW w:w="2689" w:type="dxa"/>
            <w:vMerge/>
            <w:shd w:val="clear" w:color="auto" w:fill="D9D9D9" w:themeFill="background1" w:themeFillShade="D9"/>
          </w:tcPr>
          <w:p w14:paraId="2C1E7CBF"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p>
        </w:tc>
        <w:tc>
          <w:tcPr>
            <w:tcW w:w="2551" w:type="dxa"/>
            <w:shd w:val="clear" w:color="auto" w:fill="D9D9D9" w:themeFill="background1" w:themeFillShade="D9"/>
          </w:tcPr>
          <w:p w14:paraId="28A47C89"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vs Comparator (% change)</w:t>
            </w:r>
          </w:p>
        </w:tc>
        <w:tc>
          <w:tcPr>
            <w:tcW w:w="2126" w:type="dxa"/>
            <w:vAlign w:val="center"/>
          </w:tcPr>
          <w:p w14:paraId="494A62BE"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$23.73 (58.2%)</w:t>
            </w:r>
          </w:p>
        </w:tc>
      </w:tr>
      <w:tr w:rsidR="00DB2230" w14:paraId="4897928D" w14:textId="77777777" w:rsidTr="009A0BC7">
        <w:trPr>
          <w:trHeight w:hRule="exact" w:val="283"/>
        </w:trPr>
        <w:tc>
          <w:tcPr>
            <w:tcW w:w="5240" w:type="dxa"/>
            <w:gridSpan w:val="2"/>
            <w:shd w:val="clear" w:color="auto" w:fill="D9D9D9" w:themeFill="background1" w:themeFillShade="D9"/>
          </w:tcPr>
          <w:p w14:paraId="31B2CE37"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Number needed to colonoscope per CRC death prevented</w:t>
            </w:r>
          </w:p>
        </w:tc>
        <w:tc>
          <w:tcPr>
            <w:tcW w:w="2126" w:type="dxa"/>
            <w:vAlign w:val="center"/>
          </w:tcPr>
          <w:p w14:paraId="339DD23F"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348.5</w:t>
            </w:r>
          </w:p>
        </w:tc>
      </w:tr>
      <w:tr w:rsidR="00DB2230" w14:paraId="1AFD5D5B" w14:textId="77777777" w:rsidTr="009A0BC7">
        <w:trPr>
          <w:trHeight w:hRule="exact" w:val="283"/>
        </w:trPr>
        <w:tc>
          <w:tcPr>
            <w:tcW w:w="5240" w:type="dxa"/>
            <w:gridSpan w:val="2"/>
            <w:shd w:val="clear" w:color="auto" w:fill="D9D9D9" w:themeFill="background1" w:themeFillShade="D9"/>
          </w:tcPr>
          <w:p w14:paraId="79DE18FD"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Undiscounted life-years per person</w:t>
            </w:r>
          </w:p>
        </w:tc>
        <w:tc>
          <w:tcPr>
            <w:tcW w:w="2126" w:type="dxa"/>
            <w:vAlign w:val="center"/>
          </w:tcPr>
          <w:p w14:paraId="5871A615"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61.006</w:t>
            </w:r>
          </w:p>
        </w:tc>
      </w:tr>
      <w:tr w:rsidR="00DB2230" w14:paraId="76BFE9ED" w14:textId="77777777" w:rsidTr="009A0BC7">
        <w:trPr>
          <w:trHeight w:hRule="exact" w:val="283"/>
        </w:trPr>
        <w:tc>
          <w:tcPr>
            <w:tcW w:w="5240" w:type="dxa"/>
            <w:gridSpan w:val="2"/>
            <w:shd w:val="clear" w:color="auto" w:fill="D9D9D9" w:themeFill="background1" w:themeFillShade="D9"/>
          </w:tcPr>
          <w:p w14:paraId="04F32ADA"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Undiscounted lifetime cost per person</w:t>
            </w:r>
          </w:p>
        </w:tc>
        <w:tc>
          <w:tcPr>
            <w:tcW w:w="2126" w:type="dxa"/>
            <w:vAlign w:val="center"/>
          </w:tcPr>
          <w:p w14:paraId="7FBFA8E9"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$8,634</w:t>
            </w:r>
          </w:p>
        </w:tc>
      </w:tr>
      <w:tr w:rsidR="00DB2230" w14:paraId="6A0B1994" w14:textId="77777777" w:rsidTr="009A0BC7">
        <w:trPr>
          <w:trHeight w:hRule="exact" w:val="283"/>
        </w:trPr>
        <w:tc>
          <w:tcPr>
            <w:tcW w:w="5240" w:type="dxa"/>
            <w:gridSpan w:val="2"/>
            <w:shd w:val="clear" w:color="auto" w:fill="D9D9D9" w:themeFill="background1" w:themeFillShade="D9"/>
          </w:tcPr>
          <w:p w14:paraId="3B7E2FE5"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 xml:space="preserve">Discounted life-years per </w:t>
            </w:r>
            <w:proofErr w:type="spellStart"/>
            <w:r w:rsidRPr="00A73C7A">
              <w:rPr>
                <w:rFonts w:ascii="Calibri" w:eastAsia="Times New Roman" w:hAnsi="Calibri" w:cs="Times New Roman"/>
                <w:b/>
                <w:bCs/>
                <w:color w:val="000000"/>
                <w:sz w:val="20"/>
                <w:szCs w:val="20"/>
                <w:lang w:eastAsia="en-AU"/>
              </w:rPr>
              <w:t>person</w:t>
            </w:r>
            <w:r w:rsidRPr="00A73C7A">
              <w:rPr>
                <w:rFonts w:ascii="Calibri" w:eastAsia="Times New Roman" w:hAnsi="Calibri" w:cs="Times New Roman"/>
                <w:b/>
                <w:bCs/>
                <w:color w:val="000000"/>
                <w:sz w:val="20"/>
                <w:szCs w:val="20"/>
                <w:vertAlign w:val="superscript"/>
                <w:lang w:eastAsia="en-AU"/>
              </w:rPr>
              <w:t>c</w:t>
            </w:r>
            <w:proofErr w:type="spellEnd"/>
          </w:p>
        </w:tc>
        <w:tc>
          <w:tcPr>
            <w:tcW w:w="2126" w:type="dxa"/>
            <w:vAlign w:val="center"/>
          </w:tcPr>
          <w:p w14:paraId="73003556"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37.444</w:t>
            </w:r>
          </w:p>
        </w:tc>
      </w:tr>
      <w:tr w:rsidR="00DB2230" w14:paraId="7D276834" w14:textId="77777777" w:rsidTr="009A0BC7">
        <w:trPr>
          <w:trHeight w:hRule="exact" w:val="283"/>
        </w:trPr>
        <w:tc>
          <w:tcPr>
            <w:tcW w:w="5240" w:type="dxa"/>
            <w:gridSpan w:val="2"/>
            <w:shd w:val="clear" w:color="auto" w:fill="D9D9D9" w:themeFill="background1" w:themeFillShade="D9"/>
          </w:tcPr>
          <w:p w14:paraId="46E12DFD"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 xml:space="preserve">Discounted lifetime cost per </w:t>
            </w:r>
            <w:proofErr w:type="spellStart"/>
            <w:r w:rsidRPr="00A73C7A">
              <w:rPr>
                <w:rFonts w:ascii="Calibri" w:eastAsia="Times New Roman" w:hAnsi="Calibri" w:cs="Times New Roman"/>
                <w:b/>
                <w:bCs/>
                <w:color w:val="000000"/>
                <w:sz w:val="20"/>
                <w:szCs w:val="20"/>
                <w:lang w:eastAsia="en-AU"/>
              </w:rPr>
              <w:t>person</w:t>
            </w:r>
            <w:r w:rsidRPr="00A73C7A">
              <w:rPr>
                <w:rFonts w:ascii="Calibri" w:eastAsia="Times New Roman" w:hAnsi="Calibri" w:cs="Times New Roman"/>
                <w:b/>
                <w:bCs/>
                <w:color w:val="000000"/>
                <w:sz w:val="20"/>
                <w:szCs w:val="20"/>
                <w:vertAlign w:val="superscript"/>
                <w:lang w:eastAsia="en-AU"/>
              </w:rPr>
              <w:t>c</w:t>
            </w:r>
            <w:proofErr w:type="spellEnd"/>
          </w:p>
        </w:tc>
        <w:tc>
          <w:tcPr>
            <w:tcW w:w="2126" w:type="dxa"/>
            <w:vAlign w:val="center"/>
          </w:tcPr>
          <w:p w14:paraId="47AE19FA"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$3,872</w:t>
            </w:r>
          </w:p>
        </w:tc>
      </w:tr>
      <w:tr w:rsidR="00DB2230" w14:paraId="35CBE6DF" w14:textId="77777777" w:rsidTr="009A0BC7">
        <w:trPr>
          <w:trHeight w:hRule="exact" w:val="283"/>
        </w:trPr>
        <w:tc>
          <w:tcPr>
            <w:tcW w:w="5240" w:type="dxa"/>
            <w:gridSpan w:val="2"/>
            <w:shd w:val="clear" w:color="auto" w:fill="D9D9D9" w:themeFill="background1" w:themeFillShade="D9"/>
          </w:tcPr>
          <w:p w14:paraId="6BD591AB" w14:textId="77777777" w:rsidR="00DB2230" w:rsidRPr="00A73C7A" w:rsidRDefault="00DB2230" w:rsidP="009A0BC7">
            <w:pPr>
              <w:keepNext/>
              <w:keepLines/>
              <w:spacing w:after="0" w:line="240" w:lineRule="auto"/>
              <w:rPr>
                <w:rFonts w:ascii="Calibri" w:eastAsia="Times New Roman" w:hAnsi="Calibri" w:cs="Times New Roman"/>
                <w:b/>
                <w:bCs/>
                <w:color w:val="000000"/>
                <w:sz w:val="20"/>
                <w:szCs w:val="20"/>
                <w:lang w:eastAsia="en-AU"/>
              </w:rPr>
            </w:pPr>
            <w:r w:rsidRPr="00A73C7A">
              <w:rPr>
                <w:rFonts w:ascii="Calibri" w:eastAsia="Times New Roman" w:hAnsi="Calibri" w:cs="Times New Roman"/>
                <w:b/>
                <w:bCs/>
                <w:color w:val="000000"/>
                <w:sz w:val="20"/>
                <w:szCs w:val="20"/>
                <w:lang w:eastAsia="en-AU"/>
              </w:rPr>
              <w:t>CER vs no change to screening participation</w:t>
            </w:r>
          </w:p>
        </w:tc>
        <w:tc>
          <w:tcPr>
            <w:tcW w:w="2126" w:type="dxa"/>
            <w:vAlign w:val="center"/>
          </w:tcPr>
          <w:p w14:paraId="7B4233D8" w14:textId="77777777" w:rsidR="00DB2230" w:rsidRPr="00A73C7A" w:rsidRDefault="00DB2230" w:rsidP="009A0BC7">
            <w:pPr>
              <w:keepNext/>
              <w:keepLines/>
              <w:spacing w:after="0" w:line="240" w:lineRule="auto"/>
              <w:rPr>
                <w:rFonts w:ascii="Calibri" w:hAnsi="Calibri" w:cs="Calibri"/>
                <w:color w:val="000000"/>
                <w:sz w:val="20"/>
                <w:szCs w:val="20"/>
              </w:rPr>
            </w:pPr>
            <w:r w:rsidRPr="00A73C7A">
              <w:rPr>
                <w:rFonts w:ascii="Calibri" w:hAnsi="Calibri" w:cs="Calibri"/>
                <w:color w:val="000000"/>
                <w:sz w:val="20"/>
                <w:szCs w:val="20"/>
              </w:rPr>
              <w:t>$64,753/LYS</w:t>
            </w:r>
          </w:p>
        </w:tc>
      </w:tr>
    </w:tbl>
    <w:p w14:paraId="6A64C729" w14:textId="3D01D42B" w:rsidR="00DB2230" w:rsidRPr="00D96A3C" w:rsidRDefault="00DB2230" w:rsidP="00DB2230">
      <w:pPr>
        <w:pStyle w:val="Body"/>
        <w:spacing w:after="0" w:line="240" w:lineRule="auto"/>
        <w:contextualSpacing/>
        <w:rPr>
          <w:rStyle w:val="None"/>
          <w:iCs/>
          <w:vertAlign w:val="superscript"/>
        </w:rPr>
      </w:pPr>
      <w:proofErr w:type="spellStart"/>
      <w:r>
        <w:rPr>
          <w:rStyle w:val="None"/>
          <w:i/>
          <w:iCs/>
          <w:vertAlign w:val="superscript"/>
        </w:rPr>
        <w:t>a</w:t>
      </w:r>
      <w:proofErr w:type="spellEnd"/>
      <w:r>
        <w:rPr>
          <w:rStyle w:val="None"/>
          <w:i/>
          <w:iCs/>
          <w:vertAlign w:val="superscript"/>
        </w:rPr>
        <w:t xml:space="preserve"> </w:t>
      </w:r>
      <w:bookmarkStart w:id="18" w:name="_Hlk8057751"/>
      <w:r w:rsidRPr="00D96A3C">
        <w:rPr>
          <w:rStyle w:val="None"/>
          <w:i/>
          <w:iCs/>
          <w:sz w:val="18"/>
          <w:szCs w:val="18"/>
        </w:rPr>
        <w:t>Include</w:t>
      </w:r>
      <w:r w:rsidRPr="00EA3CD1">
        <w:rPr>
          <w:rStyle w:val="None"/>
          <w:i/>
          <w:iCs/>
          <w:sz w:val="18"/>
          <w:szCs w:val="18"/>
        </w:rPr>
        <w:t xml:space="preserve">s </w:t>
      </w:r>
      <w:r>
        <w:rPr>
          <w:rStyle w:val="None"/>
          <w:i/>
          <w:iCs/>
          <w:sz w:val="18"/>
          <w:szCs w:val="18"/>
        </w:rPr>
        <w:t xml:space="preserve">both </w:t>
      </w:r>
      <w:r w:rsidRPr="00EA3CD1">
        <w:rPr>
          <w:rStyle w:val="None"/>
          <w:i/>
          <w:iCs/>
          <w:sz w:val="18"/>
          <w:szCs w:val="18"/>
        </w:rPr>
        <w:t xml:space="preserve">colonoscopy assessments performed to follow-up individuals with positive iFOBT </w:t>
      </w:r>
      <w:r>
        <w:rPr>
          <w:rStyle w:val="None"/>
          <w:i/>
          <w:iCs/>
          <w:sz w:val="18"/>
          <w:szCs w:val="18"/>
        </w:rPr>
        <w:t>result</w:t>
      </w:r>
      <w:r w:rsidRPr="00EA3CD1">
        <w:rPr>
          <w:rStyle w:val="None"/>
          <w:i/>
          <w:iCs/>
          <w:sz w:val="18"/>
          <w:szCs w:val="18"/>
        </w:rPr>
        <w:t>s</w:t>
      </w:r>
      <w:r>
        <w:rPr>
          <w:rStyle w:val="None"/>
          <w:i/>
          <w:iCs/>
          <w:sz w:val="18"/>
          <w:szCs w:val="18"/>
        </w:rPr>
        <w:t>,</w:t>
      </w:r>
      <w:r w:rsidRPr="00EA3CD1">
        <w:rPr>
          <w:rStyle w:val="None"/>
          <w:i/>
          <w:iCs/>
          <w:sz w:val="18"/>
          <w:szCs w:val="18"/>
        </w:rPr>
        <w:t xml:space="preserve"> and </w:t>
      </w:r>
      <w:r>
        <w:rPr>
          <w:rStyle w:val="None"/>
          <w:i/>
          <w:iCs/>
          <w:sz w:val="18"/>
          <w:szCs w:val="18"/>
        </w:rPr>
        <w:t xml:space="preserve">colonoscopies to provide surveillance for individuals with the </w:t>
      </w:r>
      <w:r w:rsidRPr="00FD4279">
        <w:rPr>
          <w:rStyle w:val="None"/>
          <w:i/>
          <w:iCs/>
          <w:sz w:val="18"/>
          <w:szCs w:val="18"/>
        </w:rPr>
        <w:t xml:space="preserve">removal of </w:t>
      </w:r>
      <w:r>
        <w:rPr>
          <w:rStyle w:val="None"/>
          <w:i/>
          <w:iCs/>
          <w:sz w:val="18"/>
          <w:szCs w:val="18"/>
        </w:rPr>
        <w:t xml:space="preserve">at least one </w:t>
      </w:r>
      <w:r w:rsidRPr="00FD4279">
        <w:rPr>
          <w:rStyle w:val="None"/>
          <w:i/>
          <w:iCs/>
          <w:sz w:val="18"/>
          <w:szCs w:val="18"/>
        </w:rPr>
        <w:t xml:space="preserve">adenoma </w:t>
      </w:r>
      <w:r>
        <w:rPr>
          <w:rStyle w:val="None"/>
          <w:i/>
          <w:iCs/>
          <w:sz w:val="18"/>
          <w:szCs w:val="18"/>
        </w:rPr>
        <w:t>and/</w:t>
      </w:r>
      <w:r w:rsidRPr="00FD4279">
        <w:rPr>
          <w:rStyle w:val="None"/>
          <w:i/>
          <w:iCs/>
          <w:sz w:val="18"/>
          <w:szCs w:val="18"/>
        </w:rPr>
        <w:t xml:space="preserve">or sessile serrated </w:t>
      </w:r>
      <w:bookmarkEnd w:id="18"/>
      <w:r w:rsidR="00EE2605">
        <w:rPr>
          <w:rStyle w:val="None"/>
          <w:i/>
          <w:iCs/>
          <w:sz w:val="18"/>
          <w:szCs w:val="18"/>
        </w:rPr>
        <w:t>polyp</w:t>
      </w:r>
      <w:r>
        <w:rPr>
          <w:rStyle w:val="None"/>
          <w:i/>
          <w:iCs/>
          <w:sz w:val="18"/>
          <w:szCs w:val="18"/>
        </w:rPr>
        <w:t>. Out-of-program colonoscopies were not included in the model estimates.</w:t>
      </w:r>
    </w:p>
    <w:p w14:paraId="37395B0B" w14:textId="77777777" w:rsidR="00DB2230" w:rsidRDefault="00DB2230" w:rsidP="00DB2230">
      <w:pPr>
        <w:pStyle w:val="Body"/>
        <w:spacing w:after="0" w:line="240" w:lineRule="auto"/>
        <w:contextualSpacing/>
        <w:rPr>
          <w:rStyle w:val="None"/>
          <w:i/>
          <w:iCs/>
          <w:sz w:val="18"/>
          <w:szCs w:val="18"/>
        </w:rPr>
      </w:pPr>
      <w:r>
        <w:rPr>
          <w:rStyle w:val="None"/>
          <w:i/>
          <w:iCs/>
          <w:vertAlign w:val="superscript"/>
        </w:rPr>
        <w:t>b</w:t>
      </w:r>
      <w:r>
        <w:rPr>
          <w:rStyle w:val="Hyperlink2"/>
        </w:rPr>
        <w:t xml:space="preserve"> </w:t>
      </w:r>
      <w:r>
        <w:rPr>
          <w:rStyle w:val="None"/>
          <w:i/>
          <w:iCs/>
          <w:sz w:val="18"/>
          <w:szCs w:val="18"/>
        </w:rPr>
        <w:t xml:space="preserve">Costs considered are the undiscounted costs associated with sending the iFOBT kits, laboratory analysis of the completed iFOBT samples, general practitioner visit for follow-up of positive iFOBT results, colonoscopy procedures with/without adverse events (and polypectomy if required) to follow-up positive iFOBT result and to provide surveillance, and colorectal cancer treatments. </w:t>
      </w:r>
    </w:p>
    <w:p w14:paraId="2E668519" w14:textId="77777777" w:rsidR="00DB2230" w:rsidRPr="005C54AE" w:rsidRDefault="00DB2230" w:rsidP="00DB2230">
      <w:pPr>
        <w:pStyle w:val="Body"/>
        <w:spacing w:after="0" w:line="240" w:lineRule="auto"/>
        <w:contextualSpacing/>
        <w:rPr>
          <w:rStyle w:val="None"/>
          <w:i/>
          <w:iCs/>
          <w:sz w:val="18"/>
          <w:szCs w:val="18"/>
        </w:rPr>
      </w:pPr>
      <w:proofErr w:type="spellStart"/>
      <w:r w:rsidRPr="005C54AE">
        <w:rPr>
          <w:rStyle w:val="None"/>
          <w:i/>
          <w:iCs/>
          <w:sz w:val="18"/>
          <w:szCs w:val="18"/>
          <w:vertAlign w:val="superscript"/>
        </w:rPr>
        <w:t>c</w:t>
      </w:r>
      <w:r w:rsidRPr="005C54AE">
        <w:rPr>
          <w:rStyle w:val="None"/>
          <w:i/>
          <w:iCs/>
          <w:sz w:val="18"/>
          <w:szCs w:val="18"/>
        </w:rPr>
        <w:t>Discounted</w:t>
      </w:r>
      <w:proofErr w:type="spellEnd"/>
      <w:r w:rsidRPr="005C54AE">
        <w:rPr>
          <w:rStyle w:val="None"/>
          <w:i/>
          <w:iCs/>
          <w:sz w:val="18"/>
          <w:szCs w:val="18"/>
        </w:rPr>
        <w:t xml:space="preserve"> life-years per person and discounted costs are calculated with a 5% discount rate per year.</w:t>
      </w:r>
      <w:r>
        <w:rPr>
          <w:rStyle w:val="None"/>
          <w:i/>
          <w:iCs/>
          <w:sz w:val="18"/>
          <w:szCs w:val="18"/>
        </w:rPr>
        <w:t xml:space="preserve"> </w:t>
      </w:r>
      <w:r w:rsidRPr="005C54AE">
        <w:rPr>
          <w:rStyle w:val="None"/>
          <w:i/>
          <w:iCs/>
          <w:sz w:val="18"/>
          <w:szCs w:val="18"/>
        </w:rPr>
        <w:t xml:space="preserve"> The cost-effectiveness ratio (CER) is then calculated as the additional cost divided by the additional life-years vs the comparator.  </w:t>
      </w:r>
    </w:p>
    <w:p w14:paraId="0DC69AAC" w14:textId="77777777" w:rsidR="00DB2230" w:rsidRDefault="00DB2230" w:rsidP="003F5E9F">
      <w:pPr>
        <w:rPr>
          <w:rFonts w:ascii="Calibri" w:hAnsi="Calibri"/>
        </w:rPr>
      </w:pPr>
    </w:p>
    <w:p w14:paraId="30D8F0C5" w14:textId="4BE3544F" w:rsidR="000736B8" w:rsidRDefault="000736B8" w:rsidP="000736B8">
      <w:pPr>
        <w:pStyle w:val="Heading1"/>
      </w:pPr>
      <w:bookmarkStart w:id="19" w:name="_Ref434403261"/>
      <w:bookmarkEnd w:id="19"/>
      <w:r>
        <w:t xml:space="preserve">Appendix </w:t>
      </w:r>
      <w:r w:rsidR="009F3E2E">
        <w:t xml:space="preserve">D </w:t>
      </w:r>
      <w:r>
        <w:t xml:space="preserve">– Sensitivity </w:t>
      </w:r>
      <w:r w:rsidR="0052627E">
        <w:t>a</w:t>
      </w:r>
      <w:r w:rsidR="0052627E">
        <w:t xml:space="preserve">nalysis </w:t>
      </w:r>
      <w:r>
        <w:t xml:space="preserve">with </w:t>
      </w:r>
      <w:r w:rsidR="0013200C">
        <w:t xml:space="preserve">more and less </w:t>
      </w:r>
      <w:r w:rsidR="0070545B">
        <w:t>a</w:t>
      </w:r>
      <w:r>
        <w:t xml:space="preserve">ggressive </w:t>
      </w:r>
      <w:r w:rsidR="0070545B">
        <w:t>p</w:t>
      </w:r>
      <w:r>
        <w:t xml:space="preserve">recancer </w:t>
      </w:r>
      <w:r w:rsidR="0070545B">
        <w:t>n</w:t>
      </w:r>
      <w:r>
        <w:t xml:space="preserve">atural </w:t>
      </w:r>
      <w:r w:rsidR="0070545B">
        <w:t>h</w:t>
      </w:r>
      <w:r>
        <w:t>istory</w:t>
      </w:r>
    </w:p>
    <w:p w14:paraId="28576A5C" w14:textId="3D99A771" w:rsidR="000736B8" w:rsidRPr="00DF295F" w:rsidRDefault="000736B8" w:rsidP="00DF295F">
      <w:pPr>
        <w:spacing w:after="120" w:line="240" w:lineRule="auto"/>
        <w:rPr>
          <w:iCs/>
          <w:szCs w:val="18"/>
        </w:rPr>
      </w:pPr>
      <w:r w:rsidRPr="00D16178">
        <w:rPr>
          <w:iCs/>
          <w:szCs w:val="18"/>
        </w:rPr>
        <w:t xml:space="preserve">For sensitivity analysis, the cost-effectiveness ratios were recalculated using simulations that assumed a more aggressive </w:t>
      </w:r>
      <w:r w:rsidR="00D81007" w:rsidRPr="00D16178">
        <w:rPr>
          <w:iCs/>
          <w:szCs w:val="18"/>
        </w:rPr>
        <w:t xml:space="preserve">and less aggressive </w:t>
      </w:r>
      <w:r w:rsidRPr="00D16178">
        <w:rPr>
          <w:iCs/>
          <w:szCs w:val="18"/>
        </w:rPr>
        <w:t xml:space="preserve">natural history pathway (see Table </w:t>
      </w:r>
      <w:r w:rsidR="00824A95" w:rsidRPr="00D16178">
        <w:rPr>
          <w:iCs/>
          <w:szCs w:val="18"/>
        </w:rPr>
        <w:t>B2</w:t>
      </w:r>
      <w:r w:rsidRPr="00D16178">
        <w:rPr>
          <w:iCs/>
          <w:szCs w:val="18"/>
        </w:rPr>
        <w:t xml:space="preserve">). </w:t>
      </w:r>
      <w:r w:rsidR="00D16178" w:rsidRPr="00D16178">
        <w:rPr>
          <w:iCs/>
          <w:szCs w:val="18"/>
        </w:rPr>
        <w:t xml:space="preserve">These parameter sets reflect uncertainties inherent in the </w:t>
      </w:r>
      <w:r w:rsidR="00D16178" w:rsidRPr="00D16178">
        <w:rPr>
          <w:i/>
          <w:iCs/>
          <w:szCs w:val="18"/>
        </w:rPr>
        <w:t>Policy1-Bowel</w:t>
      </w:r>
      <w:r w:rsidR="00D16178" w:rsidRPr="00D16178">
        <w:rPr>
          <w:iCs/>
          <w:szCs w:val="18"/>
        </w:rPr>
        <w:t xml:space="preserve"> model. </w:t>
      </w:r>
      <w:r w:rsidRPr="00D16178">
        <w:rPr>
          <w:iCs/>
          <w:szCs w:val="18"/>
        </w:rPr>
        <w:t xml:space="preserve">The CERs are </w:t>
      </w:r>
      <w:r w:rsidR="00D16178" w:rsidRPr="00D16178">
        <w:rPr>
          <w:iCs/>
          <w:szCs w:val="18"/>
        </w:rPr>
        <w:t xml:space="preserve">still cost-effective or cost-saving under these alternative </w:t>
      </w:r>
      <w:proofErr w:type="gramStart"/>
      <w:r w:rsidR="00D16178" w:rsidRPr="00D16178">
        <w:rPr>
          <w:iCs/>
          <w:szCs w:val="18"/>
        </w:rPr>
        <w:t>assumptions</w:t>
      </w:r>
      <w:r w:rsidRPr="00D16178">
        <w:rPr>
          <w:iCs/>
          <w:szCs w:val="18"/>
        </w:rPr>
        <w:t>, and</w:t>
      </w:r>
      <w:proofErr w:type="gramEnd"/>
      <w:r w:rsidRPr="00D16178">
        <w:rPr>
          <w:iCs/>
          <w:szCs w:val="18"/>
        </w:rPr>
        <w:t xml:space="preserve"> are shown in </w:t>
      </w:r>
      <w:r w:rsidR="003A30CB" w:rsidRPr="00D16178">
        <w:rPr>
          <w:iCs/>
          <w:szCs w:val="18"/>
        </w:rPr>
        <w:t xml:space="preserve">Table </w:t>
      </w:r>
      <w:r w:rsidR="00B31901" w:rsidRPr="00D16178">
        <w:rPr>
          <w:iCs/>
          <w:szCs w:val="18"/>
        </w:rPr>
        <w:t>D</w:t>
      </w:r>
      <w:r w:rsidR="00824A95" w:rsidRPr="00D16178">
        <w:rPr>
          <w:iCs/>
          <w:szCs w:val="18"/>
        </w:rPr>
        <w:t>1</w:t>
      </w:r>
      <w:r w:rsidR="00D16178" w:rsidRPr="00D16178">
        <w:rPr>
          <w:iCs/>
          <w:szCs w:val="18"/>
        </w:rPr>
        <w:t xml:space="preserve"> and Table D3</w:t>
      </w:r>
      <w:r w:rsidR="003A30CB" w:rsidRPr="00D16178">
        <w:rPr>
          <w:iCs/>
          <w:szCs w:val="18"/>
        </w:rPr>
        <w:t xml:space="preserve">. The investment thresholds analogous to Table 4 in the full paper are shown in Table </w:t>
      </w:r>
      <w:r w:rsidR="00B31901" w:rsidRPr="00D16178">
        <w:rPr>
          <w:iCs/>
          <w:szCs w:val="18"/>
        </w:rPr>
        <w:t>D</w:t>
      </w:r>
      <w:r w:rsidR="00824A95" w:rsidRPr="00D16178">
        <w:rPr>
          <w:iCs/>
          <w:szCs w:val="18"/>
        </w:rPr>
        <w:t>2</w:t>
      </w:r>
      <w:r w:rsidR="00D16178" w:rsidRPr="00D16178">
        <w:rPr>
          <w:iCs/>
          <w:szCs w:val="18"/>
        </w:rPr>
        <w:t xml:space="preserve"> and Table D4</w:t>
      </w:r>
      <w:r w:rsidR="003A30CB" w:rsidRPr="00D16178">
        <w:rPr>
          <w:iCs/>
          <w:szCs w:val="18"/>
        </w:rPr>
        <w:t>.</w:t>
      </w:r>
    </w:p>
    <w:p w14:paraId="75561443" w14:textId="2A97222B" w:rsidR="003A30CB" w:rsidRPr="00E37A2E" w:rsidRDefault="003A30CB" w:rsidP="003A30CB">
      <w:pPr>
        <w:pStyle w:val="Caption"/>
        <w:keepNext/>
        <w:keepLines/>
        <w:spacing w:after="0"/>
        <w:rPr>
          <w:b w:val="0"/>
        </w:rPr>
      </w:pPr>
      <w:r>
        <w:lastRenderedPageBreak/>
        <w:t xml:space="preserve">Table </w:t>
      </w:r>
      <w:r w:rsidR="00B31901">
        <w:t>D</w:t>
      </w:r>
      <w:r w:rsidR="0064442B">
        <w:t xml:space="preserve">1 </w:t>
      </w:r>
      <w:r w:rsidRPr="00B51E05">
        <w:rPr>
          <w:b w:val="0"/>
        </w:rPr>
        <w:t>–</w:t>
      </w:r>
      <w:r w:rsidRPr="00B51E05">
        <w:t xml:space="preserve"> </w:t>
      </w:r>
      <w:r w:rsidR="00D53F39" w:rsidRPr="00B51E05">
        <w:rPr>
          <w:b w:val="0"/>
        </w:rPr>
        <w:t xml:space="preserve">More </w:t>
      </w:r>
      <w:r w:rsidR="0013200C" w:rsidRPr="00B51E05">
        <w:rPr>
          <w:b w:val="0"/>
        </w:rPr>
        <w:t>aggressive</w:t>
      </w:r>
      <w:r w:rsidR="0013200C" w:rsidRPr="0013200C">
        <w:rPr>
          <w:b w:val="0"/>
        </w:rPr>
        <w:t xml:space="preserve"> s</w:t>
      </w:r>
      <w:r w:rsidRPr="0013200C">
        <w:rPr>
          <w:b w:val="0"/>
        </w:rPr>
        <w:t>ingle</w:t>
      </w:r>
      <w:r w:rsidRPr="00E37A2E">
        <w:rPr>
          <w:b w:val="0"/>
        </w:rPr>
        <w:t xml:space="preserve"> cohort outcomes for 1980 cohort with full biennial screening. The discounted life-years per person and discounted costs are calculated with a 5% discount rate per year</w:t>
      </w:r>
      <w:r w:rsidRPr="006769E2">
        <w:rPr>
          <w:b w:val="0"/>
        </w:rPr>
        <w:t xml:space="preserve">. </w:t>
      </w:r>
      <w:r>
        <w:rPr>
          <w:b w:val="0"/>
        </w:rPr>
        <w:t>The cost-effectiveness ratio (CER)</w:t>
      </w:r>
      <w:r w:rsidRPr="006769E2">
        <w:rPr>
          <w:b w:val="0"/>
        </w:rPr>
        <w:t xml:space="preserve"> </w:t>
      </w:r>
      <w:r>
        <w:rPr>
          <w:b w:val="0"/>
        </w:rPr>
        <w:t xml:space="preserve">is then calculated as the additional cost divided by the additional life-years vs the comparator. </w:t>
      </w:r>
      <w:r w:rsidRPr="006769E2">
        <w:rPr>
          <w:b w:val="0"/>
        </w:rPr>
        <w:t xml:space="preserve">Scenario </w:t>
      </w:r>
      <w:r>
        <w:rPr>
          <w:b w:val="0"/>
        </w:rPr>
        <w:t xml:space="preserve">1 </w:t>
      </w:r>
      <w:r w:rsidR="00F822C9">
        <w:rPr>
          <w:b w:val="0"/>
        </w:rPr>
        <w:t>is</w:t>
      </w:r>
      <w:r>
        <w:rPr>
          <w:b w:val="0"/>
        </w:rPr>
        <w:t xml:space="preserve"> </w:t>
      </w:r>
      <w:proofErr w:type="gramStart"/>
      <w:r w:rsidRPr="006769E2">
        <w:rPr>
          <w:b w:val="0"/>
        </w:rPr>
        <w:t>cost-saving</w:t>
      </w:r>
      <w:proofErr w:type="gramEnd"/>
      <w:r w:rsidRPr="006769E2">
        <w:rPr>
          <w:b w:val="0"/>
        </w:rPr>
        <w:t xml:space="preserve"> and m</w:t>
      </w:r>
      <w:r>
        <w:rPr>
          <w:b w:val="0"/>
        </w:rPr>
        <w:t>ore effective</w:t>
      </w:r>
      <w:r w:rsidRPr="00E37A2E">
        <w:rPr>
          <w:b w:val="0"/>
        </w:rPr>
        <w:t>. The maximum additional discounted cost is shown; this is the maximum discounted cost per person for each scenario while remaining below a willingness-to-pay threshold of $10,000/LYS</w:t>
      </w:r>
      <w:r>
        <w:rPr>
          <w:b w:val="0"/>
        </w:rPr>
        <w:t>, $20,000/LYS, and $30,000/LYS</w:t>
      </w:r>
      <w:r w:rsidRPr="00E37A2E">
        <w:rPr>
          <w:b w:val="0"/>
        </w:rPr>
        <w:t xml:space="preserve">. </w:t>
      </w:r>
    </w:p>
    <w:tbl>
      <w:tblPr>
        <w:tblStyle w:val="TableGrid"/>
        <w:tblpPr w:leftFromText="180" w:rightFromText="180" w:vertAnchor="text" w:horzAnchor="margin" w:tblpY="180"/>
        <w:tblW w:w="9067" w:type="dxa"/>
        <w:tblLayout w:type="fixed"/>
        <w:tblLook w:val="04A0" w:firstRow="1" w:lastRow="0" w:firstColumn="1" w:lastColumn="0" w:noHBand="0" w:noVBand="1"/>
      </w:tblPr>
      <w:tblGrid>
        <w:gridCol w:w="1383"/>
        <w:gridCol w:w="2014"/>
        <w:gridCol w:w="2410"/>
        <w:gridCol w:w="3260"/>
      </w:tblGrid>
      <w:tr w:rsidR="003A30CB" w14:paraId="1EE0E5E6" w14:textId="77777777" w:rsidTr="00A7482D">
        <w:trPr>
          <w:trHeight w:val="274"/>
        </w:trPr>
        <w:tc>
          <w:tcPr>
            <w:tcW w:w="1383" w:type="dxa"/>
            <w:vMerge w:val="restart"/>
            <w:shd w:val="clear" w:color="auto" w:fill="D9D9D9" w:themeFill="background1" w:themeFillShade="D9"/>
          </w:tcPr>
          <w:p w14:paraId="02543778" w14:textId="77777777" w:rsidR="003A30CB" w:rsidRPr="006B713C" w:rsidRDefault="003A30CB" w:rsidP="00D32B03">
            <w:pPr>
              <w:keepNext/>
              <w:keepLines/>
              <w:spacing w:after="0" w:line="240" w:lineRule="auto"/>
              <w:rPr>
                <w:rFonts w:ascii="Calibri" w:eastAsia="Times New Roman" w:hAnsi="Calibri" w:cs="Times New Roman"/>
                <w:b/>
                <w:bCs/>
                <w:color w:val="000000"/>
                <w:sz w:val="20"/>
                <w:szCs w:val="20"/>
                <w:lang w:eastAsia="en-AU"/>
              </w:rPr>
            </w:pPr>
          </w:p>
        </w:tc>
        <w:tc>
          <w:tcPr>
            <w:tcW w:w="2014" w:type="dxa"/>
            <w:vMerge w:val="restart"/>
            <w:shd w:val="clear" w:color="auto" w:fill="D9D9D9" w:themeFill="background1" w:themeFillShade="D9"/>
          </w:tcPr>
          <w:p w14:paraId="73E0A413" w14:textId="77777777" w:rsidR="003A30CB" w:rsidRPr="006B713C" w:rsidRDefault="003A30CB" w:rsidP="00D32B03">
            <w:pPr>
              <w:keepNext/>
              <w:keepLines/>
              <w:spacing w:after="0" w:line="240" w:lineRule="auto"/>
              <w:rPr>
                <w:rFonts w:ascii="Calibri" w:eastAsia="Times New Roman" w:hAnsi="Calibri" w:cs="Times New Roman"/>
                <w:b/>
                <w:bCs/>
                <w:color w:val="000000"/>
                <w:sz w:val="20"/>
                <w:szCs w:val="20"/>
                <w:lang w:eastAsia="en-AU"/>
              </w:rPr>
            </w:pPr>
            <w:r w:rsidRPr="006B713C">
              <w:rPr>
                <w:rFonts w:ascii="Calibri" w:eastAsia="Times New Roman" w:hAnsi="Calibri" w:cs="Times New Roman"/>
                <w:b/>
                <w:bCs/>
                <w:color w:val="000000"/>
                <w:sz w:val="20"/>
                <w:szCs w:val="20"/>
                <w:lang w:eastAsia="en-AU"/>
              </w:rPr>
              <w:t>Discounted</w:t>
            </w:r>
            <w:r>
              <w:rPr>
                <w:rFonts w:ascii="Calibri" w:eastAsia="Times New Roman" w:hAnsi="Calibri" w:cs="Times New Roman"/>
                <w:b/>
                <w:bCs/>
                <w:color w:val="000000"/>
                <w:sz w:val="20"/>
                <w:szCs w:val="20"/>
                <w:lang w:eastAsia="en-AU"/>
              </w:rPr>
              <w:t xml:space="preserve"> life</w:t>
            </w:r>
            <w:r w:rsidRPr="006B713C">
              <w:rPr>
                <w:rFonts w:ascii="Calibri" w:eastAsia="Times New Roman" w:hAnsi="Calibri" w:cs="Times New Roman"/>
                <w:b/>
                <w:bCs/>
                <w:color w:val="000000"/>
                <w:sz w:val="20"/>
                <w:szCs w:val="20"/>
                <w:lang w:eastAsia="en-AU"/>
              </w:rPr>
              <w:t>-</w:t>
            </w:r>
            <w:r>
              <w:rPr>
                <w:rFonts w:ascii="Calibri" w:eastAsia="Times New Roman" w:hAnsi="Calibri" w:cs="Times New Roman"/>
                <w:b/>
                <w:bCs/>
                <w:color w:val="000000"/>
                <w:sz w:val="20"/>
                <w:szCs w:val="20"/>
                <w:lang w:eastAsia="en-AU"/>
              </w:rPr>
              <w:t>y</w:t>
            </w:r>
            <w:r w:rsidRPr="006B713C">
              <w:rPr>
                <w:rFonts w:ascii="Calibri" w:eastAsia="Times New Roman" w:hAnsi="Calibri" w:cs="Times New Roman"/>
                <w:b/>
                <w:bCs/>
                <w:color w:val="000000"/>
                <w:sz w:val="20"/>
                <w:szCs w:val="20"/>
                <w:lang w:eastAsia="en-AU"/>
              </w:rPr>
              <w:t>ears per person</w:t>
            </w:r>
          </w:p>
        </w:tc>
        <w:tc>
          <w:tcPr>
            <w:tcW w:w="2410" w:type="dxa"/>
            <w:vMerge w:val="restart"/>
            <w:shd w:val="clear" w:color="auto" w:fill="D9D9D9" w:themeFill="background1" w:themeFillShade="D9"/>
          </w:tcPr>
          <w:p w14:paraId="0C035090" w14:textId="77777777" w:rsidR="003A30CB" w:rsidRPr="006B713C" w:rsidRDefault="003A30CB" w:rsidP="00D32B03">
            <w:pPr>
              <w:keepNext/>
              <w:keepLines/>
              <w:spacing w:after="0" w:line="240" w:lineRule="auto"/>
              <w:rPr>
                <w:rFonts w:ascii="Calibri" w:eastAsia="Times New Roman" w:hAnsi="Calibri" w:cs="Times New Roman"/>
                <w:b/>
                <w:bCs/>
                <w:color w:val="000000"/>
                <w:sz w:val="20"/>
                <w:szCs w:val="20"/>
                <w:lang w:eastAsia="en-AU"/>
              </w:rPr>
            </w:pPr>
            <w:r w:rsidRPr="006B713C">
              <w:rPr>
                <w:rFonts w:ascii="Calibri" w:eastAsia="Times New Roman" w:hAnsi="Calibri" w:cs="Times New Roman"/>
                <w:b/>
                <w:bCs/>
                <w:color w:val="000000"/>
                <w:sz w:val="20"/>
                <w:szCs w:val="20"/>
                <w:lang w:eastAsia="en-AU"/>
              </w:rPr>
              <w:t xml:space="preserve">Discounted </w:t>
            </w:r>
            <w:r>
              <w:rPr>
                <w:rFonts w:ascii="Calibri" w:eastAsia="Times New Roman" w:hAnsi="Calibri" w:cs="Times New Roman"/>
                <w:b/>
                <w:bCs/>
                <w:color w:val="000000"/>
                <w:sz w:val="20"/>
                <w:szCs w:val="20"/>
                <w:lang w:eastAsia="en-AU"/>
              </w:rPr>
              <w:t xml:space="preserve">lifetime </w:t>
            </w:r>
            <w:r w:rsidRPr="006B713C">
              <w:rPr>
                <w:rFonts w:ascii="Calibri" w:eastAsia="Times New Roman" w:hAnsi="Calibri" w:cs="Times New Roman"/>
                <w:b/>
                <w:bCs/>
                <w:color w:val="000000"/>
                <w:sz w:val="20"/>
                <w:szCs w:val="20"/>
                <w:lang w:eastAsia="en-AU"/>
              </w:rPr>
              <w:t>cost per person</w:t>
            </w:r>
          </w:p>
        </w:tc>
        <w:tc>
          <w:tcPr>
            <w:tcW w:w="3260" w:type="dxa"/>
            <w:vMerge w:val="restart"/>
            <w:shd w:val="clear" w:color="auto" w:fill="D9D9D9" w:themeFill="background1" w:themeFillShade="D9"/>
          </w:tcPr>
          <w:p w14:paraId="7B71ADFF" w14:textId="0668BF71" w:rsidR="003A30CB" w:rsidRDefault="008E4168" w:rsidP="00D32B03">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I</w:t>
            </w:r>
            <w:r w:rsidR="00A7482D">
              <w:rPr>
                <w:rFonts w:ascii="Calibri" w:eastAsia="Times New Roman" w:hAnsi="Calibri" w:cs="Times New Roman"/>
                <w:b/>
                <w:bCs/>
                <w:color w:val="000000"/>
                <w:sz w:val="20"/>
                <w:szCs w:val="20"/>
                <w:lang w:eastAsia="en-AU"/>
              </w:rPr>
              <w:t xml:space="preserve">nterim </w:t>
            </w:r>
            <w:r w:rsidR="003A30CB" w:rsidRPr="006B713C">
              <w:rPr>
                <w:rFonts w:ascii="Calibri" w:eastAsia="Times New Roman" w:hAnsi="Calibri" w:cs="Times New Roman"/>
                <w:b/>
                <w:bCs/>
                <w:color w:val="000000"/>
                <w:sz w:val="20"/>
                <w:szCs w:val="20"/>
                <w:lang w:eastAsia="en-AU"/>
              </w:rPr>
              <w:t>CER</w:t>
            </w:r>
            <w:r w:rsidR="0056059F">
              <w:rPr>
                <w:i/>
                <w:vertAlign w:val="superscript"/>
              </w:rPr>
              <w:t xml:space="preserve"> a</w:t>
            </w:r>
          </w:p>
          <w:p w14:paraId="76365ED4" w14:textId="3CBB5BBF" w:rsidR="00A7482D" w:rsidRPr="006B713C" w:rsidRDefault="00A7482D" w:rsidP="00D32B03">
            <w:pPr>
              <w:keepNext/>
              <w:keepLines/>
              <w:spacing w:after="0" w:line="240" w:lineRule="auto"/>
              <w:rPr>
                <w:rFonts w:ascii="Calibri" w:eastAsia="Times New Roman" w:hAnsi="Calibri" w:cs="Times New Roman"/>
                <w:b/>
                <w:bCs/>
                <w:color w:val="000000"/>
                <w:sz w:val="20"/>
                <w:szCs w:val="20"/>
                <w:lang w:eastAsia="en-AU"/>
              </w:rPr>
            </w:pPr>
          </w:p>
        </w:tc>
      </w:tr>
      <w:tr w:rsidR="003A30CB" w14:paraId="2406497E" w14:textId="77777777" w:rsidTr="00A7482D">
        <w:trPr>
          <w:trHeight w:val="323"/>
        </w:trPr>
        <w:tc>
          <w:tcPr>
            <w:tcW w:w="1383" w:type="dxa"/>
            <w:vMerge/>
            <w:shd w:val="clear" w:color="auto" w:fill="D9D9D9" w:themeFill="background1" w:themeFillShade="D9"/>
          </w:tcPr>
          <w:p w14:paraId="34E07E33" w14:textId="77777777" w:rsidR="003A30CB" w:rsidRPr="006B713C" w:rsidRDefault="003A30CB" w:rsidP="00D32B03">
            <w:pPr>
              <w:keepNext/>
              <w:keepLines/>
              <w:spacing w:after="0" w:line="240" w:lineRule="auto"/>
              <w:rPr>
                <w:rFonts w:ascii="Calibri" w:eastAsia="Times New Roman" w:hAnsi="Calibri" w:cs="Times New Roman"/>
                <w:b/>
                <w:bCs/>
                <w:color w:val="000000"/>
                <w:sz w:val="20"/>
                <w:szCs w:val="20"/>
                <w:lang w:eastAsia="en-AU"/>
              </w:rPr>
            </w:pPr>
          </w:p>
        </w:tc>
        <w:tc>
          <w:tcPr>
            <w:tcW w:w="2014" w:type="dxa"/>
            <w:vMerge/>
            <w:tcBorders>
              <w:bottom w:val="single" w:sz="4" w:space="0" w:color="auto"/>
            </w:tcBorders>
            <w:shd w:val="clear" w:color="auto" w:fill="D9D9D9" w:themeFill="background1" w:themeFillShade="D9"/>
          </w:tcPr>
          <w:p w14:paraId="2356359C" w14:textId="77777777" w:rsidR="003A30CB" w:rsidRPr="006B713C" w:rsidRDefault="003A30CB" w:rsidP="00D32B03">
            <w:pPr>
              <w:keepNext/>
              <w:keepLines/>
              <w:spacing w:after="0" w:line="240" w:lineRule="auto"/>
              <w:rPr>
                <w:rFonts w:ascii="Calibri" w:eastAsia="Times New Roman" w:hAnsi="Calibri" w:cs="Times New Roman"/>
                <w:b/>
                <w:bCs/>
                <w:color w:val="000000"/>
                <w:sz w:val="20"/>
                <w:szCs w:val="20"/>
                <w:lang w:eastAsia="en-AU"/>
              </w:rPr>
            </w:pPr>
          </w:p>
        </w:tc>
        <w:tc>
          <w:tcPr>
            <w:tcW w:w="2410" w:type="dxa"/>
            <w:vMerge/>
            <w:tcBorders>
              <w:bottom w:val="single" w:sz="4" w:space="0" w:color="auto"/>
            </w:tcBorders>
            <w:shd w:val="clear" w:color="auto" w:fill="D9D9D9" w:themeFill="background1" w:themeFillShade="D9"/>
          </w:tcPr>
          <w:p w14:paraId="3D53554C" w14:textId="77777777" w:rsidR="003A30CB" w:rsidRPr="006B713C" w:rsidRDefault="003A30CB" w:rsidP="00D32B03">
            <w:pPr>
              <w:keepNext/>
              <w:keepLines/>
              <w:spacing w:after="0" w:line="240" w:lineRule="auto"/>
              <w:rPr>
                <w:rFonts w:ascii="Calibri" w:eastAsia="Times New Roman" w:hAnsi="Calibri" w:cs="Times New Roman"/>
                <w:b/>
                <w:bCs/>
                <w:color w:val="000000"/>
                <w:sz w:val="20"/>
                <w:szCs w:val="20"/>
                <w:lang w:eastAsia="en-AU"/>
              </w:rPr>
            </w:pPr>
          </w:p>
        </w:tc>
        <w:tc>
          <w:tcPr>
            <w:tcW w:w="3260" w:type="dxa"/>
            <w:vMerge/>
            <w:tcBorders>
              <w:bottom w:val="single" w:sz="4" w:space="0" w:color="auto"/>
            </w:tcBorders>
            <w:shd w:val="clear" w:color="auto" w:fill="D9D9D9" w:themeFill="background1" w:themeFillShade="D9"/>
          </w:tcPr>
          <w:p w14:paraId="40FC2438" w14:textId="77777777" w:rsidR="003A30CB" w:rsidRPr="006B713C" w:rsidRDefault="003A30CB" w:rsidP="00D32B03">
            <w:pPr>
              <w:keepNext/>
              <w:keepLines/>
              <w:spacing w:after="0" w:line="240" w:lineRule="auto"/>
              <w:rPr>
                <w:rFonts w:ascii="Calibri" w:eastAsia="Times New Roman" w:hAnsi="Calibri" w:cs="Times New Roman"/>
                <w:b/>
                <w:bCs/>
                <w:color w:val="000000"/>
                <w:sz w:val="20"/>
                <w:szCs w:val="20"/>
                <w:lang w:eastAsia="en-AU"/>
              </w:rPr>
            </w:pPr>
          </w:p>
        </w:tc>
      </w:tr>
      <w:tr w:rsidR="005C2378" w14:paraId="582C3D71" w14:textId="77777777" w:rsidTr="00A7482D">
        <w:trPr>
          <w:trHeight w:val="284"/>
        </w:trPr>
        <w:tc>
          <w:tcPr>
            <w:tcW w:w="1383" w:type="dxa"/>
            <w:shd w:val="clear" w:color="auto" w:fill="D9D9D9" w:themeFill="background1" w:themeFillShade="D9"/>
          </w:tcPr>
          <w:p w14:paraId="203E35C0" w14:textId="77777777" w:rsidR="005C2378" w:rsidRPr="006B713C" w:rsidRDefault="005C2378" w:rsidP="005C2378">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 xml:space="preserve">Comparator </w:t>
            </w:r>
          </w:p>
        </w:tc>
        <w:tc>
          <w:tcPr>
            <w:tcW w:w="2014" w:type="dxa"/>
            <w:tcBorders>
              <w:top w:val="single" w:sz="4" w:space="0" w:color="auto"/>
              <w:left w:val="nil"/>
              <w:bottom w:val="single" w:sz="4" w:space="0" w:color="auto"/>
              <w:right w:val="single" w:sz="4" w:space="0" w:color="auto"/>
            </w:tcBorders>
            <w:shd w:val="clear" w:color="auto" w:fill="auto"/>
          </w:tcPr>
          <w:p w14:paraId="0DA0CB76" w14:textId="4AB95F5C" w:rsidR="005C2378" w:rsidRPr="005908F4" w:rsidRDefault="005C2378" w:rsidP="005C2378">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37.3821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AA36FF" w14:textId="75B624BB" w:rsidR="005C2378" w:rsidRPr="005908F4" w:rsidRDefault="005C2378" w:rsidP="005C2378">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$2,302</w:t>
            </w:r>
          </w:p>
        </w:tc>
        <w:tc>
          <w:tcPr>
            <w:tcW w:w="3260" w:type="dxa"/>
            <w:tcBorders>
              <w:top w:val="single" w:sz="4" w:space="0" w:color="auto"/>
              <w:left w:val="single" w:sz="4" w:space="0" w:color="auto"/>
              <w:bottom w:val="single" w:sz="4" w:space="0" w:color="auto"/>
              <w:right w:val="single" w:sz="4" w:space="0" w:color="auto"/>
            </w:tcBorders>
          </w:tcPr>
          <w:p w14:paraId="590CB944" w14:textId="77777777" w:rsidR="005C2378" w:rsidRPr="005908F4" w:rsidRDefault="005C2378" w:rsidP="005C2378">
            <w:pPr>
              <w:keepNext/>
              <w:keepLines/>
              <w:spacing w:after="0" w:line="240" w:lineRule="auto"/>
              <w:rPr>
                <w:rFonts w:ascii="Calibri" w:hAnsi="Calibri" w:cs="Calibri"/>
                <w:color w:val="000000"/>
                <w:sz w:val="20"/>
                <w:szCs w:val="20"/>
              </w:rPr>
            </w:pPr>
            <w:r w:rsidRPr="005908F4">
              <w:rPr>
                <w:rFonts w:ascii="Calibri" w:hAnsi="Calibri" w:cs="Calibri"/>
                <w:color w:val="000000"/>
                <w:sz w:val="20"/>
                <w:szCs w:val="20"/>
              </w:rPr>
              <w:t>-</w:t>
            </w:r>
          </w:p>
        </w:tc>
      </w:tr>
      <w:tr w:rsidR="005C2378" w:rsidRPr="005908F4" w14:paraId="0D478B50" w14:textId="77777777" w:rsidTr="00A7482D">
        <w:trPr>
          <w:trHeight w:val="284"/>
        </w:trPr>
        <w:tc>
          <w:tcPr>
            <w:tcW w:w="1383" w:type="dxa"/>
            <w:shd w:val="clear" w:color="auto" w:fill="D9D9D9" w:themeFill="background1" w:themeFillShade="D9"/>
          </w:tcPr>
          <w:p w14:paraId="343E0CCA" w14:textId="77777777" w:rsidR="005C2378" w:rsidRPr="006B713C" w:rsidRDefault="005C2378" w:rsidP="005C2378">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Scenario 1</w:t>
            </w:r>
          </w:p>
        </w:tc>
        <w:tc>
          <w:tcPr>
            <w:tcW w:w="2014" w:type="dxa"/>
            <w:tcBorders>
              <w:top w:val="single" w:sz="4" w:space="0" w:color="auto"/>
              <w:left w:val="nil"/>
              <w:bottom w:val="single" w:sz="4" w:space="0" w:color="auto"/>
              <w:right w:val="single" w:sz="4" w:space="0" w:color="auto"/>
            </w:tcBorders>
            <w:shd w:val="clear" w:color="auto" w:fill="auto"/>
          </w:tcPr>
          <w:p w14:paraId="4B7D7B12" w14:textId="448C26EF" w:rsidR="005C2378" w:rsidRPr="005908F4" w:rsidRDefault="005C2378" w:rsidP="005C2378">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37.3849</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E74BA4" w14:textId="5522F62D" w:rsidR="005C2378" w:rsidRPr="005908F4" w:rsidRDefault="005C2378" w:rsidP="005C2378">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$2,278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F4D8DD8" w14:textId="7ABB8E4B" w:rsidR="005C2378" w:rsidRPr="00DD2713" w:rsidRDefault="005C2378" w:rsidP="005C2378">
            <w:pPr>
              <w:keepNext/>
              <w:keepLines/>
              <w:spacing w:after="0" w:line="240" w:lineRule="auto"/>
              <w:rPr>
                <w:rFonts w:ascii="Calibri" w:hAnsi="Calibri" w:cs="Calibri"/>
                <w:color w:val="000000"/>
                <w:sz w:val="20"/>
                <w:szCs w:val="20"/>
              </w:rPr>
            </w:pPr>
            <w:r>
              <w:rPr>
                <w:rFonts w:ascii="Calibri" w:hAnsi="Calibri" w:cs="Calibri"/>
                <w:color w:val="000000"/>
                <w:sz w:val="20"/>
                <w:szCs w:val="20"/>
              </w:rPr>
              <w:t>Cost-</w:t>
            </w:r>
            <w:proofErr w:type="spellStart"/>
            <w:r>
              <w:rPr>
                <w:rFonts w:ascii="Calibri" w:hAnsi="Calibri" w:cs="Calibri"/>
                <w:color w:val="000000"/>
                <w:sz w:val="20"/>
                <w:szCs w:val="20"/>
              </w:rPr>
              <w:t>saving</w:t>
            </w:r>
            <w:r>
              <w:rPr>
                <w:rFonts w:ascii="Calibri" w:hAnsi="Calibri" w:cs="Calibri"/>
                <w:color w:val="000000"/>
                <w:sz w:val="20"/>
                <w:szCs w:val="20"/>
                <w:vertAlign w:val="superscript"/>
              </w:rPr>
              <w:t>b</w:t>
            </w:r>
            <w:proofErr w:type="spellEnd"/>
          </w:p>
        </w:tc>
      </w:tr>
      <w:tr w:rsidR="005C2378" w:rsidRPr="005908F4" w14:paraId="505BB68F" w14:textId="77777777" w:rsidTr="00A7482D">
        <w:trPr>
          <w:trHeight w:val="284"/>
        </w:trPr>
        <w:tc>
          <w:tcPr>
            <w:tcW w:w="1383" w:type="dxa"/>
            <w:shd w:val="clear" w:color="auto" w:fill="D9D9D9" w:themeFill="background1" w:themeFillShade="D9"/>
          </w:tcPr>
          <w:p w14:paraId="3BD54472" w14:textId="084EC045" w:rsidR="005C2378" w:rsidRPr="006B713C" w:rsidRDefault="005C2378" w:rsidP="005C2378">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 xml:space="preserve">Scenario 2 </w:t>
            </w:r>
          </w:p>
        </w:tc>
        <w:tc>
          <w:tcPr>
            <w:tcW w:w="2014" w:type="dxa"/>
            <w:tcBorders>
              <w:top w:val="single" w:sz="4" w:space="0" w:color="auto"/>
              <w:left w:val="nil"/>
              <w:bottom w:val="single" w:sz="4" w:space="0" w:color="auto"/>
              <w:right w:val="single" w:sz="4" w:space="0" w:color="auto"/>
            </w:tcBorders>
            <w:shd w:val="clear" w:color="auto" w:fill="auto"/>
          </w:tcPr>
          <w:p w14:paraId="7FAF9E61" w14:textId="4FBE88D9" w:rsidR="005C2378" w:rsidRPr="005908F4" w:rsidRDefault="005C2378" w:rsidP="005C2378">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37.4015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5BEEB2" w14:textId="394B1236" w:rsidR="005C2378" w:rsidRPr="005908F4" w:rsidRDefault="005C2378" w:rsidP="005C2378">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$2,195</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54E0D517" w14:textId="23FBF48B" w:rsidR="005C2378" w:rsidRPr="005908F4" w:rsidRDefault="00F82BCA" w:rsidP="005C2378">
            <w:pPr>
              <w:keepNext/>
              <w:keepLines/>
              <w:spacing w:after="0" w:line="240" w:lineRule="auto"/>
              <w:rPr>
                <w:rFonts w:ascii="Calibri" w:hAnsi="Calibri" w:cs="Calibri"/>
                <w:color w:val="000000"/>
                <w:sz w:val="20"/>
                <w:szCs w:val="20"/>
              </w:rPr>
            </w:pPr>
            <w:r>
              <w:rPr>
                <w:rFonts w:ascii="Calibri" w:hAnsi="Calibri" w:cs="Calibri"/>
                <w:color w:val="000000"/>
                <w:sz w:val="20"/>
                <w:szCs w:val="20"/>
              </w:rPr>
              <w:t>Cost-</w:t>
            </w:r>
            <w:proofErr w:type="spellStart"/>
            <w:r>
              <w:rPr>
                <w:rFonts w:ascii="Calibri" w:hAnsi="Calibri" w:cs="Calibri"/>
                <w:color w:val="000000"/>
                <w:sz w:val="20"/>
                <w:szCs w:val="20"/>
              </w:rPr>
              <w:t>saving</w:t>
            </w:r>
            <w:r>
              <w:rPr>
                <w:rFonts w:ascii="Calibri" w:hAnsi="Calibri" w:cs="Calibri"/>
                <w:color w:val="000000"/>
                <w:sz w:val="20"/>
                <w:szCs w:val="20"/>
                <w:vertAlign w:val="superscript"/>
              </w:rPr>
              <w:t>b</w:t>
            </w:r>
            <w:proofErr w:type="spellEnd"/>
          </w:p>
        </w:tc>
      </w:tr>
      <w:tr w:rsidR="005C2378" w:rsidRPr="005908F4" w14:paraId="5956AF99" w14:textId="77777777" w:rsidTr="00A7482D">
        <w:trPr>
          <w:trHeight w:val="284"/>
        </w:trPr>
        <w:tc>
          <w:tcPr>
            <w:tcW w:w="1383" w:type="dxa"/>
            <w:shd w:val="clear" w:color="auto" w:fill="D9D9D9" w:themeFill="background1" w:themeFillShade="D9"/>
          </w:tcPr>
          <w:p w14:paraId="697778AB" w14:textId="5032D5A2" w:rsidR="005C2378" w:rsidRPr="006B713C" w:rsidRDefault="005C2378" w:rsidP="005C2378">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Scenario 3</w:t>
            </w:r>
          </w:p>
        </w:tc>
        <w:tc>
          <w:tcPr>
            <w:tcW w:w="2014" w:type="dxa"/>
            <w:tcBorders>
              <w:top w:val="single" w:sz="4" w:space="0" w:color="auto"/>
              <w:left w:val="nil"/>
              <w:bottom w:val="single" w:sz="4" w:space="0" w:color="auto"/>
              <w:right w:val="single" w:sz="4" w:space="0" w:color="auto"/>
            </w:tcBorders>
            <w:shd w:val="clear" w:color="auto" w:fill="auto"/>
          </w:tcPr>
          <w:p w14:paraId="275D2777" w14:textId="5B94C77E" w:rsidR="005C2378" w:rsidRPr="005908F4" w:rsidRDefault="005C2378" w:rsidP="005C2378">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37.4061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BFD6EC" w14:textId="6A5D9A79" w:rsidR="005C2378" w:rsidRPr="005908F4" w:rsidRDefault="005C2378" w:rsidP="005C2378">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$2,208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49A4FBA4" w14:textId="13E13125" w:rsidR="005C2378" w:rsidRPr="005908F4" w:rsidRDefault="00F82BCA" w:rsidP="005C2378">
            <w:pPr>
              <w:keepNext/>
              <w:keepLines/>
              <w:spacing w:after="0" w:line="240" w:lineRule="auto"/>
              <w:rPr>
                <w:rFonts w:ascii="Calibri" w:hAnsi="Calibri" w:cs="Calibri"/>
                <w:color w:val="000000"/>
                <w:sz w:val="20"/>
                <w:szCs w:val="20"/>
              </w:rPr>
            </w:pPr>
            <w:r>
              <w:rPr>
                <w:rFonts w:ascii="Calibri" w:hAnsi="Calibri" w:cs="Calibri"/>
                <w:color w:val="000000"/>
                <w:sz w:val="20"/>
                <w:szCs w:val="20"/>
              </w:rPr>
              <w:t>Cost-</w:t>
            </w:r>
            <w:proofErr w:type="spellStart"/>
            <w:r>
              <w:rPr>
                <w:rFonts w:ascii="Calibri" w:hAnsi="Calibri" w:cs="Calibri"/>
                <w:color w:val="000000"/>
                <w:sz w:val="20"/>
                <w:szCs w:val="20"/>
              </w:rPr>
              <w:t>saving</w:t>
            </w:r>
            <w:r>
              <w:rPr>
                <w:rFonts w:ascii="Calibri" w:hAnsi="Calibri" w:cs="Calibri"/>
                <w:color w:val="000000"/>
                <w:sz w:val="20"/>
                <w:szCs w:val="20"/>
                <w:vertAlign w:val="superscript"/>
              </w:rPr>
              <w:t>b</w:t>
            </w:r>
            <w:proofErr w:type="spellEnd"/>
          </w:p>
        </w:tc>
      </w:tr>
    </w:tbl>
    <w:p w14:paraId="3C09910F" w14:textId="77777777" w:rsidR="003A30CB" w:rsidRDefault="003A30CB" w:rsidP="00DF295F">
      <w:pPr>
        <w:keepNext/>
        <w:keepLines/>
        <w:spacing w:after="0" w:line="240" w:lineRule="auto"/>
        <w:rPr>
          <w:i/>
          <w:vertAlign w:val="superscript"/>
        </w:rPr>
      </w:pPr>
    </w:p>
    <w:p w14:paraId="561F8937" w14:textId="11AD609E" w:rsidR="0056059F" w:rsidRDefault="0056059F" w:rsidP="00DF295F">
      <w:pPr>
        <w:keepNext/>
        <w:keepLines/>
        <w:spacing w:after="0" w:line="240" w:lineRule="auto"/>
        <w:rPr>
          <w:i/>
          <w:vertAlign w:val="superscript"/>
        </w:rPr>
      </w:pPr>
      <w:r>
        <w:rPr>
          <w:i/>
          <w:vertAlign w:val="superscript"/>
        </w:rPr>
        <w:t>a</w:t>
      </w:r>
      <w:r w:rsidR="003A30CB">
        <w:rPr>
          <w:i/>
          <w:vertAlign w:val="superscript"/>
        </w:rPr>
        <w:t xml:space="preserve"> </w:t>
      </w:r>
      <w:r>
        <w:rPr>
          <w:i/>
        </w:rPr>
        <w:t xml:space="preserve">CER without considering costs related to health promotion interventions. </w:t>
      </w:r>
    </w:p>
    <w:p w14:paraId="12DFEA62" w14:textId="76A546D8" w:rsidR="0056059F" w:rsidRDefault="0056059F" w:rsidP="00DF295F">
      <w:pPr>
        <w:keepNext/>
        <w:keepLines/>
        <w:spacing w:after="0" w:line="240" w:lineRule="auto"/>
      </w:pPr>
      <w:r>
        <w:rPr>
          <w:i/>
          <w:vertAlign w:val="superscript"/>
        </w:rPr>
        <w:t xml:space="preserve">b </w:t>
      </w:r>
      <w:r w:rsidR="00080DAE">
        <w:rPr>
          <w:i/>
        </w:rPr>
        <w:t>All scenarios</w:t>
      </w:r>
      <w:r>
        <w:rPr>
          <w:i/>
        </w:rPr>
        <w:t xml:space="preserve"> </w:t>
      </w:r>
      <w:r w:rsidR="00F82BCA">
        <w:rPr>
          <w:i/>
        </w:rPr>
        <w:t>are</w:t>
      </w:r>
      <w:r w:rsidRPr="00F06197">
        <w:rPr>
          <w:i/>
        </w:rPr>
        <w:t xml:space="preserve"> cost-saving and more effective</w:t>
      </w:r>
      <w:r w:rsidR="0065136C">
        <w:rPr>
          <w:i/>
        </w:rPr>
        <w:t xml:space="preserve"> than the comparator</w:t>
      </w:r>
      <w:r>
        <w:t>.</w:t>
      </w:r>
    </w:p>
    <w:p w14:paraId="0D4D53EA" w14:textId="58E75936" w:rsidR="003A30CB" w:rsidRDefault="003A30CB" w:rsidP="003A30CB">
      <w:pPr>
        <w:keepNext/>
        <w:keepLines/>
        <w:spacing w:after="0"/>
      </w:pPr>
    </w:p>
    <w:p w14:paraId="52961AE7" w14:textId="505C62D8" w:rsidR="003A30CB" w:rsidRDefault="003A30CB" w:rsidP="0026156B">
      <w:pPr>
        <w:pStyle w:val="Caption"/>
        <w:keepNext/>
        <w:spacing w:after="0"/>
      </w:pPr>
      <w:bookmarkStart w:id="20" w:name="_Ref518635652"/>
      <w:r>
        <w:t xml:space="preserve">Table </w:t>
      </w:r>
      <w:bookmarkEnd w:id="20"/>
      <w:r w:rsidR="00B31901">
        <w:t>D</w:t>
      </w:r>
      <w:r w:rsidR="0064442B">
        <w:t xml:space="preserve">2 </w:t>
      </w:r>
      <w:r w:rsidRPr="00E37A2E">
        <w:rPr>
          <w:b w:val="0"/>
        </w:rPr>
        <w:t>–</w:t>
      </w:r>
      <w:r>
        <w:rPr>
          <w:b w:val="0"/>
        </w:rPr>
        <w:t xml:space="preserve"> </w:t>
      </w:r>
      <w:r w:rsidRPr="00E37A2E">
        <w:rPr>
          <w:b w:val="0"/>
        </w:rPr>
        <w:t xml:space="preserve">The maximum additional cost </w:t>
      </w:r>
      <w:r>
        <w:rPr>
          <w:b w:val="0"/>
        </w:rPr>
        <w:t>for each scenario while remaining under the reference WTP thresholds</w:t>
      </w:r>
      <w:r w:rsidR="00FD4D64">
        <w:rPr>
          <w:b w:val="0"/>
        </w:rPr>
        <w:t xml:space="preserve"> with </w:t>
      </w:r>
      <w:r w:rsidR="00D53F39">
        <w:rPr>
          <w:b w:val="0"/>
        </w:rPr>
        <w:t xml:space="preserve">more </w:t>
      </w:r>
      <w:r w:rsidR="00FD4D64">
        <w:rPr>
          <w:b w:val="0"/>
        </w:rPr>
        <w:t>aggressive precancer natural history assumptions</w:t>
      </w:r>
      <w:r>
        <w:rPr>
          <w:b w:val="0"/>
        </w:rPr>
        <w:t xml:space="preserve">. The maximum investment per person is the additional discounted lifetime costs; this can be thought of as a one-off undiscounted cost age 40, or a discounted cost spread across a lifetime. The maximum total is estimated using the Australian 2020 population, and assuming costs occur at age </w:t>
      </w:r>
      <w:r w:rsidR="001C2905">
        <w:rPr>
          <w:b w:val="0"/>
        </w:rPr>
        <w:t>5</w:t>
      </w:r>
      <w:r w:rsidR="00F82BCA">
        <w:rPr>
          <w:b w:val="0"/>
        </w:rPr>
        <w:t>0</w:t>
      </w:r>
      <w:r>
        <w:rPr>
          <w:b w:val="0"/>
        </w:rPr>
        <w:t xml:space="preserve">. These results are presented for </w:t>
      </w:r>
      <w:r w:rsidRPr="00E37A2E">
        <w:rPr>
          <w:b w:val="0"/>
        </w:rPr>
        <w:t>willingness-to-pay threshold</w:t>
      </w:r>
      <w:r>
        <w:rPr>
          <w:b w:val="0"/>
        </w:rPr>
        <w:t>s</w:t>
      </w:r>
      <w:r w:rsidRPr="00E37A2E">
        <w:rPr>
          <w:b w:val="0"/>
        </w:rPr>
        <w:t xml:space="preserve"> of $10,000/LYS</w:t>
      </w:r>
      <w:r>
        <w:rPr>
          <w:b w:val="0"/>
        </w:rPr>
        <w:t>, $20,000/LYS, and $30,000/LYS</w:t>
      </w:r>
      <w:r w:rsidRPr="00E37A2E">
        <w:rPr>
          <w:b w:val="0"/>
        </w:rPr>
        <w:t>.</w:t>
      </w:r>
    </w:p>
    <w:tbl>
      <w:tblPr>
        <w:tblStyle w:val="TableGrid"/>
        <w:tblpPr w:leftFromText="180" w:rightFromText="180" w:vertAnchor="text" w:horzAnchor="margin" w:tblpY="180"/>
        <w:tblW w:w="9634" w:type="dxa"/>
        <w:tblLayout w:type="fixed"/>
        <w:tblLook w:val="04A0" w:firstRow="1" w:lastRow="0" w:firstColumn="1" w:lastColumn="0" w:noHBand="0" w:noVBand="1"/>
      </w:tblPr>
      <w:tblGrid>
        <w:gridCol w:w="1129"/>
        <w:gridCol w:w="1418"/>
        <w:gridCol w:w="1388"/>
        <w:gridCol w:w="1305"/>
        <w:gridCol w:w="1464"/>
        <w:gridCol w:w="1465"/>
        <w:gridCol w:w="1465"/>
      </w:tblGrid>
      <w:tr w:rsidR="003A30CB" w14:paraId="596A6C9C" w14:textId="77777777" w:rsidTr="00D32B03">
        <w:trPr>
          <w:trHeight w:val="274"/>
        </w:trPr>
        <w:tc>
          <w:tcPr>
            <w:tcW w:w="1129" w:type="dxa"/>
            <w:vMerge w:val="restart"/>
            <w:shd w:val="clear" w:color="auto" w:fill="D9D9D9" w:themeFill="background1" w:themeFillShade="D9"/>
          </w:tcPr>
          <w:p w14:paraId="6392EFC0" w14:textId="77777777" w:rsidR="003A30CB" w:rsidRPr="006B713C" w:rsidRDefault="003A30CB" w:rsidP="00D32B03">
            <w:pPr>
              <w:keepNext/>
              <w:keepLines/>
              <w:spacing w:after="0" w:line="240" w:lineRule="auto"/>
              <w:rPr>
                <w:rFonts w:ascii="Calibri" w:eastAsia="Times New Roman" w:hAnsi="Calibri" w:cs="Times New Roman"/>
                <w:b/>
                <w:bCs/>
                <w:color w:val="000000"/>
                <w:sz w:val="20"/>
                <w:szCs w:val="20"/>
                <w:lang w:eastAsia="en-AU"/>
              </w:rPr>
            </w:pPr>
          </w:p>
        </w:tc>
        <w:tc>
          <w:tcPr>
            <w:tcW w:w="4111" w:type="dxa"/>
            <w:gridSpan w:val="3"/>
            <w:tcBorders>
              <w:bottom w:val="single" w:sz="4" w:space="0" w:color="auto"/>
            </w:tcBorders>
            <w:shd w:val="clear" w:color="auto" w:fill="D9D9D9" w:themeFill="background1" w:themeFillShade="D9"/>
          </w:tcPr>
          <w:p w14:paraId="17047ECE" w14:textId="77777777" w:rsidR="003A30CB" w:rsidRPr="00253EA7" w:rsidRDefault="003A30CB" w:rsidP="00D32B03">
            <w:pPr>
              <w:keepNext/>
              <w:keepLines/>
              <w:spacing w:after="0" w:line="240" w:lineRule="auto"/>
              <w:rPr>
                <w:rFonts w:ascii="Calibri" w:eastAsia="Times New Roman" w:hAnsi="Calibri" w:cs="Times New Roman"/>
                <w:b/>
                <w:bCs/>
                <w:color w:val="000000"/>
                <w:sz w:val="20"/>
                <w:szCs w:val="20"/>
                <w:lang w:eastAsia="en-AU"/>
              </w:rPr>
            </w:pPr>
            <w:r w:rsidRPr="00253EA7">
              <w:rPr>
                <w:rFonts w:ascii="Calibri" w:eastAsia="Times New Roman" w:hAnsi="Calibri" w:cs="Times New Roman"/>
                <w:b/>
                <w:bCs/>
                <w:color w:val="000000"/>
                <w:sz w:val="20"/>
                <w:szCs w:val="20"/>
                <w:lang w:eastAsia="en-AU"/>
              </w:rPr>
              <w:t>Maximum investment per person under WTP threshold (AUD)</w:t>
            </w:r>
          </w:p>
        </w:tc>
        <w:tc>
          <w:tcPr>
            <w:tcW w:w="4394" w:type="dxa"/>
            <w:gridSpan w:val="3"/>
            <w:tcBorders>
              <w:bottom w:val="single" w:sz="4" w:space="0" w:color="auto"/>
            </w:tcBorders>
            <w:shd w:val="clear" w:color="auto" w:fill="D9D9D9" w:themeFill="background1" w:themeFillShade="D9"/>
          </w:tcPr>
          <w:p w14:paraId="22816773" w14:textId="77777777" w:rsidR="003A30CB" w:rsidRPr="00253EA7" w:rsidRDefault="003A30CB" w:rsidP="00D32B03">
            <w:pPr>
              <w:keepNext/>
              <w:keepLines/>
              <w:spacing w:after="0" w:line="240" w:lineRule="auto"/>
              <w:rPr>
                <w:rFonts w:ascii="Calibri" w:eastAsia="Times New Roman" w:hAnsi="Calibri" w:cs="Times New Roman"/>
                <w:b/>
                <w:bCs/>
                <w:color w:val="000000"/>
                <w:sz w:val="20"/>
                <w:szCs w:val="20"/>
                <w:lang w:eastAsia="en-AU"/>
              </w:rPr>
            </w:pPr>
            <w:r w:rsidRPr="00253EA7">
              <w:rPr>
                <w:rFonts w:ascii="Calibri" w:eastAsia="Times New Roman" w:hAnsi="Calibri" w:cs="Times New Roman"/>
                <w:b/>
                <w:bCs/>
                <w:color w:val="000000"/>
                <w:sz w:val="20"/>
                <w:szCs w:val="20"/>
                <w:lang w:eastAsia="en-AU"/>
              </w:rPr>
              <w:t>Maximum investment total under WTP threshold (AUD, millions)</w:t>
            </w:r>
          </w:p>
        </w:tc>
      </w:tr>
      <w:tr w:rsidR="003A30CB" w14:paraId="76954BC5" w14:textId="77777777" w:rsidTr="00D32B03">
        <w:trPr>
          <w:trHeight w:val="323"/>
        </w:trPr>
        <w:tc>
          <w:tcPr>
            <w:tcW w:w="1129" w:type="dxa"/>
            <w:vMerge/>
            <w:shd w:val="clear" w:color="auto" w:fill="D9D9D9" w:themeFill="background1" w:themeFillShade="D9"/>
          </w:tcPr>
          <w:p w14:paraId="62D58199" w14:textId="77777777" w:rsidR="003A30CB" w:rsidRPr="006B713C" w:rsidRDefault="003A30CB" w:rsidP="00D32B03">
            <w:pPr>
              <w:keepNext/>
              <w:keepLines/>
              <w:spacing w:after="0" w:line="240" w:lineRule="auto"/>
              <w:rPr>
                <w:rFonts w:ascii="Calibri" w:eastAsia="Times New Roman" w:hAnsi="Calibri" w:cs="Times New Roman"/>
                <w:b/>
                <w:bCs/>
                <w:color w:val="000000"/>
                <w:sz w:val="20"/>
                <w:szCs w:val="20"/>
                <w:lang w:eastAsia="en-AU"/>
              </w:rPr>
            </w:pPr>
          </w:p>
        </w:tc>
        <w:tc>
          <w:tcPr>
            <w:tcW w:w="1418" w:type="dxa"/>
            <w:tcBorders>
              <w:bottom w:val="single" w:sz="4" w:space="0" w:color="auto"/>
            </w:tcBorders>
            <w:shd w:val="clear" w:color="auto" w:fill="D9D9D9" w:themeFill="background1" w:themeFillShade="D9"/>
          </w:tcPr>
          <w:p w14:paraId="33D9BE1F" w14:textId="77777777" w:rsidR="003A30CB" w:rsidRPr="006B713C" w:rsidRDefault="003A30CB" w:rsidP="00D32B03">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$10,000/LYS</w:t>
            </w:r>
          </w:p>
        </w:tc>
        <w:tc>
          <w:tcPr>
            <w:tcW w:w="1388" w:type="dxa"/>
            <w:tcBorders>
              <w:bottom w:val="single" w:sz="4" w:space="0" w:color="auto"/>
            </w:tcBorders>
            <w:shd w:val="clear" w:color="auto" w:fill="D9D9D9" w:themeFill="background1" w:themeFillShade="D9"/>
          </w:tcPr>
          <w:p w14:paraId="435F888C" w14:textId="77777777" w:rsidR="003A30CB" w:rsidRDefault="003A30CB" w:rsidP="00D32B03">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$20,000/LYS</w:t>
            </w:r>
          </w:p>
        </w:tc>
        <w:tc>
          <w:tcPr>
            <w:tcW w:w="1305" w:type="dxa"/>
            <w:tcBorders>
              <w:bottom w:val="single" w:sz="4" w:space="0" w:color="auto"/>
            </w:tcBorders>
            <w:shd w:val="clear" w:color="auto" w:fill="D9D9D9" w:themeFill="background1" w:themeFillShade="D9"/>
          </w:tcPr>
          <w:p w14:paraId="4306422B" w14:textId="77777777" w:rsidR="003A30CB" w:rsidRDefault="003A30CB" w:rsidP="00D32B03">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$30,000/LYS</w:t>
            </w:r>
          </w:p>
        </w:tc>
        <w:tc>
          <w:tcPr>
            <w:tcW w:w="1464" w:type="dxa"/>
            <w:tcBorders>
              <w:bottom w:val="single" w:sz="4" w:space="0" w:color="auto"/>
            </w:tcBorders>
            <w:shd w:val="clear" w:color="auto" w:fill="D9D9D9" w:themeFill="background1" w:themeFillShade="D9"/>
          </w:tcPr>
          <w:p w14:paraId="62254742" w14:textId="77777777" w:rsidR="003A30CB" w:rsidRDefault="003A30CB" w:rsidP="00D32B03">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$10,000/LYS</w:t>
            </w:r>
          </w:p>
        </w:tc>
        <w:tc>
          <w:tcPr>
            <w:tcW w:w="1465" w:type="dxa"/>
            <w:tcBorders>
              <w:bottom w:val="single" w:sz="4" w:space="0" w:color="auto"/>
            </w:tcBorders>
            <w:shd w:val="clear" w:color="auto" w:fill="D9D9D9" w:themeFill="background1" w:themeFillShade="D9"/>
          </w:tcPr>
          <w:p w14:paraId="4B2B8E6F" w14:textId="77777777" w:rsidR="003A30CB" w:rsidRPr="006B713C" w:rsidRDefault="003A30CB" w:rsidP="00D32B03">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$20,000/LYS</w:t>
            </w:r>
          </w:p>
        </w:tc>
        <w:tc>
          <w:tcPr>
            <w:tcW w:w="1465" w:type="dxa"/>
            <w:tcBorders>
              <w:bottom w:val="single" w:sz="4" w:space="0" w:color="auto"/>
            </w:tcBorders>
            <w:shd w:val="clear" w:color="auto" w:fill="D9D9D9" w:themeFill="background1" w:themeFillShade="D9"/>
          </w:tcPr>
          <w:p w14:paraId="610421E6" w14:textId="77777777" w:rsidR="003A30CB" w:rsidRPr="006B713C" w:rsidRDefault="003A30CB" w:rsidP="00D32B03">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$30,000/LYS</w:t>
            </w:r>
          </w:p>
        </w:tc>
      </w:tr>
      <w:tr w:rsidR="00F82BCA" w:rsidRPr="005908F4" w14:paraId="20BC867F" w14:textId="77777777" w:rsidTr="00253EA7">
        <w:trPr>
          <w:trHeight w:val="284"/>
        </w:trPr>
        <w:tc>
          <w:tcPr>
            <w:tcW w:w="1129" w:type="dxa"/>
            <w:shd w:val="clear" w:color="auto" w:fill="D9D9D9" w:themeFill="background1" w:themeFillShade="D9"/>
          </w:tcPr>
          <w:p w14:paraId="5888AEE3" w14:textId="77777777" w:rsidR="00F82BCA" w:rsidRPr="006B713C" w:rsidRDefault="00F82BCA" w:rsidP="00F82BCA">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Scenario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EAA3114" w14:textId="41271835"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$53.49</w:t>
            </w:r>
          </w:p>
        </w:tc>
        <w:tc>
          <w:tcPr>
            <w:tcW w:w="1388" w:type="dxa"/>
            <w:tcBorders>
              <w:top w:val="single" w:sz="4" w:space="0" w:color="auto"/>
              <w:left w:val="single" w:sz="4" w:space="0" w:color="auto"/>
              <w:bottom w:val="single" w:sz="4" w:space="0" w:color="auto"/>
              <w:right w:val="single" w:sz="4" w:space="0" w:color="auto"/>
            </w:tcBorders>
            <w:vAlign w:val="bottom"/>
          </w:tcPr>
          <w:p w14:paraId="32299459" w14:textId="10D47072"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$82.21</w:t>
            </w:r>
          </w:p>
        </w:tc>
        <w:tc>
          <w:tcPr>
            <w:tcW w:w="1305" w:type="dxa"/>
            <w:tcBorders>
              <w:top w:val="single" w:sz="4" w:space="0" w:color="auto"/>
              <w:left w:val="single" w:sz="4" w:space="0" w:color="auto"/>
              <w:bottom w:val="single" w:sz="4" w:space="0" w:color="auto"/>
              <w:right w:val="single" w:sz="4" w:space="0" w:color="auto"/>
            </w:tcBorders>
            <w:vAlign w:val="bottom"/>
          </w:tcPr>
          <w:p w14:paraId="002CEA23" w14:textId="10B43B87"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$110.93</w:t>
            </w:r>
          </w:p>
        </w:tc>
        <w:tc>
          <w:tcPr>
            <w:tcW w:w="1464" w:type="dxa"/>
            <w:tcBorders>
              <w:top w:val="single" w:sz="4" w:space="0" w:color="auto"/>
              <w:left w:val="single" w:sz="4" w:space="0" w:color="auto"/>
              <w:bottom w:val="single" w:sz="4" w:space="0" w:color="auto"/>
              <w:right w:val="single" w:sz="4" w:space="0" w:color="auto"/>
            </w:tcBorders>
            <w:vAlign w:val="bottom"/>
          </w:tcPr>
          <w:p w14:paraId="561EDEFC" w14:textId="6E23E8A6"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$18.59</w:t>
            </w:r>
          </w:p>
        </w:tc>
        <w:tc>
          <w:tcPr>
            <w:tcW w:w="1465" w:type="dxa"/>
            <w:tcBorders>
              <w:top w:val="single" w:sz="4" w:space="0" w:color="auto"/>
              <w:left w:val="single" w:sz="4" w:space="0" w:color="auto"/>
              <w:bottom w:val="single" w:sz="4" w:space="0" w:color="auto"/>
              <w:right w:val="single" w:sz="4" w:space="0" w:color="auto"/>
            </w:tcBorders>
            <w:vAlign w:val="bottom"/>
          </w:tcPr>
          <w:p w14:paraId="795D5212" w14:textId="7F253D91"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$28.58</w:t>
            </w:r>
          </w:p>
        </w:tc>
        <w:tc>
          <w:tcPr>
            <w:tcW w:w="1465" w:type="dxa"/>
            <w:tcBorders>
              <w:top w:val="single" w:sz="4" w:space="0" w:color="auto"/>
              <w:left w:val="single" w:sz="4" w:space="0" w:color="auto"/>
              <w:bottom w:val="single" w:sz="4" w:space="0" w:color="auto"/>
              <w:right w:val="single" w:sz="4" w:space="0" w:color="auto"/>
            </w:tcBorders>
            <w:vAlign w:val="bottom"/>
          </w:tcPr>
          <w:p w14:paraId="0C2273AE" w14:textId="72944D28"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$38.56</w:t>
            </w:r>
          </w:p>
        </w:tc>
      </w:tr>
      <w:tr w:rsidR="00F82BCA" w:rsidRPr="005908F4" w14:paraId="115932AE" w14:textId="77777777" w:rsidTr="00253EA7">
        <w:trPr>
          <w:trHeight w:val="284"/>
        </w:trPr>
        <w:tc>
          <w:tcPr>
            <w:tcW w:w="1129" w:type="dxa"/>
            <w:shd w:val="clear" w:color="auto" w:fill="D9D9D9" w:themeFill="background1" w:themeFillShade="D9"/>
          </w:tcPr>
          <w:p w14:paraId="31881621" w14:textId="15593FD6" w:rsidR="00F82BCA" w:rsidRPr="006B713C" w:rsidRDefault="00F82BCA" w:rsidP="00F82BCA">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 xml:space="preserve">Scenario 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CC5C45B" w14:textId="13D872D6"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$301.97</w:t>
            </w:r>
          </w:p>
        </w:tc>
        <w:tc>
          <w:tcPr>
            <w:tcW w:w="1388" w:type="dxa"/>
            <w:tcBorders>
              <w:top w:val="single" w:sz="4" w:space="0" w:color="auto"/>
              <w:left w:val="single" w:sz="4" w:space="0" w:color="auto"/>
              <w:bottom w:val="single" w:sz="4" w:space="0" w:color="auto"/>
              <w:right w:val="single" w:sz="4" w:space="0" w:color="auto"/>
            </w:tcBorders>
            <w:vAlign w:val="bottom"/>
          </w:tcPr>
          <w:p w14:paraId="5A0AC521" w14:textId="40EA8F12"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$496.23</w:t>
            </w:r>
          </w:p>
        </w:tc>
        <w:tc>
          <w:tcPr>
            <w:tcW w:w="1305" w:type="dxa"/>
            <w:tcBorders>
              <w:top w:val="single" w:sz="4" w:space="0" w:color="auto"/>
              <w:left w:val="single" w:sz="4" w:space="0" w:color="auto"/>
              <w:bottom w:val="single" w:sz="4" w:space="0" w:color="auto"/>
              <w:right w:val="single" w:sz="4" w:space="0" w:color="auto"/>
            </w:tcBorders>
            <w:vAlign w:val="bottom"/>
          </w:tcPr>
          <w:p w14:paraId="6A39564E" w14:textId="6D5C7412"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$690.49</w:t>
            </w:r>
          </w:p>
        </w:tc>
        <w:tc>
          <w:tcPr>
            <w:tcW w:w="1464" w:type="dxa"/>
            <w:tcBorders>
              <w:top w:val="single" w:sz="4" w:space="0" w:color="auto"/>
              <w:left w:val="single" w:sz="4" w:space="0" w:color="auto"/>
              <w:bottom w:val="single" w:sz="4" w:space="0" w:color="auto"/>
              <w:right w:val="single" w:sz="4" w:space="0" w:color="auto"/>
            </w:tcBorders>
            <w:vAlign w:val="bottom"/>
          </w:tcPr>
          <w:p w14:paraId="34B0EDF1" w14:textId="72A11240"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$104.97</w:t>
            </w:r>
          </w:p>
        </w:tc>
        <w:tc>
          <w:tcPr>
            <w:tcW w:w="1465" w:type="dxa"/>
            <w:tcBorders>
              <w:top w:val="single" w:sz="4" w:space="0" w:color="auto"/>
              <w:left w:val="single" w:sz="4" w:space="0" w:color="auto"/>
              <w:bottom w:val="single" w:sz="4" w:space="0" w:color="auto"/>
              <w:right w:val="single" w:sz="4" w:space="0" w:color="auto"/>
            </w:tcBorders>
            <w:vAlign w:val="bottom"/>
          </w:tcPr>
          <w:p w14:paraId="02A4F6D8" w14:textId="52B7DC89"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$172.49</w:t>
            </w:r>
          </w:p>
        </w:tc>
        <w:tc>
          <w:tcPr>
            <w:tcW w:w="1465" w:type="dxa"/>
            <w:tcBorders>
              <w:top w:val="single" w:sz="4" w:space="0" w:color="auto"/>
              <w:left w:val="single" w:sz="4" w:space="0" w:color="auto"/>
              <w:bottom w:val="single" w:sz="4" w:space="0" w:color="auto"/>
              <w:right w:val="single" w:sz="4" w:space="0" w:color="auto"/>
            </w:tcBorders>
            <w:vAlign w:val="bottom"/>
          </w:tcPr>
          <w:p w14:paraId="0D9E6A1A" w14:textId="3E60EC1F"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$240.01</w:t>
            </w:r>
          </w:p>
        </w:tc>
      </w:tr>
      <w:tr w:rsidR="00F82BCA" w:rsidRPr="005908F4" w14:paraId="1DE8E716" w14:textId="77777777" w:rsidTr="00253EA7">
        <w:trPr>
          <w:trHeight w:val="284"/>
        </w:trPr>
        <w:tc>
          <w:tcPr>
            <w:tcW w:w="1129" w:type="dxa"/>
            <w:shd w:val="clear" w:color="auto" w:fill="D9D9D9" w:themeFill="background1" w:themeFillShade="D9"/>
          </w:tcPr>
          <w:p w14:paraId="25F9EF6A" w14:textId="1BF2A4D9" w:rsidR="00F82BCA" w:rsidRPr="006B713C" w:rsidRDefault="00F82BCA" w:rsidP="00F82BCA">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Scenario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06283D0" w14:textId="71BA3D74"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$334.11</w:t>
            </w:r>
          </w:p>
        </w:tc>
        <w:tc>
          <w:tcPr>
            <w:tcW w:w="1388" w:type="dxa"/>
            <w:tcBorders>
              <w:top w:val="single" w:sz="4" w:space="0" w:color="auto"/>
              <w:left w:val="single" w:sz="4" w:space="0" w:color="auto"/>
              <w:bottom w:val="single" w:sz="4" w:space="0" w:color="auto"/>
              <w:right w:val="single" w:sz="4" w:space="0" w:color="auto"/>
            </w:tcBorders>
            <w:vAlign w:val="bottom"/>
          </w:tcPr>
          <w:p w14:paraId="5E676EEB" w14:textId="017F6E39"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$574.05</w:t>
            </w:r>
          </w:p>
        </w:tc>
        <w:tc>
          <w:tcPr>
            <w:tcW w:w="1305" w:type="dxa"/>
            <w:tcBorders>
              <w:top w:val="single" w:sz="4" w:space="0" w:color="auto"/>
              <w:left w:val="single" w:sz="4" w:space="0" w:color="auto"/>
              <w:bottom w:val="single" w:sz="4" w:space="0" w:color="auto"/>
              <w:right w:val="single" w:sz="4" w:space="0" w:color="auto"/>
            </w:tcBorders>
            <w:vAlign w:val="bottom"/>
          </w:tcPr>
          <w:p w14:paraId="41171B98" w14:textId="0EDDCD91"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$813.99</w:t>
            </w:r>
          </w:p>
        </w:tc>
        <w:tc>
          <w:tcPr>
            <w:tcW w:w="1464" w:type="dxa"/>
            <w:tcBorders>
              <w:top w:val="single" w:sz="4" w:space="0" w:color="auto"/>
              <w:left w:val="single" w:sz="4" w:space="0" w:color="auto"/>
              <w:bottom w:val="single" w:sz="4" w:space="0" w:color="auto"/>
              <w:right w:val="single" w:sz="4" w:space="0" w:color="auto"/>
            </w:tcBorders>
            <w:vAlign w:val="bottom"/>
          </w:tcPr>
          <w:p w14:paraId="2E8A5F80" w14:textId="28461B76"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$116.14</w:t>
            </w:r>
          </w:p>
        </w:tc>
        <w:tc>
          <w:tcPr>
            <w:tcW w:w="1465" w:type="dxa"/>
            <w:tcBorders>
              <w:top w:val="single" w:sz="4" w:space="0" w:color="auto"/>
              <w:left w:val="single" w:sz="4" w:space="0" w:color="auto"/>
              <w:bottom w:val="single" w:sz="4" w:space="0" w:color="auto"/>
              <w:right w:val="single" w:sz="4" w:space="0" w:color="auto"/>
            </w:tcBorders>
            <w:vAlign w:val="bottom"/>
          </w:tcPr>
          <w:p w14:paraId="0D7E7DB5" w14:textId="24983B3C"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$199.54</w:t>
            </w:r>
          </w:p>
        </w:tc>
        <w:tc>
          <w:tcPr>
            <w:tcW w:w="1465" w:type="dxa"/>
            <w:tcBorders>
              <w:top w:val="single" w:sz="4" w:space="0" w:color="auto"/>
              <w:left w:val="single" w:sz="4" w:space="0" w:color="auto"/>
              <w:bottom w:val="single" w:sz="4" w:space="0" w:color="auto"/>
              <w:right w:val="single" w:sz="4" w:space="0" w:color="auto"/>
            </w:tcBorders>
            <w:vAlign w:val="bottom"/>
          </w:tcPr>
          <w:p w14:paraId="48A931D0" w14:textId="274F2D04" w:rsidR="00F82BCA" w:rsidRPr="0008594F"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$282.94</w:t>
            </w:r>
          </w:p>
        </w:tc>
      </w:tr>
    </w:tbl>
    <w:p w14:paraId="7277259C" w14:textId="13D48CD5" w:rsidR="003A30CB" w:rsidRDefault="003A30CB" w:rsidP="000736B8"/>
    <w:p w14:paraId="0E1192D5" w14:textId="2C4C47FD" w:rsidR="0013200C" w:rsidRPr="00E37A2E" w:rsidRDefault="0013200C" w:rsidP="0013200C">
      <w:pPr>
        <w:pStyle w:val="Caption"/>
        <w:keepNext/>
        <w:keepLines/>
        <w:spacing w:after="0"/>
        <w:rPr>
          <w:b w:val="0"/>
        </w:rPr>
      </w:pPr>
      <w:r>
        <w:t xml:space="preserve">Table </w:t>
      </w:r>
      <w:r w:rsidR="00B31901">
        <w:t>D</w:t>
      </w:r>
      <w:r>
        <w:t xml:space="preserve">3 </w:t>
      </w:r>
      <w:r w:rsidRPr="00E37A2E">
        <w:rPr>
          <w:b w:val="0"/>
        </w:rPr>
        <w:t>–</w:t>
      </w:r>
      <w:r>
        <w:t xml:space="preserve"> </w:t>
      </w:r>
      <w:r w:rsidR="00D53F39">
        <w:rPr>
          <w:b w:val="0"/>
        </w:rPr>
        <w:t>Less</w:t>
      </w:r>
      <w:r w:rsidR="00D53F39" w:rsidRPr="0013200C">
        <w:rPr>
          <w:b w:val="0"/>
        </w:rPr>
        <w:t xml:space="preserve"> </w:t>
      </w:r>
      <w:r w:rsidRPr="0013200C">
        <w:rPr>
          <w:b w:val="0"/>
        </w:rPr>
        <w:t>aggressive</w:t>
      </w:r>
      <w:r>
        <w:rPr>
          <w:b w:val="0"/>
        </w:rPr>
        <w:t xml:space="preserve"> natural history</w:t>
      </w:r>
      <w:r w:rsidRPr="0013200C">
        <w:rPr>
          <w:b w:val="0"/>
        </w:rPr>
        <w:t xml:space="preserve"> single</w:t>
      </w:r>
      <w:r w:rsidRPr="00E37A2E">
        <w:rPr>
          <w:b w:val="0"/>
        </w:rPr>
        <w:t xml:space="preserve"> cohort outcomes for 1980 cohort with full biennial screening. The discounted life-years per person and discounted costs are calculated with a 5% discount rate per year</w:t>
      </w:r>
      <w:r w:rsidRPr="006769E2">
        <w:rPr>
          <w:b w:val="0"/>
        </w:rPr>
        <w:t xml:space="preserve">. </w:t>
      </w:r>
      <w:r>
        <w:rPr>
          <w:b w:val="0"/>
        </w:rPr>
        <w:t>The cost-effectiveness ratio (CER)</w:t>
      </w:r>
      <w:r w:rsidRPr="006769E2">
        <w:rPr>
          <w:b w:val="0"/>
        </w:rPr>
        <w:t xml:space="preserve"> </w:t>
      </w:r>
      <w:r>
        <w:rPr>
          <w:b w:val="0"/>
        </w:rPr>
        <w:t xml:space="preserve">is then calculated as the additional cost divided by the additional life-years vs the comparator. </w:t>
      </w:r>
      <w:r w:rsidRPr="006769E2">
        <w:rPr>
          <w:b w:val="0"/>
        </w:rPr>
        <w:t xml:space="preserve">Scenario </w:t>
      </w:r>
      <w:r>
        <w:rPr>
          <w:b w:val="0"/>
        </w:rPr>
        <w:t xml:space="preserve">1 is </w:t>
      </w:r>
      <w:proofErr w:type="gramStart"/>
      <w:r w:rsidRPr="006769E2">
        <w:rPr>
          <w:b w:val="0"/>
        </w:rPr>
        <w:t>cost-saving</w:t>
      </w:r>
      <w:proofErr w:type="gramEnd"/>
      <w:r w:rsidRPr="006769E2">
        <w:rPr>
          <w:b w:val="0"/>
        </w:rPr>
        <w:t xml:space="preserve"> and m</w:t>
      </w:r>
      <w:r>
        <w:rPr>
          <w:b w:val="0"/>
        </w:rPr>
        <w:t>ore effective</w:t>
      </w:r>
      <w:r w:rsidRPr="00E37A2E">
        <w:rPr>
          <w:b w:val="0"/>
        </w:rPr>
        <w:t>. The maximum additional discounted cost is shown; this is the maximum discounted cost per person for each scenario while remaining below a willingness-to-pay threshold of $10,000/LYS</w:t>
      </w:r>
      <w:r>
        <w:rPr>
          <w:b w:val="0"/>
        </w:rPr>
        <w:t>, $20,000/LYS, and $30,000/LYS</w:t>
      </w:r>
      <w:r w:rsidRPr="00E37A2E">
        <w:rPr>
          <w:b w:val="0"/>
        </w:rPr>
        <w:t xml:space="preserve">. </w:t>
      </w:r>
    </w:p>
    <w:tbl>
      <w:tblPr>
        <w:tblStyle w:val="TableGrid"/>
        <w:tblpPr w:leftFromText="180" w:rightFromText="180" w:vertAnchor="text" w:horzAnchor="margin" w:tblpY="180"/>
        <w:tblW w:w="9067" w:type="dxa"/>
        <w:tblLayout w:type="fixed"/>
        <w:tblLook w:val="04A0" w:firstRow="1" w:lastRow="0" w:firstColumn="1" w:lastColumn="0" w:noHBand="0" w:noVBand="1"/>
      </w:tblPr>
      <w:tblGrid>
        <w:gridCol w:w="1383"/>
        <w:gridCol w:w="2014"/>
        <w:gridCol w:w="2410"/>
        <w:gridCol w:w="3260"/>
      </w:tblGrid>
      <w:tr w:rsidR="0013200C" w14:paraId="533483FE" w14:textId="77777777" w:rsidTr="0013200C">
        <w:trPr>
          <w:trHeight w:val="274"/>
        </w:trPr>
        <w:tc>
          <w:tcPr>
            <w:tcW w:w="1383" w:type="dxa"/>
            <w:vMerge w:val="restart"/>
            <w:shd w:val="clear" w:color="auto" w:fill="D9D9D9" w:themeFill="background1" w:themeFillShade="D9"/>
          </w:tcPr>
          <w:p w14:paraId="533AB8BD"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p>
        </w:tc>
        <w:tc>
          <w:tcPr>
            <w:tcW w:w="2014" w:type="dxa"/>
            <w:vMerge w:val="restart"/>
            <w:shd w:val="clear" w:color="auto" w:fill="D9D9D9" w:themeFill="background1" w:themeFillShade="D9"/>
          </w:tcPr>
          <w:p w14:paraId="0ECE0FD1"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r w:rsidRPr="006B713C">
              <w:rPr>
                <w:rFonts w:ascii="Calibri" w:eastAsia="Times New Roman" w:hAnsi="Calibri" w:cs="Times New Roman"/>
                <w:b/>
                <w:bCs/>
                <w:color w:val="000000"/>
                <w:sz w:val="20"/>
                <w:szCs w:val="20"/>
                <w:lang w:eastAsia="en-AU"/>
              </w:rPr>
              <w:t>Discounted</w:t>
            </w:r>
            <w:r>
              <w:rPr>
                <w:rFonts w:ascii="Calibri" w:eastAsia="Times New Roman" w:hAnsi="Calibri" w:cs="Times New Roman"/>
                <w:b/>
                <w:bCs/>
                <w:color w:val="000000"/>
                <w:sz w:val="20"/>
                <w:szCs w:val="20"/>
                <w:lang w:eastAsia="en-AU"/>
              </w:rPr>
              <w:t xml:space="preserve"> life</w:t>
            </w:r>
            <w:r w:rsidRPr="006B713C">
              <w:rPr>
                <w:rFonts w:ascii="Calibri" w:eastAsia="Times New Roman" w:hAnsi="Calibri" w:cs="Times New Roman"/>
                <w:b/>
                <w:bCs/>
                <w:color w:val="000000"/>
                <w:sz w:val="20"/>
                <w:szCs w:val="20"/>
                <w:lang w:eastAsia="en-AU"/>
              </w:rPr>
              <w:t>-</w:t>
            </w:r>
            <w:r>
              <w:rPr>
                <w:rFonts w:ascii="Calibri" w:eastAsia="Times New Roman" w:hAnsi="Calibri" w:cs="Times New Roman"/>
                <w:b/>
                <w:bCs/>
                <w:color w:val="000000"/>
                <w:sz w:val="20"/>
                <w:szCs w:val="20"/>
                <w:lang w:eastAsia="en-AU"/>
              </w:rPr>
              <w:t>y</w:t>
            </w:r>
            <w:r w:rsidRPr="006B713C">
              <w:rPr>
                <w:rFonts w:ascii="Calibri" w:eastAsia="Times New Roman" w:hAnsi="Calibri" w:cs="Times New Roman"/>
                <w:b/>
                <w:bCs/>
                <w:color w:val="000000"/>
                <w:sz w:val="20"/>
                <w:szCs w:val="20"/>
                <w:lang w:eastAsia="en-AU"/>
              </w:rPr>
              <w:t>ears per person</w:t>
            </w:r>
          </w:p>
        </w:tc>
        <w:tc>
          <w:tcPr>
            <w:tcW w:w="2410" w:type="dxa"/>
            <w:vMerge w:val="restart"/>
            <w:shd w:val="clear" w:color="auto" w:fill="D9D9D9" w:themeFill="background1" w:themeFillShade="D9"/>
          </w:tcPr>
          <w:p w14:paraId="124180A6"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r w:rsidRPr="006B713C">
              <w:rPr>
                <w:rFonts w:ascii="Calibri" w:eastAsia="Times New Roman" w:hAnsi="Calibri" w:cs="Times New Roman"/>
                <w:b/>
                <w:bCs/>
                <w:color w:val="000000"/>
                <w:sz w:val="20"/>
                <w:szCs w:val="20"/>
                <w:lang w:eastAsia="en-AU"/>
              </w:rPr>
              <w:t xml:space="preserve">Discounted </w:t>
            </w:r>
            <w:r>
              <w:rPr>
                <w:rFonts w:ascii="Calibri" w:eastAsia="Times New Roman" w:hAnsi="Calibri" w:cs="Times New Roman"/>
                <w:b/>
                <w:bCs/>
                <w:color w:val="000000"/>
                <w:sz w:val="20"/>
                <w:szCs w:val="20"/>
                <w:lang w:eastAsia="en-AU"/>
              </w:rPr>
              <w:t xml:space="preserve">lifetime </w:t>
            </w:r>
            <w:r w:rsidRPr="006B713C">
              <w:rPr>
                <w:rFonts w:ascii="Calibri" w:eastAsia="Times New Roman" w:hAnsi="Calibri" w:cs="Times New Roman"/>
                <w:b/>
                <w:bCs/>
                <w:color w:val="000000"/>
                <w:sz w:val="20"/>
                <w:szCs w:val="20"/>
                <w:lang w:eastAsia="en-AU"/>
              </w:rPr>
              <w:t>cost per person</w:t>
            </w:r>
          </w:p>
        </w:tc>
        <w:tc>
          <w:tcPr>
            <w:tcW w:w="3260" w:type="dxa"/>
            <w:vMerge w:val="restart"/>
            <w:shd w:val="clear" w:color="auto" w:fill="D9D9D9" w:themeFill="background1" w:themeFillShade="D9"/>
          </w:tcPr>
          <w:p w14:paraId="75F10ADC" w14:textId="77777777" w:rsidR="0013200C" w:rsidRDefault="0013200C" w:rsidP="0013200C">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 xml:space="preserve">Interim </w:t>
            </w:r>
            <w:r w:rsidRPr="006B713C">
              <w:rPr>
                <w:rFonts w:ascii="Calibri" w:eastAsia="Times New Roman" w:hAnsi="Calibri" w:cs="Times New Roman"/>
                <w:b/>
                <w:bCs/>
                <w:color w:val="000000"/>
                <w:sz w:val="20"/>
                <w:szCs w:val="20"/>
                <w:lang w:eastAsia="en-AU"/>
              </w:rPr>
              <w:t>CER</w:t>
            </w:r>
            <w:r>
              <w:rPr>
                <w:i/>
                <w:vertAlign w:val="superscript"/>
              </w:rPr>
              <w:t xml:space="preserve"> a</w:t>
            </w:r>
          </w:p>
          <w:p w14:paraId="3B3AA0B8"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p>
        </w:tc>
      </w:tr>
      <w:tr w:rsidR="0013200C" w14:paraId="3BEE65DF" w14:textId="77777777" w:rsidTr="0013200C">
        <w:trPr>
          <w:trHeight w:val="323"/>
        </w:trPr>
        <w:tc>
          <w:tcPr>
            <w:tcW w:w="1383" w:type="dxa"/>
            <w:vMerge/>
            <w:shd w:val="clear" w:color="auto" w:fill="D9D9D9" w:themeFill="background1" w:themeFillShade="D9"/>
          </w:tcPr>
          <w:p w14:paraId="20B87640"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p>
        </w:tc>
        <w:tc>
          <w:tcPr>
            <w:tcW w:w="2014" w:type="dxa"/>
            <w:vMerge/>
            <w:tcBorders>
              <w:bottom w:val="single" w:sz="4" w:space="0" w:color="auto"/>
            </w:tcBorders>
            <w:shd w:val="clear" w:color="auto" w:fill="D9D9D9" w:themeFill="background1" w:themeFillShade="D9"/>
          </w:tcPr>
          <w:p w14:paraId="5F9D39F5"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p>
        </w:tc>
        <w:tc>
          <w:tcPr>
            <w:tcW w:w="2410" w:type="dxa"/>
            <w:vMerge/>
            <w:tcBorders>
              <w:bottom w:val="single" w:sz="4" w:space="0" w:color="auto"/>
            </w:tcBorders>
            <w:shd w:val="clear" w:color="auto" w:fill="D9D9D9" w:themeFill="background1" w:themeFillShade="D9"/>
          </w:tcPr>
          <w:p w14:paraId="2DC55B80"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p>
        </w:tc>
        <w:tc>
          <w:tcPr>
            <w:tcW w:w="3260" w:type="dxa"/>
            <w:vMerge/>
            <w:tcBorders>
              <w:bottom w:val="single" w:sz="4" w:space="0" w:color="auto"/>
            </w:tcBorders>
            <w:shd w:val="clear" w:color="auto" w:fill="D9D9D9" w:themeFill="background1" w:themeFillShade="D9"/>
          </w:tcPr>
          <w:p w14:paraId="0753FBC5"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p>
        </w:tc>
      </w:tr>
      <w:tr w:rsidR="00F82BCA" w14:paraId="3C5EC6E7" w14:textId="77777777" w:rsidTr="00DB2230">
        <w:trPr>
          <w:trHeight w:val="284"/>
        </w:trPr>
        <w:tc>
          <w:tcPr>
            <w:tcW w:w="1383" w:type="dxa"/>
            <w:shd w:val="clear" w:color="auto" w:fill="D9D9D9" w:themeFill="background1" w:themeFillShade="D9"/>
          </w:tcPr>
          <w:p w14:paraId="43C6E36B" w14:textId="77777777" w:rsidR="00F82BCA" w:rsidRPr="006B713C" w:rsidRDefault="00F82BCA" w:rsidP="00F82BCA">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 xml:space="preserve">Comparator </w:t>
            </w:r>
          </w:p>
        </w:tc>
        <w:tc>
          <w:tcPr>
            <w:tcW w:w="2014" w:type="dxa"/>
            <w:tcBorders>
              <w:top w:val="single" w:sz="4" w:space="0" w:color="auto"/>
              <w:left w:val="nil"/>
              <w:bottom w:val="single" w:sz="4" w:space="0" w:color="auto"/>
              <w:right w:val="single" w:sz="4" w:space="0" w:color="auto"/>
            </w:tcBorders>
            <w:shd w:val="clear" w:color="auto" w:fill="auto"/>
            <w:vAlign w:val="bottom"/>
          </w:tcPr>
          <w:p w14:paraId="400F5DAE" w14:textId="6BD9E7BF" w:rsidR="00F82BCA" w:rsidRPr="005908F4"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37.4253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2889C5F0" w14:textId="761F8984" w:rsidR="00F82BCA" w:rsidRPr="005908F4"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$1,561</w:t>
            </w:r>
          </w:p>
        </w:tc>
        <w:tc>
          <w:tcPr>
            <w:tcW w:w="3260" w:type="dxa"/>
            <w:tcBorders>
              <w:top w:val="single" w:sz="4" w:space="0" w:color="auto"/>
              <w:left w:val="single" w:sz="4" w:space="0" w:color="auto"/>
              <w:bottom w:val="single" w:sz="4" w:space="0" w:color="auto"/>
              <w:right w:val="single" w:sz="4" w:space="0" w:color="auto"/>
            </w:tcBorders>
          </w:tcPr>
          <w:p w14:paraId="487B46FA" w14:textId="77777777" w:rsidR="00F82BCA" w:rsidRPr="005908F4" w:rsidRDefault="00F82BCA" w:rsidP="00F82BCA">
            <w:pPr>
              <w:keepNext/>
              <w:keepLines/>
              <w:spacing w:after="0" w:line="240" w:lineRule="auto"/>
              <w:rPr>
                <w:rFonts w:ascii="Calibri" w:hAnsi="Calibri" w:cs="Calibri"/>
                <w:color w:val="000000"/>
                <w:sz w:val="20"/>
                <w:szCs w:val="20"/>
              </w:rPr>
            </w:pPr>
            <w:r w:rsidRPr="005908F4">
              <w:rPr>
                <w:rFonts w:ascii="Calibri" w:hAnsi="Calibri" w:cs="Calibri"/>
                <w:color w:val="000000"/>
                <w:sz w:val="20"/>
                <w:szCs w:val="20"/>
              </w:rPr>
              <w:t>-</w:t>
            </w:r>
          </w:p>
        </w:tc>
      </w:tr>
      <w:tr w:rsidR="00F82BCA" w:rsidRPr="005908F4" w14:paraId="70E5532B" w14:textId="77777777" w:rsidTr="00DB2230">
        <w:trPr>
          <w:trHeight w:val="284"/>
        </w:trPr>
        <w:tc>
          <w:tcPr>
            <w:tcW w:w="1383" w:type="dxa"/>
            <w:shd w:val="clear" w:color="auto" w:fill="D9D9D9" w:themeFill="background1" w:themeFillShade="D9"/>
          </w:tcPr>
          <w:p w14:paraId="1B015CD8" w14:textId="77777777" w:rsidR="00F82BCA" w:rsidRPr="006B713C" w:rsidRDefault="00F82BCA" w:rsidP="00F82BCA">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Scenario 1</w:t>
            </w:r>
          </w:p>
        </w:tc>
        <w:tc>
          <w:tcPr>
            <w:tcW w:w="2014" w:type="dxa"/>
            <w:tcBorders>
              <w:top w:val="single" w:sz="4" w:space="0" w:color="auto"/>
              <w:left w:val="nil"/>
              <w:bottom w:val="single" w:sz="4" w:space="0" w:color="auto"/>
              <w:right w:val="single" w:sz="4" w:space="0" w:color="auto"/>
            </w:tcBorders>
            <w:shd w:val="clear" w:color="auto" w:fill="auto"/>
            <w:vAlign w:val="bottom"/>
          </w:tcPr>
          <w:p w14:paraId="1E53848A" w14:textId="219C874B" w:rsidR="00F82BCA" w:rsidRPr="005908F4"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37.4273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5107336" w14:textId="32EB80F1" w:rsidR="00F82BCA" w:rsidRPr="005908F4"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$1,548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63208042" w14:textId="77777777" w:rsidR="00F82BCA" w:rsidRPr="00DD2713" w:rsidRDefault="00F82BCA" w:rsidP="00F82BCA">
            <w:pPr>
              <w:keepNext/>
              <w:keepLines/>
              <w:spacing w:after="0" w:line="240" w:lineRule="auto"/>
              <w:rPr>
                <w:rFonts w:ascii="Calibri" w:hAnsi="Calibri" w:cs="Calibri"/>
                <w:color w:val="000000"/>
                <w:sz w:val="20"/>
                <w:szCs w:val="20"/>
              </w:rPr>
            </w:pPr>
            <w:r>
              <w:rPr>
                <w:rFonts w:ascii="Calibri" w:hAnsi="Calibri" w:cs="Calibri"/>
                <w:color w:val="000000"/>
                <w:sz w:val="20"/>
                <w:szCs w:val="20"/>
              </w:rPr>
              <w:t>Cost-</w:t>
            </w:r>
            <w:proofErr w:type="spellStart"/>
            <w:r>
              <w:rPr>
                <w:rFonts w:ascii="Calibri" w:hAnsi="Calibri" w:cs="Calibri"/>
                <w:color w:val="000000"/>
                <w:sz w:val="20"/>
                <w:szCs w:val="20"/>
              </w:rPr>
              <w:t>saving</w:t>
            </w:r>
            <w:r w:rsidRPr="00A32E92">
              <w:rPr>
                <w:rFonts w:ascii="Calibri" w:hAnsi="Calibri" w:cs="Calibri"/>
                <w:color w:val="000000"/>
                <w:sz w:val="20"/>
                <w:szCs w:val="20"/>
                <w:vertAlign w:val="superscript"/>
              </w:rPr>
              <w:t>b</w:t>
            </w:r>
            <w:proofErr w:type="spellEnd"/>
          </w:p>
        </w:tc>
      </w:tr>
      <w:tr w:rsidR="00F82BCA" w:rsidRPr="005908F4" w14:paraId="6D2E7807" w14:textId="77777777" w:rsidTr="00DB2230">
        <w:trPr>
          <w:trHeight w:val="284"/>
        </w:trPr>
        <w:tc>
          <w:tcPr>
            <w:tcW w:w="1383" w:type="dxa"/>
            <w:shd w:val="clear" w:color="auto" w:fill="D9D9D9" w:themeFill="background1" w:themeFillShade="D9"/>
          </w:tcPr>
          <w:p w14:paraId="28B487BE" w14:textId="77777777" w:rsidR="00F82BCA" w:rsidRPr="006B713C" w:rsidRDefault="00F82BCA" w:rsidP="00F82BCA">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 xml:space="preserve">Scenario 2 </w:t>
            </w:r>
          </w:p>
        </w:tc>
        <w:tc>
          <w:tcPr>
            <w:tcW w:w="2014" w:type="dxa"/>
            <w:tcBorders>
              <w:top w:val="single" w:sz="4" w:space="0" w:color="auto"/>
              <w:left w:val="nil"/>
              <w:bottom w:val="single" w:sz="4" w:space="0" w:color="auto"/>
              <w:right w:val="single" w:sz="4" w:space="0" w:color="auto"/>
            </w:tcBorders>
            <w:shd w:val="clear" w:color="auto" w:fill="auto"/>
            <w:vAlign w:val="bottom"/>
          </w:tcPr>
          <w:p w14:paraId="30C845E3" w14:textId="0CFF1A4C" w:rsidR="00F82BCA" w:rsidRPr="005908F4"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37.4374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0E2DE258" w14:textId="0FBE7E49" w:rsidR="00F82BCA" w:rsidRPr="005908F4"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$1,533</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11510B62" w14:textId="14FEE262" w:rsidR="00F82BCA" w:rsidRPr="005908F4" w:rsidRDefault="00F82BCA" w:rsidP="00F82BCA">
            <w:pPr>
              <w:keepNext/>
              <w:keepLines/>
              <w:spacing w:after="0" w:line="240" w:lineRule="auto"/>
              <w:rPr>
                <w:rFonts w:ascii="Calibri" w:hAnsi="Calibri" w:cs="Calibri"/>
                <w:color w:val="000000"/>
                <w:sz w:val="20"/>
                <w:szCs w:val="20"/>
              </w:rPr>
            </w:pPr>
            <w:r w:rsidRPr="003A30CB">
              <w:rPr>
                <w:rFonts w:ascii="Calibri" w:hAnsi="Calibri" w:cs="Calibri"/>
                <w:color w:val="000000"/>
                <w:sz w:val="20"/>
                <w:szCs w:val="20"/>
              </w:rPr>
              <w:t>$317</w:t>
            </w:r>
            <w:r w:rsidR="00A32E92">
              <w:rPr>
                <w:rFonts w:ascii="Calibri" w:hAnsi="Calibri" w:cs="Calibri"/>
                <w:color w:val="000000"/>
                <w:sz w:val="20"/>
                <w:szCs w:val="20"/>
              </w:rPr>
              <w:t>/LYS</w:t>
            </w:r>
          </w:p>
        </w:tc>
      </w:tr>
      <w:tr w:rsidR="00F82BCA" w:rsidRPr="005908F4" w14:paraId="1F425550" w14:textId="77777777" w:rsidTr="00DB2230">
        <w:trPr>
          <w:trHeight w:val="284"/>
        </w:trPr>
        <w:tc>
          <w:tcPr>
            <w:tcW w:w="1383" w:type="dxa"/>
            <w:shd w:val="clear" w:color="auto" w:fill="D9D9D9" w:themeFill="background1" w:themeFillShade="D9"/>
          </w:tcPr>
          <w:p w14:paraId="2ABFA50C" w14:textId="77777777" w:rsidR="00F82BCA" w:rsidRPr="006B713C" w:rsidRDefault="00F82BCA" w:rsidP="00F82BCA">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Scenario 3</w:t>
            </w:r>
          </w:p>
        </w:tc>
        <w:tc>
          <w:tcPr>
            <w:tcW w:w="2014" w:type="dxa"/>
            <w:tcBorders>
              <w:top w:val="single" w:sz="4" w:space="0" w:color="auto"/>
              <w:left w:val="nil"/>
              <w:bottom w:val="single" w:sz="4" w:space="0" w:color="auto"/>
              <w:right w:val="single" w:sz="4" w:space="0" w:color="auto"/>
            </w:tcBorders>
            <w:shd w:val="clear" w:color="auto" w:fill="auto"/>
            <w:vAlign w:val="bottom"/>
          </w:tcPr>
          <w:p w14:paraId="152B849E" w14:textId="31A0851D" w:rsidR="00F82BCA" w:rsidRPr="005908F4"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37.4409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14:paraId="418B7146" w14:textId="19FF7D1B" w:rsidR="00F82BCA" w:rsidRPr="005908F4"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$1,562</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bottom"/>
          </w:tcPr>
          <w:p w14:paraId="1D855609" w14:textId="5207CE66" w:rsidR="00F82BCA" w:rsidRPr="005908F4" w:rsidRDefault="00F82BCA" w:rsidP="00F82BCA">
            <w:pPr>
              <w:keepNext/>
              <w:keepLines/>
              <w:spacing w:after="0" w:line="240" w:lineRule="auto"/>
              <w:rPr>
                <w:rFonts w:ascii="Calibri" w:hAnsi="Calibri" w:cs="Calibri"/>
                <w:color w:val="000000"/>
                <w:sz w:val="20"/>
                <w:szCs w:val="20"/>
              </w:rPr>
            </w:pPr>
            <w:r w:rsidRPr="00F82BCA">
              <w:rPr>
                <w:rFonts w:ascii="Calibri" w:hAnsi="Calibri" w:cs="Calibri"/>
                <w:color w:val="000000"/>
                <w:sz w:val="20"/>
                <w:szCs w:val="20"/>
              </w:rPr>
              <w:t>$93/LYS</w:t>
            </w:r>
          </w:p>
        </w:tc>
      </w:tr>
    </w:tbl>
    <w:p w14:paraId="4ECFA0D3" w14:textId="77777777" w:rsidR="0013200C" w:rsidRDefault="0013200C" w:rsidP="0013200C">
      <w:pPr>
        <w:keepNext/>
        <w:keepLines/>
        <w:spacing w:after="0" w:line="240" w:lineRule="auto"/>
        <w:rPr>
          <w:i/>
          <w:vertAlign w:val="superscript"/>
        </w:rPr>
      </w:pPr>
    </w:p>
    <w:p w14:paraId="0E59926D" w14:textId="77777777" w:rsidR="0013200C" w:rsidRDefault="0013200C" w:rsidP="0013200C">
      <w:pPr>
        <w:keepNext/>
        <w:keepLines/>
        <w:spacing w:after="0" w:line="240" w:lineRule="auto"/>
        <w:rPr>
          <w:i/>
          <w:vertAlign w:val="superscript"/>
        </w:rPr>
      </w:pPr>
      <w:r>
        <w:rPr>
          <w:i/>
          <w:vertAlign w:val="superscript"/>
        </w:rPr>
        <w:t xml:space="preserve">a </w:t>
      </w:r>
      <w:r>
        <w:rPr>
          <w:i/>
        </w:rPr>
        <w:t xml:space="preserve">CER without considering costs related to health promotion interventions. </w:t>
      </w:r>
    </w:p>
    <w:p w14:paraId="1D5315EC" w14:textId="77777777" w:rsidR="0013200C" w:rsidRDefault="0013200C" w:rsidP="0013200C">
      <w:pPr>
        <w:keepNext/>
        <w:keepLines/>
        <w:spacing w:after="0" w:line="240" w:lineRule="auto"/>
      </w:pPr>
      <w:r>
        <w:rPr>
          <w:i/>
          <w:vertAlign w:val="superscript"/>
        </w:rPr>
        <w:t xml:space="preserve">b </w:t>
      </w:r>
      <w:r w:rsidRPr="00F06197">
        <w:rPr>
          <w:i/>
        </w:rPr>
        <w:t xml:space="preserve">Scenario </w:t>
      </w:r>
      <w:r>
        <w:rPr>
          <w:i/>
        </w:rPr>
        <w:t>1 is</w:t>
      </w:r>
      <w:r w:rsidRPr="00F06197">
        <w:rPr>
          <w:i/>
        </w:rPr>
        <w:t xml:space="preserve"> </w:t>
      </w:r>
      <w:proofErr w:type="gramStart"/>
      <w:r w:rsidRPr="00F06197">
        <w:rPr>
          <w:i/>
        </w:rPr>
        <w:t>cost-saving</w:t>
      </w:r>
      <w:proofErr w:type="gramEnd"/>
      <w:r w:rsidRPr="00F06197">
        <w:rPr>
          <w:i/>
        </w:rPr>
        <w:t xml:space="preserve"> and more effective</w:t>
      </w:r>
      <w:r>
        <w:rPr>
          <w:i/>
        </w:rPr>
        <w:t xml:space="preserve"> than the comparator</w:t>
      </w:r>
      <w:r>
        <w:t>.</w:t>
      </w:r>
    </w:p>
    <w:p w14:paraId="177CCCAA" w14:textId="77777777" w:rsidR="0013200C" w:rsidRDefault="0013200C" w:rsidP="0013200C">
      <w:pPr>
        <w:keepNext/>
        <w:keepLines/>
        <w:spacing w:after="0"/>
      </w:pPr>
    </w:p>
    <w:p w14:paraId="29C445A4" w14:textId="0BAFA1AC" w:rsidR="0013200C" w:rsidRDefault="0013200C" w:rsidP="0013200C">
      <w:pPr>
        <w:pStyle w:val="Caption"/>
        <w:keepNext/>
        <w:spacing w:after="0"/>
      </w:pPr>
      <w:r>
        <w:t xml:space="preserve">Table </w:t>
      </w:r>
      <w:r w:rsidR="00B31901">
        <w:t>D</w:t>
      </w:r>
      <w:r>
        <w:t xml:space="preserve">4 </w:t>
      </w:r>
      <w:r w:rsidRPr="00E37A2E">
        <w:rPr>
          <w:b w:val="0"/>
        </w:rPr>
        <w:t>–</w:t>
      </w:r>
      <w:r>
        <w:rPr>
          <w:b w:val="0"/>
        </w:rPr>
        <w:t xml:space="preserve"> </w:t>
      </w:r>
      <w:r w:rsidRPr="00E37A2E">
        <w:rPr>
          <w:b w:val="0"/>
        </w:rPr>
        <w:t xml:space="preserve">The maximum additional cost </w:t>
      </w:r>
      <w:r>
        <w:rPr>
          <w:b w:val="0"/>
        </w:rPr>
        <w:t xml:space="preserve">for each scenario while remaining under the reference WTP thresholds with </w:t>
      </w:r>
      <w:r w:rsidR="00D53F39">
        <w:rPr>
          <w:b w:val="0"/>
        </w:rPr>
        <w:t xml:space="preserve">less </w:t>
      </w:r>
      <w:r>
        <w:rPr>
          <w:b w:val="0"/>
        </w:rPr>
        <w:t xml:space="preserve">aggressive precancer natural history assumptions. The maximum investment per person is the additional discounted lifetime costs; this can be thought of as a one-off undiscounted cost age 40, or a discounted cost spread across a lifetime. The maximum total is estimated using the Australian 2020 population, and assuming costs occur at age </w:t>
      </w:r>
      <w:r w:rsidR="00F82BCA">
        <w:rPr>
          <w:b w:val="0"/>
        </w:rPr>
        <w:t>40</w:t>
      </w:r>
      <w:r>
        <w:rPr>
          <w:b w:val="0"/>
        </w:rPr>
        <w:t xml:space="preserve">. These results are presented for </w:t>
      </w:r>
      <w:r w:rsidRPr="00E37A2E">
        <w:rPr>
          <w:b w:val="0"/>
        </w:rPr>
        <w:t>willingness-to-pay threshold</w:t>
      </w:r>
      <w:r>
        <w:rPr>
          <w:b w:val="0"/>
        </w:rPr>
        <w:t>s</w:t>
      </w:r>
      <w:r w:rsidRPr="00E37A2E">
        <w:rPr>
          <w:b w:val="0"/>
        </w:rPr>
        <w:t xml:space="preserve"> of $10,000/LYS</w:t>
      </w:r>
      <w:r>
        <w:rPr>
          <w:b w:val="0"/>
        </w:rPr>
        <w:t>, $20,000/LYS, and $30,000/LYS</w:t>
      </w:r>
      <w:r w:rsidRPr="00E37A2E">
        <w:rPr>
          <w:b w:val="0"/>
        </w:rPr>
        <w:t>.</w:t>
      </w:r>
    </w:p>
    <w:tbl>
      <w:tblPr>
        <w:tblStyle w:val="TableGrid"/>
        <w:tblpPr w:leftFromText="180" w:rightFromText="180" w:vertAnchor="text" w:horzAnchor="margin" w:tblpY="180"/>
        <w:tblW w:w="9634" w:type="dxa"/>
        <w:tblLayout w:type="fixed"/>
        <w:tblLook w:val="04A0" w:firstRow="1" w:lastRow="0" w:firstColumn="1" w:lastColumn="0" w:noHBand="0" w:noVBand="1"/>
      </w:tblPr>
      <w:tblGrid>
        <w:gridCol w:w="1129"/>
        <w:gridCol w:w="1418"/>
        <w:gridCol w:w="1388"/>
        <w:gridCol w:w="1305"/>
        <w:gridCol w:w="1464"/>
        <w:gridCol w:w="1465"/>
        <w:gridCol w:w="1465"/>
      </w:tblGrid>
      <w:tr w:rsidR="0013200C" w14:paraId="5A62DAF8" w14:textId="77777777" w:rsidTr="0013200C">
        <w:trPr>
          <w:trHeight w:val="274"/>
        </w:trPr>
        <w:tc>
          <w:tcPr>
            <w:tcW w:w="1129" w:type="dxa"/>
            <w:vMerge w:val="restart"/>
            <w:shd w:val="clear" w:color="auto" w:fill="D9D9D9" w:themeFill="background1" w:themeFillShade="D9"/>
          </w:tcPr>
          <w:p w14:paraId="69B05AAD"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p>
        </w:tc>
        <w:tc>
          <w:tcPr>
            <w:tcW w:w="4111" w:type="dxa"/>
            <w:gridSpan w:val="3"/>
            <w:tcBorders>
              <w:bottom w:val="single" w:sz="4" w:space="0" w:color="auto"/>
            </w:tcBorders>
            <w:shd w:val="clear" w:color="auto" w:fill="D9D9D9" w:themeFill="background1" w:themeFillShade="D9"/>
          </w:tcPr>
          <w:p w14:paraId="2D937E3C"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Maximum investment</w:t>
            </w:r>
            <w:r w:rsidRPr="00047627">
              <w:rPr>
                <w:rFonts w:ascii="Calibri" w:eastAsia="Times New Roman" w:hAnsi="Calibri" w:cs="Times New Roman"/>
                <w:b/>
                <w:bCs/>
                <w:color w:val="000000"/>
                <w:sz w:val="20"/>
                <w:szCs w:val="20"/>
                <w:lang w:eastAsia="en-AU"/>
              </w:rPr>
              <w:t xml:space="preserve"> </w:t>
            </w:r>
            <w:r>
              <w:rPr>
                <w:rFonts w:ascii="Calibri" w:eastAsia="Times New Roman" w:hAnsi="Calibri" w:cs="Times New Roman"/>
                <w:b/>
                <w:bCs/>
                <w:color w:val="000000"/>
                <w:sz w:val="20"/>
                <w:szCs w:val="20"/>
                <w:lang w:eastAsia="en-AU"/>
              </w:rPr>
              <w:t>per person</w:t>
            </w:r>
            <w:r w:rsidRPr="00047627">
              <w:rPr>
                <w:rFonts w:ascii="Calibri" w:eastAsia="Times New Roman" w:hAnsi="Calibri" w:cs="Times New Roman"/>
                <w:b/>
                <w:bCs/>
                <w:color w:val="000000"/>
                <w:sz w:val="20"/>
                <w:szCs w:val="20"/>
                <w:lang w:eastAsia="en-AU"/>
              </w:rPr>
              <w:t xml:space="preserve"> </w:t>
            </w:r>
            <w:r>
              <w:rPr>
                <w:rFonts w:ascii="Calibri" w:eastAsia="Times New Roman" w:hAnsi="Calibri" w:cs="Times New Roman"/>
                <w:b/>
                <w:bCs/>
                <w:color w:val="000000"/>
                <w:sz w:val="20"/>
                <w:szCs w:val="20"/>
                <w:lang w:eastAsia="en-AU"/>
              </w:rPr>
              <w:t>under WTP threshold (AUD)</w:t>
            </w:r>
          </w:p>
        </w:tc>
        <w:tc>
          <w:tcPr>
            <w:tcW w:w="4394" w:type="dxa"/>
            <w:gridSpan w:val="3"/>
            <w:tcBorders>
              <w:bottom w:val="single" w:sz="4" w:space="0" w:color="auto"/>
            </w:tcBorders>
            <w:shd w:val="clear" w:color="auto" w:fill="D9D9D9" w:themeFill="background1" w:themeFillShade="D9"/>
          </w:tcPr>
          <w:p w14:paraId="0E5E800B" w14:textId="77777777" w:rsidR="0013200C" w:rsidRDefault="0013200C" w:rsidP="0013200C">
            <w:pPr>
              <w:keepNext/>
              <w:keepLines/>
              <w:spacing w:after="0" w:line="240" w:lineRule="auto"/>
              <w:rPr>
                <w:rFonts w:ascii="Calibri" w:eastAsia="Times New Roman" w:hAnsi="Calibri" w:cs="Times New Roman"/>
                <w:b/>
                <w:bCs/>
                <w:color w:val="000000"/>
                <w:sz w:val="20"/>
                <w:szCs w:val="20"/>
                <w:lang w:eastAsia="en-AU"/>
              </w:rPr>
            </w:pPr>
            <w:r w:rsidRPr="00DB2230">
              <w:rPr>
                <w:rFonts w:ascii="Calibri" w:eastAsia="Times New Roman" w:hAnsi="Calibri" w:cs="Times New Roman"/>
                <w:b/>
                <w:bCs/>
                <w:color w:val="000000"/>
                <w:sz w:val="20"/>
                <w:szCs w:val="20"/>
                <w:lang w:eastAsia="en-AU"/>
              </w:rPr>
              <w:t>Maximum</w:t>
            </w:r>
            <w:r>
              <w:rPr>
                <w:rFonts w:ascii="Calibri" w:eastAsia="Times New Roman" w:hAnsi="Calibri" w:cs="Times New Roman"/>
                <w:b/>
                <w:bCs/>
                <w:color w:val="000000"/>
                <w:sz w:val="20"/>
                <w:szCs w:val="20"/>
                <w:lang w:eastAsia="en-AU"/>
              </w:rPr>
              <w:t xml:space="preserve"> investment</w:t>
            </w:r>
            <w:r w:rsidRPr="00047627">
              <w:rPr>
                <w:rFonts w:ascii="Calibri" w:eastAsia="Times New Roman" w:hAnsi="Calibri" w:cs="Times New Roman"/>
                <w:b/>
                <w:bCs/>
                <w:color w:val="000000"/>
                <w:sz w:val="20"/>
                <w:szCs w:val="20"/>
                <w:lang w:eastAsia="en-AU"/>
              </w:rPr>
              <w:t xml:space="preserve"> </w:t>
            </w:r>
            <w:r>
              <w:rPr>
                <w:rFonts w:ascii="Calibri" w:eastAsia="Times New Roman" w:hAnsi="Calibri" w:cs="Times New Roman"/>
                <w:b/>
                <w:bCs/>
                <w:color w:val="000000"/>
                <w:sz w:val="20"/>
                <w:szCs w:val="20"/>
                <w:lang w:eastAsia="en-AU"/>
              </w:rPr>
              <w:t>total</w:t>
            </w:r>
            <w:r w:rsidRPr="00047627">
              <w:rPr>
                <w:rFonts w:ascii="Calibri" w:eastAsia="Times New Roman" w:hAnsi="Calibri" w:cs="Times New Roman"/>
                <w:b/>
                <w:bCs/>
                <w:color w:val="000000"/>
                <w:sz w:val="20"/>
                <w:szCs w:val="20"/>
                <w:lang w:eastAsia="en-AU"/>
              </w:rPr>
              <w:t xml:space="preserve"> </w:t>
            </w:r>
            <w:r>
              <w:rPr>
                <w:rFonts w:ascii="Calibri" w:eastAsia="Times New Roman" w:hAnsi="Calibri" w:cs="Times New Roman"/>
                <w:b/>
                <w:bCs/>
                <w:color w:val="000000"/>
                <w:sz w:val="20"/>
                <w:szCs w:val="20"/>
                <w:lang w:eastAsia="en-AU"/>
              </w:rPr>
              <w:t>under WTP threshold (AUD, millions)</w:t>
            </w:r>
          </w:p>
        </w:tc>
      </w:tr>
      <w:tr w:rsidR="0013200C" w14:paraId="2D6248A4" w14:textId="77777777" w:rsidTr="0013200C">
        <w:trPr>
          <w:trHeight w:val="323"/>
        </w:trPr>
        <w:tc>
          <w:tcPr>
            <w:tcW w:w="1129" w:type="dxa"/>
            <w:vMerge/>
            <w:shd w:val="clear" w:color="auto" w:fill="D9D9D9" w:themeFill="background1" w:themeFillShade="D9"/>
          </w:tcPr>
          <w:p w14:paraId="1D77460B"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p>
        </w:tc>
        <w:tc>
          <w:tcPr>
            <w:tcW w:w="1418" w:type="dxa"/>
            <w:tcBorders>
              <w:bottom w:val="single" w:sz="4" w:space="0" w:color="auto"/>
            </w:tcBorders>
            <w:shd w:val="clear" w:color="auto" w:fill="D9D9D9" w:themeFill="background1" w:themeFillShade="D9"/>
          </w:tcPr>
          <w:p w14:paraId="03C6E7B2"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$10,000/LYS</w:t>
            </w:r>
          </w:p>
        </w:tc>
        <w:tc>
          <w:tcPr>
            <w:tcW w:w="1388" w:type="dxa"/>
            <w:tcBorders>
              <w:bottom w:val="single" w:sz="4" w:space="0" w:color="auto"/>
            </w:tcBorders>
            <w:shd w:val="clear" w:color="auto" w:fill="D9D9D9" w:themeFill="background1" w:themeFillShade="D9"/>
          </w:tcPr>
          <w:p w14:paraId="00B34706" w14:textId="77777777" w:rsidR="0013200C" w:rsidRDefault="0013200C" w:rsidP="0013200C">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$20,000/LYS</w:t>
            </w:r>
          </w:p>
        </w:tc>
        <w:tc>
          <w:tcPr>
            <w:tcW w:w="1305" w:type="dxa"/>
            <w:tcBorders>
              <w:bottom w:val="single" w:sz="4" w:space="0" w:color="auto"/>
            </w:tcBorders>
            <w:shd w:val="clear" w:color="auto" w:fill="D9D9D9" w:themeFill="background1" w:themeFillShade="D9"/>
          </w:tcPr>
          <w:p w14:paraId="78B85CDC" w14:textId="77777777" w:rsidR="0013200C" w:rsidRDefault="0013200C" w:rsidP="0013200C">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$30,000/LYS</w:t>
            </w:r>
          </w:p>
        </w:tc>
        <w:tc>
          <w:tcPr>
            <w:tcW w:w="1464" w:type="dxa"/>
            <w:tcBorders>
              <w:bottom w:val="single" w:sz="4" w:space="0" w:color="auto"/>
            </w:tcBorders>
            <w:shd w:val="clear" w:color="auto" w:fill="D9D9D9" w:themeFill="background1" w:themeFillShade="D9"/>
          </w:tcPr>
          <w:p w14:paraId="53CF6027" w14:textId="77777777" w:rsidR="0013200C" w:rsidRDefault="0013200C" w:rsidP="0013200C">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$10,000/LYS</w:t>
            </w:r>
          </w:p>
        </w:tc>
        <w:tc>
          <w:tcPr>
            <w:tcW w:w="1465" w:type="dxa"/>
            <w:tcBorders>
              <w:bottom w:val="single" w:sz="4" w:space="0" w:color="auto"/>
            </w:tcBorders>
            <w:shd w:val="clear" w:color="auto" w:fill="D9D9D9" w:themeFill="background1" w:themeFillShade="D9"/>
          </w:tcPr>
          <w:p w14:paraId="55A8A3B0"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$20,000/LYS</w:t>
            </w:r>
          </w:p>
        </w:tc>
        <w:tc>
          <w:tcPr>
            <w:tcW w:w="1465" w:type="dxa"/>
            <w:tcBorders>
              <w:bottom w:val="single" w:sz="4" w:space="0" w:color="auto"/>
            </w:tcBorders>
            <w:shd w:val="clear" w:color="auto" w:fill="D9D9D9" w:themeFill="background1" w:themeFillShade="D9"/>
          </w:tcPr>
          <w:p w14:paraId="419C89E1" w14:textId="77777777" w:rsidR="0013200C" w:rsidRPr="006B713C" w:rsidRDefault="0013200C" w:rsidP="0013200C">
            <w:pPr>
              <w:keepNext/>
              <w:keepLines/>
              <w:spacing w:after="0" w:line="240" w:lineRule="auto"/>
              <w:rPr>
                <w:rFonts w:ascii="Calibri" w:eastAsia="Times New Roman" w:hAnsi="Calibri" w:cs="Times New Roman"/>
                <w:b/>
                <w:bCs/>
                <w:color w:val="000000"/>
                <w:sz w:val="20"/>
                <w:szCs w:val="20"/>
                <w:lang w:eastAsia="en-AU"/>
              </w:rPr>
            </w:pPr>
            <w:r>
              <w:rPr>
                <w:rFonts w:ascii="Calibri" w:eastAsia="Times New Roman" w:hAnsi="Calibri" w:cs="Times New Roman"/>
                <w:b/>
                <w:bCs/>
                <w:color w:val="000000"/>
                <w:sz w:val="20"/>
                <w:szCs w:val="20"/>
                <w:lang w:eastAsia="en-AU"/>
              </w:rPr>
              <w:t>$30,000/LYS</w:t>
            </w:r>
          </w:p>
        </w:tc>
      </w:tr>
      <w:tr w:rsidR="00F82BCA" w:rsidRPr="005908F4" w14:paraId="5478DFCA" w14:textId="77777777" w:rsidTr="00DB2230">
        <w:trPr>
          <w:trHeight w:val="284"/>
        </w:trPr>
        <w:tc>
          <w:tcPr>
            <w:tcW w:w="1129" w:type="dxa"/>
            <w:shd w:val="clear" w:color="auto" w:fill="D9D9D9" w:themeFill="background1" w:themeFillShade="D9"/>
          </w:tcPr>
          <w:p w14:paraId="2E89957E" w14:textId="77777777" w:rsidR="00F82BCA" w:rsidRPr="006B713C" w:rsidRDefault="00F82BCA" w:rsidP="00F82BCA">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Scenario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F38DB69" w14:textId="68D6FF5E"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$32.76</w:t>
            </w:r>
          </w:p>
        </w:tc>
        <w:tc>
          <w:tcPr>
            <w:tcW w:w="1388" w:type="dxa"/>
            <w:tcBorders>
              <w:top w:val="single" w:sz="4" w:space="0" w:color="auto"/>
              <w:left w:val="single" w:sz="4" w:space="0" w:color="auto"/>
              <w:bottom w:val="single" w:sz="4" w:space="0" w:color="auto"/>
              <w:right w:val="single" w:sz="4" w:space="0" w:color="auto"/>
            </w:tcBorders>
            <w:vAlign w:val="bottom"/>
          </w:tcPr>
          <w:p w14:paraId="734646C6" w14:textId="4EE41CA6"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$52.30</w:t>
            </w:r>
          </w:p>
        </w:tc>
        <w:tc>
          <w:tcPr>
            <w:tcW w:w="1305" w:type="dxa"/>
            <w:tcBorders>
              <w:top w:val="single" w:sz="4" w:space="0" w:color="auto"/>
              <w:left w:val="single" w:sz="4" w:space="0" w:color="auto"/>
              <w:bottom w:val="single" w:sz="4" w:space="0" w:color="auto"/>
              <w:right w:val="single" w:sz="4" w:space="0" w:color="auto"/>
            </w:tcBorders>
            <w:vAlign w:val="bottom"/>
          </w:tcPr>
          <w:p w14:paraId="6A160F0A" w14:textId="03CE626C"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$71.83</w:t>
            </w:r>
          </w:p>
        </w:tc>
        <w:tc>
          <w:tcPr>
            <w:tcW w:w="1464" w:type="dxa"/>
            <w:tcBorders>
              <w:top w:val="single" w:sz="4" w:space="0" w:color="auto"/>
              <w:left w:val="single" w:sz="4" w:space="0" w:color="auto"/>
              <w:bottom w:val="single" w:sz="4" w:space="0" w:color="auto"/>
              <w:right w:val="single" w:sz="4" w:space="0" w:color="auto"/>
            </w:tcBorders>
            <w:vAlign w:val="bottom"/>
          </w:tcPr>
          <w:p w14:paraId="6B4BEF3C" w14:textId="35714A91"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$11.39</w:t>
            </w:r>
          </w:p>
        </w:tc>
        <w:tc>
          <w:tcPr>
            <w:tcW w:w="1465" w:type="dxa"/>
            <w:tcBorders>
              <w:top w:val="single" w:sz="4" w:space="0" w:color="auto"/>
              <w:left w:val="single" w:sz="4" w:space="0" w:color="auto"/>
              <w:bottom w:val="single" w:sz="4" w:space="0" w:color="auto"/>
              <w:right w:val="single" w:sz="4" w:space="0" w:color="auto"/>
            </w:tcBorders>
            <w:vAlign w:val="bottom"/>
          </w:tcPr>
          <w:p w14:paraId="5B25D39F" w14:textId="0D61AAD8"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$18.18</w:t>
            </w:r>
          </w:p>
        </w:tc>
        <w:tc>
          <w:tcPr>
            <w:tcW w:w="1465" w:type="dxa"/>
            <w:tcBorders>
              <w:top w:val="single" w:sz="4" w:space="0" w:color="auto"/>
              <w:left w:val="single" w:sz="4" w:space="0" w:color="auto"/>
              <w:bottom w:val="single" w:sz="4" w:space="0" w:color="auto"/>
              <w:right w:val="single" w:sz="4" w:space="0" w:color="auto"/>
            </w:tcBorders>
            <w:vAlign w:val="bottom"/>
          </w:tcPr>
          <w:p w14:paraId="55345A4B" w14:textId="10A8E251"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$24.97</w:t>
            </w:r>
          </w:p>
        </w:tc>
      </w:tr>
      <w:tr w:rsidR="00F82BCA" w:rsidRPr="005908F4" w14:paraId="6045C800" w14:textId="77777777" w:rsidTr="00DB2230">
        <w:trPr>
          <w:trHeight w:val="284"/>
        </w:trPr>
        <w:tc>
          <w:tcPr>
            <w:tcW w:w="1129" w:type="dxa"/>
            <w:shd w:val="clear" w:color="auto" w:fill="D9D9D9" w:themeFill="background1" w:themeFillShade="D9"/>
          </w:tcPr>
          <w:p w14:paraId="3C2E1B7B" w14:textId="77777777" w:rsidR="00F82BCA" w:rsidRPr="006B713C" w:rsidRDefault="00F82BCA" w:rsidP="00F82BCA">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 xml:space="preserve">Scenario 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FE10204" w14:textId="1B0FB947"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$149.25</w:t>
            </w:r>
          </w:p>
        </w:tc>
        <w:tc>
          <w:tcPr>
            <w:tcW w:w="1388" w:type="dxa"/>
            <w:tcBorders>
              <w:top w:val="single" w:sz="4" w:space="0" w:color="auto"/>
              <w:left w:val="single" w:sz="4" w:space="0" w:color="auto"/>
              <w:bottom w:val="single" w:sz="4" w:space="0" w:color="auto"/>
              <w:right w:val="single" w:sz="4" w:space="0" w:color="auto"/>
            </w:tcBorders>
            <w:vAlign w:val="bottom"/>
          </w:tcPr>
          <w:p w14:paraId="06174679" w14:textId="202BDA28"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$270.33</w:t>
            </w:r>
          </w:p>
        </w:tc>
        <w:tc>
          <w:tcPr>
            <w:tcW w:w="1305" w:type="dxa"/>
            <w:tcBorders>
              <w:top w:val="single" w:sz="4" w:space="0" w:color="auto"/>
              <w:left w:val="single" w:sz="4" w:space="0" w:color="auto"/>
              <w:bottom w:val="single" w:sz="4" w:space="0" w:color="auto"/>
              <w:right w:val="single" w:sz="4" w:space="0" w:color="auto"/>
            </w:tcBorders>
            <w:vAlign w:val="bottom"/>
          </w:tcPr>
          <w:p w14:paraId="45F73C77" w14:textId="1FA281E2"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$391.41</w:t>
            </w:r>
          </w:p>
        </w:tc>
        <w:tc>
          <w:tcPr>
            <w:tcW w:w="1464" w:type="dxa"/>
            <w:tcBorders>
              <w:top w:val="single" w:sz="4" w:space="0" w:color="auto"/>
              <w:left w:val="single" w:sz="4" w:space="0" w:color="auto"/>
              <w:bottom w:val="single" w:sz="4" w:space="0" w:color="auto"/>
              <w:right w:val="single" w:sz="4" w:space="0" w:color="auto"/>
            </w:tcBorders>
            <w:vAlign w:val="bottom"/>
          </w:tcPr>
          <w:p w14:paraId="38D77706" w14:textId="56467E4E"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w:t>
            </w:r>
            <w:bookmarkStart w:id="21" w:name="_GoBack"/>
            <w:r w:rsidRPr="009A0BC7">
              <w:rPr>
                <w:rFonts w:ascii="Calibri" w:hAnsi="Calibri" w:cs="Calibri"/>
                <w:color w:val="000000"/>
                <w:sz w:val="20"/>
                <w:szCs w:val="20"/>
              </w:rPr>
              <w:t>51.88</w:t>
            </w:r>
            <w:bookmarkEnd w:id="21"/>
          </w:p>
        </w:tc>
        <w:tc>
          <w:tcPr>
            <w:tcW w:w="1465" w:type="dxa"/>
            <w:tcBorders>
              <w:top w:val="single" w:sz="4" w:space="0" w:color="auto"/>
              <w:left w:val="single" w:sz="4" w:space="0" w:color="auto"/>
              <w:bottom w:val="single" w:sz="4" w:space="0" w:color="auto"/>
              <w:right w:val="single" w:sz="4" w:space="0" w:color="auto"/>
            </w:tcBorders>
            <w:vAlign w:val="bottom"/>
          </w:tcPr>
          <w:p w14:paraId="3CFDFA32" w14:textId="76E3CB79"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$93.97</w:t>
            </w:r>
          </w:p>
        </w:tc>
        <w:tc>
          <w:tcPr>
            <w:tcW w:w="1465" w:type="dxa"/>
            <w:tcBorders>
              <w:top w:val="single" w:sz="4" w:space="0" w:color="auto"/>
              <w:left w:val="single" w:sz="4" w:space="0" w:color="auto"/>
              <w:bottom w:val="single" w:sz="4" w:space="0" w:color="auto"/>
              <w:right w:val="single" w:sz="4" w:space="0" w:color="auto"/>
            </w:tcBorders>
            <w:vAlign w:val="bottom"/>
          </w:tcPr>
          <w:p w14:paraId="767421E8" w14:textId="39FEE849"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$136.05</w:t>
            </w:r>
          </w:p>
        </w:tc>
      </w:tr>
      <w:tr w:rsidR="00F82BCA" w:rsidRPr="005908F4" w14:paraId="125CABE3" w14:textId="77777777" w:rsidTr="00DB2230">
        <w:trPr>
          <w:trHeight w:val="284"/>
        </w:trPr>
        <w:tc>
          <w:tcPr>
            <w:tcW w:w="1129" w:type="dxa"/>
            <w:shd w:val="clear" w:color="auto" w:fill="D9D9D9" w:themeFill="background1" w:themeFillShade="D9"/>
          </w:tcPr>
          <w:p w14:paraId="7016989D" w14:textId="77777777" w:rsidR="00F82BCA" w:rsidRPr="006B713C" w:rsidRDefault="00F82BCA" w:rsidP="00F82BCA">
            <w:pPr>
              <w:keepNext/>
              <w:keepLines/>
              <w:spacing w:after="0" w:line="240" w:lineRule="auto"/>
              <w:rPr>
                <w:rFonts w:ascii="Calibri" w:eastAsia="Times New Roman" w:hAnsi="Calibri" w:cs="Times New Roman"/>
                <w:b/>
                <w:bCs/>
                <w:color w:val="000000"/>
                <w:sz w:val="20"/>
                <w:szCs w:val="20"/>
                <w:lang w:eastAsia="en-AU"/>
              </w:rPr>
            </w:pPr>
            <w:r w:rsidRPr="00CC418B">
              <w:rPr>
                <w:rFonts w:ascii="Calibri" w:eastAsia="Times New Roman" w:hAnsi="Calibri" w:cs="Times New Roman"/>
                <w:b/>
                <w:bCs/>
                <w:color w:val="000000"/>
                <w:sz w:val="20"/>
                <w:szCs w:val="20"/>
                <w:lang w:eastAsia="en-AU"/>
              </w:rPr>
              <w:t>Scenario 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2DE9BF77" w14:textId="4543A37F"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$154.39</w:t>
            </w:r>
          </w:p>
        </w:tc>
        <w:tc>
          <w:tcPr>
            <w:tcW w:w="1388" w:type="dxa"/>
            <w:tcBorders>
              <w:top w:val="single" w:sz="4" w:space="0" w:color="auto"/>
              <w:left w:val="single" w:sz="4" w:space="0" w:color="auto"/>
              <w:bottom w:val="single" w:sz="4" w:space="0" w:color="auto"/>
              <w:right w:val="single" w:sz="4" w:space="0" w:color="auto"/>
            </w:tcBorders>
            <w:vAlign w:val="bottom"/>
          </w:tcPr>
          <w:p w14:paraId="7B62F897" w14:textId="4D5CFFCE"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$310.24</w:t>
            </w:r>
          </w:p>
        </w:tc>
        <w:tc>
          <w:tcPr>
            <w:tcW w:w="1305" w:type="dxa"/>
            <w:tcBorders>
              <w:top w:val="single" w:sz="4" w:space="0" w:color="auto"/>
              <w:left w:val="single" w:sz="4" w:space="0" w:color="auto"/>
              <w:bottom w:val="single" w:sz="4" w:space="0" w:color="auto"/>
              <w:right w:val="single" w:sz="4" w:space="0" w:color="auto"/>
            </w:tcBorders>
            <w:vAlign w:val="bottom"/>
          </w:tcPr>
          <w:p w14:paraId="1EE7BA2F" w14:textId="77A5F9E9"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$466.08</w:t>
            </w:r>
          </w:p>
        </w:tc>
        <w:tc>
          <w:tcPr>
            <w:tcW w:w="1464" w:type="dxa"/>
            <w:tcBorders>
              <w:top w:val="single" w:sz="4" w:space="0" w:color="auto"/>
              <w:left w:val="single" w:sz="4" w:space="0" w:color="auto"/>
              <w:bottom w:val="single" w:sz="4" w:space="0" w:color="auto"/>
              <w:right w:val="single" w:sz="4" w:space="0" w:color="auto"/>
            </w:tcBorders>
            <w:vAlign w:val="bottom"/>
          </w:tcPr>
          <w:p w14:paraId="3ADE6455" w14:textId="69686A2C"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$53.67</w:t>
            </w:r>
          </w:p>
        </w:tc>
        <w:tc>
          <w:tcPr>
            <w:tcW w:w="1465" w:type="dxa"/>
            <w:tcBorders>
              <w:top w:val="single" w:sz="4" w:space="0" w:color="auto"/>
              <w:left w:val="single" w:sz="4" w:space="0" w:color="auto"/>
              <w:bottom w:val="single" w:sz="4" w:space="0" w:color="auto"/>
              <w:right w:val="single" w:sz="4" w:space="0" w:color="auto"/>
            </w:tcBorders>
            <w:vAlign w:val="bottom"/>
          </w:tcPr>
          <w:p w14:paraId="00BBE0C2" w14:textId="1C01EB34"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$107.84</w:t>
            </w:r>
          </w:p>
        </w:tc>
        <w:tc>
          <w:tcPr>
            <w:tcW w:w="1465" w:type="dxa"/>
            <w:tcBorders>
              <w:top w:val="single" w:sz="4" w:space="0" w:color="auto"/>
              <w:left w:val="single" w:sz="4" w:space="0" w:color="auto"/>
              <w:bottom w:val="single" w:sz="4" w:space="0" w:color="auto"/>
              <w:right w:val="single" w:sz="4" w:space="0" w:color="auto"/>
            </w:tcBorders>
            <w:vAlign w:val="bottom"/>
          </w:tcPr>
          <w:p w14:paraId="42AA17B7" w14:textId="03220E77" w:rsidR="00F82BCA" w:rsidRPr="0008594F" w:rsidRDefault="00F82BCA" w:rsidP="00F82BCA">
            <w:pPr>
              <w:keepNext/>
              <w:keepLines/>
              <w:spacing w:after="0" w:line="240" w:lineRule="auto"/>
              <w:rPr>
                <w:rFonts w:ascii="Calibri" w:hAnsi="Calibri" w:cs="Calibri"/>
                <w:color w:val="000000"/>
                <w:sz w:val="20"/>
                <w:szCs w:val="20"/>
              </w:rPr>
            </w:pPr>
            <w:r w:rsidRPr="009A0BC7">
              <w:rPr>
                <w:rFonts w:ascii="Calibri" w:hAnsi="Calibri" w:cs="Calibri"/>
                <w:color w:val="000000"/>
                <w:sz w:val="20"/>
                <w:szCs w:val="20"/>
              </w:rPr>
              <w:t>$162.01</w:t>
            </w:r>
          </w:p>
        </w:tc>
      </w:tr>
    </w:tbl>
    <w:p w14:paraId="5C2B8EC9" w14:textId="77777777" w:rsidR="0013200C" w:rsidRDefault="0013200C" w:rsidP="000736B8"/>
    <w:p w14:paraId="3A5A1494" w14:textId="77777777" w:rsidR="001F6FE0" w:rsidRDefault="001F6FE0" w:rsidP="001F6FE0"/>
    <w:p w14:paraId="54DAB61C" w14:textId="75F0CEEC" w:rsidR="001F6FE0" w:rsidRPr="001F6FE0" w:rsidRDefault="001F6FE0" w:rsidP="001F6FE0">
      <w:pPr>
        <w:sectPr w:rsidR="001F6FE0" w:rsidRPr="001F6FE0" w:rsidSect="0013200C">
          <w:headerReference w:type="even" r:id="rId13"/>
          <w:footerReference w:type="default" r:id="rId14"/>
          <w:pgSz w:w="11906" w:h="16838"/>
          <w:pgMar w:top="1440" w:right="1440" w:bottom="1440" w:left="1440" w:header="708" w:footer="708" w:gutter="0"/>
          <w:cols w:space="708"/>
          <w:docGrid w:linePitch="360"/>
        </w:sectPr>
      </w:pPr>
    </w:p>
    <w:p w14:paraId="37CC6B12" w14:textId="7411403F" w:rsidR="00B74755" w:rsidRDefault="00B74755" w:rsidP="005707D4">
      <w:pPr>
        <w:pStyle w:val="Caption"/>
        <w:keepNext/>
        <w:keepLines/>
        <w:rPr>
          <w:b w:val="0"/>
        </w:rPr>
      </w:pPr>
    </w:p>
    <w:p w14:paraId="41B37E8F" w14:textId="77777777" w:rsidR="003E59DC" w:rsidRPr="003E59DC" w:rsidRDefault="00B74755" w:rsidP="003E59DC">
      <w:pPr>
        <w:pStyle w:val="EndNoteBibliography"/>
        <w:spacing w:after="0"/>
        <w:ind w:left="720" w:hanging="720"/>
      </w:pPr>
      <w:r>
        <w:fldChar w:fldCharType="begin"/>
      </w:r>
      <w:r>
        <w:instrText xml:space="preserve"> ADDIN EN.REFLIST </w:instrText>
      </w:r>
      <w:r>
        <w:fldChar w:fldCharType="separate"/>
      </w:r>
      <w:r w:rsidR="003E59DC" w:rsidRPr="003E59DC">
        <w:t>1.</w:t>
      </w:r>
      <w:r w:rsidR="003E59DC" w:rsidRPr="003E59DC">
        <w:tab/>
        <w:t xml:space="preserve">Stoop, E.M., et al., </w:t>
      </w:r>
      <w:r w:rsidR="003E59DC" w:rsidRPr="003E59DC">
        <w:rPr>
          <w:i/>
        </w:rPr>
        <w:t>Participation and yield of colonoscopy versus non-cathartic CT colonography in population-based screening for colorectal cancer: a randomised controlled trial.</w:t>
      </w:r>
      <w:r w:rsidR="003E59DC" w:rsidRPr="003E59DC">
        <w:t xml:space="preserve"> Lancet Oncol, 2012. </w:t>
      </w:r>
      <w:r w:rsidR="003E59DC" w:rsidRPr="003E59DC">
        <w:rPr>
          <w:b/>
        </w:rPr>
        <w:t>13</w:t>
      </w:r>
      <w:r w:rsidR="003E59DC" w:rsidRPr="003E59DC">
        <w:t>(1): p. 55-64.</w:t>
      </w:r>
    </w:p>
    <w:p w14:paraId="6D5D3B8B" w14:textId="77777777" w:rsidR="003E59DC" w:rsidRPr="003E59DC" w:rsidRDefault="003E59DC" w:rsidP="003E59DC">
      <w:pPr>
        <w:pStyle w:val="EndNoteBibliography"/>
        <w:spacing w:after="0"/>
        <w:ind w:left="720" w:hanging="720"/>
      </w:pPr>
      <w:r w:rsidRPr="003E59DC">
        <w:t>2.</w:t>
      </w:r>
      <w:r w:rsidRPr="003E59DC">
        <w:tab/>
        <w:t xml:space="preserve">Lew, J.B., et al., </w:t>
      </w:r>
      <w:r w:rsidRPr="003E59DC">
        <w:rPr>
          <w:i/>
        </w:rPr>
        <w:t>Long-term evaluation of benefits, harms, and cost-effectiveness of the National Bowel Cancer Screening Program in Australia: a modelling study.</w:t>
      </w:r>
      <w:r w:rsidRPr="003E59DC">
        <w:t xml:space="preserve"> Lancet Public Health, 2017. </w:t>
      </w:r>
      <w:r w:rsidRPr="003E59DC">
        <w:rPr>
          <w:b/>
        </w:rPr>
        <w:t>2</w:t>
      </w:r>
      <w:r w:rsidRPr="003E59DC">
        <w:t>: p. e331-e340.</w:t>
      </w:r>
    </w:p>
    <w:p w14:paraId="48BDCBA0" w14:textId="77777777" w:rsidR="003E59DC" w:rsidRPr="003E59DC" w:rsidRDefault="003E59DC" w:rsidP="003E59DC">
      <w:pPr>
        <w:pStyle w:val="EndNoteBibliography"/>
        <w:spacing w:after="0"/>
        <w:ind w:left="720" w:hanging="720"/>
      </w:pPr>
      <w:r w:rsidRPr="003E59DC">
        <w:t>3.</w:t>
      </w:r>
      <w:r w:rsidRPr="003E59DC">
        <w:tab/>
        <w:t xml:space="preserve">Australian Government Department of Health, </w:t>
      </w:r>
      <w:r w:rsidRPr="003E59DC">
        <w:rPr>
          <w:i/>
        </w:rPr>
        <w:t>National Bowel Cancer Screening Program - About the Program.</w:t>
      </w:r>
      <w:r w:rsidRPr="003E59DC">
        <w:t xml:space="preserve"> 2014. </w:t>
      </w:r>
      <w:r w:rsidRPr="003E59DC">
        <w:rPr>
          <w:b/>
        </w:rPr>
        <w:t>2014</w:t>
      </w:r>
      <w:r w:rsidRPr="003E59DC">
        <w:t>(20 May).</w:t>
      </w:r>
    </w:p>
    <w:p w14:paraId="1E7A6E68" w14:textId="77777777" w:rsidR="003E59DC" w:rsidRPr="003E59DC" w:rsidRDefault="003E59DC" w:rsidP="003E59DC">
      <w:pPr>
        <w:pStyle w:val="EndNoteBibliography"/>
        <w:spacing w:after="0"/>
        <w:ind w:left="720" w:hanging="720"/>
      </w:pPr>
      <w:r w:rsidRPr="003E59DC">
        <w:t>4.</w:t>
      </w:r>
      <w:r w:rsidRPr="003E59DC">
        <w:tab/>
        <w:t xml:space="preserve">Binefa, G., et al., </w:t>
      </w:r>
      <w:r w:rsidRPr="003E59DC">
        <w:rPr>
          <w:i/>
        </w:rPr>
        <w:t>Colorectal cancer screening programme in Spain: results of key performance indicators after five rounds (2000–2012).</w:t>
      </w:r>
      <w:r w:rsidRPr="003E59DC">
        <w:t xml:space="preserve"> Scientific reports, 2016. </w:t>
      </w:r>
      <w:r w:rsidRPr="003E59DC">
        <w:rPr>
          <w:b/>
        </w:rPr>
        <w:t>6</w:t>
      </w:r>
      <w:r w:rsidRPr="003E59DC">
        <w:t>: p. 19532.</w:t>
      </w:r>
    </w:p>
    <w:p w14:paraId="6EF5148B" w14:textId="77777777" w:rsidR="003E59DC" w:rsidRPr="003E59DC" w:rsidRDefault="003E59DC" w:rsidP="003E59DC">
      <w:pPr>
        <w:pStyle w:val="EndNoteBibliography"/>
        <w:spacing w:after="0"/>
        <w:ind w:left="720" w:hanging="720"/>
      </w:pPr>
      <w:r w:rsidRPr="003E59DC">
        <w:t>5.</w:t>
      </w:r>
      <w:r w:rsidRPr="003E59DC">
        <w:tab/>
        <w:t xml:space="preserve">Australian Institute of Health and Welfare, </w:t>
      </w:r>
      <w:r w:rsidRPr="003E59DC">
        <w:rPr>
          <w:i/>
        </w:rPr>
        <w:t>National Bowel Cancer Screening Program: monitoring report 2013-14</w:t>
      </w:r>
      <w:r w:rsidRPr="003E59DC">
        <w:t>. 2015: Cancer series No. 94. Cat. no. CAN 94.</w:t>
      </w:r>
    </w:p>
    <w:p w14:paraId="6E6ED954" w14:textId="77777777" w:rsidR="003E59DC" w:rsidRPr="003E59DC" w:rsidRDefault="003E59DC" w:rsidP="003E59DC">
      <w:pPr>
        <w:pStyle w:val="EndNoteBibliography"/>
        <w:spacing w:after="0"/>
        <w:ind w:left="720" w:hanging="720"/>
      </w:pPr>
      <w:r w:rsidRPr="003E59DC">
        <w:t>6.</w:t>
      </w:r>
      <w:r w:rsidRPr="003E59DC">
        <w:tab/>
        <w:t xml:space="preserve">Australian Institute of Health and Welfare and H. Australian Government Department of, </w:t>
      </w:r>
      <w:r w:rsidRPr="003E59DC">
        <w:rPr>
          <w:i/>
        </w:rPr>
        <w:t>Analysis of colorectal cancer outcomes for the Australian National Bowel Cancer Screening Program.</w:t>
      </w:r>
      <w:r w:rsidRPr="003E59DC">
        <w:t xml:space="preserve"> Asia Pac J Clin Oncol, 2016. </w:t>
      </w:r>
      <w:r w:rsidRPr="003E59DC">
        <w:rPr>
          <w:b/>
        </w:rPr>
        <w:t>12</w:t>
      </w:r>
      <w:r w:rsidRPr="003E59DC">
        <w:t>(1): p. 22-32.</w:t>
      </w:r>
    </w:p>
    <w:p w14:paraId="68F614D2" w14:textId="77777777" w:rsidR="003E59DC" w:rsidRPr="003E59DC" w:rsidRDefault="003E59DC" w:rsidP="003E59DC">
      <w:pPr>
        <w:pStyle w:val="EndNoteBibliography"/>
        <w:spacing w:after="0"/>
        <w:ind w:left="720" w:hanging="720"/>
      </w:pPr>
      <w:r w:rsidRPr="003E59DC">
        <w:t>7.</w:t>
      </w:r>
      <w:r w:rsidRPr="003E59DC">
        <w:tab/>
        <w:t xml:space="preserve">van Rijn, J.C., et al., </w:t>
      </w:r>
      <w:r w:rsidRPr="003E59DC">
        <w:rPr>
          <w:i/>
        </w:rPr>
        <w:t>Polyp miss rate determined by tandem colonoscopy: a systematic review.</w:t>
      </w:r>
      <w:r w:rsidRPr="003E59DC">
        <w:t xml:space="preserve"> Am J Gastroenterol, 2006. </w:t>
      </w:r>
      <w:r w:rsidRPr="003E59DC">
        <w:rPr>
          <w:b/>
        </w:rPr>
        <w:t>101</w:t>
      </w:r>
      <w:r w:rsidRPr="003E59DC">
        <w:t>(2): p. 343-350.</w:t>
      </w:r>
    </w:p>
    <w:p w14:paraId="13CC5992" w14:textId="77777777" w:rsidR="003E59DC" w:rsidRPr="003E59DC" w:rsidRDefault="003E59DC" w:rsidP="003E59DC">
      <w:pPr>
        <w:pStyle w:val="EndNoteBibliography"/>
        <w:spacing w:after="0"/>
        <w:ind w:left="720" w:hanging="720"/>
      </w:pPr>
      <w:r w:rsidRPr="003E59DC">
        <w:t>8.</w:t>
      </w:r>
      <w:r w:rsidRPr="003E59DC">
        <w:tab/>
        <w:t xml:space="preserve">Pickhardt, P.J., et al., </w:t>
      </w:r>
      <w:r w:rsidRPr="003E59DC">
        <w:rPr>
          <w:i/>
        </w:rPr>
        <w:t>Colorectal cancer: CT colonography and colonoscopy for detection--systematic review and meta-analysis.</w:t>
      </w:r>
      <w:r w:rsidRPr="003E59DC">
        <w:t xml:space="preserve"> Radiology, 2011. </w:t>
      </w:r>
      <w:r w:rsidRPr="003E59DC">
        <w:rPr>
          <w:b/>
        </w:rPr>
        <w:t>259</w:t>
      </w:r>
      <w:r w:rsidRPr="003E59DC">
        <w:t>(2): p. 393-405.</w:t>
      </w:r>
    </w:p>
    <w:p w14:paraId="1273F308" w14:textId="77777777" w:rsidR="003E59DC" w:rsidRPr="003E59DC" w:rsidRDefault="003E59DC" w:rsidP="003E59DC">
      <w:pPr>
        <w:pStyle w:val="EndNoteBibliography"/>
        <w:spacing w:after="0"/>
        <w:ind w:left="720" w:hanging="720"/>
      </w:pPr>
      <w:r w:rsidRPr="003E59DC">
        <w:t>9.</w:t>
      </w:r>
      <w:r w:rsidRPr="003E59DC">
        <w:tab/>
        <w:t xml:space="preserve">Australian Institute of Health and Welfare, </w:t>
      </w:r>
      <w:r w:rsidRPr="003E59DC">
        <w:rPr>
          <w:i/>
        </w:rPr>
        <w:t>National Bowel Cancer Screening Program monitoring report: 2012-2013. Cancer series No. 84. Cat. no. CAN 81</w:t>
      </w:r>
      <w:r w:rsidRPr="003E59DC">
        <w:t>. 2014, AIHW: Canberra.</w:t>
      </w:r>
    </w:p>
    <w:p w14:paraId="064F7D2B" w14:textId="77777777" w:rsidR="003E59DC" w:rsidRPr="003E59DC" w:rsidRDefault="003E59DC" w:rsidP="003E59DC">
      <w:pPr>
        <w:pStyle w:val="EndNoteBibliography"/>
        <w:spacing w:after="0"/>
        <w:ind w:left="720" w:hanging="720"/>
      </w:pPr>
      <w:r w:rsidRPr="003E59DC">
        <w:t>10.</w:t>
      </w:r>
      <w:r w:rsidRPr="003E59DC">
        <w:tab/>
        <w:t xml:space="preserve">Australian Institute of Health and Welfare and Australian Institute of Health and Ageing, </w:t>
      </w:r>
      <w:r w:rsidRPr="003E59DC">
        <w:rPr>
          <w:i/>
        </w:rPr>
        <w:t>National Bowel Cancer Screening Program: monitoring report 2008. Cancer series no. 44. Cat. no. CAN 40</w:t>
      </w:r>
      <w:r w:rsidRPr="003E59DC">
        <w:t>. 2008, AIHW: Canberra.</w:t>
      </w:r>
    </w:p>
    <w:p w14:paraId="24BF3C2F" w14:textId="77777777" w:rsidR="003E59DC" w:rsidRPr="003E59DC" w:rsidRDefault="003E59DC" w:rsidP="003E59DC">
      <w:pPr>
        <w:pStyle w:val="EndNoteBibliography"/>
        <w:spacing w:after="0"/>
        <w:ind w:left="720" w:hanging="720"/>
      </w:pPr>
      <w:r w:rsidRPr="003E59DC">
        <w:t>11.</w:t>
      </w:r>
      <w:r w:rsidRPr="003E59DC">
        <w:tab/>
        <w:t xml:space="preserve">Australian Institute of Health and Welfare, </w:t>
      </w:r>
      <w:r w:rsidRPr="003E59DC">
        <w:rPr>
          <w:i/>
        </w:rPr>
        <w:t>National Bowel Cancer Screening Program: annual monitoring report 2009. Cancer series no. 49. Cat. no. CAN 45</w:t>
      </w:r>
      <w:r w:rsidRPr="003E59DC">
        <w:t>. 2009, Australian Institute of Health and Welfare; Australian Gevernment Department of Health and Ageing; National Bowel Cancer Screening Program: Canberra.</w:t>
      </w:r>
    </w:p>
    <w:p w14:paraId="5789D4E7" w14:textId="77777777" w:rsidR="003E59DC" w:rsidRPr="003E59DC" w:rsidRDefault="003E59DC" w:rsidP="003E59DC">
      <w:pPr>
        <w:pStyle w:val="EndNoteBibliography"/>
        <w:spacing w:after="0"/>
        <w:ind w:left="720" w:hanging="720"/>
      </w:pPr>
      <w:r w:rsidRPr="003E59DC">
        <w:t>12.</w:t>
      </w:r>
      <w:r w:rsidRPr="003E59DC">
        <w:tab/>
        <w:t xml:space="preserve">Australian Institute of Health and Welfare, </w:t>
      </w:r>
      <w:r w:rsidRPr="003E59DC">
        <w:rPr>
          <w:i/>
        </w:rPr>
        <w:t>National Bowel Cancer Screening Program monitoring report: phase 2, July 2008-June 2011. Cancer series no. 65. Cat no. CAN 61</w:t>
      </w:r>
      <w:r w:rsidRPr="003E59DC">
        <w:t>. 2012, AIHW: Canberra.</w:t>
      </w:r>
    </w:p>
    <w:p w14:paraId="33DB4476" w14:textId="77777777" w:rsidR="003E59DC" w:rsidRPr="003E59DC" w:rsidRDefault="003E59DC" w:rsidP="003E59DC">
      <w:pPr>
        <w:pStyle w:val="EndNoteBibliography"/>
        <w:spacing w:after="0"/>
        <w:ind w:left="720" w:hanging="720"/>
      </w:pPr>
      <w:r w:rsidRPr="003E59DC">
        <w:t>13.</w:t>
      </w:r>
      <w:r w:rsidRPr="003E59DC">
        <w:tab/>
        <w:t xml:space="preserve">Australian Institute of Health and Welfare, </w:t>
      </w:r>
      <w:r w:rsidRPr="003E59DC">
        <w:rPr>
          <w:i/>
        </w:rPr>
        <w:t>National Bowel Cancer Screening Program monitoring report: July 2011-June 2012. Cancer series no. 75. Cat. no. CAN 71</w:t>
      </w:r>
      <w:r w:rsidRPr="003E59DC">
        <w:t>. 2013, AIHW: Canberra.</w:t>
      </w:r>
    </w:p>
    <w:p w14:paraId="279D1A5D" w14:textId="77777777" w:rsidR="003E59DC" w:rsidRPr="003E59DC" w:rsidRDefault="003E59DC" w:rsidP="003E59DC">
      <w:pPr>
        <w:pStyle w:val="EndNoteBibliography"/>
        <w:ind w:left="720" w:hanging="720"/>
      </w:pPr>
      <w:r w:rsidRPr="003E59DC">
        <w:t>14.</w:t>
      </w:r>
      <w:r w:rsidRPr="003E59DC">
        <w:tab/>
        <w:t xml:space="preserve">Lew, J.B., et al., </w:t>
      </w:r>
      <w:r w:rsidRPr="003E59DC">
        <w:rPr>
          <w:i/>
        </w:rPr>
        <w:t>Evaluation of the benefits, harms and cost-effectiveness of potential alternatives to iFOBT testing for colorectal cancer screening in Australia.</w:t>
      </w:r>
      <w:r w:rsidRPr="003E59DC">
        <w:t xml:space="preserve"> Int J Cancer, 2018. </w:t>
      </w:r>
      <w:r w:rsidRPr="003E59DC">
        <w:rPr>
          <w:b/>
        </w:rPr>
        <w:t>143</w:t>
      </w:r>
      <w:r w:rsidRPr="003E59DC">
        <w:t>(2): p. 269-282.</w:t>
      </w:r>
    </w:p>
    <w:p w14:paraId="6CEC4C11" w14:textId="310C5CFB" w:rsidR="00C54943" w:rsidRPr="00684978" w:rsidRDefault="00B74755" w:rsidP="005707D4">
      <w:pPr>
        <w:pStyle w:val="Caption"/>
        <w:keepNext/>
        <w:keepLines/>
        <w:rPr>
          <w:b w:val="0"/>
        </w:rPr>
      </w:pPr>
      <w:r>
        <w:rPr>
          <w:b w:val="0"/>
        </w:rPr>
        <w:fldChar w:fldCharType="end"/>
      </w:r>
    </w:p>
    <w:sectPr w:rsidR="00C54943" w:rsidRPr="00684978" w:rsidSect="00B835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DBD34" w14:textId="77777777" w:rsidR="001E54BA" w:rsidRDefault="001E54BA" w:rsidP="009B706E">
      <w:pPr>
        <w:spacing w:after="0" w:line="240" w:lineRule="auto"/>
      </w:pPr>
      <w:r>
        <w:separator/>
      </w:r>
    </w:p>
  </w:endnote>
  <w:endnote w:type="continuationSeparator" w:id="0">
    <w:p w14:paraId="48E9F4EE" w14:textId="77777777" w:rsidR="001E54BA" w:rsidRDefault="001E54BA" w:rsidP="009B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haker 2 Lancet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994390"/>
      <w:docPartObj>
        <w:docPartGallery w:val="Page Numbers (Bottom of Page)"/>
        <w:docPartUnique/>
      </w:docPartObj>
    </w:sdtPr>
    <w:sdtEndPr>
      <w:rPr>
        <w:noProof/>
      </w:rPr>
    </w:sdtEndPr>
    <w:sdtContent>
      <w:p w14:paraId="5E09322B" w14:textId="66885374" w:rsidR="001E54BA" w:rsidRDefault="001E54BA">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250F6889" w14:textId="77777777" w:rsidR="001E54BA" w:rsidRDefault="001E5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20D77" w14:textId="77777777" w:rsidR="001E54BA" w:rsidRDefault="001E54BA" w:rsidP="009B706E">
      <w:pPr>
        <w:spacing w:after="0" w:line="240" w:lineRule="auto"/>
      </w:pPr>
      <w:r>
        <w:separator/>
      </w:r>
    </w:p>
  </w:footnote>
  <w:footnote w:type="continuationSeparator" w:id="0">
    <w:p w14:paraId="34CC2F21" w14:textId="77777777" w:rsidR="001E54BA" w:rsidRDefault="001E54BA" w:rsidP="009B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81A66" w14:textId="384499DA" w:rsidR="001E54BA" w:rsidRDefault="001E5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80C51E6"/>
    <w:multiLevelType w:val="hybridMultilevel"/>
    <w:tmpl w:val="4258D5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A5B081"/>
    <w:multiLevelType w:val="hybridMultilevel"/>
    <w:tmpl w:val="46BB7E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152C77"/>
    <w:multiLevelType w:val="hybridMultilevel"/>
    <w:tmpl w:val="FCBC3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B6EA5"/>
    <w:multiLevelType w:val="hybridMultilevel"/>
    <w:tmpl w:val="DBD4E2FC"/>
    <w:lvl w:ilvl="0" w:tplc="B0F665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B01B43"/>
    <w:multiLevelType w:val="hybridMultilevel"/>
    <w:tmpl w:val="2CDE8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7D4038"/>
    <w:multiLevelType w:val="hybridMultilevel"/>
    <w:tmpl w:val="C46CDF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9F74EE"/>
    <w:multiLevelType w:val="multilevel"/>
    <w:tmpl w:val="0C9F7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272A0E"/>
    <w:multiLevelType w:val="multilevel"/>
    <w:tmpl w:val="E3F60968"/>
    <w:lvl w:ilvl="0">
      <w:start w:val="4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9CA1227"/>
    <w:multiLevelType w:val="hybridMultilevel"/>
    <w:tmpl w:val="AFC48E94"/>
    <w:lvl w:ilvl="0" w:tplc="A9F46E16">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D04E6"/>
    <w:multiLevelType w:val="hybridMultilevel"/>
    <w:tmpl w:val="1024B6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0BF66AB"/>
    <w:multiLevelType w:val="hybridMultilevel"/>
    <w:tmpl w:val="DAF219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EE40B6"/>
    <w:multiLevelType w:val="hybridMultilevel"/>
    <w:tmpl w:val="C702185C"/>
    <w:lvl w:ilvl="0" w:tplc="297A70B2">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5625EE"/>
    <w:multiLevelType w:val="multilevel"/>
    <w:tmpl w:val="CA12B1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30860"/>
    <w:multiLevelType w:val="hybridMultilevel"/>
    <w:tmpl w:val="D5A23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811898"/>
    <w:multiLevelType w:val="hybridMultilevel"/>
    <w:tmpl w:val="5EB0F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274098"/>
    <w:multiLevelType w:val="hybridMultilevel"/>
    <w:tmpl w:val="6062FD5E"/>
    <w:lvl w:ilvl="0" w:tplc="6504C2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A96299"/>
    <w:multiLevelType w:val="hybridMultilevel"/>
    <w:tmpl w:val="A4C234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702C29C6"/>
    <w:multiLevelType w:val="hybridMultilevel"/>
    <w:tmpl w:val="B148AB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417719"/>
    <w:multiLevelType w:val="multilevel"/>
    <w:tmpl w:val="754075EC"/>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59541F"/>
    <w:multiLevelType w:val="hybridMultilevel"/>
    <w:tmpl w:val="04CA00C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3E3151"/>
    <w:multiLevelType w:val="hybridMultilevel"/>
    <w:tmpl w:val="4148C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CE451B"/>
    <w:multiLevelType w:val="hybridMultilevel"/>
    <w:tmpl w:val="77D6D422"/>
    <w:lvl w:ilvl="0" w:tplc="0EF40544">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9"/>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
  </w:num>
  <w:num w:numId="8">
    <w:abstractNumId w:val="20"/>
  </w:num>
  <w:num w:numId="9">
    <w:abstractNumId w:val="10"/>
  </w:num>
  <w:num w:numId="10">
    <w:abstractNumId w:val="2"/>
  </w:num>
  <w:num w:numId="11">
    <w:abstractNumId w:val="14"/>
  </w:num>
  <w:num w:numId="12">
    <w:abstractNumId w:val="4"/>
  </w:num>
  <w:num w:numId="13">
    <w:abstractNumId w:val="13"/>
  </w:num>
  <w:num w:numId="14">
    <w:abstractNumId w:val="11"/>
  </w:num>
  <w:num w:numId="15">
    <w:abstractNumId w:val="15"/>
  </w:num>
  <w:num w:numId="16">
    <w:abstractNumId w:val="21"/>
  </w:num>
  <w:num w:numId="17">
    <w:abstractNumId w:val="8"/>
  </w:num>
  <w:num w:numId="18">
    <w:abstractNumId w:val="19"/>
  </w:num>
  <w:num w:numId="19">
    <w:abstractNumId w:val="3"/>
  </w:num>
  <w:num w:numId="20">
    <w:abstractNumId w:val="5"/>
  </w:num>
  <w:num w:numId="21">
    <w:abstractNumId w:val="7"/>
    <w:lvlOverride w:ilvl="0">
      <w:startOverride w:val="4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NotTrackFormatting/>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0da5ezff5faue2296x5z26twvpfe5wa90e&quot;&gt;CRCCentral&lt;record-ids&gt;&lt;item&gt;810&lt;/item&gt;&lt;item&gt;951&lt;/item&gt;&lt;item&gt;980&lt;/item&gt;&lt;item&gt;1089&lt;/item&gt;&lt;item&gt;1122&lt;/item&gt;&lt;/record-ids&gt;&lt;/item&gt;&lt;/Libraries&gt;"/>
    <w:docVar w:name="REFMGR.InstantFormat" w:val="&lt;ENInstantFormat&gt;&lt;Enabled&gt;1&lt;/Enabled&gt;&lt;ScanUnformatted&gt;1&lt;/ScanUnformatted&gt;&lt;ScanChanges&gt;1&lt;/ScanChanges&gt;&lt;/ENInstantFormat&gt;"/>
    <w:docVar w:name="REFMGR.Layout" w:val="&lt;ENLayout&gt;&lt;Style&gt;Medical Journal of Australia&lt;/Style&gt;&lt;LeftDelim&gt;{&lt;/LeftDelim&gt;&lt;RightDelim&gt;}&lt;/RightDelim&gt;&lt;FontName&gt;Calibri&lt;/FontName&gt;&lt;FontSize&gt;11&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CRCCentral_RefMan&lt;/item&gt;&lt;/Libraries&gt;&lt;/ENLibraries&gt;"/>
  </w:docVars>
  <w:rsids>
    <w:rsidRoot w:val="005A7002"/>
    <w:rsid w:val="000006B4"/>
    <w:rsid w:val="000006ED"/>
    <w:rsid w:val="00002939"/>
    <w:rsid w:val="0000318A"/>
    <w:rsid w:val="000034A4"/>
    <w:rsid w:val="000036DE"/>
    <w:rsid w:val="0000391E"/>
    <w:rsid w:val="0000467E"/>
    <w:rsid w:val="00006316"/>
    <w:rsid w:val="00006446"/>
    <w:rsid w:val="00006522"/>
    <w:rsid w:val="00006C3C"/>
    <w:rsid w:val="00007021"/>
    <w:rsid w:val="000074E9"/>
    <w:rsid w:val="00010CC1"/>
    <w:rsid w:val="00010CF6"/>
    <w:rsid w:val="0001124E"/>
    <w:rsid w:val="00011329"/>
    <w:rsid w:val="00011847"/>
    <w:rsid w:val="000139AE"/>
    <w:rsid w:val="00013A5C"/>
    <w:rsid w:val="000143AB"/>
    <w:rsid w:val="0001548C"/>
    <w:rsid w:val="0001661E"/>
    <w:rsid w:val="0001677F"/>
    <w:rsid w:val="00016CFC"/>
    <w:rsid w:val="00016FDD"/>
    <w:rsid w:val="00020BD0"/>
    <w:rsid w:val="00022039"/>
    <w:rsid w:val="00022865"/>
    <w:rsid w:val="0002323A"/>
    <w:rsid w:val="000232E5"/>
    <w:rsid w:val="0002353E"/>
    <w:rsid w:val="0002358B"/>
    <w:rsid w:val="000236C0"/>
    <w:rsid w:val="00023EAA"/>
    <w:rsid w:val="00024B7A"/>
    <w:rsid w:val="00024C53"/>
    <w:rsid w:val="00025594"/>
    <w:rsid w:val="0002580D"/>
    <w:rsid w:val="00026007"/>
    <w:rsid w:val="000266CA"/>
    <w:rsid w:val="000271B5"/>
    <w:rsid w:val="000273F6"/>
    <w:rsid w:val="00027540"/>
    <w:rsid w:val="000311C4"/>
    <w:rsid w:val="00031E4C"/>
    <w:rsid w:val="00033A2A"/>
    <w:rsid w:val="00033CB1"/>
    <w:rsid w:val="00033EED"/>
    <w:rsid w:val="000344B5"/>
    <w:rsid w:val="000344CB"/>
    <w:rsid w:val="000347D4"/>
    <w:rsid w:val="000355CF"/>
    <w:rsid w:val="00036330"/>
    <w:rsid w:val="00037A6B"/>
    <w:rsid w:val="00037C24"/>
    <w:rsid w:val="00040290"/>
    <w:rsid w:val="000412D2"/>
    <w:rsid w:val="00042983"/>
    <w:rsid w:val="00044157"/>
    <w:rsid w:val="00045BC5"/>
    <w:rsid w:val="000465B2"/>
    <w:rsid w:val="00046D23"/>
    <w:rsid w:val="00047627"/>
    <w:rsid w:val="00047892"/>
    <w:rsid w:val="000501E8"/>
    <w:rsid w:val="00050E7D"/>
    <w:rsid w:val="00052225"/>
    <w:rsid w:val="0005245A"/>
    <w:rsid w:val="00052DA1"/>
    <w:rsid w:val="0005305B"/>
    <w:rsid w:val="000532B1"/>
    <w:rsid w:val="00053CE4"/>
    <w:rsid w:val="00054676"/>
    <w:rsid w:val="00054AAB"/>
    <w:rsid w:val="00054AED"/>
    <w:rsid w:val="00054ECF"/>
    <w:rsid w:val="00055BA9"/>
    <w:rsid w:val="00055FC6"/>
    <w:rsid w:val="0005673D"/>
    <w:rsid w:val="00056E9C"/>
    <w:rsid w:val="00057514"/>
    <w:rsid w:val="000576EF"/>
    <w:rsid w:val="00057908"/>
    <w:rsid w:val="000609A9"/>
    <w:rsid w:val="00061A39"/>
    <w:rsid w:val="00062131"/>
    <w:rsid w:val="00062198"/>
    <w:rsid w:val="0006376E"/>
    <w:rsid w:val="00063D0B"/>
    <w:rsid w:val="00064864"/>
    <w:rsid w:val="000649E9"/>
    <w:rsid w:val="00064EA9"/>
    <w:rsid w:val="0006534C"/>
    <w:rsid w:val="000659EF"/>
    <w:rsid w:val="00070924"/>
    <w:rsid w:val="00071557"/>
    <w:rsid w:val="0007224B"/>
    <w:rsid w:val="000732FA"/>
    <w:rsid w:val="00073675"/>
    <w:rsid w:val="000736B8"/>
    <w:rsid w:val="00074425"/>
    <w:rsid w:val="000745BB"/>
    <w:rsid w:val="00074DB3"/>
    <w:rsid w:val="00075386"/>
    <w:rsid w:val="000760B9"/>
    <w:rsid w:val="000770D8"/>
    <w:rsid w:val="0007718D"/>
    <w:rsid w:val="00077BFE"/>
    <w:rsid w:val="00080212"/>
    <w:rsid w:val="00080BB0"/>
    <w:rsid w:val="00080DAE"/>
    <w:rsid w:val="000813E9"/>
    <w:rsid w:val="00081ED1"/>
    <w:rsid w:val="00082147"/>
    <w:rsid w:val="00083092"/>
    <w:rsid w:val="00083A69"/>
    <w:rsid w:val="00083D12"/>
    <w:rsid w:val="000840BC"/>
    <w:rsid w:val="00084561"/>
    <w:rsid w:val="00084D38"/>
    <w:rsid w:val="00084EDA"/>
    <w:rsid w:val="0008524D"/>
    <w:rsid w:val="00085592"/>
    <w:rsid w:val="0008594F"/>
    <w:rsid w:val="000862E1"/>
    <w:rsid w:val="00086A9C"/>
    <w:rsid w:val="00087395"/>
    <w:rsid w:val="00087444"/>
    <w:rsid w:val="000913AB"/>
    <w:rsid w:val="000919FE"/>
    <w:rsid w:val="0009215B"/>
    <w:rsid w:val="00093704"/>
    <w:rsid w:val="0009434B"/>
    <w:rsid w:val="00094629"/>
    <w:rsid w:val="00094E4D"/>
    <w:rsid w:val="00095094"/>
    <w:rsid w:val="000952C2"/>
    <w:rsid w:val="00095C9D"/>
    <w:rsid w:val="00095F93"/>
    <w:rsid w:val="00096F98"/>
    <w:rsid w:val="00097023"/>
    <w:rsid w:val="000A07C2"/>
    <w:rsid w:val="000A0E61"/>
    <w:rsid w:val="000A0EC6"/>
    <w:rsid w:val="000A123B"/>
    <w:rsid w:val="000A166D"/>
    <w:rsid w:val="000A28A0"/>
    <w:rsid w:val="000A3242"/>
    <w:rsid w:val="000A36C2"/>
    <w:rsid w:val="000A377F"/>
    <w:rsid w:val="000A4051"/>
    <w:rsid w:val="000A62DC"/>
    <w:rsid w:val="000A7CDA"/>
    <w:rsid w:val="000B0430"/>
    <w:rsid w:val="000B11A1"/>
    <w:rsid w:val="000B1E9F"/>
    <w:rsid w:val="000B294F"/>
    <w:rsid w:val="000B3986"/>
    <w:rsid w:val="000B3EC9"/>
    <w:rsid w:val="000B435E"/>
    <w:rsid w:val="000B454C"/>
    <w:rsid w:val="000B46A8"/>
    <w:rsid w:val="000B5679"/>
    <w:rsid w:val="000B67E5"/>
    <w:rsid w:val="000B6884"/>
    <w:rsid w:val="000B6D0D"/>
    <w:rsid w:val="000B6E4D"/>
    <w:rsid w:val="000B6EBA"/>
    <w:rsid w:val="000B70AB"/>
    <w:rsid w:val="000B72FF"/>
    <w:rsid w:val="000B751C"/>
    <w:rsid w:val="000B75D1"/>
    <w:rsid w:val="000B7F09"/>
    <w:rsid w:val="000C04FC"/>
    <w:rsid w:val="000C05FB"/>
    <w:rsid w:val="000C1192"/>
    <w:rsid w:val="000C1C4C"/>
    <w:rsid w:val="000C323F"/>
    <w:rsid w:val="000C32A0"/>
    <w:rsid w:val="000C37C3"/>
    <w:rsid w:val="000C3CBB"/>
    <w:rsid w:val="000C48E1"/>
    <w:rsid w:val="000C661A"/>
    <w:rsid w:val="000C69C8"/>
    <w:rsid w:val="000C6B64"/>
    <w:rsid w:val="000C6BD0"/>
    <w:rsid w:val="000C6F83"/>
    <w:rsid w:val="000D11A8"/>
    <w:rsid w:val="000D1ED6"/>
    <w:rsid w:val="000E0BCD"/>
    <w:rsid w:val="000E1DC9"/>
    <w:rsid w:val="000E2142"/>
    <w:rsid w:val="000E2532"/>
    <w:rsid w:val="000E3624"/>
    <w:rsid w:val="000E3C59"/>
    <w:rsid w:val="000E7EF4"/>
    <w:rsid w:val="000F0AB7"/>
    <w:rsid w:val="000F14B2"/>
    <w:rsid w:val="000F17C5"/>
    <w:rsid w:val="000F27C2"/>
    <w:rsid w:val="000F3641"/>
    <w:rsid w:val="000F4C0E"/>
    <w:rsid w:val="000F5C88"/>
    <w:rsid w:val="000F61FE"/>
    <w:rsid w:val="000F6B97"/>
    <w:rsid w:val="000F738E"/>
    <w:rsid w:val="000F781F"/>
    <w:rsid w:val="000F7ACC"/>
    <w:rsid w:val="000F7D1A"/>
    <w:rsid w:val="00100420"/>
    <w:rsid w:val="00100BB3"/>
    <w:rsid w:val="00101AB0"/>
    <w:rsid w:val="00102CAE"/>
    <w:rsid w:val="00102ECC"/>
    <w:rsid w:val="0010308B"/>
    <w:rsid w:val="00103110"/>
    <w:rsid w:val="00103CA7"/>
    <w:rsid w:val="00104DD6"/>
    <w:rsid w:val="00105072"/>
    <w:rsid w:val="001050C1"/>
    <w:rsid w:val="00105690"/>
    <w:rsid w:val="001068DB"/>
    <w:rsid w:val="00106D44"/>
    <w:rsid w:val="001076BC"/>
    <w:rsid w:val="00107A73"/>
    <w:rsid w:val="00110B09"/>
    <w:rsid w:val="00110DD3"/>
    <w:rsid w:val="00111CA2"/>
    <w:rsid w:val="001120A1"/>
    <w:rsid w:val="001128A6"/>
    <w:rsid w:val="00113AD3"/>
    <w:rsid w:val="001143B7"/>
    <w:rsid w:val="001144D7"/>
    <w:rsid w:val="001156F0"/>
    <w:rsid w:val="00115811"/>
    <w:rsid w:val="00115CA7"/>
    <w:rsid w:val="00116009"/>
    <w:rsid w:val="00116420"/>
    <w:rsid w:val="00116B36"/>
    <w:rsid w:val="00116C84"/>
    <w:rsid w:val="00116E4F"/>
    <w:rsid w:val="00116F01"/>
    <w:rsid w:val="001171A8"/>
    <w:rsid w:val="0011737B"/>
    <w:rsid w:val="00117ABC"/>
    <w:rsid w:val="00120C84"/>
    <w:rsid w:val="00121A69"/>
    <w:rsid w:val="00122B38"/>
    <w:rsid w:val="0012313F"/>
    <w:rsid w:val="00123653"/>
    <w:rsid w:val="00123D56"/>
    <w:rsid w:val="00124872"/>
    <w:rsid w:val="00125042"/>
    <w:rsid w:val="001250AE"/>
    <w:rsid w:val="00125B4E"/>
    <w:rsid w:val="00130510"/>
    <w:rsid w:val="00130CFF"/>
    <w:rsid w:val="00131617"/>
    <w:rsid w:val="0013200C"/>
    <w:rsid w:val="0013214C"/>
    <w:rsid w:val="001346E2"/>
    <w:rsid w:val="0013495B"/>
    <w:rsid w:val="001361A0"/>
    <w:rsid w:val="001365AB"/>
    <w:rsid w:val="00136A8E"/>
    <w:rsid w:val="00137129"/>
    <w:rsid w:val="00137675"/>
    <w:rsid w:val="00137A56"/>
    <w:rsid w:val="00140E9C"/>
    <w:rsid w:val="00140FD9"/>
    <w:rsid w:val="00141480"/>
    <w:rsid w:val="00141C81"/>
    <w:rsid w:val="00141D17"/>
    <w:rsid w:val="00141E64"/>
    <w:rsid w:val="0014267C"/>
    <w:rsid w:val="001426FF"/>
    <w:rsid w:val="00142CD7"/>
    <w:rsid w:val="00143134"/>
    <w:rsid w:val="00143287"/>
    <w:rsid w:val="00143441"/>
    <w:rsid w:val="0014403A"/>
    <w:rsid w:val="001447E6"/>
    <w:rsid w:val="001447FF"/>
    <w:rsid w:val="00144E86"/>
    <w:rsid w:val="00145D02"/>
    <w:rsid w:val="00146A43"/>
    <w:rsid w:val="0014765B"/>
    <w:rsid w:val="001478EA"/>
    <w:rsid w:val="00147913"/>
    <w:rsid w:val="00150A4A"/>
    <w:rsid w:val="00151820"/>
    <w:rsid w:val="0015222E"/>
    <w:rsid w:val="0015335B"/>
    <w:rsid w:val="0015345E"/>
    <w:rsid w:val="00154BC0"/>
    <w:rsid w:val="00155074"/>
    <w:rsid w:val="001554A7"/>
    <w:rsid w:val="00155692"/>
    <w:rsid w:val="00160244"/>
    <w:rsid w:val="00162000"/>
    <w:rsid w:val="00162315"/>
    <w:rsid w:val="001627ED"/>
    <w:rsid w:val="00163080"/>
    <w:rsid w:val="0016375B"/>
    <w:rsid w:val="0016422F"/>
    <w:rsid w:val="001642D1"/>
    <w:rsid w:val="00164379"/>
    <w:rsid w:val="00164921"/>
    <w:rsid w:val="001649CA"/>
    <w:rsid w:val="00164B8B"/>
    <w:rsid w:val="00165545"/>
    <w:rsid w:val="0016727D"/>
    <w:rsid w:val="00167A87"/>
    <w:rsid w:val="00170186"/>
    <w:rsid w:val="00170F50"/>
    <w:rsid w:val="0017224C"/>
    <w:rsid w:val="0017328B"/>
    <w:rsid w:val="00174378"/>
    <w:rsid w:val="001743B5"/>
    <w:rsid w:val="00174B7E"/>
    <w:rsid w:val="00175596"/>
    <w:rsid w:val="00175935"/>
    <w:rsid w:val="00175DE4"/>
    <w:rsid w:val="00177922"/>
    <w:rsid w:val="00177BF9"/>
    <w:rsid w:val="00180CD3"/>
    <w:rsid w:val="0018174D"/>
    <w:rsid w:val="00181C54"/>
    <w:rsid w:val="00187109"/>
    <w:rsid w:val="00187223"/>
    <w:rsid w:val="00187C34"/>
    <w:rsid w:val="001903B7"/>
    <w:rsid w:val="001909EE"/>
    <w:rsid w:val="00190B90"/>
    <w:rsid w:val="00190BE0"/>
    <w:rsid w:val="00192139"/>
    <w:rsid w:val="00192A90"/>
    <w:rsid w:val="00192DAC"/>
    <w:rsid w:val="00193215"/>
    <w:rsid w:val="00193BAF"/>
    <w:rsid w:val="00193DC2"/>
    <w:rsid w:val="00195801"/>
    <w:rsid w:val="00195D7A"/>
    <w:rsid w:val="00196135"/>
    <w:rsid w:val="001962D1"/>
    <w:rsid w:val="00197197"/>
    <w:rsid w:val="00197E02"/>
    <w:rsid w:val="001A027D"/>
    <w:rsid w:val="001A0561"/>
    <w:rsid w:val="001A09EA"/>
    <w:rsid w:val="001A3208"/>
    <w:rsid w:val="001A3399"/>
    <w:rsid w:val="001A39F3"/>
    <w:rsid w:val="001A526D"/>
    <w:rsid w:val="001A542A"/>
    <w:rsid w:val="001A604A"/>
    <w:rsid w:val="001A6417"/>
    <w:rsid w:val="001A6B38"/>
    <w:rsid w:val="001A70CA"/>
    <w:rsid w:val="001A7CD1"/>
    <w:rsid w:val="001A7E2A"/>
    <w:rsid w:val="001B040D"/>
    <w:rsid w:val="001B13B5"/>
    <w:rsid w:val="001B1EF6"/>
    <w:rsid w:val="001B2A42"/>
    <w:rsid w:val="001B367E"/>
    <w:rsid w:val="001B3754"/>
    <w:rsid w:val="001B40E8"/>
    <w:rsid w:val="001B4359"/>
    <w:rsid w:val="001B46BD"/>
    <w:rsid w:val="001B4DEA"/>
    <w:rsid w:val="001B5D0E"/>
    <w:rsid w:val="001B6EC4"/>
    <w:rsid w:val="001B7C7B"/>
    <w:rsid w:val="001B7D0F"/>
    <w:rsid w:val="001B7F9F"/>
    <w:rsid w:val="001C04AE"/>
    <w:rsid w:val="001C116B"/>
    <w:rsid w:val="001C2905"/>
    <w:rsid w:val="001C31F7"/>
    <w:rsid w:val="001C351F"/>
    <w:rsid w:val="001C37BF"/>
    <w:rsid w:val="001C3AAD"/>
    <w:rsid w:val="001C4A10"/>
    <w:rsid w:val="001C4E3E"/>
    <w:rsid w:val="001C5307"/>
    <w:rsid w:val="001C6251"/>
    <w:rsid w:val="001C6830"/>
    <w:rsid w:val="001C6AF5"/>
    <w:rsid w:val="001C7624"/>
    <w:rsid w:val="001D08A6"/>
    <w:rsid w:val="001D12C3"/>
    <w:rsid w:val="001D1397"/>
    <w:rsid w:val="001D148E"/>
    <w:rsid w:val="001D1981"/>
    <w:rsid w:val="001D20DD"/>
    <w:rsid w:val="001D2F00"/>
    <w:rsid w:val="001D541A"/>
    <w:rsid w:val="001D58ED"/>
    <w:rsid w:val="001D5B77"/>
    <w:rsid w:val="001D7AB8"/>
    <w:rsid w:val="001D7B3F"/>
    <w:rsid w:val="001D7C39"/>
    <w:rsid w:val="001E0189"/>
    <w:rsid w:val="001E06A1"/>
    <w:rsid w:val="001E0859"/>
    <w:rsid w:val="001E1CE0"/>
    <w:rsid w:val="001E1E31"/>
    <w:rsid w:val="001E2119"/>
    <w:rsid w:val="001E26D0"/>
    <w:rsid w:val="001E49CE"/>
    <w:rsid w:val="001E53E9"/>
    <w:rsid w:val="001E54BA"/>
    <w:rsid w:val="001E5912"/>
    <w:rsid w:val="001E6D76"/>
    <w:rsid w:val="001E7328"/>
    <w:rsid w:val="001E7C56"/>
    <w:rsid w:val="001F03EF"/>
    <w:rsid w:val="001F0497"/>
    <w:rsid w:val="001F056D"/>
    <w:rsid w:val="001F06DD"/>
    <w:rsid w:val="001F0DBF"/>
    <w:rsid w:val="001F0E8C"/>
    <w:rsid w:val="001F0FFB"/>
    <w:rsid w:val="001F1615"/>
    <w:rsid w:val="001F1BA9"/>
    <w:rsid w:val="001F1CE7"/>
    <w:rsid w:val="001F1D2D"/>
    <w:rsid w:val="001F2B23"/>
    <w:rsid w:val="001F33A8"/>
    <w:rsid w:val="001F5580"/>
    <w:rsid w:val="001F5647"/>
    <w:rsid w:val="001F5C10"/>
    <w:rsid w:val="001F62FB"/>
    <w:rsid w:val="001F6DF4"/>
    <w:rsid w:val="001F6FE0"/>
    <w:rsid w:val="001F7426"/>
    <w:rsid w:val="001F7C05"/>
    <w:rsid w:val="002003AC"/>
    <w:rsid w:val="00201281"/>
    <w:rsid w:val="0020129C"/>
    <w:rsid w:val="00202069"/>
    <w:rsid w:val="002022D3"/>
    <w:rsid w:val="00202F8F"/>
    <w:rsid w:val="00202FFC"/>
    <w:rsid w:val="002039E6"/>
    <w:rsid w:val="00203DDD"/>
    <w:rsid w:val="00203F85"/>
    <w:rsid w:val="00203FD0"/>
    <w:rsid w:val="002046EF"/>
    <w:rsid w:val="00204922"/>
    <w:rsid w:val="00206175"/>
    <w:rsid w:val="002061C5"/>
    <w:rsid w:val="00206836"/>
    <w:rsid w:val="00206888"/>
    <w:rsid w:val="00206D86"/>
    <w:rsid w:val="0020788D"/>
    <w:rsid w:val="00207EE4"/>
    <w:rsid w:val="00210065"/>
    <w:rsid w:val="00211489"/>
    <w:rsid w:val="002116B1"/>
    <w:rsid w:val="00212038"/>
    <w:rsid w:val="002127DE"/>
    <w:rsid w:val="00212F8D"/>
    <w:rsid w:val="00213404"/>
    <w:rsid w:val="00213938"/>
    <w:rsid w:val="00214A3A"/>
    <w:rsid w:val="00214DD9"/>
    <w:rsid w:val="00215FB0"/>
    <w:rsid w:val="00216D6B"/>
    <w:rsid w:val="002178E0"/>
    <w:rsid w:val="00220327"/>
    <w:rsid w:val="00220E8B"/>
    <w:rsid w:val="00221C0B"/>
    <w:rsid w:val="00222438"/>
    <w:rsid w:val="002224D5"/>
    <w:rsid w:val="00222A87"/>
    <w:rsid w:val="00222B00"/>
    <w:rsid w:val="00223832"/>
    <w:rsid w:val="0022566A"/>
    <w:rsid w:val="00226B13"/>
    <w:rsid w:val="00227F07"/>
    <w:rsid w:val="00230A4A"/>
    <w:rsid w:val="00230C5B"/>
    <w:rsid w:val="00231016"/>
    <w:rsid w:val="00231324"/>
    <w:rsid w:val="00231326"/>
    <w:rsid w:val="0023139C"/>
    <w:rsid w:val="00231569"/>
    <w:rsid w:val="002319E0"/>
    <w:rsid w:val="00231CE8"/>
    <w:rsid w:val="00232B25"/>
    <w:rsid w:val="00232D0C"/>
    <w:rsid w:val="00233F4E"/>
    <w:rsid w:val="00234F12"/>
    <w:rsid w:val="00235C72"/>
    <w:rsid w:val="002366D6"/>
    <w:rsid w:val="00236FF5"/>
    <w:rsid w:val="0023787A"/>
    <w:rsid w:val="002402EA"/>
    <w:rsid w:val="00240DE9"/>
    <w:rsid w:val="00241451"/>
    <w:rsid w:val="00241522"/>
    <w:rsid w:val="0024226E"/>
    <w:rsid w:val="002426A3"/>
    <w:rsid w:val="00244A79"/>
    <w:rsid w:val="00245507"/>
    <w:rsid w:val="00245A9C"/>
    <w:rsid w:val="00245D68"/>
    <w:rsid w:val="00246EC9"/>
    <w:rsid w:val="00246FB8"/>
    <w:rsid w:val="00247319"/>
    <w:rsid w:val="00250098"/>
    <w:rsid w:val="00250D37"/>
    <w:rsid w:val="00253EA7"/>
    <w:rsid w:val="002543FF"/>
    <w:rsid w:val="00254413"/>
    <w:rsid w:val="00254C8D"/>
    <w:rsid w:val="00254CA2"/>
    <w:rsid w:val="00254D94"/>
    <w:rsid w:val="002560C0"/>
    <w:rsid w:val="002565DB"/>
    <w:rsid w:val="00256CC1"/>
    <w:rsid w:val="00256DCB"/>
    <w:rsid w:val="00256E00"/>
    <w:rsid w:val="00256FF6"/>
    <w:rsid w:val="00257D04"/>
    <w:rsid w:val="002606F7"/>
    <w:rsid w:val="00260C8D"/>
    <w:rsid w:val="0026156B"/>
    <w:rsid w:val="002624D4"/>
    <w:rsid w:val="0026295F"/>
    <w:rsid w:val="00262E48"/>
    <w:rsid w:val="00262F86"/>
    <w:rsid w:val="00262FB2"/>
    <w:rsid w:val="00263B0B"/>
    <w:rsid w:val="002665F8"/>
    <w:rsid w:val="00266C0F"/>
    <w:rsid w:val="00270513"/>
    <w:rsid w:val="00270667"/>
    <w:rsid w:val="00271C67"/>
    <w:rsid w:val="0027259E"/>
    <w:rsid w:val="00273386"/>
    <w:rsid w:val="00273612"/>
    <w:rsid w:val="00273E51"/>
    <w:rsid w:val="00273EB7"/>
    <w:rsid w:val="00274312"/>
    <w:rsid w:val="00274D31"/>
    <w:rsid w:val="0027639E"/>
    <w:rsid w:val="00277541"/>
    <w:rsid w:val="00277C43"/>
    <w:rsid w:val="0028018F"/>
    <w:rsid w:val="00281151"/>
    <w:rsid w:val="00281992"/>
    <w:rsid w:val="0028222E"/>
    <w:rsid w:val="002825A7"/>
    <w:rsid w:val="002827A8"/>
    <w:rsid w:val="0028377A"/>
    <w:rsid w:val="002838DC"/>
    <w:rsid w:val="002846A3"/>
    <w:rsid w:val="00284773"/>
    <w:rsid w:val="00284D0D"/>
    <w:rsid w:val="00284E43"/>
    <w:rsid w:val="002851F2"/>
    <w:rsid w:val="00285CD8"/>
    <w:rsid w:val="00285D39"/>
    <w:rsid w:val="00285E48"/>
    <w:rsid w:val="002870E5"/>
    <w:rsid w:val="00290C5B"/>
    <w:rsid w:val="00291543"/>
    <w:rsid w:val="00292C99"/>
    <w:rsid w:val="00295417"/>
    <w:rsid w:val="0029548F"/>
    <w:rsid w:val="00295576"/>
    <w:rsid w:val="00295754"/>
    <w:rsid w:val="00295F28"/>
    <w:rsid w:val="002A0244"/>
    <w:rsid w:val="002A0B2F"/>
    <w:rsid w:val="002A0E4D"/>
    <w:rsid w:val="002A1B9D"/>
    <w:rsid w:val="002A21DD"/>
    <w:rsid w:val="002A258D"/>
    <w:rsid w:val="002A26E5"/>
    <w:rsid w:val="002A2758"/>
    <w:rsid w:val="002A2779"/>
    <w:rsid w:val="002A2828"/>
    <w:rsid w:val="002A2F72"/>
    <w:rsid w:val="002A34ED"/>
    <w:rsid w:val="002A3DF6"/>
    <w:rsid w:val="002A42FA"/>
    <w:rsid w:val="002A430B"/>
    <w:rsid w:val="002A4FC3"/>
    <w:rsid w:val="002A5305"/>
    <w:rsid w:val="002A54F8"/>
    <w:rsid w:val="002A560C"/>
    <w:rsid w:val="002A58A4"/>
    <w:rsid w:val="002A6331"/>
    <w:rsid w:val="002A64AF"/>
    <w:rsid w:val="002A694C"/>
    <w:rsid w:val="002A6D8F"/>
    <w:rsid w:val="002B01C9"/>
    <w:rsid w:val="002B02EE"/>
    <w:rsid w:val="002B0BBD"/>
    <w:rsid w:val="002B1712"/>
    <w:rsid w:val="002B1970"/>
    <w:rsid w:val="002B1E66"/>
    <w:rsid w:val="002B2377"/>
    <w:rsid w:val="002B25C2"/>
    <w:rsid w:val="002B3863"/>
    <w:rsid w:val="002B4A06"/>
    <w:rsid w:val="002B51F8"/>
    <w:rsid w:val="002B5A1A"/>
    <w:rsid w:val="002B5AFA"/>
    <w:rsid w:val="002B5D34"/>
    <w:rsid w:val="002B794A"/>
    <w:rsid w:val="002B797B"/>
    <w:rsid w:val="002C001E"/>
    <w:rsid w:val="002C0875"/>
    <w:rsid w:val="002C0EAF"/>
    <w:rsid w:val="002C10CE"/>
    <w:rsid w:val="002C1813"/>
    <w:rsid w:val="002C2343"/>
    <w:rsid w:val="002C299F"/>
    <w:rsid w:val="002C2B1E"/>
    <w:rsid w:val="002C2BE8"/>
    <w:rsid w:val="002C32B3"/>
    <w:rsid w:val="002C38BA"/>
    <w:rsid w:val="002C39F5"/>
    <w:rsid w:val="002C5392"/>
    <w:rsid w:val="002C53CC"/>
    <w:rsid w:val="002C5424"/>
    <w:rsid w:val="002C5818"/>
    <w:rsid w:val="002C59EC"/>
    <w:rsid w:val="002C62B3"/>
    <w:rsid w:val="002C6554"/>
    <w:rsid w:val="002C6E9D"/>
    <w:rsid w:val="002D0B59"/>
    <w:rsid w:val="002D1211"/>
    <w:rsid w:val="002D37E0"/>
    <w:rsid w:val="002D3EA5"/>
    <w:rsid w:val="002D46AA"/>
    <w:rsid w:val="002D4A11"/>
    <w:rsid w:val="002D509D"/>
    <w:rsid w:val="002D540A"/>
    <w:rsid w:val="002D55FB"/>
    <w:rsid w:val="002D57E5"/>
    <w:rsid w:val="002D5B85"/>
    <w:rsid w:val="002D6D74"/>
    <w:rsid w:val="002D6E37"/>
    <w:rsid w:val="002D7DE1"/>
    <w:rsid w:val="002E0144"/>
    <w:rsid w:val="002E04B9"/>
    <w:rsid w:val="002E1547"/>
    <w:rsid w:val="002E1772"/>
    <w:rsid w:val="002E202D"/>
    <w:rsid w:val="002E20FA"/>
    <w:rsid w:val="002E368E"/>
    <w:rsid w:val="002E3BB8"/>
    <w:rsid w:val="002E42F4"/>
    <w:rsid w:val="002E44C8"/>
    <w:rsid w:val="002E5041"/>
    <w:rsid w:val="002E5078"/>
    <w:rsid w:val="002E516A"/>
    <w:rsid w:val="002E521A"/>
    <w:rsid w:val="002E543D"/>
    <w:rsid w:val="002F0049"/>
    <w:rsid w:val="002F0768"/>
    <w:rsid w:val="002F07C6"/>
    <w:rsid w:val="002F0C5F"/>
    <w:rsid w:val="002F1FD6"/>
    <w:rsid w:val="002F2C63"/>
    <w:rsid w:val="002F3566"/>
    <w:rsid w:val="002F42AB"/>
    <w:rsid w:val="002F45BF"/>
    <w:rsid w:val="002F4886"/>
    <w:rsid w:val="002F558D"/>
    <w:rsid w:val="002F59AE"/>
    <w:rsid w:val="002F6044"/>
    <w:rsid w:val="002F6331"/>
    <w:rsid w:val="002F7065"/>
    <w:rsid w:val="0030017D"/>
    <w:rsid w:val="0030074D"/>
    <w:rsid w:val="00301DE0"/>
    <w:rsid w:val="003028C3"/>
    <w:rsid w:val="00302F1B"/>
    <w:rsid w:val="0030312F"/>
    <w:rsid w:val="00303837"/>
    <w:rsid w:val="00304568"/>
    <w:rsid w:val="00304863"/>
    <w:rsid w:val="00304878"/>
    <w:rsid w:val="00305897"/>
    <w:rsid w:val="0030598D"/>
    <w:rsid w:val="00307D9D"/>
    <w:rsid w:val="003115D3"/>
    <w:rsid w:val="0031216A"/>
    <w:rsid w:val="00312599"/>
    <w:rsid w:val="003137AB"/>
    <w:rsid w:val="00314169"/>
    <w:rsid w:val="00314DF7"/>
    <w:rsid w:val="0031533F"/>
    <w:rsid w:val="00315D93"/>
    <w:rsid w:val="0031623B"/>
    <w:rsid w:val="0031688C"/>
    <w:rsid w:val="0031696F"/>
    <w:rsid w:val="003178D7"/>
    <w:rsid w:val="00317940"/>
    <w:rsid w:val="00317D4A"/>
    <w:rsid w:val="0032047B"/>
    <w:rsid w:val="00320DB3"/>
    <w:rsid w:val="00321061"/>
    <w:rsid w:val="00321566"/>
    <w:rsid w:val="00321B31"/>
    <w:rsid w:val="00321F3A"/>
    <w:rsid w:val="003220AF"/>
    <w:rsid w:val="003221C7"/>
    <w:rsid w:val="0032263C"/>
    <w:rsid w:val="00322C98"/>
    <w:rsid w:val="00322D60"/>
    <w:rsid w:val="00323691"/>
    <w:rsid w:val="00323895"/>
    <w:rsid w:val="003269CA"/>
    <w:rsid w:val="00327E31"/>
    <w:rsid w:val="00331146"/>
    <w:rsid w:val="00331D65"/>
    <w:rsid w:val="00332ADA"/>
    <w:rsid w:val="00332D71"/>
    <w:rsid w:val="00333304"/>
    <w:rsid w:val="003335CD"/>
    <w:rsid w:val="00334926"/>
    <w:rsid w:val="00334A27"/>
    <w:rsid w:val="003363E5"/>
    <w:rsid w:val="00336D7D"/>
    <w:rsid w:val="0033703C"/>
    <w:rsid w:val="0033779B"/>
    <w:rsid w:val="0034068B"/>
    <w:rsid w:val="003419D9"/>
    <w:rsid w:val="00343418"/>
    <w:rsid w:val="00344582"/>
    <w:rsid w:val="003447BF"/>
    <w:rsid w:val="00345895"/>
    <w:rsid w:val="0034607D"/>
    <w:rsid w:val="0034676C"/>
    <w:rsid w:val="00347E19"/>
    <w:rsid w:val="0035091D"/>
    <w:rsid w:val="00351681"/>
    <w:rsid w:val="003519D5"/>
    <w:rsid w:val="00352C4C"/>
    <w:rsid w:val="0035317C"/>
    <w:rsid w:val="0035438D"/>
    <w:rsid w:val="003558E1"/>
    <w:rsid w:val="00356F6A"/>
    <w:rsid w:val="00357522"/>
    <w:rsid w:val="00357BDA"/>
    <w:rsid w:val="003601C2"/>
    <w:rsid w:val="00360F91"/>
    <w:rsid w:val="00361015"/>
    <w:rsid w:val="00361632"/>
    <w:rsid w:val="00363119"/>
    <w:rsid w:val="0036316F"/>
    <w:rsid w:val="003631EA"/>
    <w:rsid w:val="00363E6B"/>
    <w:rsid w:val="003641E6"/>
    <w:rsid w:val="003647F7"/>
    <w:rsid w:val="0036521F"/>
    <w:rsid w:val="0036577D"/>
    <w:rsid w:val="00365C15"/>
    <w:rsid w:val="0036610E"/>
    <w:rsid w:val="00366779"/>
    <w:rsid w:val="00366A2B"/>
    <w:rsid w:val="00366C0D"/>
    <w:rsid w:val="003670E8"/>
    <w:rsid w:val="00370DEB"/>
    <w:rsid w:val="00370F2B"/>
    <w:rsid w:val="00370FB8"/>
    <w:rsid w:val="00371CA7"/>
    <w:rsid w:val="00372A0C"/>
    <w:rsid w:val="00372AA7"/>
    <w:rsid w:val="00373A8D"/>
    <w:rsid w:val="0037449D"/>
    <w:rsid w:val="00374719"/>
    <w:rsid w:val="003750A3"/>
    <w:rsid w:val="0037581A"/>
    <w:rsid w:val="00375D19"/>
    <w:rsid w:val="0037683E"/>
    <w:rsid w:val="0037742C"/>
    <w:rsid w:val="00377B8A"/>
    <w:rsid w:val="00377ED9"/>
    <w:rsid w:val="00380182"/>
    <w:rsid w:val="0038071D"/>
    <w:rsid w:val="00383A2A"/>
    <w:rsid w:val="003850A7"/>
    <w:rsid w:val="00385A05"/>
    <w:rsid w:val="00385B1B"/>
    <w:rsid w:val="00385B95"/>
    <w:rsid w:val="00385F27"/>
    <w:rsid w:val="00386515"/>
    <w:rsid w:val="00386F7A"/>
    <w:rsid w:val="00387A91"/>
    <w:rsid w:val="003909A2"/>
    <w:rsid w:val="00391424"/>
    <w:rsid w:val="003919FC"/>
    <w:rsid w:val="003920CB"/>
    <w:rsid w:val="00393564"/>
    <w:rsid w:val="00393586"/>
    <w:rsid w:val="00393E74"/>
    <w:rsid w:val="00394700"/>
    <w:rsid w:val="00395F93"/>
    <w:rsid w:val="00396402"/>
    <w:rsid w:val="00396B15"/>
    <w:rsid w:val="003972C5"/>
    <w:rsid w:val="00397544"/>
    <w:rsid w:val="003A0583"/>
    <w:rsid w:val="003A058B"/>
    <w:rsid w:val="003A0ECD"/>
    <w:rsid w:val="003A1676"/>
    <w:rsid w:val="003A1875"/>
    <w:rsid w:val="003A30CB"/>
    <w:rsid w:val="003A3D2A"/>
    <w:rsid w:val="003A4CE0"/>
    <w:rsid w:val="003A52BB"/>
    <w:rsid w:val="003A5795"/>
    <w:rsid w:val="003B03A1"/>
    <w:rsid w:val="003B079A"/>
    <w:rsid w:val="003B0AC1"/>
    <w:rsid w:val="003B24C5"/>
    <w:rsid w:val="003B357A"/>
    <w:rsid w:val="003B37F8"/>
    <w:rsid w:val="003B4CF5"/>
    <w:rsid w:val="003B53B3"/>
    <w:rsid w:val="003B6A3A"/>
    <w:rsid w:val="003B7273"/>
    <w:rsid w:val="003B7532"/>
    <w:rsid w:val="003B7589"/>
    <w:rsid w:val="003B783A"/>
    <w:rsid w:val="003B7A51"/>
    <w:rsid w:val="003B7B7B"/>
    <w:rsid w:val="003B7D89"/>
    <w:rsid w:val="003C08E2"/>
    <w:rsid w:val="003C179D"/>
    <w:rsid w:val="003C17F1"/>
    <w:rsid w:val="003C2083"/>
    <w:rsid w:val="003C2214"/>
    <w:rsid w:val="003C329E"/>
    <w:rsid w:val="003C3AC7"/>
    <w:rsid w:val="003C4433"/>
    <w:rsid w:val="003C4587"/>
    <w:rsid w:val="003C59F7"/>
    <w:rsid w:val="003C5AAF"/>
    <w:rsid w:val="003C614F"/>
    <w:rsid w:val="003C62DA"/>
    <w:rsid w:val="003C62EA"/>
    <w:rsid w:val="003C7682"/>
    <w:rsid w:val="003D04A2"/>
    <w:rsid w:val="003D09F4"/>
    <w:rsid w:val="003D0D33"/>
    <w:rsid w:val="003D20B2"/>
    <w:rsid w:val="003D21F4"/>
    <w:rsid w:val="003D2619"/>
    <w:rsid w:val="003D3252"/>
    <w:rsid w:val="003D3486"/>
    <w:rsid w:val="003D374A"/>
    <w:rsid w:val="003D3ACE"/>
    <w:rsid w:val="003D42FF"/>
    <w:rsid w:val="003D468F"/>
    <w:rsid w:val="003D7FBE"/>
    <w:rsid w:val="003E0068"/>
    <w:rsid w:val="003E03F8"/>
    <w:rsid w:val="003E2B8B"/>
    <w:rsid w:val="003E3A08"/>
    <w:rsid w:val="003E4652"/>
    <w:rsid w:val="003E4BFE"/>
    <w:rsid w:val="003E5533"/>
    <w:rsid w:val="003E59DC"/>
    <w:rsid w:val="003E5BA7"/>
    <w:rsid w:val="003E5D43"/>
    <w:rsid w:val="003E68FB"/>
    <w:rsid w:val="003E6AB1"/>
    <w:rsid w:val="003E770E"/>
    <w:rsid w:val="003E7C0D"/>
    <w:rsid w:val="003E7D69"/>
    <w:rsid w:val="003F0E0A"/>
    <w:rsid w:val="003F1A31"/>
    <w:rsid w:val="003F1CAC"/>
    <w:rsid w:val="003F1D42"/>
    <w:rsid w:val="003F2621"/>
    <w:rsid w:val="003F2E58"/>
    <w:rsid w:val="003F3317"/>
    <w:rsid w:val="003F3860"/>
    <w:rsid w:val="003F4152"/>
    <w:rsid w:val="003F4864"/>
    <w:rsid w:val="003F510D"/>
    <w:rsid w:val="003F5CBD"/>
    <w:rsid w:val="003F5E9F"/>
    <w:rsid w:val="003F6BB8"/>
    <w:rsid w:val="003F6CB7"/>
    <w:rsid w:val="003F7512"/>
    <w:rsid w:val="00400FDA"/>
    <w:rsid w:val="00401748"/>
    <w:rsid w:val="0040179B"/>
    <w:rsid w:val="004018A9"/>
    <w:rsid w:val="00401BC1"/>
    <w:rsid w:val="00401CD4"/>
    <w:rsid w:val="00401F00"/>
    <w:rsid w:val="00402192"/>
    <w:rsid w:val="004021B7"/>
    <w:rsid w:val="004034ED"/>
    <w:rsid w:val="004036FB"/>
    <w:rsid w:val="00403FA3"/>
    <w:rsid w:val="0040455B"/>
    <w:rsid w:val="00404668"/>
    <w:rsid w:val="00404AD4"/>
    <w:rsid w:val="00405345"/>
    <w:rsid w:val="004070D7"/>
    <w:rsid w:val="00410688"/>
    <w:rsid w:val="00410E95"/>
    <w:rsid w:val="0041158E"/>
    <w:rsid w:val="004133C9"/>
    <w:rsid w:val="004138DD"/>
    <w:rsid w:val="0041480A"/>
    <w:rsid w:val="00414854"/>
    <w:rsid w:val="00414A2B"/>
    <w:rsid w:val="00415785"/>
    <w:rsid w:val="0041595B"/>
    <w:rsid w:val="00417740"/>
    <w:rsid w:val="004179FD"/>
    <w:rsid w:val="00417DC1"/>
    <w:rsid w:val="00420E32"/>
    <w:rsid w:val="004215BD"/>
    <w:rsid w:val="00421BA0"/>
    <w:rsid w:val="00422D3C"/>
    <w:rsid w:val="00422E7C"/>
    <w:rsid w:val="00422F33"/>
    <w:rsid w:val="00423E5C"/>
    <w:rsid w:val="00424400"/>
    <w:rsid w:val="004244F3"/>
    <w:rsid w:val="00424DC0"/>
    <w:rsid w:val="0042566A"/>
    <w:rsid w:val="00425A02"/>
    <w:rsid w:val="00427EC4"/>
    <w:rsid w:val="004308D3"/>
    <w:rsid w:val="004316A4"/>
    <w:rsid w:val="00431890"/>
    <w:rsid w:val="00432042"/>
    <w:rsid w:val="0043259E"/>
    <w:rsid w:val="0043278B"/>
    <w:rsid w:val="00433D64"/>
    <w:rsid w:val="00433EDF"/>
    <w:rsid w:val="004344E7"/>
    <w:rsid w:val="00434518"/>
    <w:rsid w:val="00434972"/>
    <w:rsid w:val="00436D22"/>
    <w:rsid w:val="004378A8"/>
    <w:rsid w:val="00437A19"/>
    <w:rsid w:val="00440137"/>
    <w:rsid w:val="00440823"/>
    <w:rsid w:val="0044102E"/>
    <w:rsid w:val="00441516"/>
    <w:rsid w:val="0044295B"/>
    <w:rsid w:val="00442A05"/>
    <w:rsid w:val="00442B35"/>
    <w:rsid w:val="0044429B"/>
    <w:rsid w:val="00444FE0"/>
    <w:rsid w:val="00445229"/>
    <w:rsid w:val="004468D0"/>
    <w:rsid w:val="0044737C"/>
    <w:rsid w:val="00447CB8"/>
    <w:rsid w:val="004514C3"/>
    <w:rsid w:val="00451E92"/>
    <w:rsid w:val="0045220A"/>
    <w:rsid w:val="004546C8"/>
    <w:rsid w:val="0045498E"/>
    <w:rsid w:val="00454CEF"/>
    <w:rsid w:val="00456E2D"/>
    <w:rsid w:val="0045742B"/>
    <w:rsid w:val="004603D4"/>
    <w:rsid w:val="00460654"/>
    <w:rsid w:val="0046194E"/>
    <w:rsid w:val="00461B48"/>
    <w:rsid w:val="0046261B"/>
    <w:rsid w:val="004627FF"/>
    <w:rsid w:val="00462A3F"/>
    <w:rsid w:val="00463A6C"/>
    <w:rsid w:val="0046441D"/>
    <w:rsid w:val="00464A85"/>
    <w:rsid w:val="00465730"/>
    <w:rsid w:val="004660B0"/>
    <w:rsid w:val="00466C62"/>
    <w:rsid w:val="00467105"/>
    <w:rsid w:val="004674FE"/>
    <w:rsid w:val="0046771F"/>
    <w:rsid w:val="00470BEF"/>
    <w:rsid w:val="004720B9"/>
    <w:rsid w:val="00472169"/>
    <w:rsid w:val="004721BC"/>
    <w:rsid w:val="0047237E"/>
    <w:rsid w:val="00472D91"/>
    <w:rsid w:val="00472E21"/>
    <w:rsid w:val="00473BBF"/>
    <w:rsid w:val="00474151"/>
    <w:rsid w:val="004744FE"/>
    <w:rsid w:val="004745FD"/>
    <w:rsid w:val="0047581B"/>
    <w:rsid w:val="004765A2"/>
    <w:rsid w:val="00476C40"/>
    <w:rsid w:val="00477010"/>
    <w:rsid w:val="00477068"/>
    <w:rsid w:val="004776EB"/>
    <w:rsid w:val="004801AD"/>
    <w:rsid w:val="00480612"/>
    <w:rsid w:val="00481821"/>
    <w:rsid w:val="004821DB"/>
    <w:rsid w:val="004843F5"/>
    <w:rsid w:val="004846F1"/>
    <w:rsid w:val="00484725"/>
    <w:rsid w:val="00484DDB"/>
    <w:rsid w:val="00485814"/>
    <w:rsid w:val="00485881"/>
    <w:rsid w:val="00485CC9"/>
    <w:rsid w:val="004867AF"/>
    <w:rsid w:val="0048772C"/>
    <w:rsid w:val="00490237"/>
    <w:rsid w:val="00490726"/>
    <w:rsid w:val="004908E0"/>
    <w:rsid w:val="00490B41"/>
    <w:rsid w:val="00491852"/>
    <w:rsid w:val="00492AE7"/>
    <w:rsid w:val="00493CDE"/>
    <w:rsid w:val="004943AC"/>
    <w:rsid w:val="00494478"/>
    <w:rsid w:val="00494CB3"/>
    <w:rsid w:val="0049518E"/>
    <w:rsid w:val="0049675F"/>
    <w:rsid w:val="0049696E"/>
    <w:rsid w:val="00496F74"/>
    <w:rsid w:val="00497226"/>
    <w:rsid w:val="004972E4"/>
    <w:rsid w:val="00497C6A"/>
    <w:rsid w:val="004A0555"/>
    <w:rsid w:val="004A0CB6"/>
    <w:rsid w:val="004A12A2"/>
    <w:rsid w:val="004A1722"/>
    <w:rsid w:val="004A29F0"/>
    <w:rsid w:val="004A29FB"/>
    <w:rsid w:val="004A3035"/>
    <w:rsid w:val="004A3770"/>
    <w:rsid w:val="004A3BB5"/>
    <w:rsid w:val="004A423D"/>
    <w:rsid w:val="004A45FB"/>
    <w:rsid w:val="004A4A4C"/>
    <w:rsid w:val="004A7469"/>
    <w:rsid w:val="004A7A7E"/>
    <w:rsid w:val="004B00F0"/>
    <w:rsid w:val="004B23A2"/>
    <w:rsid w:val="004B24A8"/>
    <w:rsid w:val="004B2D68"/>
    <w:rsid w:val="004B2ECA"/>
    <w:rsid w:val="004B2FE7"/>
    <w:rsid w:val="004B31A2"/>
    <w:rsid w:val="004B3850"/>
    <w:rsid w:val="004B4513"/>
    <w:rsid w:val="004B4AE7"/>
    <w:rsid w:val="004B522D"/>
    <w:rsid w:val="004B65E5"/>
    <w:rsid w:val="004B67F3"/>
    <w:rsid w:val="004B6AF3"/>
    <w:rsid w:val="004B74B1"/>
    <w:rsid w:val="004C0F9A"/>
    <w:rsid w:val="004C12F8"/>
    <w:rsid w:val="004C44CE"/>
    <w:rsid w:val="004C4E8A"/>
    <w:rsid w:val="004C5D82"/>
    <w:rsid w:val="004C600C"/>
    <w:rsid w:val="004C6294"/>
    <w:rsid w:val="004C6668"/>
    <w:rsid w:val="004C7444"/>
    <w:rsid w:val="004C79A6"/>
    <w:rsid w:val="004D0F37"/>
    <w:rsid w:val="004D249B"/>
    <w:rsid w:val="004D27A3"/>
    <w:rsid w:val="004D28CB"/>
    <w:rsid w:val="004D2A49"/>
    <w:rsid w:val="004D322B"/>
    <w:rsid w:val="004D3404"/>
    <w:rsid w:val="004D35C5"/>
    <w:rsid w:val="004D4070"/>
    <w:rsid w:val="004D467D"/>
    <w:rsid w:val="004D475E"/>
    <w:rsid w:val="004D4A97"/>
    <w:rsid w:val="004D4DBA"/>
    <w:rsid w:val="004D543F"/>
    <w:rsid w:val="004D5E71"/>
    <w:rsid w:val="004D5F2A"/>
    <w:rsid w:val="004D64DC"/>
    <w:rsid w:val="004D76AA"/>
    <w:rsid w:val="004D7A99"/>
    <w:rsid w:val="004E18C6"/>
    <w:rsid w:val="004E2352"/>
    <w:rsid w:val="004E3743"/>
    <w:rsid w:val="004E444B"/>
    <w:rsid w:val="004E4704"/>
    <w:rsid w:val="004E5032"/>
    <w:rsid w:val="004E529A"/>
    <w:rsid w:val="004E5F14"/>
    <w:rsid w:val="004E671A"/>
    <w:rsid w:val="004E7A27"/>
    <w:rsid w:val="004E7E15"/>
    <w:rsid w:val="004F1076"/>
    <w:rsid w:val="004F1197"/>
    <w:rsid w:val="004F1B83"/>
    <w:rsid w:val="004F25EA"/>
    <w:rsid w:val="004F2F22"/>
    <w:rsid w:val="004F3448"/>
    <w:rsid w:val="004F4440"/>
    <w:rsid w:val="004F61C8"/>
    <w:rsid w:val="004F675D"/>
    <w:rsid w:val="004F75F3"/>
    <w:rsid w:val="004F7ED6"/>
    <w:rsid w:val="0050068F"/>
    <w:rsid w:val="00500AA1"/>
    <w:rsid w:val="00501075"/>
    <w:rsid w:val="0050129D"/>
    <w:rsid w:val="00501367"/>
    <w:rsid w:val="005022C1"/>
    <w:rsid w:val="00503283"/>
    <w:rsid w:val="00503D6A"/>
    <w:rsid w:val="00504102"/>
    <w:rsid w:val="005046B0"/>
    <w:rsid w:val="00504947"/>
    <w:rsid w:val="0050556F"/>
    <w:rsid w:val="00505E53"/>
    <w:rsid w:val="005062A8"/>
    <w:rsid w:val="00506A89"/>
    <w:rsid w:val="005100C6"/>
    <w:rsid w:val="00510134"/>
    <w:rsid w:val="00510BE6"/>
    <w:rsid w:val="005112A2"/>
    <w:rsid w:val="0051140F"/>
    <w:rsid w:val="00512194"/>
    <w:rsid w:val="005124E2"/>
    <w:rsid w:val="005125D0"/>
    <w:rsid w:val="00513B65"/>
    <w:rsid w:val="00513C49"/>
    <w:rsid w:val="00514763"/>
    <w:rsid w:val="0051567B"/>
    <w:rsid w:val="005161E7"/>
    <w:rsid w:val="005176F4"/>
    <w:rsid w:val="00517DDF"/>
    <w:rsid w:val="00520D12"/>
    <w:rsid w:val="005216A4"/>
    <w:rsid w:val="005221BC"/>
    <w:rsid w:val="00522E2D"/>
    <w:rsid w:val="005230CD"/>
    <w:rsid w:val="005231E2"/>
    <w:rsid w:val="0052336F"/>
    <w:rsid w:val="00523455"/>
    <w:rsid w:val="00523CD1"/>
    <w:rsid w:val="00524F6C"/>
    <w:rsid w:val="005251FE"/>
    <w:rsid w:val="0052566C"/>
    <w:rsid w:val="00525DBA"/>
    <w:rsid w:val="0052627E"/>
    <w:rsid w:val="00526365"/>
    <w:rsid w:val="005268C9"/>
    <w:rsid w:val="00526EEC"/>
    <w:rsid w:val="00527A54"/>
    <w:rsid w:val="00530684"/>
    <w:rsid w:val="00530B0C"/>
    <w:rsid w:val="00530B2E"/>
    <w:rsid w:val="00530C7B"/>
    <w:rsid w:val="00531986"/>
    <w:rsid w:val="005323ED"/>
    <w:rsid w:val="00532912"/>
    <w:rsid w:val="00532B0C"/>
    <w:rsid w:val="00532BC2"/>
    <w:rsid w:val="00532C11"/>
    <w:rsid w:val="005349DE"/>
    <w:rsid w:val="0053552E"/>
    <w:rsid w:val="0053597D"/>
    <w:rsid w:val="00535AD6"/>
    <w:rsid w:val="00536555"/>
    <w:rsid w:val="0053679E"/>
    <w:rsid w:val="00537AEC"/>
    <w:rsid w:val="0054027E"/>
    <w:rsid w:val="00540F53"/>
    <w:rsid w:val="0054172A"/>
    <w:rsid w:val="00542B39"/>
    <w:rsid w:val="00542BF7"/>
    <w:rsid w:val="00542DA7"/>
    <w:rsid w:val="00542E9A"/>
    <w:rsid w:val="005438D9"/>
    <w:rsid w:val="00543FB9"/>
    <w:rsid w:val="00544138"/>
    <w:rsid w:val="00544E00"/>
    <w:rsid w:val="005452D9"/>
    <w:rsid w:val="005465F7"/>
    <w:rsid w:val="00547190"/>
    <w:rsid w:val="00547640"/>
    <w:rsid w:val="00547E09"/>
    <w:rsid w:val="00550976"/>
    <w:rsid w:val="0055137C"/>
    <w:rsid w:val="0055153F"/>
    <w:rsid w:val="0055256D"/>
    <w:rsid w:val="005527D0"/>
    <w:rsid w:val="00553386"/>
    <w:rsid w:val="00553AB2"/>
    <w:rsid w:val="00553C92"/>
    <w:rsid w:val="00553D91"/>
    <w:rsid w:val="00554346"/>
    <w:rsid w:val="00554442"/>
    <w:rsid w:val="00554749"/>
    <w:rsid w:val="00554A11"/>
    <w:rsid w:val="005554D5"/>
    <w:rsid w:val="00557D78"/>
    <w:rsid w:val="0056041E"/>
    <w:rsid w:val="0056059F"/>
    <w:rsid w:val="00560964"/>
    <w:rsid w:val="0056133A"/>
    <w:rsid w:val="0056140A"/>
    <w:rsid w:val="00561EAB"/>
    <w:rsid w:val="00563590"/>
    <w:rsid w:val="0056418B"/>
    <w:rsid w:val="005669BD"/>
    <w:rsid w:val="005707D4"/>
    <w:rsid w:val="00572D5D"/>
    <w:rsid w:val="005731A7"/>
    <w:rsid w:val="005748BA"/>
    <w:rsid w:val="00575338"/>
    <w:rsid w:val="00575421"/>
    <w:rsid w:val="00575EFA"/>
    <w:rsid w:val="0057707B"/>
    <w:rsid w:val="00577F29"/>
    <w:rsid w:val="0058170F"/>
    <w:rsid w:val="005817E4"/>
    <w:rsid w:val="00582368"/>
    <w:rsid w:val="00582610"/>
    <w:rsid w:val="00582DD1"/>
    <w:rsid w:val="005846F9"/>
    <w:rsid w:val="00584F98"/>
    <w:rsid w:val="005851DF"/>
    <w:rsid w:val="0058535F"/>
    <w:rsid w:val="0058573B"/>
    <w:rsid w:val="00587061"/>
    <w:rsid w:val="005870E4"/>
    <w:rsid w:val="005875E9"/>
    <w:rsid w:val="00587694"/>
    <w:rsid w:val="00587BBE"/>
    <w:rsid w:val="005908F4"/>
    <w:rsid w:val="00590AF6"/>
    <w:rsid w:val="005918E7"/>
    <w:rsid w:val="00591B86"/>
    <w:rsid w:val="0059247A"/>
    <w:rsid w:val="00592535"/>
    <w:rsid w:val="00592B8B"/>
    <w:rsid w:val="00593329"/>
    <w:rsid w:val="00594AD1"/>
    <w:rsid w:val="00595935"/>
    <w:rsid w:val="00595AC3"/>
    <w:rsid w:val="00595C80"/>
    <w:rsid w:val="00595CDE"/>
    <w:rsid w:val="00595F12"/>
    <w:rsid w:val="0059626B"/>
    <w:rsid w:val="00596AD2"/>
    <w:rsid w:val="00596CE3"/>
    <w:rsid w:val="00596D5C"/>
    <w:rsid w:val="00597147"/>
    <w:rsid w:val="005977C3"/>
    <w:rsid w:val="00597C30"/>
    <w:rsid w:val="005A052B"/>
    <w:rsid w:val="005A1A90"/>
    <w:rsid w:val="005A26E5"/>
    <w:rsid w:val="005A2757"/>
    <w:rsid w:val="005A3C8E"/>
    <w:rsid w:val="005A3F4E"/>
    <w:rsid w:val="005A3FEB"/>
    <w:rsid w:val="005A4C58"/>
    <w:rsid w:val="005A530C"/>
    <w:rsid w:val="005A5387"/>
    <w:rsid w:val="005A645E"/>
    <w:rsid w:val="005A658C"/>
    <w:rsid w:val="005A7002"/>
    <w:rsid w:val="005A7E73"/>
    <w:rsid w:val="005B0B1B"/>
    <w:rsid w:val="005B1537"/>
    <w:rsid w:val="005B15CF"/>
    <w:rsid w:val="005B1F43"/>
    <w:rsid w:val="005B2241"/>
    <w:rsid w:val="005B452E"/>
    <w:rsid w:val="005B4BA8"/>
    <w:rsid w:val="005B4D38"/>
    <w:rsid w:val="005B4E8F"/>
    <w:rsid w:val="005B6324"/>
    <w:rsid w:val="005B6B6C"/>
    <w:rsid w:val="005C039C"/>
    <w:rsid w:val="005C0613"/>
    <w:rsid w:val="005C0946"/>
    <w:rsid w:val="005C1259"/>
    <w:rsid w:val="005C1B07"/>
    <w:rsid w:val="005C2378"/>
    <w:rsid w:val="005C3C07"/>
    <w:rsid w:val="005C3C82"/>
    <w:rsid w:val="005C42C9"/>
    <w:rsid w:val="005C42FA"/>
    <w:rsid w:val="005C4706"/>
    <w:rsid w:val="005C4826"/>
    <w:rsid w:val="005C4F07"/>
    <w:rsid w:val="005C515A"/>
    <w:rsid w:val="005C54AE"/>
    <w:rsid w:val="005C5B06"/>
    <w:rsid w:val="005C6271"/>
    <w:rsid w:val="005C6479"/>
    <w:rsid w:val="005C6742"/>
    <w:rsid w:val="005C7713"/>
    <w:rsid w:val="005C7B80"/>
    <w:rsid w:val="005D066E"/>
    <w:rsid w:val="005D08BC"/>
    <w:rsid w:val="005D09E5"/>
    <w:rsid w:val="005D0D11"/>
    <w:rsid w:val="005D2085"/>
    <w:rsid w:val="005D2217"/>
    <w:rsid w:val="005D32D7"/>
    <w:rsid w:val="005D46D1"/>
    <w:rsid w:val="005D46E9"/>
    <w:rsid w:val="005D4E33"/>
    <w:rsid w:val="005D6692"/>
    <w:rsid w:val="005D7840"/>
    <w:rsid w:val="005D78C4"/>
    <w:rsid w:val="005E2D9C"/>
    <w:rsid w:val="005E34B1"/>
    <w:rsid w:val="005E3666"/>
    <w:rsid w:val="005E3AC1"/>
    <w:rsid w:val="005E3E19"/>
    <w:rsid w:val="005E4108"/>
    <w:rsid w:val="005E42DE"/>
    <w:rsid w:val="005E4372"/>
    <w:rsid w:val="005E4625"/>
    <w:rsid w:val="005E4C0A"/>
    <w:rsid w:val="005E547D"/>
    <w:rsid w:val="005E55FF"/>
    <w:rsid w:val="005E5A27"/>
    <w:rsid w:val="005E5D7E"/>
    <w:rsid w:val="005E775E"/>
    <w:rsid w:val="005F034D"/>
    <w:rsid w:val="005F126F"/>
    <w:rsid w:val="005F2CC4"/>
    <w:rsid w:val="005F2E98"/>
    <w:rsid w:val="005F4379"/>
    <w:rsid w:val="005F4741"/>
    <w:rsid w:val="005F5D91"/>
    <w:rsid w:val="005F6065"/>
    <w:rsid w:val="005F651A"/>
    <w:rsid w:val="005F6910"/>
    <w:rsid w:val="005F7B3C"/>
    <w:rsid w:val="0060033C"/>
    <w:rsid w:val="00601E01"/>
    <w:rsid w:val="00602945"/>
    <w:rsid w:val="006031E3"/>
    <w:rsid w:val="0060493F"/>
    <w:rsid w:val="00604ED2"/>
    <w:rsid w:val="006056D9"/>
    <w:rsid w:val="00606092"/>
    <w:rsid w:val="00606838"/>
    <w:rsid w:val="00606CF8"/>
    <w:rsid w:val="00606E3B"/>
    <w:rsid w:val="00607517"/>
    <w:rsid w:val="00607C12"/>
    <w:rsid w:val="00607CA4"/>
    <w:rsid w:val="00610AE5"/>
    <w:rsid w:val="00611B23"/>
    <w:rsid w:val="006143E4"/>
    <w:rsid w:val="0061473F"/>
    <w:rsid w:val="00614920"/>
    <w:rsid w:val="0061499C"/>
    <w:rsid w:val="006159BE"/>
    <w:rsid w:val="006159F4"/>
    <w:rsid w:val="00615F14"/>
    <w:rsid w:val="00617146"/>
    <w:rsid w:val="00617780"/>
    <w:rsid w:val="00617ACF"/>
    <w:rsid w:val="006204D2"/>
    <w:rsid w:val="00620AAD"/>
    <w:rsid w:val="00620AE8"/>
    <w:rsid w:val="0062123E"/>
    <w:rsid w:val="00621B14"/>
    <w:rsid w:val="00621D10"/>
    <w:rsid w:val="006222E3"/>
    <w:rsid w:val="0062282E"/>
    <w:rsid w:val="006229C7"/>
    <w:rsid w:val="006235FF"/>
    <w:rsid w:val="00624267"/>
    <w:rsid w:val="00624288"/>
    <w:rsid w:val="006244CF"/>
    <w:rsid w:val="00624BBD"/>
    <w:rsid w:val="00624EA7"/>
    <w:rsid w:val="00624FA4"/>
    <w:rsid w:val="006250F2"/>
    <w:rsid w:val="006257B0"/>
    <w:rsid w:val="0062580C"/>
    <w:rsid w:val="006266F4"/>
    <w:rsid w:val="00626851"/>
    <w:rsid w:val="00626E40"/>
    <w:rsid w:val="0063037F"/>
    <w:rsid w:val="00630440"/>
    <w:rsid w:val="006318EF"/>
    <w:rsid w:val="00631A02"/>
    <w:rsid w:val="00631C45"/>
    <w:rsid w:val="00633AA1"/>
    <w:rsid w:val="00634243"/>
    <w:rsid w:val="00635268"/>
    <w:rsid w:val="00635632"/>
    <w:rsid w:val="00635D9C"/>
    <w:rsid w:val="006361CC"/>
    <w:rsid w:val="00636609"/>
    <w:rsid w:val="006367CB"/>
    <w:rsid w:val="00636DAB"/>
    <w:rsid w:val="006400A0"/>
    <w:rsid w:val="00641073"/>
    <w:rsid w:val="006413AC"/>
    <w:rsid w:val="006414C3"/>
    <w:rsid w:val="00641A36"/>
    <w:rsid w:val="00642DA0"/>
    <w:rsid w:val="00643443"/>
    <w:rsid w:val="0064353A"/>
    <w:rsid w:val="0064355B"/>
    <w:rsid w:val="00643983"/>
    <w:rsid w:val="00643A5C"/>
    <w:rsid w:val="00643EFB"/>
    <w:rsid w:val="0064442B"/>
    <w:rsid w:val="00645957"/>
    <w:rsid w:val="006463B2"/>
    <w:rsid w:val="006468AA"/>
    <w:rsid w:val="0064697D"/>
    <w:rsid w:val="006477BA"/>
    <w:rsid w:val="0065081A"/>
    <w:rsid w:val="00650E03"/>
    <w:rsid w:val="006510BC"/>
    <w:rsid w:val="0065136C"/>
    <w:rsid w:val="0065192C"/>
    <w:rsid w:val="00652E2C"/>
    <w:rsid w:val="00652FFE"/>
    <w:rsid w:val="006539D8"/>
    <w:rsid w:val="00655BF4"/>
    <w:rsid w:val="00655D2F"/>
    <w:rsid w:val="0065632D"/>
    <w:rsid w:val="00656462"/>
    <w:rsid w:val="006572B3"/>
    <w:rsid w:val="006579E7"/>
    <w:rsid w:val="00657D6E"/>
    <w:rsid w:val="00661AD1"/>
    <w:rsid w:val="00661C1C"/>
    <w:rsid w:val="006630DA"/>
    <w:rsid w:val="00663933"/>
    <w:rsid w:val="00663A35"/>
    <w:rsid w:val="00663C82"/>
    <w:rsid w:val="00663E73"/>
    <w:rsid w:val="006654C3"/>
    <w:rsid w:val="00666D2E"/>
    <w:rsid w:val="00667551"/>
    <w:rsid w:val="00667DAE"/>
    <w:rsid w:val="00670B3F"/>
    <w:rsid w:val="00670E00"/>
    <w:rsid w:val="00670EDF"/>
    <w:rsid w:val="00671003"/>
    <w:rsid w:val="006724F8"/>
    <w:rsid w:val="006726DF"/>
    <w:rsid w:val="00675C8E"/>
    <w:rsid w:val="00675D19"/>
    <w:rsid w:val="0067672B"/>
    <w:rsid w:val="006769E2"/>
    <w:rsid w:val="00676F09"/>
    <w:rsid w:val="00677177"/>
    <w:rsid w:val="00677665"/>
    <w:rsid w:val="006777C3"/>
    <w:rsid w:val="00677AB1"/>
    <w:rsid w:val="006803C2"/>
    <w:rsid w:val="00680DA3"/>
    <w:rsid w:val="006820AF"/>
    <w:rsid w:val="006823AB"/>
    <w:rsid w:val="0068245E"/>
    <w:rsid w:val="006825F5"/>
    <w:rsid w:val="00683212"/>
    <w:rsid w:val="006839DE"/>
    <w:rsid w:val="00683B13"/>
    <w:rsid w:val="00683B7A"/>
    <w:rsid w:val="00683F07"/>
    <w:rsid w:val="006845C0"/>
    <w:rsid w:val="00684978"/>
    <w:rsid w:val="006849B8"/>
    <w:rsid w:val="00684FD1"/>
    <w:rsid w:val="00685B54"/>
    <w:rsid w:val="006866F7"/>
    <w:rsid w:val="00687162"/>
    <w:rsid w:val="00687680"/>
    <w:rsid w:val="006877A3"/>
    <w:rsid w:val="00687CA6"/>
    <w:rsid w:val="00687DC4"/>
    <w:rsid w:val="00690014"/>
    <w:rsid w:val="00690EBB"/>
    <w:rsid w:val="006920D7"/>
    <w:rsid w:val="00692836"/>
    <w:rsid w:val="00692B6E"/>
    <w:rsid w:val="00692C3B"/>
    <w:rsid w:val="00692F1D"/>
    <w:rsid w:val="00693103"/>
    <w:rsid w:val="00693209"/>
    <w:rsid w:val="00694156"/>
    <w:rsid w:val="006945BF"/>
    <w:rsid w:val="00695117"/>
    <w:rsid w:val="00696035"/>
    <w:rsid w:val="006962C9"/>
    <w:rsid w:val="0069687F"/>
    <w:rsid w:val="00696A4A"/>
    <w:rsid w:val="00697150"/>
    <w:rsid w:val="00697E33"/>
    <w:rsid w:val="006A0262"/>
    <w:rsid w:val="006A0F70"/>
    <w:rsid w:val="006A168D"/>
    <w:rsid w:val="006A1E86"/>
    <w:rsid w:val="006A233D"/>
    <w:rsid w:val="006A258A"/>
    <w:rsid w:val="006A2A0D"/>
    <w:rsid w:val="006A5A9E"/>
    <w:rsid w:val="006A610E"/>
    <w:rsid w:val="006B0E70"/>
    <w:rsid w:val="006B10C0"/>
    <w:rsid w:val="006B1B9F"/>
    <w:rsid w:val="006B1C7D"/>
    <w:rsid w:val="006B1F44"/>
    <w:rsid w:val="006B210F"/>
    <w:rsid w:val="006B2365"/>
    <w:rsid w:val="006B340A"/>
    <w:rsid w:val="006B374E"/>
    <w:rsid w:val="006B5598"/>
    <w:rsid w:val="006B61EE"/>
    <w:rsid w:val="006B6697"/>
    <w:rsid w:val="006B6943"/>
    <w:rsid w:val="006B6E9D"/>
    <w:rsid w:val="006B7063"/>
    <w:rsid w:val="006B713C"/>
    <w:rsid w:val="006C0582"/>
    <w:rsid w:val="006C0D79"/>
    <w:rsid w:val="006C1183"/>
    <w:rsid w:val="006C1787"/>
    <w:rsid w:val="006C1DD6"/>
    <w:rsid w:val="006C21B1"/>
    <w:rsid w:val="006C33E1"/>
    <w:rsid w:val="006C37F2"/>
    <w:rsid w:val="006C3C96"/>
    <w:rsid w:val="006C3E3F"/>
    <w:rsid w:val="006C45B3"/>
    <w:rsid w:val="006C528F"/>
    <w:rsid w:val="006C6410"/>
    <w:rsid w:val="006D1660"/>
    <w:rsid w:val="006D1946"/>
    <w:rsid w:val="006D3061"/>
    <w:rsid w:val="006D3980"/>
    <w:rsid w:val="006D3B66"/>
    <w:rsid w:val="006D4200"/>
    <w:rsid w:val="006D5FF7"/>
    <w:rsid w:val="006D6C2D"/>
    <w:rsid w:val="006D6E9E"/>
    <w:rsid w:val="006D7587"/>
    <w:rsid w:val="006D7E9D"/>
    <w:rsid w:val="006E10C0"/>
    <w:rsid w:val="006E119B"/>
    <w:rsid w:val="006E1D75"/>
    <w:rsid w:val="006E2419"/>
    <w:rsid w:val="006E2DB9"/>
    <w:rsid w:val="006E31E8"/>
    <w:rsid w:val="006E3589"/>
    <w:rsid w:val="006E3A53"/>
    <w:rsid w:val="006E3F52"/>
    <w:rsid w:val="006E45ED"/>
    <w:rsid w:val="006E6989"/>
    <w:rsid w:val="006E6BD9"/>
    <w:rsid w:val="006F06FE"/>
    <w:rsid w:val="006F0BF3"/>
    <w:rsid w:val="006F0F4E"/>
    <w:rsid w:val="006F1CB5"/>
    <w:rsid w:val="006F2644"/>
    <w:rsid w:val="006F459B"/>
    <w:rsid w:val="006F57BD"/>
    <w:rsid w:val="006F5B7E"/>
    <w:rsid w:val="006F5BC5"/>
    <w:rsid w:val="006F60FD"/>
    <w:rsid w:val="006F6934"/>
    <w:rsid w:val="006F714B"/>
    <w:rsid w:val="006F73BC"/>
    <w:rsid w:val="006F7A08"/>
    <w:rsid w:val="007008AE"/>
    <w:rsid w:val="00700F5A"/>
    <w:rsid w:val="00701B9B"/>
    <w:rsid w:val="0070261A"/>
    <w:rsid w:val="0070394E"/>
    <w:rsid w:val="00703A4E"/>
    <w:rsid w:val="007044FA"/>
    <w:rsid w:val="00704F24"/>
    <w:rsid w:val="00704F94"/>
    <w:rsid w:val="007052CF"/>
    <w:rsid w:val="0070545B"/>
    <w:rsid w:val="00705BA7"/>
    <w:rsid w:val="00705F3B"/>
    <w:rsid w:val="007066D0"/>
    <w:rsid w:val="00706787"/>
    <w:rsid w:val="00707761"/>
    <w:rsid w:val="0071014F"/>
    <w:rsid w:val="00710266"/>
    <w:rsid w:val="00710301"/>
    <w:rsid w:val="007103A7"/>
    <w:rsid w:val="00710BF6"/>
    <w:rsid w:val="00712233"/>
    <w:rsid w:val="007128D1"/>
    <w:rsid w:val="00713A5B"/>
    <w:rsid w:val="00714316"/>
    <w:rsid w:val="00714CAB"/>
    <w:rsid w:val="0071525D"/>
    <w:rsid w:val="007161FF"/>
    <w:rsid w:val="00716A20"/>
    <w:rsid w:val="007173AC"/>
    <w:rsid w:val="00717BF4"/>
    <w:rsid w:val="00721080"/>
    <w:rsid w:val="00721E45"/>
    <w:rsid w:val="00722286"/>
    <w:rsid w:val="0072502D"/>
    <w:rsid w:val="00725CCD"/>
    <w:rsid w:val="00727A1E"/>
    <w:rsid w:val="00727A29"/>
    <w:rsid w:val="0073052E"/>
    <w:rsid w:val="00730C42"/>
    <w:rsid w:val="00730D78"/>
    <w:rsid w:val="00731D23"/>
    <w:rsid w:val="00733616"/>
    <w:rsid w:val="00733D59"/>
    <w:rsid w:val="0073453D"/>
    <w:rsid w:val="00734BC1"/>
    <w:rsid w:val="00734E67"/>
    <w:rsid w:val="00734FE2"/>
    <w:rsid w:val="00735AE6"/>
    <w:rsid w:val="00735D32"/>
    <w:rsid w:val="00735F93"/>
    <w:rsid w:val="0073655E"/>
    <w:rsid w:val="007368EE"/>
    <w:rsid w:val="007407A4"/>
    <w:rsid w:val="00740AA4"/>
    <w:rsid w:val="007412FC"/>
    <w:rsid w:val="0074173A"/>
    <w:rsid w:val="00741E8B"/>
    <w:rsid w:val="007423E4"/>
    <w:rsid w:val="0074248E"/>
    <w:rsid w:val="007426AD"/>
    <w:rsid w:val="007433F7"/>
    <w:rsid w:val="00743A41"/>
    <w:rsid w:val="007446DF"/>
    <w:rsid w:val="00744812"/>
    <w:rsid w:val="00744B28"/>
    <w:rsid w:val="00744C96"/>
    <w:rsid w:val="00744D25"/>
    <w:rsid w:val="00746FDA"/>
    <w:rsid w:val="00747198"/>
    <w:rsid w:val="007474E4"/>
    <w:rsid w:val="00747FDF"/>
    <w:rsid w:val="00750BA7"/>
    <w:rsid w:val="00750F3C"/>
    <w:rsid w:val="00752616"/>
    <w:rsid w:val="00754450"/>
    <w:rsid w:val="007545D7"/>
    <w:rsid w:val="00754F17"/>
    <w:rsid w:val="007550DA"/>
    <w:rsid w:val="00755BF4"/>
    <w:rsid w:val="00756437"/>
    <w:rsid w:val="00756960"/>
    <w:rsid w:val="0075772A"/>
    <w:rsid w:val="00757D54"/>
    <w:rsid w:val="00760675"/>
    <w:rsid w:val="007608AF"/>
    <w:rsid w:val="007609B5"/>
    <w:rsid w:val="00760A63"/>
    <w:rsid w:val="007615B2"/>
    <w:rsid w:val="00761736"/>
    <w:rsid w:val="00761810"/>
    <w:rsid w:val="007621D2"/>
    <w:rsid w:val="007639BD"/>
    <w:rsid w:val="0076503C"/>
    <w:rsid w:val="007651AA"/>
    <w:rsid w:val="007658EE"/>
    <w:rsid w:val="007667B1"/>
    <w:rsid w:val="00766937"/>
    <w:rsid w:val="0076694C"/>
    <w:rsid w:val="00766BD3"/>
    <w:rsid w:val="00766F94"/>
    <w:rsid w:val="007675AD"/>
    <w:rsid w:val="00767954"/>
    <w:rsid w:val="0077007F"/>
    <w:rsid w:val="0077011E"/>
    <w:rsid w:val="00770A2C"/>
    <w:rsid w:val="00770D9E"/>
    <w:rsid w:val="00771F0A"/>
    <w:rsid w:val="00772037"/>
    <w:rsid w:val="00772096"/>
    <w:rsid w:val="0077294B"/>
    <w:rsid w:val="007734C1"/>
    <w:rsid w:val="00773ADD"/>
    <w:rsid w:val="00773CD7"/>
    <w:rsid w:val="007759FE"/>
    <w:rsid w:val="007761C8"/>
    <w:rsid w:val="007769EA"/>
    <w:rsid w:val="007802B3"/>
    <w:rsid w:val="007802BE"/>
    <w:rsid w:val="00780D74"/>
    <w:rsid w:val="00780ECC"/>
    <w:rsid w:val="00782557"/>
    <w:rsid w:val="00782564"/>
    <w:rsid w:val="007835DE"/>
    <w:rsid w:val="0078369B"/>
    <w:rsid w:val="00783BCF"/>
    <w:rsid w:val="00784A21"/>
    <w:rsid w:val="00784CC9"/>
    <w:rsid w:val="007859B5"/>
    <w:rsid w:val="00785F66"/>
    <w:rsid w:val="007862EB"/>
    <w:rsid w:val="0078639C"/>
    <w:rsid w:val="007875E7"/>
    <w:rsid w:val="0079091B"/>
    <w:rsid w:val="00791581"/>
    <w:rsid w:val="00791E7D"/>
    <w:rsid w:val="00794265"/>
    <w:rsid w:val="00794F42"/>
    <w:rsid w:val="00795488"/>
    <w:rsid w:val="00796274"/>
    <w:rsid w:val="00796ADF"/>
    <w:rsid w:val="00796F9F"/>
    <w:rsid w:val="00797280"/>
    <w:rsid w:val="007A0C96"/>
    <w:rsid w:val="007A116F"/>
    <w:rsid w:val="007A2514"/>
    <w:rsid w:val="007A26C0"/>
    <w:rsid w:val="007A2753"/>
    <w:rsid w:val="007A2A6C"/>
    <w:rsid w:val="007A305D"/>
    <w:rsid w:val="007A35EE"/>
    <w:rsid w:val="007A3975"/>
    <w:rsid w:val="007A40D0"/>
    <w:rsid w:val="007A4F2D"/>
    <w:rsid w:val="007A6639"/>
    <w:rsid w:val="007A6732"/>
    <w:rsid w:val="007A6AA0"/>
    <w:rsid w:val="007A6D6E"/>
    <w:rsid w:val="007A7626"/>
    <w:rsid w:val="007A7DB4"/>
    <w:rsid w:val="007B0225"/>
    <w:rsid w:val="007B02AB"/>
    <w:rsid w:val="007B038B"/>
    <w:rsid w:val="007B112D"/>
    <w:rsid w:val="007B1303"/>
    <w:rsid w:val="007B1630"/>
    <w:rsid w:val="007B1666"/>
    <w:rsid w:val="007B1833"/>
    <w:rsid w:val="007B1BAC"/>
    <w:rsid w:val="007B1D91"/>
    <w:rsid w:val="007B3085"/>
    <w:rsid w:val="007B31F0"/>
    <w:rsid w:val="007B3258"/>
    <w:rsid w:val="007B3789"/>
    <w:rsid w:val="007B3EA6"/>
    <w:rsid w:val="007B4482"/>
    <w:rsid w:val="007B5F25"/>
    <w:rsid w:val="007B6C1E"/>
    <w:rsid w:val="007B783C"/>
    <w:rsid w:val="007B7CF3"/>
    <w:rsid w:val="007B7D8C"/>
    <w:rsid w:val="007B7F99"/>
    <w:rsid w:val="007C01DD"/>
    <w:rsid w:val="007C09CF"/>
    <w:rsid w:val="007C149B"/>
    <w:rsid w:val="007C1E14"/>
    <w:rsid w:val="007C2071"/>
    <w:rsid w:val="007C2F6F"/>
    <w:rsid w:val="007C3A5D"/>
    <w:rsid w:val="007C522D"/>
    <w:rsid w:val="007C606A"/>
    <w:rsid w:val="007C6A74"/>
    <w:rsid w:val="007C6DCB"/>
    <w:rsid w:val="007C6F7C"/>
    <w:rsid w:val="007C7256"/>
    <w:rsid w:val="007C7B50"/>
    <w:rsid w:val="007D0221"/>
    <w:rsid w:val="007D0775"/>
    <w:rsid w:val="007D1286"/>
    <w:rsid w:val="007D35CF"/>
    <w:rsid w:val="007D3D9C"/>
    <w:rsid w:val="007D4D76"/>
    <w:rsid w:val="007D4F3B"/>
    <w:rsid w:val="007D5F57"/>
    <w:rsid w:val="007D645A"/>
    <w:rsid w:val="007D6502"/>
    <w:rsid w:val="007D6632"/>
    <w:rsid w:val="007D6906"/>
    <w:rsid w:val="007D76EF"/>
    <w:rsid w:val="007D7742"/>
    <w:rsid w:val="007D7A92"/>
    <w:rsid w:val="007E017C"/>
    <w:rsid w:val="007E0D9C"/>
    <w:rsid w:val="007E17E0"/>
    <w:rsid w:val="007E1808"/>
    <w:rsid w:val="007E1F90"/>
    <w:rsid w:val="007E31DD"/>
    <w:rsid w:val="007E36A1"/>
    <w:rsid w:val="007E47DA"/>
    <w:rsid w:val="007E54AE"/>
    <w:rsid w:val="007E5E72"/>
    <w:rsid w:val="007E6134"/>
    <w:rsid w:val="007E6E8A"/>
    <w:rsid w:val="007F106D"/>
    <w:rsid w:val="007F1489"/>
    <w:rsid w:val="007F1C39"/>
    <w:rsid w:val="007F2270"/>
    <w:rsid w:val="007F2A5B"/>
    <w:rsid w:val="007F2FE2"/>
    <w:rsid w:val="007F32A5"/>
    <w:rsid w:val="007F4009"/>
    <w:rsid w:val="007F4057"/>
    <w:rsid w:val="007F4166"/>
    <w:rsid w:val="007F4E01"/>
    <w:rsid w:val="00800CC9"/>
    <w:rsid w:val="00801362"/>
    <w:rsid w:val="00801AC6"/>
    <w:rsid w:val="00801CAB"/>
    <w:rsid w:val="00802625"/>
    <w:rsid w:val="00802CC8"/>
    <w:rsid w:val="00804241"/>
    <w:rsid w:val="00804A41"/>
    <w:rsid w:val="00804D09"/>
    <w:rsid w:val="008061B2"/>
    <w:rsid w:val="00806804"/>
    <w:rsid w:val="0080796E"/>
    <w:rsid w:val="00807DA3"/>
    <w:rsid w:val="0081130A"/>
    <w:rsid w:val="00811BA4"/>
    <w:rsid w:val="00811D81"/>
    <w:rsid w:val="00813371"/>
    <w:rsid w:val="008133E8"/>
    <w:rsid w:val="00813ACE"/>
    <w:rsid w:val="00813E09"/>
    <w:rsid w:val="00813F38"/>
    <w:rsid w:val="00814886"/>
    <w:rsid w:val="00814FBD"/>
    <w:rsid w:val="00815302"/>
    <w:rsid w:val="0081553D"/>
    <w:rsid w:val="00816744"/>
    <w:rsid w:val="00816946"/>
    <w:rsid w:val="00816A96"/>
    <w:rsid w:val="00816AF3"/>
    <w:rsid w:val="00816B20"/>
    <w:rsid w:val="00816B78"/>
    <w:rsid w:val="00820124"/>
    <w:rsid w:val="00820D49"/>
    <w:rsid w:val="00821711"/>
    <w:rsid w:val="00821B2E"/>
    <w:rsid w:val="00821B8F"/>
    <w:rsid w:val="008227DA"/>
    <w:rsid w:val="00824A87"/>
    <w:rsid w:val="00824A95"/>
    <w:rsid w:val="008261F8"/>
    <w:rsid w:val="00827937"/>
    <w:rsid w:val="00827FD3"/>
    <w:rsid w:val="00830283"/>
    <w:rsid w:val="00830530"/>
    <w:rsid w:val="008314D4"/>
    <w:rsid w:val="00831CF6"/>
    <w:rsid w:val="00831DB1"/>
    <w:rsid w:val="008329C9"/>
    <w:rsid w:val="008339C3"/>
    <w:rsid w:val="00834436"/>
    <w:rsid w:val="00834BCA"/>
    <w:rsid w:val="00835706"/>
    <w:rsid w:val="00835F4C"/>
    <w:rsid w:val="008361CC"/>
    <w:rsid w:val="00837D2D"/>
    <w:rsid w:val="00840331"/>
    <w:rsid w:val="00840AB3"/>
    <w:rsid w:val="00841067"/>
    <w:rsid w:val="00841DD9"/>
    <w:rsid w:val="0084262A"/>
    <w:rsid w:val="00842DEE"/>
    <w:rsid w:val="00843B5D"/>
    <w:rsid w:val="008443E5"/>
    <w:rsid w:val="00844D83"/>
    <w:rsid w:val="00845844"/>
    <w:rsid w:val="008459D3"/>
    <w:rsid w:val="0084683A"/>
    <w:rsid w:val="00847205"/>
    <w:rsid w:val="00847438"/>
    <w:rsid w:val="008501BD"/>
    <w:rsid w:val="008508B0"/>
    <w:rsid w:val="00850E71"/>
    <w:rsid w:val="008510A2"/>
    <w:rsid w:val="008511A2"/>
    <w:rsid w:val="00851CE2"/>
    <w:rsid w:val="0085294A"/>
    <w:rsid w:val="00853FF8"/>
    <w:rsid w:val="0085445F"/>
    <w:rsid w:val="00855847"/>
    <w:rsid w:val="00856588"/>
    <w:rsid w:val="0085687D"/>
    <w:rsid w:val="00856D43"/>
    <w:rsid w:val="00860890"/>
    <w:rsid w:val="0086095B"/>
    <w:rsid w:val="00861E3B"/>
    <w:rsid w:val="00864EB6"/>
    <w:rsid w:val="0086518B"/>
    <w:rsid w:val="008664C2"/>
    <w:rsid w:val="00866C15"/>
    <w:rsid w:val="00866C84"/>
    <w:rsid w:val="00866EA2"/>
    <w:rsid w:val="00867D5E"/>
    <w:rsid w:val="00867EC4"/>
    <w:rsid w:val="00871221"/>
    <w:rsid w:val="00871BE2"/>
    <w:rsid w:val="008727F6"/>
    <w:rsid w:val="00872C0C"/>
    <w:rsid w:val="008738B9"/>
    <w:rsid w:val="00873AA9"/>
    <w:rsid w:val="0087491C"/>
    <w:rsid w:val="00874CF7"/>
    <w:rsid w:val="008761F0"/>
    <w:rsid w:val="00876548"/>
    <w:rsid w:val="00876F37"/>
    <w:rsid w:val="00877B61"/>
    <w:rsid w:val="00881C92"/>
    <w:rsid w:val="00883259"/>
    <w:rsid w:val="00883547"/>
    <w:rsid w:val="008841C7"/>
    <w:rsid w:val="00884B66"/>
    <w:rsid w:val="00884BF0"/>
    <w:rsid w:val="00884C68"/>
    <w:rsid w:val="0088507E"/>
    <w:rsid w:val="008850CD"/>
    <w:rsid w:val="0088539D"/>
    <w:rsid w:val="00885A18"/>
    <w:rsid w:val="00885FA9"/>
    <w:rsid w:val="008864B3"/>
    <w:rsid w:val="0088674D"/>
    <w:rsid w:val="008870E3"/>
    <w:rsid w:val="008873F4"/>
    <w:rsid w:val="008874D4"/>
    <w:rsid w:val="00887887"/>
    <w:rsid w:val="00887A3E"/>
    <w:rsid w:val="008910BA"/>
    <w:rsid w:val="008916AE"/>
    <w:rsid w:val="00892A5A"/>
    <w:rsid w:val="00892EFF"/>
    <w:rsid w:val="00893E1F"/>
    <w:rsid w:val="00894486"/>
    <w:rsid w:val="008947FA"/>
    <w:rsid w:val="008956A2"/>
    <w:rsid w:val="0089585E"/>
    <w:rsid w:val="00895A23"/>
    <w:rsid w:val="00896021"/>
    <w:rsid w:val="0089617B"/>
    <w:rsid w:val="00896D57"/>
    <w:rsid w:val="00896EDB"/>
    <w:rsid w:val="00897000"/>
    <w:rsid w:val="008975C7"/>
    <w:rsid w:val="008A04A5"/>
    <w:rsid w:val="008A0A36"/>
    <w:rsid w:val="008A0B15"/>
    <w:rsid w:val="008A0E00"/>
    <w:rsid w:val="008A168A"/>
    <w:rsid w:val="008A17D7"/>
    <w:rsid w:val="008A4FD9"/>
    <w:rsid w:val="008A5212"/>
    <w:rsid w:val="008A5334"/>
    <w:rsid w:val="008A6F36"/>
    <w:rsid w:val="008A7346"/>
    <w:rsid w:val="008A77F4"/>
    <w:rsid w:val="008A7833"/>
    <w:rsid w:val="008A7D6F"/>
    <w:rsid w:val="008B0059"/>
    <w:rsid w:val="008B1597"/>
    <w:rsid w:val="008B2144"/>
    <w:rsid w:val="008B42D0"/>
    <w:rsid w:val="008B5D7D"/>
    <w:rsid w:val="008B67CA"/>
    <w:rsid w:val="008B695D"/>
    <w:rsid w:val="008C0082"/>
    <w:rsid w:val="008C00CF"/>
    <w:rsid w:val="008C08F5"/>
    <w:rsid w:val="008C0F41"/>
    <w:rsid w:val="008C15A4"/>
    <w:rsid w:val="008C21EB"/>
    <w:rsid w:val="008C342A"/>
    <w:rsid w:val="008C4490"/>
    <w:rsid w:val="008C4D1A"/>
    <w:rsid w:val="008C55C8"/>
    <w:rsid w:val="008C5E81"/>
    <w:rsid w:val="008C6597"/>
    <w:rsid w:val="008C6862"/>
    <w:rsid w:val="008C689D"/>
    <w:rsid w:val="008C6B3D"/>
    <w:rsid w:val="008D030A"/>
    <w:rsid w:val="008D083B"/>
    <w:rsid w:val="008D08B5"/>
    <w:rsid w:val="008D1F2D"/>
    <w:rsid w:val="008D24AC"/>
    <w:rsid w:val="008D2673"/>
    <w:rsid w:val="008D28C4"/>
    <w:rsid w:val="008D2CA9"/>
    <w:rsid w:val="008D37D7"/>
    <w:rsid w:val="008D5322"/>
    <w:rsid w:val="008D56E8"/>
    <w:rsid w:val="008D5BE2"/>
    <w:rsid w:val="008D6BD0"/>
    <w:rsid w:val="008D6D05"/>
    <w:rsid w:val="008D75C5"/>
    <w:rsid w:val="008D7FE7"/>
    <w:rsid w:val="008E0252"/>
    <w:rsid w:val="008E160D"/>
    <w:rsid w:val="008E2207"/>
    <w:rsid w:val="008E237F"/>
    <w:rsid w:val="008E2D76"/>
    <w:rsid w:val="008E352C"/>
    <w:rsid w:val="008E3853"/>
    <w:rsid w:val="008E4168"/>
    <w:rsid w:val="008E42C7"/>
    <w:rsid w:val="008E46A9"/>
    <w:rsid w:val="008E5255"/>
    <w:rsid w:val="008E591C"/>
    <w:rsid w:val="008E6005"/>
    <w:rsid w:val="008E61CE"/>
    <w:rsid w:val="008E6637"/>
    <w:rsid w:val="008E7119"/>
    <w:rsid w:val="008E759A"/>
    <w:rsid w:val="008E7DCA"/>
    <w:rsid w:val="008E7E5A"/>
    <w:rsid w:val="008F0015"/>
    <w:rsid w:val="008F0CB8"/>
    <w:rsid w:val="008F2A48"/>
    <w:rsid w:val="008F2D0A"/>
    <w:rsid w:val="008F31F7"/>
    <w:rsid w:val="008F322D"/>
    <w:rsid w:val="008F3E60"/>
    <w:rsid w:val="008F3F98"/>
    <w:rsid w:val="008F4A03"/>
    <w:rsid w:val="008F532A"/>
    <w:rsid w:val="008F552F"/>
    <w:rsid w:val="008F5C3B"/>
    <w:rsid w:val="008F5C4D"/>
    <w:rsid w:val="008F67C6"/>
    <w:rsid w:val="00901662"/>
    <w:rsid w:val="00901A23"/>
    <w:rsid w:val="00901DDC"/>
    <w:rsid w:val="0090234B"/>
    <w:rsid w:val="0090258D"/>
    <w:rsid w:val="00902799"/>
    <w:rsid w:val="0090296D"/>
    <w:rsid w:val="00903314"/>
    <w:rsid w:val="0090406D"/>
    <w:rsid w:val="00904414"/>
    <w:rsid w:val="00905EC5"/>
    <w:rsid w:val="00905EDC"/>
    <w:rsid w:val="009062E6"/>
    <w:rsid w:val="00907B37"/>
    <w:rsid w:val="00907BFF"/>
    <w:rsid w:val="009112C8"/>
    <w:rsid w:val="00911C5A"/>
    <w:rsid w:val="00912202"/>
    <w:rsid w:val="009128C0"/>
    <w:rsid w:val="0091328C"/>
    <w:rsid w:val="009137C1"/>
    <w:rsid w:val="00914373"/>
    <w:rsid w:val="00914652"/>
    <w:rsid w:val="00915D29"/>
    <w:rsid w:val="00915FFF"/>
    <w:rsid w:val="0091757A"/>
    <w:rsid w:val="009177AC"/>
    <w:rsid w:val="00920179"/>
    <w:rsid w:val="00920C18"/>
    <w:rsid w:val="009220BC"/>
    <w:rsid w:val="00922146"/>
    <w:rsid w:val="00922A9D"/>
    <w:rsid w:val="00923418"/>
    <w:rsid w:val="009236E3"/>
    <w:rsid w:val="00923840"/>
    <w:rsid w:val="00923B71"/>
    <w:rsid w:val="0092413B"/>
    <w:rsid w:val="009247AD"/>
    <w:rsid w:val="00924E9D"/>
    <w:rsid w:val="00925A0F"/>
    <w:rsid w:val="009266AB"/>
    <w:rsid w:val="0092774E"/>
    <w:rsid w:val="00927F94"/>
    <w:rsid w:val="00930699"/>
    <w:rsid w:val="00930934"/>
    <w:rsid w:val="009319E5"/>
    <w:rsid w:val="00931C73"/>
    <w:rsid w:val="00931D1E"/>
    <w:rsid w:val="00932378"/>
    <w:rsid w:val="009323B8"/>
    <w:rsid w:val="00932E44"/>
    <w:rsid w:val="00932E68"/>
    <w:rsid w:val="0093340A"/>
    <w:rsid w:val="0093440F"/>
    <w:rsid w:val="009345D5"/>
    <w:rsid w:val="0093495D"/>
    <w:rsid w:val="0093496B"/>
    <w:rsid w:val="00934CE1"/>
    <w:rsid w:val="00936103"/>
    <w:rsid w:val="009364BD"/>
    <w:rsid w:val="0093658C"/>
    <w:rsid w:val="0093793A"/>
    <w:rsid w:val="0094065E"/>
    <w:rsid w:val="00940DCD"/>
    <w:rsid w:val="009426DB"/>
    <w:rsid w:val="009426F6"/>
    <w:rsid w:val="00942B0F"/>
    <w:rsid w:val="009436FA"/>
    <w:rsid w:val="00944B87"/>
    <w:rsid w:val="00944DA4"/>
    <w:rsid w:val="0094609F"/>
    <w:rsid w:val="00946318"/>
    <w:rsid w:val="009465AE"/>
    <w:rsid w:val="00947679"/>
    <w:rsid w:val="00947B24"/>
    <w:rsid w:val="00947BE4"/>
    <w:rsid w:val="00950793"/>
    <w:rsid w:val="00950E30"/>
    <w:rsid w:val="009510A9"/>
    <w:rsid w:val="00951919"/>
    <w:rsid w:val="009522A5"/>
    <w:rsid w:val="00952816"/>
    <w:rsid w:val="00952C03"/>
    <w:rsid w:val="00953403"/>
    <w:rsid w:val="00954D5F"/>
    <w:rsid w:val="00954F0E"/>
    <w:rsid w:val="009551F3"/>
    <w:rsid w:val="00955374"/>
    <w:rsid w:val="0095541F"/>
    <w:rsid w:val="00955627"/>
    <w:rsid w:val="00956A6F"/>
    <w:rsid w:val="0095770B"/>
    <w:rsid w:val="00957A05"/>
    <w:rsid w:val="00957F12"/>
    <w:rsid w:val="009605C0"/>
    <w:rsid w:val="00960A45"/>
    <w:rsid w:val="00961A18"/>
    <w:rsid w:val="00962804"/>
    <w:rsid w:val="009646AC"/>
    <w:rsid w:val="00967D26"/>
    <w:rsid w:val="00970377"/>
    <w:rsid w:val="00970B17"/>
    <w:rsid w:val="00970C45"/>
    <w:rsid w:val="00972140"/>
    <w:rsid w:val="00973161"/>
    <w:rsid w:val="00974175"/>
    <w:rsid w:val="009742A8"/>
    <w:rsid w:val="00974B30"/>
    <w:rsid w:val="00974D5E"/>
    <w:rsid w:val="0097512E"/>
    <w:rsid w:val="009760AE"/>
    <w:rsid w:val="00976D53"/>
    <w:rsid w:val="00977433"/>
    <w:rsid w:val="0098091C"/>
    <w:rsid w:val="00980FDE"/>
    <w:rsid w:val="00981232"/>
    <w:rsid w:val="0098149F"/>
    <w:rsid w:val="00981AEB"/>
    <w:rsid w:val="00981B71"/>
    <w:rsid w:val="00981D08"/>
    <w:rsid w:val="00982012"/>
    <w:rsid w:val="0098202D"/>
    <w:rsid w:val="0098202E"/>
    <w:rsid w:val="00983D6E"/>
    <w:rsid w:val="0098460C"/>
    <w:rsid w:val="00985856"/>
    <w:rsid w:val="00985FE9"/>
    <w:rsid w:val="00986A6C"/>
    <w:rsid w:val="0098739D"/>
    <w:rsid w:val="0099001C"/>
    <w:rsid w:val="00990229"/>
    <w:rsid w:val="00994CFA"/>
    <w:rsid w:val="00994DD1"/>
    <w:rsid w:val="0099559C"/>
    <w:rsid w:val="009958D2"/>
    <w:rsid w:val="009970FE"/>
    <w:rsid w:val="00997AAA"/>
    <w:rsid w:val="00997E23"/>
    <w:rsid w:val="009A0632"/>
    <w:rsid w:val="009A0BC7"/>
    <w:rsid w:val="009A0E8D"/>
    <w:rsid w:val="009A197A"/>
    <w:rsid w:val="009A284D"/>
    <w:rsid w:val="009A2AA8"/>
    <w:rsid w:val="009A38E6"/>
    <w:rsid w:val="009A3C23"/>
    <w:rsid w:val="009A3F61"/>
    <w:rsid w:val="009A40FB"/>
    <w:rsid w:val="009A4E12"/>
    <w:rsid w:val="009A513A"/>
    <w:rsid w:val="009A55EF"/>
    <w:rsid w:val="009A59C1"/>
    <w:rsid w:val="009A6D48"/>
    <w:rsid w:val="009B03D7"/>
    <w:rsid w:val="009B0A3D"/>
    <w:rsid w:val="009B421A"/>
    <w:rsid w:val="009B449B"/>
    <w:rsid w:val="009B62FC"/>
    <w:rsid w:val="009B706E"/>
    <w:rsid w:val="009B71CB"/>
    <w:rsid w:val="009B7341"/>
    <w:rsid w:val="009B75E9"/>
    <w:rsid w:val="009B7657"/>
    <w:rsid w:val="009B7970"/>
    <w:rsid w:val="009B7ACB"/>
    <w:rsid w:val="009C00F2"/>
    <w:rsid w:val="009C0CF8"/>
    <w:rsid w:val="009C167C"/>
    <w:rsid w:val="009C1801"/>
    <w:rsid w:val="009C1D07"/>
    <w:rsid w:val="009C34C7"/>
    <w:rsid w:val="009C512E"/>
    <w:rsid w:val="009C5ED6"/>
    <w:rsid w:val="009C68AF"/>
    <w:rsid w:val="009C71A4"/>
    <w:rsid w:val="009C72FC"/>
    <w:rsid w:val="009C749F"/>
    <w:rsid w:val="009D00AE"/>
    <w:rsid w:val="009D1420"/>
    <w:rsid w:val="009D2304"/>
    <w:rsid w:val="009D27DB"/>
    <w:rsid w:val="009D34DD"/>
    <w:rsid w:val="009D35C1"/>
    <w:rsid w:val="009D3D8E"/>
    <w:rsid w:val="009D445F"/>
    <w:rsid w:val="009D58E7"/>
    <w:rsid w:val="009D5AD8"/>
    <w:rsid w:val="009D7FA4"/>
    <w:rsid w:val="009E012F"/>
    <w:rsid w:val="009E141A"/>
    <w:rsid w:val="009E18B0"/>
    <w:rsid w:val="009E198C"/>
    <w:rsid w:val="009E1F73"/>
    <w:rsid w:val="009E23AF"/>
    <w:rsid w:val="009E23B3"/>
    <w:rsid w:val="009E2ADF"/>
    <w:rsid w:val="009E3D68"/>
    <w:rsid w:val="009E3E5C"/>
    <w:rsid w:val="009E3E93"/>
    <w:rsid w:val="009E4CFE"/>
    <w:rsid w:val="009E5CA8"/>
    <w:rsid w:val="009E7740"/>
    <w:rsid w:val="009E7E54"/>
    <w:rsid w:val="009F095D"/>
    <w:rsid w:val="009F187E"/>
    <w:rsid w:val="009F31C3"/>
    <w:rsid w:val="009F3A2F"/>
    <w:rsid w:val="009F3E2E"/>
    <w:rsid w:val="009F55E9"/>
    <w:rsid w:val="009F5781"/>
    <w:rsid w:val="009F5FA9"/>
    <w:rsid w:val="009F6200"/>
    <w:rsid w:val="009F6924"/>
    <w:rsid w:val="009F6B32"/>
    <w:rsid w:val="009F6EFE"/>
    <w:rsid w:val="009F778B"/>
    <w:rsid w:val="00A00DF9"/>
    <w:rsid w:val="00A013AC"/>
    <w:rsid w:val="00A0155C"/>
    <w:rsid w:val="00A0160C"/>
    <w:rsid w:val="00A01A77"/>
    <w:rsid w:val="00A030B6"/>
    <w:rsid w:val="00A0325F"/>
    <w:rsid w:val="00A035A2"/>
    <w:rsid w:val="00A04BCA"/>
    <w:rsid w:val="00A05B5C"/>
    <w:rsid w:val="00A061B2"/>
    <w:rsid w:val="00A065D9"/>
    <w:rsid w:val="00A07818"/>
    <w:rsid w:val="00A0791E"/>
    <w:rsid w:val="00A07F9E"/>
    <w:rsid w:val="00A10C58"/>
    <w:rsid w:val="00A10F54"/>
    <w:rsid w:val="00A11525"/>
    <w:rsid w:val="00A11CBD"/>
    <w:rsid w:val="00A124FD"/>
    <w:rsid w:val="00A12999"/>
    <w:rsid w:val="00A12DF1"/>
    <w:rsid w:val="00A12F74"/>
    <w:rsid w:val="00A132ED"/>
    <w:rsid w:val="00A13ABD"/>
    <w:rsid w:val="00A14280"/>
    <w:rsid w:val="00A14583"/>
    <w:rsid w:val="00A14E08"/>
    <w:rsid w:val="00A15B44"/>
    <w:rsid w:val="00A1604D"/>
    <w:rsid w:val="00A16ADA"/>
    <w:rsid w:val="00A16D20"/>
    <w:rsid w:val="00A17117"/>
    <w:rsid w:val="00A17B04"/>
    <w:rsid w:val="00A2061D"/>
    <w:rsid w:val="00A20D02"/>
    <w:rsid w:val="00A21863"/>
    <w:rsid w:val="00A2213E"/>
    <w:rsid w:val="00A229E3"/>
    <w:rsid w:val="00A22A6B"/>
    <w:rsid w:val="00A2300C"/>
    <w:rsid w:val="00A23825"/>
    <w:rsid w:val="00A247E6"/>
    <w:rsid w:val="00A24B5A"/>
    <w:rsid w:val="00A24EEF"/>
    <w:rsid w:val="00A2581A"/>
    <w:rsid w:val="00A25DFB"/>
    <w:rsid w:val="00A25F3E"/>
    <w:rsid w:val="00A2621A"/>
    <w:rsid w:val="00A26587"/>
    <w:rsid w:val="00A27821"/>
    <w:rsid w:val="00A27A0F"/>
    <w:rsid w:val="00A309F3"/>
    <w:rsid w:val="00A316DD"/>
    <w:rsid w:val="00A323DB"/>
    <w:rsid w:val="00A32E92"/>
    <w:rsid w:val="00A331A4"/>
    <w:rsid w:val="00A33372"/>
    <w:rsid w:val="00A341EB"/>
    <w:rsid w:val="00A347F1"/>
    <w:rsid w:val="00A349D2"/>
    <w:rsid w:val="00A35FBD"/>
    <w:rsid w:val="00A371C1"/>
    <w:rsid w:val="00A4068D"/>
    <w:rsid w:val="00A40D5E"/>
    <w:rsid w:val="00A430CD"/>
    <w:rsid w:val="00A4429A"/>
    <w:rsid w:val="00A4494C"/>
    <w:rsid w:val="00A46EA2"/>
    <w:rsid w:val="00A474D5"/>
    <w:rsid w:val="00A47D1D"/>
    <w:rsid w:val="00A47DD0"/>
    <w:rsid w:val="00A502A1"/>
    <w:rsid w:val="00A5040B"/>
    <w:rsid w:val="00A50BC5"/>
    <w:rsid w:val="00A514EC"/>
    <w:rsid w:val="00A52407"/>
    <w:rsid w:val="00A52F80"/>
    <w:rsid w:val="00A53951"/>
    <w:rsid w:val="00A53FBA"/>
    <w:rsid w:val="00A5433C"/>
    <w:rsid w:val="00A546F3"/>
    <w:rsid w:val="00A556E8"/>
    <w:rsid w:val="00A55F86"/>
    <w:rsid w:val="00A566D2"/>
    <w:rsid w:val="00A566EB"/>
    <w:rsid w:val="00A56731"/>
    <w:rsid w:val="00A56896"/>
    <w:rsid w:val="00A63129"/>
    <w:rsid w:val="00A631E0"/>
    <w:rsid w:val="00A63900"/>
    <w:rsid w:val="00A6397C"/>
    <w:rsid w:val="00A639AE"/>
    <w:rsid w:val="00A63EEF"/>
    <w:rsid w:val="00A6424F"/>
    <w:rsid w:val="00A645C1"/>
    <w:rsid w:val="00A65D5C"/>
    <w:rsid w:val="00A65EA8"/>
    <w:rsid w:val="00A66579"/>
    <w:rsid w:val="00A67A36"/>
    <w:rsid w:val="00A67B84"/>
    <w:rsid w:val="00A67BAA"/>
    <w:rsid w:val="00A72A27"/>
    <w:rsid w:val="00A73C7A"/>
    <w:rsid w:val="00A73E0A"/>
    <w:rsid w:val="00A74469"/>
    <w:rsid w:val="00A7482D"/>
    <w:rsid w:val="00A74907"/>
    <w:rsid w:val="00A75106"/>
    <w:rsid w:val="00A75272"/>
    <w:rsid w:val="00A75E6E"/>
    <w:rsid w:val="00A774AD"/>
    <w:rsid w:val="00A77DF8"/>
    <w:rsid w:val="00A77E32"/>
    <w:rsid w:val="00A77E97"/>
    <w:rsid w:val="00A80F26"/>
    <w:rsid w:val="00A81282"/>
    <w:rsid w:val="00A81587"/>
    <w:rsid w:val="00A82086"/>
    <w:rsid w:val="00A823C5"/>
    <w:rsid w:val="00A82DC0"/>
    <w:rsid w:val="00A834BD"/>
    <w:rsid w:val="00A8418E"/>
    <w:rsid w:val="00A847EE"/>
    <w:rsid w:val="00A84C10"/>
    <w:rsid w:val="00A84D58"/>
    <w:rsid w:val="00A84F6B"/>
    <w:rsid w:val="00A854A5"/>
    <w:rsid w:val="00A85552"/>
    <w:rsid w:val="00A85C89"/>
    <w:rsid w:val="00A85D74"/>
    <w:rsid w:val="00A86478"/>
    <w:rsid w:val="00A872A7"/>
    <w:rsid w:val="00A87332"/>
    <w:rsid w:val="00A87495"/>
    <w:rsid w:val="00A90812"/>
    <w:rsid w:val="00A909E5"/>
    <w:rsid w:val="00A921BE"/>
    <w:rsid w:val="00A92B81"/>
    <w:rsid w:val="00A93F21"/>
    <w:rsid w:val="00A941AA"/>
    <w:rsid w:val="00A941AB"/>
    <w:rsid w:val="00A95774"/>
    <w:rsid w:val="00A969B4"/>
    <w:rsid w:val="00A96B69"/>
    <w:rsid w:val="00A96DA8"/>
    <w:rsid w:val="00A96DAE"/>
    <w:rsid w:val="00AA0AB4"/>
    <w:rsid w:val="00AA2BCF"/>
    <w:rsid w:val="00AA2CD0"/>
    <w:rsid w:val="00AA579C"/>
    <w:rsid w:val="00AA5D51"/>
    <w:rsid w:val="00AA6069"/>
    <w:rsid w:val="00AA6212"/>
    <w:rsid w:val="00AA6C6B"/>
    <w:rsid w:val="00AA7785"/>
    <w:rsid w:val="00AB04CC"/>
    <w:rsid w:val="00AB1646"/>
    <w:rsid w:val="00AB20A8"/>
    <w:rsid w:val="00AB2668"/>
    <w:rsid w:val="00AB2894"/>
    <w:rsid w:val="00AB2DBF"/>
    <w:rsid w:val="00AB2EEF"/>
    <w:rsid w:val="00AB366F"/>
    <w:rsid w:val="00AB3765"/>
    <w:rsid w:val="00AB3E63"/>
    <w:rsid w:val="00AB4751"/>
    <w:rsid w:val="00AB4BB0"/>
    <w:rsid w:val="00AB4E02"/>
    <w:rsid w:val="00AB55CD"/>
    <w:rsid w:val="00AB5C20"/>
    <w:rsid w:val="00AB5DA3"/>
    <w:rsid w:val="00AB6CDB"/>
    <w:rsid w:val="00AB740E"/>
    <w:rsid w:val="00AB7A97"/>
    <w:rsid w:val="00AC0CA3"/>
    <w:rsid w:val="00AC13FC"/>
    <w:rsid w:val="00AC1F18"/>
    <w:rsid w:val="00AC298E"/>
    <w:rsid w:val="00AC4D64"/>
    <w:rsid w:val="00AC5996"/>
    <w:rsid w:val="00AC7323"/>
    <w:rsid w:val="00AC740C"/>
    <w:rsid w:val="00AD012F"/>
    <w:rsid w:val="00AD055B"/>
    <w:rsid w:val="00AD05EF"/>
    <w:rsid w:val="00AD08EC"/>
    <w:rsid w:val="00AD0A71"/>
    <w:rsid w:val="00AD193E"/>
    <w:rsid w:val="00AD1B94"/>
    <w:rsid w:val="00AD2CC8"/>
    <w:rsid w:val="00AD379D"/>
    <w:rsid w:val="00AD3DA6"/>
    <w:rsid w:val="00AD432A"/>
    <w:rsid w:val="00AD5132"/>
    <w:rsid w:val="00AD5363"/>
    <w:rsid w:val="00AD61C0"/>
    <w:rsid w:val="00AD6BA2"/>
    <w:rsid w:val="00AD7BB5"/>
    <w:rsid w:val="00AE0595"/>
    <w:rsid w:val="00AE1562"/>
    <w:rsid w:val="00AE17AC"/>
    <w:rsid w:val="00AE1CD9"/>
    <w:rsid w:val="00AE47AE"/>
    <w:rsid w:val="00AE51F3"/>
    <w:rsid w:val="00AE5266"/>
    <w:rsid w:val="00AE5498"/>
    <w:rsid w:val="00AE58A2"/>
    <w:rsid w:val="00AE5C0B"/>
    <w:rsid w:val="00AE60C4"/>
    <w:rsid w:val="00AE64E1"/>
    <w:rsid w:val="00AE6571"/>
    <w:rsid w:val="00AE65B8"/>
    <w:rsid w:val="00AE6C60"/>
    <w:rsid w:val="00AF0227"/>
    <w:rsid w:val="00AF233E"/>
    <w:rsid w:val="00AF4609"/>
    <w:rsid w:val="00AF52B6"/>
    <w:rsid w:val="00AF5A42"/>
    <w:rsid w:val="00AF6D60"/>
    <w:rsid w:val="00AF7E47"/>
    <w:rsid w:val="00B00374"/>
    <w:rsid w:val="00B007C2"/>
    <w:rsid w:val="00B0142F"/>
    <w:rsid w:val="00B017FF"/>
    <w:rsid w:val="00B01992"/>
    <w:rsid w:val="00B0224F"/>
    <w:rsid w:val="00B026A9"/>
    <w:rsid w:val="00B02B58"/>
    <w:rsid w:val="00B02BA4"/>
    <w:rsid w:val="00B02ECF"/>
    <w:rsid w:val="00B038A1"/>
    <w:rsid w:val="00B042F6"/>
    <w:rsid w:val="00B05403"/>
    <w:rsid w:val="00B059A2"/>
    <w:rsid w:val="00B06BED"/>
    <w:rsid w:val="00B07243"/>
    <w:rsid w:val="00B104F6"/>
    <w:rsid w:val="00B10584"/>
    <w:rsid w:val="00B11047"/>
    <w:rsid w:val="00B11693"/>
    <w:rsid w:val="00B1256F"/>
    <w:rsid w:val="00B12CAE"/>
    <w:rsid w:val="00B12CCE"/>
    <w:rsid w:val="00B131DC"/>
    <w:rsid w:val="00B1336A"/>
    <w:rsid w:val="00B1361E"/>
    <w:rsid w:val="00B13719"/>
    <w:rsid w:val="00B143B2"/>
    <w:rsid w:val="00B1499B"/>
    <w:rsid w:val="00B14B88"/>
    <w:rsid w:val="00B14DA0"/>
    <w:rsid w:val="00B151C9"/>
    <w:rsid w:val="00B158B4"/>
    <w:rsid w:val="00B16AB8"/>
    <w:rsid w:val="00B171CA"/>
    <w:rsid w:val="00B20575"/>
    <w:rsid w:val="00B215B6"/>
    <w:rsid w:val="00B22310"/>
    <w:rsid w:val="00B22429"/>
    <w:rsid w:val="00B22AA7"/>
    <w:rsid w:val="00B23D89"/>
    <w:rsid w:val="00B24E5D"/>
    <w:rsid w:val="00B25895"/>
    <w:rsid w:val="00B26395"/>
    <w:rsid w:val="00B26F72"/>
    <w:rsid w:val="00B2758E"/>
    <w:rsid w:val="00B302A6"/>
    <w:rsid w:val="00B30548"/>
    <w:rsid w:val="00B30723"/>
    <w:rsid w:val="00B30C04"/>
    <w:rsid w:val="00B30C2C"/>
    <w:rsid w:val="00B31901"/>
    <w:rsid w:val="00B326B9"/>
    <w:rsid w:val="00B3276C"/>
    <w:rsid w:val="00B32DDD"/>
    <w:rsid w:val="00B33D37"/>
    <w:rsid w:val="00B34B25"/>
    <w:rsid w:val="00B34DA6"/>
    <w:rsid w:val="00B34F31"/>
    <w:rsid w:val="00B350E4"/>
    <w:rsid w:val="00B351DF"/>
    <w:rsid w:val="00B35555"/>
    <w:rsid w:val="00B359C4"/>
    <w:rsid w:val="00B35C79"/>
    <w:rsid w:val="00B35E18"/>
    <w:rsid w:val="00B3676A"/>
    <w:rsid w:val="00B36F56"/>
    <w:rsid w:val="00B378D5"/>
    <w:rsid w:val="00B40AE8"/>
    <w:rsid w:val="00B412E2"/>
    <w:rsid w:val="00B4147F"/>
    <w:rsid w:val="00B41A19"/>
    <w:rsid w:val="00B41D2D"/>
    <w:rsid w:val="00B42790"/>
    <w:rsid w:val="00B439D9"/>
    <w:rsid w:val="00B43BE4"/>
    <w:rsid w:val="00B43C97"/>
    <w:rsid w:val="00B452B6"/>
    <w:rsid w:val="00B45B14"/>
    <w:rsid w:val="00B470C1"/>
    <w:rsid w:val="00B47448"/>
    <w:rsid w:val="00B47DE5"/>
    <w:rsid w:val="00B50016"/>
    <w:rsid w:val="00B5001C"/>
    <w:rsid w:val="00B5063E"/>
    <w:rsid w:val="00B50DE6"/>
    <w:rsid w:val="00B51014"/>
    <w:rsid w:val="00B5108E"/>
    <w:rsid w:val="00B51668"/>
    <w:rsid w:val="00B51CC3"/>
    <w:rsid w:val="00B51E05"/>
    <w:rsid w:val="00B52507"/>
    <w:rsid w:val="00B52979"/>
    <w:rsid w:val="00B52AED"/>
    <w:rsid w:val="00B53F3D"/>
    <w:rsid w:val="00B544CD"/>
    <w:rsid w:val="00B54B48"/>
    <w:rsid w:val="00B55578"/>
    <w:rsid w:val="00B56198"/>
    <w:rsid w:val="00B564C3"/>
    <w:rsid w:val="00B60D29"/>
    <w:rsid w:val="00B60DE5"/>
    <w:rsid w:val="00B61215"/>
    <w:rsid w:val="00B6156E"/>
    <w:rsid w:val="00B61799"/>
    <w:rsid w:val="00B63DC4"/>
    <w:rsid w:val="00B649FB"/>
    <w:rsid w:val="00B64FC5"/>
    <w:rsid w:val="00B65F6A"/>
    <w:rsid w:val="00B661D7"/>
    <w:rsid w:val="00B6649C"/>
    <w:rsid w:val="00B668CE"/>
    <w:rsid w:val="00B66DA5"/>
    <w:rsid w:val="00B7004D"/>
    <w:rsid w:val="00B73794"/>
    <w:rsid w:val="00B73E83"/>
    <w:rsid w:val="00B74755"/>
    <w:rsid w:val="00B74A5B"/>
    <w:rsid w:val="00B75007"/>
    <w:rsid w:val="00B75999"/>
    <w:rsid w:val="00B75F22"/>
    <w:rsid w:val="00B75F93"/>
    <w:rsid w:val="00B76E67"/>
    <w:rsid w:val="00B772BE"/>
    <w:rsid w:val="00B772E8"/>
    <w:rsid w:val="00B77769"/>
    <w:rsid w:val="00B77DE1"/>
    <w:rsid w:val="00B77E1C"/>
    <w:rsid w:val="00B80309"/>
    <w:rsid w:val="00B8044E"/>
    <w:rsid w:val="00B80656"/>
    <w:rsid w:val="00B82406"/>
    <w:rsid w:val="00B83587"/>
    <w:rsid w:val="00B835FE"/>
    <w:rsid w:val="00B842AF"/>
    <w:rsid w:val="00B84B16"/>
    <w:rsid w:val="00B854C3"/>
    <w:rsid w:val="00B8655F"/>
    <w:rsid w:val="00B87F4D"/>
    <w:rsid w:val="00B90150"/>
    <w:rsid w:val="00B90513"/>
    <w:rsid w:val="00B91721"/>
    <w:rsid w:val="00B91C3D"/>
    <w:rsid w:val="00B92BEA"/>
    <w:rsid w:val="00B92C74"/>
    <w:rsid w:val="00B92DBB"/>
    <w:rsid w:val="00B933AA"/>
    <w:rsid w:val="00B9372F"/>
    <w:rsid w:val="00B93F02"/>
    <w:rsid w:val="00B94515"/>
    <w:rsid w:val="00B94E6E"/>
    <w:rsid w:val="00B95454"/>
    <w:rsid w:val="00B95A61"/>
    <w:rsid w:val="00B95B98"/>
    <w:rsid w:val="00B960E9"/>
    <w:rsid w:val="00B9626F"/>
    <w:rsid w:val="00B96507"/>
    <w:rsid w:val="00B96B59"/>
    <w:rsid w:val="00B96C4D"/>
    <w:rsid w:val="00B96DDE"/>
    <w:rsid w:val="00B97536"/>
    <w:rsid w:val="00B97F20"/>
    <w:rsid w:val="00BA0078"/>
    <w:rsid w:val="00BA08B5"/>
    <w:rsid w:val="00BA0BF1"/>
    <w:rsid w:val="00BA0C7E"/>
    <w:rsid w:val="00BA1E1F"/>
    <w:rsid w:val="00BA1FEC"/>
    <w:rsid w:val="00BA23AD"/>
    <w:rsid w:val="00BA2BE5"/>
    <w:rsid w:val="00BA2BFF"/>
    <w:rsid w:val="00BA441F"/>
    <w:rsid w:val="00BA4BE8"/>
    <w:rsid w:val="00BA5CA4"/>
    <w:rsid w:val="00BA6FBC"/>
    <w:rsid w:val="00BA790B"/>
    <w:rsid w:val="00BA7B8C"/>
    <w:rsid w:val="00BA7DBE"/>
    <w:rsid w:val="00BB0498"/>
    <w:rsid w:val="00BB0A16"/>
    <w:rsid w:val="00BB12F2"/>
    <w:rsid w:val="00BB1A5F"/>
    <w:rsid w:val="00BB226D"/>
    <w:rsid w:val="00BB2469"/>
    <w:rsid w:val="00BB2771"/>
    <w:rsid w:val="00BB3E20"/>
    <w:rsid w:val="00BB3EEB"/>
    <w:rsid w:val="00BB4605"/>
    <w:rsid w:val="00BB491A"/>
    <w:rsid w:val="00BB4927"/>
    <w:rsid w:val="00BB594D"/>
    <w:rsid w:val="00BB5EB5"/>
    <w:rsid w:val="00BB72A9"/>
    <w:rsid w:val="00BB766A"/>
    <w:rsid w:val="00BB7AAB"/>
    <w:rsid w:val="00BC0169"/>
    <w:rsid w:val="00BC043A"/>
    <w:rsid w:val="00BC2062"/>
    <w:rsid w:val="00BC2871"/>
    <w:rsid w:val="00BC3F94"/>
    <w:rsid w:val="00BC5569"/>
    <w:rsid w:val="00BC58A3"/>
    <w:rsid w:val="00BC5A4E"/>
    <w:rsid w:val="00BC5F31"/>
    <w:rsid w:val="00BC5F80"/>
    <w:rsid w:val="00BC6180"/>
    <w:rsid w:val="00BC7E51"/>
    <w:rsid w:val="00BD017D"/>
    <w:rsid w:val="00BD0B02"/>
    <w:rsid w:val="00BD168C"/>
    <w:rsid w:val="00BD1B01"/>
    <w:rsid w:val="00BD1F33"/>
    <w:rsid w:val="00BD301F"/>
    <w:rsid w:val="00BD304A"/>
    <w:rsid w:val="00BD3275"/>
    <w:rsid w:val="00BD3C65"/>
    <w:rsid w:val="00BD4BC0"/>
    <w:rsid w:val="00BD5C12"/>
    <w:rsid w:val="00BD6052"/>
    <w:rsid w:val="00BD797F"/>
    <w:rsid w:val="00BE033D"/>
    <w:rsid w:val="00BE0A9C"/>
    <w:rsid w:val="00BE107C"/>
    <w:rsid w:val="00BE2576"/>
    <w:rsid w:val="00BE2820"/>
    <w:rsid w:val="00BE2A50"/>
    <w:rsid w:val="00BE2E27"/>
    <w:rsid w:val="00BE3280"/>
    <w:rsid w:val="00BE4289"/>
    <w:rsid w:val="00BE4D7B"/>
    <w:rsid w:val="00BE4EEA"/>
    <w:rsid w:val="00BE4F50"/>
    <w:rsid w:val="00BE54DC"/>
    <w:rsid w:val="00BE5847"/>
    <w:rsid w:val="00BE6B42"/>
    <w:rsid w:val="00BE6EB7"/>
    <w:rsid w:val="00BE7AFF"/>
    <w:rsid w:val="00BE7E91"/>
    <w:rsid w:val="00BF1CC6"/>
    <w:rsid w:val="00BF2347"/>
    <w:rsid w:val="00BF2FC1"/>
    <w:rsid w:val="00BF341F"/>
    <w:rsid w:val="00BF352B"/>
    <w:rsid w:val="00BF39DC"/>
    <w:rsid w:val="00BF3B16"/>
    <w:rsid w:val="00BF445A"/>
    <w:rsid w:val="00BF4830"/>
    <w:rsid w:val="00BF4960"/>
    <w:rsid w:val="00BF4BDF"/>
    <w:rsid w:val="00BF4E35"/>
    <w:rsid w:val="00BF666A"/>
    <w:rsid w:val="00BF6A69"/>
    <w:rsid w:val="00BF7765"/>
    <w:rsid w:val="00C00B15"/>
    <w:rsid w:val="00C00D18"/>
    <w:rsid w:val="00C01A41"/>
    <w:rsid w:val="00C026F6"/>
    <w:rsid w:val="00C02ABC"/>
    <w:rsid w:val="00C03E6E"/>
    <w:rsid w:val="00C0406A"/>
    <w:rsid w:val="00C0456E"/>
    <w:rsid w:val="00C0481B"/>
    <w:rsid w:val="00C04A2F"/>
    <w:rsid w:val="00C05971"/>
    <w:rsid w:val="00C05D38"/>
    <w:rsid w:val="00C05DE3"/>
    <w:rsid w:val="00C05E28"/>
    <w:rsid w:val="00C05E8E"/>
    <w:rsid w:val="00C06184"/>
    <w:rsid w:val="00C0636A"/>
    <w:rsid w:val="00C0653B"/>
    <w:rsid w:val="00C0677C"/>
    <w:rsid w:val="00C07169"/>
    <w:rsid w:val="00C07818"/>
    <w:rsid w:val="00C07852"/>
    <w:rsid w:val="00C07B21"/>
    <w:rsid w:val="00C10138"/>
    <w:rsid w:val="00C10228"/>
    <w:rsid w:val="00C10255"/>
    <w:rsid w:val="00C10512"/>
    <w:rsid w:val="00C11416"/>
    <w:rsid w:val="00C11F80"/>
    <w:rsid w:val="00C12398"/>
    <w:rsid w:val="00C13594"/>
    <w:rsid w:val="00C1450C"/>
    <w:rsid w:val="00C14775"/>
    <w:rsid w:val="00C14839"/>
    <w:rsid w:val="00C1524A"/>
    <w:rsid w:val="00C156EA"/>
    <w:rsid w:val="00C1582D"/>
    <w:rsid w:val="00C159DF"/>
    <w:rsid w:val="00C15B38"/>
    <w:rsid w:val="00C1622D"/>
    <w:rsid w:val="00C167FE"/>
    <w:rsid w:val="00C16F12"/>
    <w:rsid w:val="00C17F42"/>
    <w:rsid w:val="00C209CD"/>
    <w:rsid w:val="00C21BBB"/>
    <w:rsid w:val="00C22383"/>
    <w:rsid w:val="00C223FD"/>
    <w:rsid w:val="00C2268A"/>
    <w:rsid w:val="00C22916"/>
    <w:rsid w:val="00C22BAF"/>
    <w:rsid w:val="00C23026"/>
    <w:rsid w:val="00C2412B"/>
    <w:rsid w:val="00C24C20"/>
    <w:rsid w:val="00C24CE1"/>
    <w:rsid w:val="00C24ECF"/>
    <w:rsid w:val="00C25B4E"/>
    <w:rsid w:val="00C26A1D"/>
    <w:rsid w:val="00C27094"/>
    <w:rsid w:val="00C27A0D"/>
    <w:rsid w:val="00C27CC1"/>
    <w:rsid w:val="00C3047C"/>
    <w:rsid w:val="00C304E7"/>
    <w:rsid w:val="00C309B7"/>
    <w:rsid w:val="00C30C69"/>
    <w:rsid w:val="00C325BA"/>
    <w:rsid w:val="00C32AC2"/>
    <w:rsid w:val="00C33125"/>
    <w:rsid w:val="00C33630"/>
    <w:rsid w:val="00C340BE"/>
    <w:rsid w:val="00C36930"/>
    <w:rsid w:val="00C36B4D"/>
    <w:rsid w:val="00C37468"/>
    <w:rsid w:val="00C37799"/>
    <w:rsid w:val="00C37ABE"/>
    <w:rsid w:val="00C41F00"/>
    <w:rsid w:val="00C420B1"/>
    <w:rsid w:val="00C428A1"/>
    <w:rsid w:val="00C44374"/>
    <w:rsid w:val="00C44A22"/>
    <w:rsid w:val="00C45AF6"/>
    <w:rsid w:val="00C4698A"/>
    <w:rsid w:val="00C46CC1"/>
    <w:rsid w:val="00C47008"/>
    <w:rsid w:val="00C47416"/>
    <w:rsid w:val="00C4744F"/>
    <w:rsid w:val="00C47C02"/>
    <w:rsid w:val="00C5081A"/>
    <w:rsid w:val="00C50AC5"/>
    <w:rsid w:val="00C50DB6"/>
    <w:rsid w:val="00C516A3"/>
    <w:rsid w:val="00C51E64"/>
    <w:rsid w:val="00C525F3"/>
    <w:rsid w:val="00C53B8B"/>
    <w:rsid w:val="00C53D1C"/>
    <w:rsid w:val="00C54479"/>
    <w:rsid w:val="00C54943"/>
    <w:rsid w:val="00C554C0"/>
    <w:rsid w:val="00C554CA"/>
    <w:rsid w:val="00C554EF"/>
    <w:rsid w:val="00C5551B"/>
    <w:rsid w:val="00C56CCC"/>
    <w:rsid w:val="00C5719F"/>
    <w:rsid w:val="00C571DF"/>
    <w:rsid w:val="00C578AE"/>
    <w:rsid w:val="00C5791F"/>
    <w:rsid w:val="00C6010C"/>
    <w:rsid w:val="00C60321"/>
    <w:rsid w:val="00C6043B"/>
    <w:rsid w:val="00C629AA"/>
    <w:rsid w:val="00C65075"/>
    <w:rsid w:val="00C655C5"/>
    <w:rsid w:val="00C6631F"/>
    <w:rsid w:val="00C66D01"/>
    <w:rsid w:val="00C67112"/>
    <w:rsid w:val="00C67A4C"/>
    <w:rsid w:val="00C67AAF"/>
    <w:rsid w:val="00C67D61"/>
    <w:rsid w:val="00C70905"/>
    <w:rsid w:val="00C70A55"/>
    <w:rsid w:val="00C70ACA"/>
    <w:rsid w:val="00C70C48"/>
    <w:rsid w:val="00C710A7"/>
    <w:rsid w:val="00C7149E"/>
    <w:rsid w:val="00C71D92"/>
    <w:rsid w:val="00C72EC8"/>
    <w:rsid w:val="00C73BE6"/>
    <w:rsid w:val="00C74141"/>
    <w:rsid w:val="00C7465E"/>
    <w:rsid w:val="00C747E5"/>
    <w:rsid w:val="00C74D38"/>
    <w:rsid w:val="00C74E6E"/>
    <w:rsid w:val="00C75331"/>
    <w:rsid w:val="00C808D1"/>
    <w:rsid w:val="00C80D37"/>
    <w:rsid w:val="00C81085"/>
    <w:rsid w:val="00C81A8F"/>
    <w:rsid w:val="00C8215C"/>
    <w:rsid w:val="00C821D9"/>
    <w:rsid w:val="00C8260D"/>
    <w:rsid w:val="00C826E9"/>
    <w:rsid w:val="00C829D2"/>
    <w:rsid w:val="00C82F45"/>
    <w:rsid w:val="00C849D4"/>
    <w:rsid w:val="00C84A85"/>
    <w:rsid w:val="00C854D2"/>
    <w:rsid w:val="00C85A42"/>
    <w:rsid w:val="00C86A89"/>
    <w:rsid w:val="00C86E9F"/>
    <w:rsid w:val="00C877BC"/>
    <w:rsid w:val="00C877CF"/>
    <w:rsid w:val="00C91087"/>
    <w:rsid w:val="00C91279"/>
    <w:rsid w:val="00C91A8D"/>
    <w:rsid w:val="00C9237B"/>
    <w:rsid w:val="00C9244D"/>
    <w:rsid w:val="00C9263E"/>
    <w:rsid w:val="00C927D9"/>
    <w:rsid w:val="00C9332A"/>
    <w:rsid w:val="00C937A9"/>
    <w:rsid w:val="00C940A7"/>
    <w:rsid w:val="00C9434B"/>
    <w:rsid w:val="00C946FC"/>
    <w:rsid w:val="00C94A71"/>
    <w:rsid w:val="00C94BC2"/>
    <w:rsid w:val="00C95324"/>
    <w:rsid w:val="00C95A59"/>
    <w:rsid w:val="00C95CFA"/>
    <w:rsid w:val="00C95E12"/>
    <w:rsid w:val="00C974DB"/>
    <w:rsid w:val="00C97AC3"/>
    <w:rsid w:val="00CA082B"/>
    <w:rsid w:val="00CA0CE6"/>
    <w:rsid w:val="00CA0E46"/>
    <w:rsid w:val="00CA1CC1"/>
    <w:rsid w:val="00CA3068"/>
    <w:rsid w:val="00CA36EA"/>
    <w:rsid w:val="00CA3B6D"/>
    <w:rsid w:val="00CA3C38"/>
    <w:rsid w:val="00CA3F0F"/>
    <w:rsid w:val="00CA4CC9"/>
    <w:rsid w:val="00CA4CCC"/>
    <w:rsid w:val="00CA51CE"/>
    <w:rsid w:val="00CA5567"/>
    <w:rsid w:val="00CA594D"/>
    <w:rsid w:val="00CA6E3B"/>
    <w:rsid w:val="00CA7304"/>
    <w:rsid w:val="00CB231F"/>
    <w:rsid w:val="00CB24DA"/>
    <w:rsid w:val="00CB3987"/>
    <w:rsid w:val="00CB63BF"/>
    <w:rsid w:val="00CB649D"/>
    <w:rsid w:val="00CB71C0"/>
    <w:rsid w:val="00CC0195"/>
    <w:rsid w:val="00CC03E5"/>
    <w:rsid w:val="00CC041F"/>
    <w:rsid w:val="00CC0984"/>
    <w:rsid w:val="00CC0B4D"/>
    <w:rsid w:val="00CC165F"/>
    <w:rsid w:val="00CC168C"/>
    <w:rsid w:val="00CC207A"/>
    <w:rsid w:val="00CC24A0"/>
    <w:rsid w:val="00CC31A0"/>
    <w:rsid w:val="00CC3BC5"/>
    <w:rsid w:val="00CC418B"/>
    <w:rsid w:val="00CC4382"/>
    <w:rsid w:val="00CC5142"/>
    <w:rsid w:val="00CC5311"/>
    <w:rsid w:val="00CC5F6C"/>
    <w:rsid w:val="00CC6030"/>
    <w:rsid w:val="00CC647A"/>
    <w:rsid w:val="00CC66E3"/>
    <w:rsid w:val="00CC75FE"/>
    <w:rsid w:val="00CD01F6"/>
    <w:rsid w:val="00CD03B1"/>
    <w:rsid w:val="00CD32AE"/>
    <w:rsid w:val="00CD371E"/>
    <w:rsid w:val="00CD3924"/>
    <w:rsid w:val="00CD481D"/>
    <w:rsid w:val="00CD528A"/>
    <w:rsid w:val="00CD5351"/>
    <w:rsid w:val="00CD5CD8"/>
    <w:rsid w:val="00CD6366"/>
    <w:rsid w:val="00CD63A7"/>
    <w:rsid w:val="00CD7372"/>
    <w:rsid w:val="00CE0AAA"/>
    <w:rsid w:val="00CE1168"/>
    <w:rsid w:val="00CE11EE"/>
    <w:rsid w:val="00CE26B4"/>
    <w:rsid w:val="00CE2FE8"/>
    <w:rsid w:val="00CE357F"/>
    <w:rsid w:val="00CE37C6"/>
    <w:rsid w:val="00CE38CA"/>
    <w:rsid w:val="00CE4ECC"/>
    <w:rsid w:val="00CE585A"/>
    <w:rsid w:val="00CE5D4E"/>
    <w:rsid w:val="00CE5E74"/>
    <w:rsid w:val="00CE6373"/>
    <w:rsid w:val="00CE6535"/>
    <w:rsid w:val="00CE73CC"/>
    <w:rsid w:val="00CF062D"/>
    <w:rsid w:val="00CF0816"/>
    <w:rsid w:val="00CF148E"/>
    <w:rsid w:val="00CF1B95"/>
    <w:rsid w:val="00CF23DD"/>
    <w:rsid w:val="00CF26BB"/>
    <w:rsid w:val="00CF306F"/>
    <w:rsid w:val="00CF30FB"/>
    <w:rsid w:val="00CF318C"/>
    <w:rsid w:val="00CF3793"/>
    <w:rsid w:val="00CF39F7"/>
    <w:rsid w:val="00CF3B04"/>
    <w:rsid w:val="00CF43F4"/>
    <w:rsid w:val="00CF4405"/>
    <w:rsid w:val="00CF5E52"/>
    <w:rsid w:val="00CF659D"/>
    <w:rsid w:val="00CF7456"/>
    <w:rsid w:val="00D005AB"/>
    <w:rsid w:val="00D01061"/>
    <w:rsid w:val="00D019CA"/>
    <w:rsid w:val="00D01C05"/>
    <w:rsid w:val="00D03E76"/>
    <w:rsid w:val="00D04A3E"/>
    <w:rsid w:val="00D05FF0"/>
    <w:rsid w:val="00D068D0"/>
    <w:rsid w:val="00D06E65"/>
    <w:rsid w:val="00D07DA1"/>
    <w:rsid w:val="00D07E52"/>
    <w:rsid w:val="00D105BB"/>
    <w:rsid w:val="00D10731"/>
    <w:rsid w:val="00D11B28"/>
    <w:rsid w:val="00D12D7D"/>
    <w:rsid w:val="00D13119"/>
    <w:rsid w:val="00D13777"/>
    <w:rsid w:val="00D142F0"/>
    <w:rsid w:val="00D15E9F"/>
    <w:rsid w:val="00D160DF"/>
    <w:rsid w:val="00D16178"/>
    <w:rsid w:val="00D16E4D"/>
    <w:rsid w:val="00D17047"/>
    <w:rsid w:val="00D17968"/>
    <w:rsid w:val="00D17DBD"/>
    <w:rsid w:val="00D20019"/>
    <w:rsid w:val="00D202BA"/>
    <w:rsid w:val="00D21BA5"/>
    <w:rsid w:val="00D22232"/>
    <w:rsid w:val="00D224DD"/>
    <w:rsid w:val="00D235F7"/>
    <w:rsid w:val="00D249C8"/>
    <w:rsid w:val="00D25830"/>
    <w:rsid w:val="00D26238"/>
    <w:rsid w:val="00D27B88"/>
    <w:rsid w:val="00D27DAB"/>
    <w:rsid w:val="00D27FBB"/>
    <w:rsid w:val="00D305FC"/>
    <w:rsid w:val="00D30790"/>
    <w:rsid w:val="00D30F08"/>
    <w:rsid w:val="00D31197"/>
    <w:rsid w:val="00D316F8"/>
    <w:rsid w:val="00D32994"/>
    <w:rsid w:val="00D32B03"/>
    <w:rsid w:val="00D330ED"/>
    <w:rsid w:val="00D337D7"/>
    <w:rsid w:val="00D33B19"/>
    <w:rsid w:val="00D33D61"/>
    <w:rsid w:val="00D33FD9"/>
    <w:rsid w:val="00D34D61"/>
    <w:rsid w:val="00D37FBD"/>
    <w:rsid w:val="00D40580"/>
    <w:rsid w:val="00D40A1D"/>
    <w:rsid w:val="00D41C1C"/>
    <w:rsid w:val="00D41F28"/>
    <w:rsid w:val="00D43CC8"/>
    <w:rsid w:val="00D443BB"/>
    <w:rsid w:val="00D4522F"/>
    <w:rsid w:val="00D45644"/>
    <w:rsid w:val="00D46178"/>
    <w:rsid w:val="00D463BD"/>
    <w:rsid w:val="00D46ABD"/>
    <w:rsid w:val="00D470C3"/>
    <w:rsid w:val="00D50C79"/>
    <w:rsid w:val="00D51538"/>
    <w:rsid w:val="00D5165E"/>
    <w:rsid w:val="00D5244F"/>
    <w:rsid w:val="00D528A1"/>
    <w:rsid w:val="00D53F39"/>
    <w:rsid w:val="00D54A56"/>
    <w:rsid w:val="00D54FCB"/>
    <w:rsid w:val="00D56242"/>
    <w:rsid w:val="00D56B25"/>
    <w:rsid w:val="00D56B53"/>
    <w:rsid w:val="00D57263"/>
    <w:rsid w:val="00D573C6"/>
    <w:rsid w:val="00D61CB5"/>
    <w:rsid w:val="00D6200C"/>
    <w:rsid w:val="00D6210A"/>
    <w:rsid w:val="00D63743"/>
    <w:rsid w:val="00D63E73"/>
    <w:rsid w:val="00D65546"/>
    <w:rsid w:val="00D65750"/>
    <w:rsid w:val="00D65C0E"/>
    <w:rsid w:val="00D6604A"/>
    <w:rsid w:val="00D66934"/>
    <w:rsid w:val="00D669BB"/>
    <w:rsid w:val="00D674BE"/>
    <w:rsid w:val="00D6781F"/>
    <w:rsid w:val="00D70923"/>
    <w:rsid w:val="00D710E6"/>
    <w:rsid w:val="00D711AC"/>
    <w:rsid w:val="00D71E99"/>
    <w:rsid w:val="00D721D4"/>
    <w:rsid w:val="00D72CCB"/>
    <w:rsid w:val="00D7337A"/>
    <w:rsid w:val="00D736CC"/>
    <w:rsid w:val="00D74995"/>
    <w:rsid w:val="00D74A1A"/>
    <w:rsid w:val="00D74D46"/>
    <w:rsid w:val="00D7551B"/>
    <w:rsid w:val="00D75A94"/>
    <w:rsid w:val="00D75ED8"/>
    <w:rsid w:val="00D76935"/>
    <w:rsid w:val="00D76959"/>
    <w:rsid w:val="00D8039D"/>
    <w:rsid w:val="00D80E3D"/>
    <w:rsid w:val="00D81007"/>
    <w:rsid w:val="00D81960"/>
    <w:rsid w:val="00D83511"/>
    <w:rsid w:val="00D83807"/>
    <w:rsid w:val="00D8381D"/>
    <w:rsid w:val="00D83F4A"/>
    <w:rsid w:val="00D84256"/>
    <w:rsid w:val="00D85166"/>
    <w:rsid w:val="00D85CD1"/>
    <w:rsid w:val="00D906BE"/>
    <w:rsid w:val="00D90D18"/>
    <w:rsid w:val="00D90D98"/>
    <w:rsid w:val="00D91664"/>
    <w:rsid w:val="00D91F0D"/>
    <w:rsid w:val="00D9320F"/>
    <w:rsid w:val="00D93590"/>
    <w:rsid w:val="00D936D4"/>
    <w:rsid w:val="00D93C10"/>
    <w:rsid w:val="00D93D06"/>
    <w:rsid w:val="00D94C37"/>
    <w:rsid w:val="00D94F91"/>
    <w:rsid w:val="00D96331"/>
    <w:rsid w:val="00D963F4"/>
    <w:rsid w:val="00D96634"/>
    <w:rsid w:val="00D96F8D"/>
    <w:rsid w:val="00D97422"/>
    <w:rsid w:val="00DA0295"/>
    <w:rsid w:val="00DA06EC"/>
    <w:rsid w:val="00DA0D18"/>
    <w:rsid w:val="00DA1A52"/>
    <w:rsid w:val="00DA267A"/>
    <w:rsid w:val="00DA2BE4"/>
    <w:rsid w:val="00DA3010"/>
    <w:rsid w:val="00DA3BE3"/>
    <w:rsid w:val="00DA3F18"/>
    <w:rsid w:val="00DA43D4"/>
    <w:rsid w:val="00DA4601"/>
    <w:rsid w:val="00DA53A4"/>
    <w:rsid w:val="00DA5616"/>
    <w:rsid w:val="00DA6BD2"/>
    <w:rsid w:val="00DA757A"/>
    <w:rsid w:val="00DA76F1"/>
    <w:rsid w:val="00DA78B3"/>
    <w:rsid w:val="00DA7B46"/>
    <w:rsid w:val="00DA7D09"/>
    <w:rsid w:val="00DB05BE"/>
    <w:rsid w:val="00DB0EF7"/>
    <w:rsid w:val="00DB14E9"/>
    <w:rsid w:val="00DB16E9"/>
    <w:rsid w:val="00DB2230"/>
    <w:rsid w:val="00DB2AE0"/>
    <w:rsid w:val="00DB3BD0"/>
    <w:rsid w:val="00DB5C30"/>
    <w:rsid w:val="00DB5F71"/>
    <w:rsid w:val="00DB6606"/>
    <w:rsid w:val="00DB783A"/>
    <w:rsid w:val="00DC0187"/>
    <w:rsid w:val="00DC01BB"/>
    <w:rsid w:val="00DC0329"/>
    <w:rsid w:val="00DC07B4"/>
    <w:rsid w:val="00DC09DA"/>
    <w:rsid w:val="00DC0D17"/>
    <w:rsid w:val="00DC1D43"/>
    <w:rsid w:val="00DC25C5"/>
    <w:rsid w:val="00DC2F8A"/>
    <w:rsid w:val="00DC5964"/>
    <w:rsid w:val="00DC5A5F"/>
    <w:rsid w:val="00DC64C3"/>
    <w:rsid w:val="00DC6E46"/>
    <w:rsid w:val="00DC6FC2"/>
    <w:rsid w:val="00DD02B7"/>
    <w:rsid w:val="00DD09BB"/>
    <w:rsid w:val="00DD0D4B"/>
    <w:rsid w:val="00DD1134"/>
    <w:rsid w:val="00DD131D"/>
    <w:rsid w:val="00DD2713"/>
    <w:rsid w:val="00DD2BFD"/>
    <w:rsid w:val="00DD2C5A"/>
    <w:rsid w:val="00DD376C"/>
    <w:rsid w:val="00DD3A74"/>
    <w:rsid w:val="00DD3C12"/>
    <w:rsid w:val="00DD3CEF"/>
    <w:rsid w:val="00DD45C9"/>
    <w:rsid w:val="00DD4ABB"/>
    <w:rsid w:val="00DD6006"/>
    <w:rsid w:val="00DD6227"/>
    <w:rsid w:val="00DD6B16"/>
    <w:rsid w:val="00DD73C3"/>
    <w:rsid w:val="00DD78C9"/>
    <w:rsid w:val="00DD7A10"/>
    <w:rsid w:val="00DD7BDC"/>
    <w:rsid w:val="00DE04B9"/>
    <w:rsid w:val="00DE0D98"/>
    <w:rsid w:val="00DE16A2"/>
    <w:rsid w:val="00DE2578"/>
    <w:rsid w:val="00DE2C66"/>
    <w:rsid w:val="00DE2C7E"/>
    <w:rsid w:val="00DE2E15"/>
    <w:rsid w:val="00DE2F35"/>
    <w:rsid w:val="00DE4096"/>
    <w:rsid w:val="00DE4703"/>
    <w:rsid w:val="00DE4B41"/>
    <w:rsid w:val="00DE5772"/>
    <w:rsid w:val="00DE5995"/>
    <w:rsid w:val="00DE64A3"/>
    <w:rsid w:val="00DE67A8"/>
    <w:rsid w:val="00DE73D5"/>
    <w:rsid w:val="00DE7803"/>
    <w:rsid w:val="00DF04D5"/>
    <w:rsid w:val="00DF0564"/>
    <w:rsid w:val="00DF0749"/>
    <w:rsid w:val="00DF0E11"/>
    <w:rsid w:val="00DF11CC"/>
    <w:rsid w:val="00DF1640"/>
    <w:rsid w:val="00DF26CA"/>
    <w:rsid w:val="00DF295F"/>
    <w:rsid w:val="00DF298E"/>
    <w:rsid w:val="00DF3771"/>
    <w:rsid w:val="00DF4054"/>
    <w:rsid w:val="00DF54F5"/>
    <w:rsid w:val="00DF5DD1"/>
    <w:rsid w:val="00DF5F40"/>
    <w:rsid w:val="00DF6D75"/>
    <w:rsid w:val="00DF7F44"/>
    <w:rsid w:val="00E0083D"/>
    <w:rsid w:val="00E01275"/>
    <w:rsid w:val="00E01815"/>
    <w:rsid w:val="00E03B3A"/>
    <w:rsid w:val="00E0444F"/>
    <w:rsid w:val="00E0487D"/>
    <w:rsid w:val="00E053CA"/>
    <w:rsid w:val="00E0620E"/>
    <w:rsid w:val="00E07C15"/>
    <w:rsid w:val="00E10B1C"/>
    <w:rsid w:val="00E113C0"/>
    <w:rsid w:val="00E11C8A"/>
    <w:rsid w:val="00E11C92"/>
    <w:rsid w:val="00E129D5"/>
    <w:rsid w:val="00E13C40"/>
    <w:rsid w:val="00E148E3"/>
    <w:rsid w:val="00E157A7"/>
    <w:rsid w:val="00E157F9"/>
    <w:rsid w:val="00E15AF0"/>
    <w:rsid w:val="00E16807"/>
    <w:rsid w:val="00E16968"/>
    <w:rsid w:val="00E16CDB"/>
    <w:rsid w:val="00E17D70"/>
    <w:rsid w:val="00E2029E"/>
    <w:rsid w:val="00E203DA"/>
    <w:rsid w:val="00E20C59"/>
    <w:rsid w:val="00E20E67"/>
    <w:rsid w:val="00E20E77"/>
    <w:rsid w:val="00E22BA6"/>
    <w:rsid w:val="00E237CC"/>
    <w:rsid w:val="00E23C0B"/>
    <w:rsid w:val="00E24BCC"/>
    <w:rsid w:val="00E25943"/>
    <w:rsid w:val="00E26C29"/>
    <w:rsid w:val="00E27A92"/>
    <w:rsid w:val="00E305F6"/>
    <w:rsid w:val="00E31EE8"/>
    <w:rsid w:val="00E32C7D"/>
    <w:rsid w:val="00E32E90"/>
    <w:rsid w:val="00E32F8B"/>
    <w:rsid w:val="00E34752"/>
    <w:rsid w:val="00E34B22"/>
    <w:rsid w:val="00E37A2E"/>
    <w:rsid w:val="00E37EC4"/>
    <w:rsid w:val="00E4270C"/>
    <w:rsid w:val="00E437AB"/>
    <w:rsid w:val="00E44066"/>
    <w:rsid w:val="00E443D9"/>
    <w:rsid w:val="00E44C8F"/>
    <w:rsid w:val="00E45450"/>
    <w:rsid w:val="00E46211"/>
    <w:rsid w:val="00E46485"/>
    <w:rsid w:val="00E46995"/>
    <w:rsid w:val="00E46A1E"/>
    <w:rsid w:val="00E473B2"/>
    <w:rsid w:val="00E47A13"/>
    <w:rsid w:val="00E47C67"/>
    <w:rsid w:val="00E47F34"/>
    <w:rsid w:val="00E5123C"/>
    <w:rsid w:val="00E515D3"/>
    <w:rsid w:val="00E51BFF"/>
    <w:rsid w:val="00E522D7"/>
    <w:rsid w:val="00E52319"/>
    <w:rsid w:val="00E5330D"/>
    <w:rsid w:val="00E54458"/>
    <w:rsid w:val="00E54547"/>
    <w:rsid w:val="00E5494F"/>
    <w:rsid w:val="00E55587"/>
    <w:rsid w:val="00E55A32"/>
    <w:rsid w:val="00E55FEB"/>
    <w:rsid w:val="00E5636D"/>
    <w:rsid w:val="00E56A1F"/>
    <w:rsid w:val="00E60821"/>
    <w:rsid w:val="00E60828"/>
    <w:rsid w:val="00E61069"/>
    <w:rsid w:val="00E622DE"/>
    <w:rsid w:val="00E62C4C"/>
    <w:rsid w:val="00E63612"/>
    <w:rsid w:val="00E63E74"/>
    <w:rsid w:val="00E645EC"/>
    <w:rsid w:val="00E657F9"/>
    <w:rsid w:val="00E65ECD"/>
    <w:rsid w:val="00E65FCA"/>
    <w:rsid w:val="00E715A4"/>
    <w:rsid w:val="00E71998"/>
    <w:rsid w:val="00E7248C"/>
    <w:rsid w:val="00E724DD"/>
    <w:rsid w:val="00E732F7"/>
    <w:rsid w:val="00E73FD6"/>
    <w:rsid w:val="00E74ACA"/>
    <w:rsid w:val="00E77405"/>
    <w:rsid w:val="00E77805"/>
    <w:rsid w:val="00E77AAF"/>
    <w:rsid w:val="00E80FBB"/>
    <w:rsid w:val="00E814BD"/>
    <w:rsid w:val="00E81E8D"/>
    <w:rsid w:val="00E825A9"/>
    <w:rsid w:val="00E829EF"/>
    <w:rsid w:val="00E836FA"/>
    <w:rsid w:val="00E83F55"/>
    <w:rsid w:val="00E84683"/>
    <w:rsid w:val="00E84B07"/>
    <w:rsid w:val="00E84B9A"/>
    <w:rsid w:val="00E85688"/>
    <w:rsid w:val="00E85FE0"/>
    <w:rsid w:val="00E8746B"/>
    <w:rsid w:val="00E87470"/>
    <w:rsid w:val="00E87FF5"/>
    <w:rsid w:val="00E90443"/>
    <w:rsid w:val="00E90524"/>
    <w:rsid w:val="00E91046"/>
    <w:rsid w:val="00E9133D"/>
    <w:rsid w:val="00E91987"/>
    <w:rsid w:val="00E92AE2"/>
    <w:rsid w:val="00E92B78"/>
    <w:rsid w:val="00E92D48"/>
    <w:rsid w:val="00E95CDB"/>
    <w:rsid w:val="00E9685B"/>
    <w:rsid w:val="00E97397"/>
    <w:rsid w:val="00E973B1"/>
    <w:rsid w:val="00E97783"/>
    <w:rsid w:val="00E97A9B"/>
    <w:rsid w:val="00EA0425"/>
    <w:rsid w:val="00EA0598"/>
    <w:rsid w:val="00EA0A17"/>
    <w:rsid w:val="00EA0AB0"/>
    <w:rsid w:val="00EA0EFF"/>
    <w:rsid w:val="00EA2998"/>
    <w:rsid w:val="00EA2D61"/>
    <w:rsid w:val="00EA2E9A"/>
    <w:rsid w:val="00EA3351"/>
    <w:rsid w:val="00EA438E"/>
    <w:rsid w:val="00EA478C"/>
    <w:rsid w:val="00EA47C5"/>
    <w:rsid w:val="00EA481F"/>
    <w:rsid w:val="00EA4E5F"/>
    <w:rsid w:val="00EA5300"/>
    <w:rsid w:val="00EA55C3"/>
    <w:rsid w:val="00EA5763"/>
    <w:rsid w:val="00EA594E"/>
    <w:rsid w:val="00EA6476"/>
    <w:rsid w:val="00EA64E5"/>
    <w:rsid w:val="00EA7066"/>
    <w:rsid w:val="00EA781B"/>
    <w:rsid w:val="00EA7E50"/>
    <w:rsid w:val="00EB000D"/>
    <w:rsid w:val="00EB0023"/>
    <w:rsid w:val="00EB0474"/>
    <w:rsid w:val="00EB09BC"/>
    <w:rsid w:val="00EB0F98"/>
    <w:rsid w:val="00EB1A53"/>
    <w:rsid w:val="00EB1CCD"/>
    <w:rsid w:val="00EB231D"/>
    <w:rsid w:val="00EB2742"/>
    <w:rsid w:val="00EB407E"/>
    <w:rsid w:val="00EB5E32"/>
    <w:rsid w:val="00EB66F8"/>
    <w:rsid w:val="00EB70D2"/>
    <w:rsid w:val="00EC01F4"/>
    <w:rsid w:val="00EC0402"/>
    <w:rsid w:val="00EC115F"/>
    <w:rsid w:val="00EC1CF9"/>
    <w:rsid w:val="00EC1EC6"/>
    <w:rsid w:val="00EC2091"/>
    <w:rsid w:val="00EC20A1"/>
    <w:rsid w:val="00EC245D"/>
    <w:rsid w:val="00EC25F2"/>
    <w:rsid w:val="00EC28B8"/>
    <w:rsid w:val="00EC2CD2"/>
    <w:rsid w:val="00EC2EC6"/>
    <w:rsid w:val="00EC3D5B"/>
    <w:rsid w:val="00EC44E5"/>
    <w:rsid w:val="00EC494B"/>
    <w:rsid w:val="00EC4FE8"/>
    <w:rsid w:val="00EC703D"/>
    <w:rsid w:val="00EC7199"/>
    <w:rsid w:val="00ED2E15"/>
    <w:rsid w:val="00ED35A3"/>
    <w:rsid w:val="00ED36AE"/>
    <w:rsid w:val="00ED41CE"/>
    <w:rsid w:val="00ED4B27"/>
    <w:rsid w:val="00ED4DF6"/>
    <w:rsid w:val="00ED7C4C"/>
    <w:rsid w:val="00EE03E5"/>
    <w:rsid w:val="00EE073C"/>
    <w:rsid w:val="00EE09F7"/>
    <w:rsid w:val="00EE0D08"/>
    <w:rsid w:val="00EE17D8"/>
    <w:rsid w:val="00EE1AA2"/>
    <w:rsid w:val="00EE1C17"/>
    <w:rsid w:val="00EE25A3"/>
    <w:rsid w:val="00EE2605"/>
    <w:rsid w:val="00EE2E29"/>
    <w:rsid w:val="00EE2F96"/>
    <w:rsid w:val="00EE345D"/>
    <w:rsid w:val="00EE4467"/>
    <w:rsid w:val="00EE4477"/>
    <w:rsid w:val="00EE5189"/>
    <w:rsid w:val="00EE5449"/>
    <w:rsid w:val="00EE6590"/>
    <w:rsid w:val="00EE66E9"/>
    <w:rsid w:val="00EE6942"/>
    <w:rsid w:val="00EE6F5C"/>
    <w:rsid w:val="00EE7216"/>
    <w:rsid w:val="00EF0302"/>
    <w:rsid w:val="00EF0527"/>
    <w:rsid w:val="00EF1165"/>
    <w:rsid w:val="00EF119C"/>
    <w:rsid w:val="00EF1B5C"/>
    <w:rsid w:val="00EF26AA"/>
    <w:rsid w:val="00EF4D7A"/>
    <w:rsid w:val="00EF5717"/>
    <w:rsid w:val="00EF5A00"/>
    <w:rsid w:val="00EF621F"/>
    <w:rsid w:val="00EF7309"/>
    <w:rsid w:val="00F00326"/>
    <w:rsid w:val="00F011AE"/>
    <w:rsid w:val="00F018AC"/>
    <w:rsid w:val="00F029C3"/>
    <w:rsid w:val="00F02ACA"/>
    <w:rsid w:val="00F031C5"/>
    <w:rsid w:val="00F0384B"/>
    <w:rsid w:val="00F03B1E"/>
    <w:rsid w:val="00F04967"/>
    <w:rsid w:val="00F04C9D"/>
    <w:rsid w:val="00F055C1"/>
    <w:rsid w:val="00F05BA7"/>
    <w:rsid w:val="00F05D3B"/>
    <w:rsid w:val="00F06197"/>
    <w:rsid w:val="00F06D11"/>
    <w:rsid w:val="00F06EB2"/>
    <w:rsid w:val="00F07650"/>
    <w:rsid w:val="00F077E6"/>
    <w:rsid w:val="00F10750"/>
    <w:rsid w:val="00F10A7B"/>
    <w:rsid w:val="00F12167"/>
    <w:rsid w:val="00F125E7"/>
    <w:rsid w:val="00F12A81"/>
    <w:rsid w:val="00F13458"/>
    <w:rsid w:val="00F137D6"/>
    <w:rsid w:val="00F14269"/>
    <w:rsid w:val="00F14956"/>
    <w:rsid w:val="00F14CE3"/>
    <w:rsid w:val="00F162AE"/>
    <w:rsid w:val="00F16A94"/>
    <w:rsid w:val="00F16B1F"/>
    <w:rsid w:val="00F16E56"/>
    <w:rsid w:val="00F17247"/>
    <w:rsid w:val="00F17C0A"/>
    <w:rsid w:val="00F200E6"/>
    <w:rsid w:val="00F203BF"/>
    <w:rsid w:val="00F207A4"/>
    <w:rsid w:val="00F208D6"/>
    <w:rsid w:val="00F2336B"/>
    <w:rsid w:val="00F2346C"/>
    <w:rsid w:val="00F23956"/>
    <w:rsid w:val="00F249EB"/>
    <w:rsid w:val="00F2525F"/>
    <w:rsid w:val="00F252AE"/>
    <w:rsid w:val="00F26322"/>
    <w:rsid w:val="00F26A88"/>
    <w:rsid w:val="00F2704A"/>
    <w:rsid w:val="00F2785C"/>
    <w:rsid w:val="00F27BD4"/>
    <w:rsid w:val="00F27FF3"/>
    <w:rsid w:val="00F30427"/>
    <w:rsid w:val="00F31269"/>
    <w:rsid w:val="00F31629"/>
    <w:rsid w:val="00F31F75"/>
    <w:rsid w:val="00F3259F"/>
    <w:rsid w:val="00F3282F"/>
    <w:rsid w:val="00F32CFC"/>
    <w:rsid w:val="00F33215"/>
    <w:rsid w:val="00F3372C"/>
    <w:rsid w:val="00F337CD"/>
    <w:rsid w:val="00F33EE8"/>
    <w:rsid w:val="00F34648"/>
    <w:rsid w:val="00F359D3"/>
    <w:rsid w:val="00F376A3"/>
    <w:rsid w:val="00F3788E"/>
    <w:rsid w:val="00F37BAE"/>
    <w:rsid w:val="00F41393"/>
    <w:rsid w:val="00F4197E"/>
    <w:rsid w:val="00F41A87"/>
    <w:rsid w:val="00F424BF"/>
    <w:rsid w:val="00F4290B"/>
    <w:rsid w:val="00F42F36"/>
    <w:rsid w:val="00F433A7"/>
    <w:rsid w:val="00F436CC"/>
    <w:rsid w:val="00F44946"/>
    <w:rsid w:val="00F4539E"/>
    <w:rsid w:val="00F46893"/>
    <w:rsid w:val="00F46C56"/>
    <w:rsid w:val="00F50631"/>
    <w:rsid w:val="00F51A6B"/>
    <w:rsid w:val="00F51B8E"/>
    <w:rsid w:val="00F53036"/>
    <w:rsid w:val="00F53730"/>
    <w:rsid w:val="00F53B51"/>
    <w:rsid w:val="00F53F8E"/>
    <w:rsid w:val="00F54086"/>
    <w:rsid w:val="00F542BE"/>
    <w:rsid w:val="00F54350"/>
    <w:rsid w:val="00F54A4F"/>
    <w:rsid w:val="00F56462"/>
    <w:rsid w:val="00F568D3"/>
    <w:rsid w:val="00F56CC9"/>
    <w:rsid w:val="00F56D30"/>
    <w:rsid w:val="00F57215"/>
    <w:rsid w:val="00F5773F"/>
    <w:rsid w:val="00F57936"/>
    <w:rsid w:val="00F57B37"/>
    <w:rsid w:val="00F57FC8"/>
    <w:rsid w:val="00F601EA"/>
    <w:rsid w:val="00F603B2"/>
    <w:rsid w:val="00F60EEF"/>
    <w:rsid w:val="00F6104E"/>
    <w:rsid w:val="00F61AB5"/>
    <w:rsid w:val="00F620FC"/>
    <w:rsid w:val="00F6257F"/>
    <w:rsid w:val="00F62663"/>
    <w:rsid w:val="00F63002"/>
    <w:rsid w:val="00F652AC"/>
    <w:rsid w:val="00F653CE"/>
    <w:rsid w:val="00F6635C"/>
    <w:rsid w:val="00F67411"/>
    <w:rsid w:val="00F7016F"/>
    <w:rsid w:val="00F7094D"/>
    <w:rsid w:val="00F70A0A"/>
    <w:rsid w:val="00F70E55"/>
    <w:rsid w:val="00F71937"/>
    <w:rsid w:val="00F71B4A"/>
    <w:rsid w:val="00F72200"/>
    <w:rsid w:val="00F7277C"/>
    <w:rsid w:val="00F73283"/>
    <w:rsid w:val="00F73913"/>
    <w:rsid w:val="00F73ADF"/>
    <w:rsid w:val="00F759C0"/>
    <w:rsid w:val="00F75DE6"/>
    <w:rsid w:val="00F7620B"/>
    <w:rsid w:val="00F777BA"/>
    <w:rsid w:val="00F77D05"/>
    <w:rsid w:val="00F801FE"/>
    <w:rsid w:val="00F822C9"/>
    <w:rsid w:val="00F829C7"/>
    <w:rsid w:val="00F82BCA"/>
    <w:rsid w:val="00F82CF7"/>
    <w:rsid w:val="00F8402A"/>
    <w:rsid w:val="00F84A02"/>
    <w:rsid w:val="00F84AAC"/>
    <w:rsid w:val="00F84FC1"/>
    <w:rsid w:val="00F861A3"/>
    <w:rsid w:val="00F871AB"/>
    <w:rsid w:val="00F87749"/>
    <w:rsid w:val="00F90A13"/>
    <w:rsid w:val="00F911FF"/>
    <w:rsid w:val="00F91829"/>
    <w:rsid w:val="00F91B29"/>
    <w:rsid w:val="00F92549"/>
    <w:rsid w:val="00F92B19"/>
    <w:rsid w:val="00F92FF9"/>
    <w:rsid w:val="00F932E7"/>
    <w:rsid w:val="00F93803"/>
    <w:rsid w:val="00F955DF"/>
    <w:rsid w:val="00F9585F"/>
    <w:rsid w:val="00F95E02"/>
    <w:rsid w:val="00F96580"/>
    <w:rsid w:val="00F96D1A"/>
    <w:rsid w:val="00F97669"/>
    <w:rsid w:val="00F9767E"/>
    <w:rsid w:val="00FA01C7"/>
    <w:rsid w:val="00FA1221"/>
    <w:rsid w:val="00FA2C3A"/>
    <w:rsid w:val="00FA2FB2"/>
    <w:rsid w:val="00FA368B"/>
    <w:rsid w:val="00FA3BF0"/>
    <w:rsid w:val="00FA3E35"/>
    <w:rsid w:val="00FA4105"/>
    <w:rsid w:val="00FA4704"/>
    <w:rsid w:val="00FA5380"/>
    <w:rsid w:val="00FA612C"/>
    <w:rsid w:val="00FA69C9"/>
    <w:rsid w:val="00FA6E0A"/>
    <w:rsid w:val="00FA7610"/>
    <w:rsid w:val="00FB0AB0"/>
    <w:rsid w:val="00FB0CB9"/>
    <w:rsid w:val="00FB1567"/>
    <w:rsid w:val="00FB2BDC"/>
    <w:rsid w:val="00FB3147"/>
    <w:rsid w:val="00FB32F9"/>
    <w:rsid w:val="00FB3A3D"/>
    <w:rsid w:val="00FB3F09"/>
    <w:rsid w:val="00FB4A4D"/>
    <w:rsid w:val="00FB4F64"/>
    <w:rsid w:val="00FB525C"/>
    <w:rsid w:val="00FB5319"/>
    <w:rsid w:val="00FB734E"/>
    <w:rsid w:val="00FB7E09"/>
    <w:rsid w:val="00FC00B3"/>
    <w:rsid w:val="00FC035F"/>
    <w:rsid w:val="00FC05C8"/>
    <w:rsid w:val="00FC1201"/>
    <w:rsid w:val="00FC2B07"/>
    <w:rsid w:val="00FC2C25"/>
    <w:rsid w:val="00FC2D23"/>
    <w:rsid w:val="00FC2F3C"/>
    <w:rsid w:val="00FC46F8"/>
    <w:rsid w:val="00FC4D63"/>
    <w:rsid w:val="00FC4ECE"/>
    <w:rsid w:val="00FC50C7"/>
    <w:rsid w:val="00FC69A0"/>
    <w:rsid w:val="00FC74BC"/>
    <w:rsid w:val="00FD03D7"/>
    <w:rsid w:val="00FD0BF1"/>
    <w:rsid w:val="00FD139C"/>
    <w:rsid w:val="00FD177B"/>
    <w:rsid w:val="00FD1A8F"/>
    <w:rsid w:val="00FD1FC9"/>
    <w:rsid w:val="00FD20C6"/>
    <w:rsid w:val="00FD27AA"/>
    <w:rsid w:val="00FD29AF"/>
    <w:rsid w:val="00FD32B0"/>
    <w:rsid w:val="00FD370B"/>
    <w:rsid w:val="00FD3E89"/>
    <w:rsid w:val="00FD4D64"/>
    <w:rsid w:val="00FD4E6E"/>
    <w:rsid w:val="00FD6E18"/>
    <w:rsid w:val="00FD7C59"/>
    <w:rsid w:val="00FE1CD1"/>
    <w:rsid w:val="00FE256B"/>
    <w:rsid w:val="00FE29D8"/>
    <w:rsid w:val="00FE2C7A"/>
    <w:rsid w:val="00FE35C6"/>
    <w:rsid w:val="00FE380E"/>
    <w:rsid w:val="00FE3A66"/>
    <w:rsid w:val="00FE5843"/>
    <w:rsid w:val="00FE64B5"/>
    <w:rsid w:val="00FE650E"/>
    <w:rsid w:val="00FE67A2"/>
    <w:rsid w:val="00FE68C1"/>
    <w:rsid w:val="00FF06DD"/>
    <w:rsid w:val="00FF0772"/>
    <w:rsid w:val="00FF0C5F"/>
    <w:rsid w:val="00FF0E27"/>
    <w:rsid w:val="00FF2049"/>
    <w:rsid w:val="00FF36FE"/>
    <w:rsid w:val="00FF3BCB"/>
    <w:rsid w:val="00FF5F58"/>
    <w:rsid w:val="00FF6006"/>
    <w:rsid w:val="00FF6759"/>
    <w:rsid w:val="00FF77F2"/>
    <w:rsid w:val="00FF7F2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E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C32B3"/>
    <w:pPr>
      <w:spacing w:after="400" w:line="480" w:lineRule="auto"/>
    </w:pPr>
  </w:style>
  <w:style w:type="paragraph" w:styleId="Heading1">
    <w:name w:val="heading 1"/>
    <w:basedOn w:val="Normal"/>
    <w:next w:val="Normal"/>
    <w:link w:val="Heading1Char"/>
    <w:uiPriority w:val="9"/>
    <w:qFormat/>
    <w:rsid w:val="00560964"/>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C7E51"/>
    <w:pPr>
      <w:keepNext/>
      <w:keepLines/>
      <w:spacing w:before="240" w:after="240" w:line="240" w:lineRule="auto"/>
      <w:outlineLvl w:val="1"/>
    </w:pPr>
    <w:rPr>
      <w:rFonts w:eastAsiaTheme="majorEastAsia" w:cstheme="majorBidi"/>
      <w:i/>
      <w:sz w:val="24"/>
      <w:szCs w:val="26"/>
    </w:rPr>
  </w:style>
  <w:style w:type="paragraph" w:styleId="Heading3">
    <w:name w:val="heading 3"/>
    <w:basedOn w:val="Normal"/>
    <w:next w:val="Normal"/>
    <w:link w:val="Heading3Char"/>
    <w:uiPriority w:val="9"/>
    <w:unhideWhenUsed/>
    <w:qFormat/>
    <w:rsid w:val="000275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964"/>
    <w:rPr>
      <w:rFonts w:eastAsiaTheme="majorEastAsia" w:cstheme="majorBidi"/>
      <w:b/>
      <w:sz w:val="32"/>
      <w:szCs w:val="32"/>
    </w:rPr>
  </w:style>
  <w:style w:type="character" w:customStyle="1" w:styleId="Heading2Char">
    <w:name w:val="Heading 2 Char"/>
    <w:basedOn w:val="DefaultParagraphFont"/>
    <w:link w:val="Heading2"/>
    <w:uiPriority w:val="9"/>
    <w:rsid w:val="00BC7E51"/>
    <w:rPr>
      <w:rFonts w:eastAsiaTheme="majorEastAsia" w:cstheme="majorBidi"/>
      <w:i/>
      <w:sz w:val="24"/>
      <w:szCs w:val="26"/>
    </w:rPr>
  </w:style>
  <w:style w:type="character" w:customStyle="1" w:styleId="Heading3Char">
    <w:name w:val="Heading 3 Char"/>
    <w:basedOn w:val="DefaultParagraphFont"/>
    <w:link w:val="Heading3"/>
    <w:uiPriority w:val="9"/>
    <w:rsid w:val="00027540"/>
    <w:rPr>
      <w:rFonts w:asciiTheme="majorHAnsi" w:eastAsiaTheme="majorEastAsia" w:hAnsiTheme="majorHAnsi" w:cstheme="majorBidi"/>
      <w:b/>
      <w:bCs/>
      <w:color w:val="4F81BD" w:themeColor="accent1"/>
    </w:rPr>
  </w:style>
  <w:style w:type="table" w:styleId="TableGrid">
    <w:name w:val="Table Grid"/>
    <w:basedOn w:val="TableNormal"/>
    <w:uiPriority w:val="59"/>
    <w:qFormat/>
    <w:rsid w:val="00553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068"/>
    <w:pPr>
      <w:ind w:left="720"/>
      <w:contextualSpacing/>
    </w:pPr>
  </w:style>
  <w:style w:type="paragraph" w:customStyle="1" w:styleId="footnote">
    <w:name w:val="footnote"/>
    <w:basedOn w:val="Normal"/>
    <w:qFormat/>
    <w:rsid w:val="00E16807"/>
    <w:pPr>
      <w:spacing w:line="240" w:lineRule="auto"/>
      <w:contextualSpacing/>
    </w:pPr>
    <w:rPr>
      <w:rFonts w:ascii="Calibri" w:hAnsi="Calibri"/>
    </w:rPr>
  </w:style>
  <w:style w:type="paragraph" w:styleId="Caption">
    <w:name w:val="caption"/>
    <w:basedOn w:val="Normal"/>
    <w:next w:val="Normal"/>
    <w:uiPriority w:val="35"/>
    <w:unhideWhenUsed/>
    <w:qFormat/>
    <w:rsid w:val="00621B14"/>
    <w:pPr>
      <w:spacing w:line="240" w:lineRule="auto"/>
    </w:pPr>
    <w:rPr>
      <w:b/>
      <w:iCs/>
      <w:szCs w:val="18"/>
    </w:rPr>
  </w:style>
  <w:style w:type="paragraph" w:customStyle="1" w:styleId="Footnote0">
    <w:name w:val="Footnote"/>
    <w:basedOn w:val="Normal"/>
    <w:qFormat/>
    <w:rsid w:val="00A82086"/>
    <w:pPr>
      <w:spacing w:after="0" w:line="240" w:lineRule="auto"/>
    </w:pPr>
    <w:rPr>
      <w:sz w:val="21"/>
    </w:rPr>
  </w:style>
  <w:style w:type="character" w:styleId="CommentReference">
    <w:name w:val="annotation reference"/>
    <w:basedOn w:val="DefaultParagraphFont"/>
    <w:uiPriority w:val="99"/>
    <w:semiHidden/>
    <w:unhideWhenUsed/>
    <w:rsid w:val="008F3E60"/>
    <w:rPr>
      <w:sz w:val="16"/>
      <w:szCs w:val="16"/>
    </w:rPr>
  </w:style>
  <w:style w:type="paragraph" w:styleId="CommentText">
    <w:name w:val="annotation text"/>
    <w:basedOn w:val="Normal"/>
    <w:link w:val="CommentTextChar"/>
    <w:uiPriority w:val="99"/>
    <w:unhideWhenUsed/>
    <w:rsid w:val="008F3E60"/>
    <w:pPr>
      <w:spacing w:line="240" w:lineRule="auto"/>
    </w:pPr>
    <w:rPr>
      <w:sz w:val="20"/>
      <w:szCs w:val="20"/>
    </w:rPr>
  </w:style>
  <w:style w:type="character" w:customStyle="1" w:styleId="CommentTextChar">
    <w:name w:val="Comment Text Char"/>
    <w:basedOn w:val="DefaultParagraphFont"/>
    <w:link w:val="CommentText"/>
    <w:uiPriority w:val="99"/>
    <w:rsid w:val="008F3E60"/>
    <w:rPr>
      <w:sz w:val="20"/>
      <w:szCs w:val="20"/>
    </w:rPr>
  </w:style>
  <w:style w:type="paragraph" w:styleId="CommentSubject">
    <w:name w:val="annotation subject"/>
    <w:basedOn w:val="CommentText"/>
    <w:next w:val="CommentText"/>
    <w:link w:val="CommentSubjectChar"/>
    <w:uiPriority w:val="99"/>
    <w:semiHidden/>
    <w:unhideWhenUsed/>
    <w:rsid w:val="008F3E60"/>
    <w:rPr>
      <w:b/>
      <w:bCs/>
    </w:rPr>
  </w:style>
  <w:style w:type="character" w:customStyle="1" w:styleId="CommentSubjectChar">
    <w:name w:val="Comment Subject Char"/>
    <w:basedOn w:val="CommentTextChar"/>
    <w:link w:val="CommentSubject"/>
    <w:uiPriority w:val="99"/>
    <w:semiHidden/>
    <w:rsid w:val="008F3E60"/>
    <w:rPr>
      <w:b/>
      <w:bCs/>
      <w:sz w:val="20"/>
      <w:szCs w:val="20"/>
    </w:rPr>
  </w:style>
  <w:style w:type="paragraph" w:styleId="BalloonText">
    <w:name w:val="Balloon Text"/>
    <w:basedOn w:val="Normal"/>
    <w:link w:val="BalloonTextChar"/>
    <w:uiPriority w:val="99"/>
    <w:semiHidden/>
    <w:unhideWhenUsed/>
    <w:rsid w:val="008F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E60"/>
    <w:rPr>
      <w:rFonts w:ascii="Segoe UI" w:hAnsi="Segoe UI" w:cs="Segoe UI"/>
      <w:sz w:val="18"/>
      <w:szCs w:val="18"/>
    </w:rPr>
  </w:style>
  <w:style w:type="character" w:customStyle="1" w:styleId="GraphlegendsChar">
    <w:name w:val="Graph legends Char"/>
    <w:basedOn w:val="DefaultParagraphFont"/>
    <w:link w:val="Graphlegends"/>
    <w:qFormat/>
    <w:locked/>
    <w:rsid w:val="009E4CFE"/>
    <w:rPr>
      <w:rFonts w:ascii="Times New Roman" w:eastAsia="Times New Roman" w:hAnsi="Times New Roman" w:cs="Times New Roman"/>
      <w:i/>
      <w:color w:val="5A5A5A" w:themeColor="text1" w:themeTint="A5"/>
      <w:lang w:val="en"/>
    </w:rPr>
  </w:style>
  <w:style w:type="paragraph" w:customStyle="1" w:styleId="Graphlegends">
    <w:name w:val="Graph legends"/>
    <w:basedOn w:val="Quote"/>
    <w:link w:val="GraphlegendsChar"/>
    <w:qFormat/>
    <w:rsid w:val="009E4CFE"/>
    <w:pPr>
      <w:spacing w:after="0" w:line="240" w:lineRule="auto"/>
      <w:ind w:left="0" w:right="0"/>
      <w:contextualSpacing/>
      <w:jc w:val="left"/>
    </w:pPr>
    <w:rPr>
      <w:rFonts w:ascii="Times New Roman" w:eastAsia="Times New Roman" w:hAnsi="Times New Roman" w:cs="Times New Roman"/>
      <w:iCs w:val="0"/>
      <w:color w:val="5A5A5A" w:themeColor="text1" w:themeTint="A5"/>
      <w:lang w:val="en"/>
    </w:rPr>
  </w:style>
  <w:style w:type="paragraph" w:styleId="Quote">
    <w:name w:val="Quote"/>
    <w:basedOn w:val="Normal"/>
    <w:next w:val="Normal"/>
    <w:link w:val="QuoteChar"/>
    <w:uiPriority w:val="29"/>
    <w:qFormat/>
    <w:rsid w:val="009E4CF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4CFE"/>
    <w:rPr>
      <w:i/>
      <w:iCs/>
      <w:color w:val="404040" w:themeColor="text1" w:themeTint="BF"/>
    </w:rPr>
  </w:style>
  <w:style w:type="paragraph" w:customStyle="1" w:styleId="Table">
    <w:name w:val="Table"/>
    <w:basedOn w:val="Normal"/>
    <w:link w:val="TableChar"/>
    <w:qFormat/>
    <w:rsid w:val="00EA4E5F"/>
    <w:pPr>
      <w:spacing w:before="20" w:after="20" w:line="240" w:lineRule="auto"/>
    </w:pPr>
    <w:rPr>
      <w:lang w:val="en"/>
    </w:rPr>
  </w:style>
  <w:style w:type="character" w:customStyle="1" w:styleId="TableChar">
    <w:name w:val="Table Char"/>
    <w:basedOn w:val="DefaultParagraphFont"/>
    <w:link w:val="Table"/>
    <w:rsid w:val="00EA4E5F"/>
    <w:rPr>
      <w:lang w:val="en"/>
    </w:rPr>
  </w:style>
  <w:style w:type="paragraph" w:styleId="Title">
    <w:name w:val="Title"/>
    <w:basedOn w:val="Normal"/>
    <w:next w:val="Normal"/>
    <w:link w:val="TitleChar"/>
    <w:uiPriority w:val="10"/>
    <w:qFormat/>
    <w:rsid w:val="0092774E"/>
    <w:pPr>
      <w:spacing w:after="300" w:line="240" w:lineRule="auto"/>
      <w:contextualSpacing/>
    </w:pPr>
    <w:rPr>
      <w:rFonts w:eastAsiaTheme="majorEastAsia" w:cstheme="majorBidi"/>
      <w:spacing w:val="5"/>
      <w:kern w:val="28"/>
      <w:sz w:val="40"/>
      <w:szCs w:val="52"/>
    </w:rPr>
  </w:style>
  <w:style w:type="character" w:customStyle="1" w:styleId="TitleChar">
    <w:name w:val="Title Char"/>
    <w:basedOn w:val="DefaultParagraphFont"/>
    <w:link w:val="Title"/>
    <w:uiPriority w:val="10"/>
    <w:rsid w:val="0092774E"/>
    <w:rPr>
      <w:rFonts w:eastAsiaTheme="majorEastAsia" w:cstheme="majorBidi"/>
      <w:spacing w:val="5"/>
      <w:kern w:val="28"/>
      <w:sz w:val="40"/>
      <w:szCs w:val="52"/>
    </w:rPr>
  </w:style>
  <w:style w:type="paragraph" w:styleId="Header">
    <w:name w:val="header"/>
    <w:basedOn w:val="Normal"/>
    <w:link w:val="HeaderChar"/>
    <w:uiPriority w:val="99"/>
    <w:unhideWhenUsed/>
    <w:rsid w:val="009B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06E"/>
  </w:style>
  <w:style w:type="paragraph" w:styleId="Footer">
    <w:name w:val="footer"/>
    <w:basedOn w:val="Normal"/>
    <w:link w:val="FooterChar"/>
    <w:uiPriority w:val="99"/>
    <w:unhideWhenUsed/>
    <w:rsid w:val="009B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06E"/>
  </w:style>
  <w:style w:type="character" w:styleId="Hyperlink">
    <w:name w:val="Hyperlink"/>
    <w:basedOn w:val="DefaultParagraphFont"/>
    <w:uiPriority w:val="99"/>
    <w:unhideWhenUsed/>
    <w:qFormat/>
    <w:rsid w:val="00861E3B"/>
    <w:rPr>
      <w:color w:val="0000FF" w:themeColor="hyperlink"/>
      <w:u w:val="single"/>
    </w:rPr>
  </w:style>
  <w:style w:type="paragraph" w:customStyle="1" w:styleId="ListParagraph1">
    <w:name w:val="List Paragraph1"/>
    <w:basedOn w:val="Normal"/>
    <w:uiPriority w:val="34"/>
    <w:qFormat/>
    <w:rsid w:val="00861E3B"/>
    <w:pPr>
      <w:spacing w:after="240"/>
      <w:ind w:left="720"/>
      <w:contextualSpacing/>
    </w:pPr>
    <w:rPr>
      <w:lang w:val="en-GB"/>
    </w:rPr>
  </w:style>
  <w:style w:type="character" w:customStyle="1" w:styleId="FigureTablefootnoteChar">
    <w:name w:val="Figure/Table footnote Char"/>
    <w:basedOn w:val="DefaultParagraphFont"/>
    <w:link w:val="FigureTablefootnote"/>
    <w:locked/>
    <w:rsid w:val="00F46893"/>
    <w:rPr>
      <w:rFonts w:eastAsia="Times New Roman" w:cs="Times New Roman"/>
      <w:color w:val="000000" w:themeColor="text1"/>
      <w:sz w:val="20"/>
      <w:lang w:val="en-GB"/>
    </w:rPr>
  </w:style>
  <w:style w:type="paragraph" w:customStyle="1" w:styleId="FigureTablefootnote">
    <w:name w:val="Figure/Table footnote"/>
    <w:basedOn w:val="Normal"/>
    <w:link w:val="FigureTablefootnoteChar"/>
    <w:qFormat/>
    <w:rsid w:val="00F46893"/>
    <w:pPr>
      <w:spacing w:after="0" w:line="240" w:lineRule="auto"/>
      <w:contextualSpacing/>
    </w:pPr>
    <w:rPr>
      <w:rFonts w:eastAsia="Times New Roman" w:cs="Times New Roman"/>
      <w:color w:val="000000" w:themeColor="text1"/>
      <w:sz w:val="20"/>
      <w:lang w:val="en-GB"/>
    </w:rPr>
  </w:style>
  <w:style w:type="paragraph" w:styleId="Revision">
    <w:name w:val="Revision"/>
    <w:hidden/>
    <w:uiPriority w:val="99"/>
    <w:semiHidden/>
    <w:rsid w:val="00E97A9B"/>
    <w:pPr>
      <w:spacing w:after="0" w:line="240" w:lineRule="auto"/>
    </w:pPr>
  </w:style>
  <w:style w:type="paragraph" w:styleId="NormalWeb">
    <w:name w:val="Normal (Web)"/>
    <w:basedOn w:val="Normal"/>
    <w:uiPriority w:val="99"/>
    <w:unhideWhenUsed/>
    <w:rsid w:val="009062E6"/>
    <w:pPr>
      <w:spacing w:after="0" w:line="240" w:lineRule="auto"/>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A7610"/>
    <w:rPr>
      <w:color w:val="808080"/>
      <w:shd w:val="clear" w:color="auto" w:fill="E6E6E6"/>
    </w:rPr>
  </w:style>
  <w:style w:type="paragraph" w:customStyle="1" w:styleId="Default">
    <w:name w:val="Default"/>
    <w:rsid w:val="00A77DF8"/>
    <w:pPr>
      <w:autoSpaceDE w:val="0"/>
      <w:autoSpaceDN w:val="0"/>
      <w:adjustRightInd w:val="0"/>
      <w:spacing w:after="0" w:line="240" w:lineRule="auto"/>
    </w:pPr>
    <w:rPr>
      <w:rFonts w:ascii="Calibri" w:hAnsi="Calibri" w:cs="Calibri"/>
      <w:color w:val="000000"/>
      <w:sz w:val="24"/>
      <w:szCs w:val="24"/>
    </w:rPr>
  </w:style>
  <w:style w:type="paragraph" w:customStyle="1" w:styleId="EndNoteBibliographyTitle">
    <w:name w:val="EndNote Bibliography Title"/>
    <w:basedOn w:val="Normal"/>
    <w:link w:val="EndNoteBibliographyTitleChar"/>
    <w:rsid w:val="007407A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407A4"/>
    <w:rPr>
      <w:rFonts w:ascii="Calibri" w:hAnsi="Calibri" w:cs="Calibri"/>
      <w:noProof/>
    </w:rPr>
  </w:style>
  <w:style w:type="paragraph" w:customStyle="1" w:styleId="EndNoteBibliography">
    <w:name w:val="EndNote Bibliography"/>
    <w:basedOn w:val="Normal"/>
    <w:link w:val="EndNoteBibliographyChar"/>
    <w:rsid w:val="007407A4"/>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407A4"/>
    <w:rPr>
      <w:rFonts w:ascii="Calibri" w:hAnsi="Calibri" w:cs="Calibri"/>
      <w:noProof/>
    </w:rPr>
  </w:style>
  <w:style w:type="character" w:customStyle="1" w:styleId="UnresolvedMention2">
    <w:name w:val="Unresolved Mention2"/>
    <w:basedOn w:val="DefaultParagraphFont"/>
    <w:uiPriority w:val="99"/>
    <w:semiHidden/>
    <w:unhideWhenUsed/>
    <w:rsid w:val="00481821"/>
    <w:rPr>
      <w:color w:val="808080"/>
      <w:shd w:val="clear" w:color="auto" w:fill="E6E6E6"/>
    </w:rPr>
  </w:style>
  <w:style w:type="character" w:customStyle="1" w:styleId="UnresolvedMention3">
    <w:name w:val="Unresolved Mention3"/>
    <w:basedOn w:val="DefaultParagraphFont"/>
    <w:uiPriority w:val="99"/>
    <w:semiHidden/>
    <w:unhideWhenUsed/>
    <w:rsid w:val="005D2085"/>
    <w:rPr>
      <w:color w:val="808080"/>
      <w:shd w:val="clear" w:color="auto" w:fill="E6E6E6"/>
    </w:rPr>
  </w:style>
  <w:style w:type="character" w:customStyle="1" w:styleId="UnresolvedMention4">
    <w:name w:val="Unresolved Mention4"/>
    <w:basedOn w:val="DefaultParagraphFont"/>
    <w:uiPriority w:val="99"/>
    <w:semiHidden/>
    <w:unhideWhenUsed/>
    <w:rsid w:val="007E6134"/>
    <w:rPr>
      <w:color w:val="808080"/>
      <w:shd w:val="clear" w:color="auto" w:fill="E6E6E6"/>
    </w:rPr>
  </w:style>
  <w:style w:type="character" w:customStyle="1" w:styleId="UnresolvedMention5">
    <w:name w:val="Unresolved Mention5"/>
    <w:basedOn w:val="DefaultParagraphFont"/>
    <w:uiPriority w:val="99"/>
    <w:semiHidden/>
    <w:unhideWhenUsed/>
    <w:rsid w:val="00137A56"/>
    <w:rPr>
      <w:color w:val="808080"/>
      <w:shd w:val="clear" w:color="auto" w:fill="E6E6E6"/>
    </w:rPr>
  </w:style>
  <w:style w:type="character" w:customStyle="1" w:styleId="UnresolvedMention6">
    <w:name w:val="Unresolved Mention6"/>
    <w:basedOn w:val="DefaultParagraphFont"/>
    <w:uiPriority w:val="99"/>
    <w:semiHidden/>
    <w:unhideWhenUsed/>
    <w:rsid w:val="00CF0816"/>
    <w:rPr>
      <w:color w:val="808080"/>
      <w:shd w:val="clear" w:color="auto" w:fill="E6E6E6"/>
    </w:rPr>
  </w:style>
  <w:style w:type="character" w:customStyle="1" w:styleId="UnresolvedMention7">
    <w:name w:val="Unresolved Mention7"/>
    <w:basedOn w:val="DefaultParagraphFont"/>
    <w:uiPriority w:val="99"/>
    <w:semiHidden/>
    <w:unhideWhenUsed/>
    <w:rsid w:val="006143E4"/>
    <w:rPr>
      <w:color w:val="808080"/>
      <w:shd w:val="clear" w:color="auto" w:fill="E6E6E6"/>
    </w:rPr>
  </w:style>
  <w:style w:type="character" w:customStyle="1" w:styleId="UnresolvedMention8">
    <w:name w:val="Unresolved Mention8"/>
    <w:basedOn w:val="DefaultParagraphFont"/>
    <w:uiPriority w:val="99"/>
    <w:semiHidden/>
    <w:unhideWhenUsed/>
    <w:rsid w:val="004A1722"/>
    <w:rPr>
      <w:color w:val="808080"/>
      <w:shd w:val="clear" w:color="auto" w:fill="E6E6E6"/>
    </w:rPr>
  </w:style>
  <w:style w:type="character" w:customStyle="1" w:styleId="UnresolvedMention9">
    <w:name w:val="Unresolved Mention9"/>
    <w:basedOn w:val="DefaultParagraphFont"/>
    <w:uiPriority w:val="99"/>
    <w:semiHidden/>
    <w:unhideWhenUsed/>
    <w:rsid w:val="00CD01F6"/>
    <w:rPr>
      <w:color w:val="808080"/>
      <w:shd w:val="clear" w:color="auto" w:fill="E6E6E6"/>
    </w:rPr>
  </w:style>
  <w:style w:type="character" w:styleId="UnresolvedMention">
    <w:name w:val="Unresolved Mention"/>
    <w:basedOn w:val="DefaultParagraphFont"/>
    <w:uiPriority w:val="99"/>
    <w:semiHidden/>
    <w:unhideWhenUsed/>
    <w:rsid w:val="00EB0474"/>
    <w:rPr>
      <w:color w:val="808080"/>
      <w:shd w:val="clear" w:color="auto" w:fill="E6E6E6"/>
    </w:rPr>
  </w:style>
  <w:style w:type="paragraph" w:customStyle="1" w:styleId="Pa17">
    <w:name w:val="Pa17"/>
    <w:basedOn w:val="Default"/>
    <w:next w:val="Default"/>
    <w:uiPriority w:val="99"/>
    <w:rsid w:val="002D7DE1"/>
    <w:pPr>
      <w:spacing w:line="140" w:lineRule="atLeast"/>
    </w:pPr>
    <w:rPr>
      <w:rFonts w:ascii="Shaker 2 Lancet Regular" w:hAnsi="Shaker 2 Lancet Regular" w:cstheme="minorBidi"/>
      <w:color w:val="auto"/>
    </w:rPr>
  </w:style>
  <w:style w:type="character" w:styleId="FollowedHyperlink">
    <w:name w:val="FollowedHyperlink"/>
    <w:basedOn w:val="DefaultParagraphFont"/>
    <w:uiPriority w:val="99"/>
    <w:semiHidden/>
    <w:unhideWhenUsed/>
    <w:rsid w:val="00FD32B0"/>
    <w:rPr>
      <w:color w:val="800080" w:themeColor="followedHyperlink"/>
      <w:u w:val="single"/>
    </w:rPr>
  </w:style>
  <w:style w:type="paragraph" w:styleId="BodyText">
    <w:name w:val="Body Text"/>
    <w:basedOn w:val="Normal"/>
    <w:link w:val="BodyTextChar"/>
    <w:uiPriority w:val="99"/>
    <w:semiHidden/>
    <w:unhideWhenUsed/>
    <w:rsid w:val="007B1630"/>
    <w:pPr>
      <w:spacing w:after="120"/>
    </w:pPr>
  </w:style>
  <w:style w:type="character" w:customStyle="1" w:styleId="BodyTextChar">
    <w:name w:val="Body Text Char"/>
    <w:basedOn w:val="DefaultParagraphFont"/>
    <w:link w:val="BodyText"/>
    <w:uiPriority w:val="99"/>
    <w:semiHidden/>
    <w:rsid w:val="007B1630"/>
  </w:style>
  <w:style w:type="character" w:customStyle="1" w:styleId="cite-accessibility-label">
    <w:name w:val="cite-accessibility-label"/>
    <w:basedOn w:val="DefaultParagraphFont"/>
    <w:rsid w:val="00273EB7"/>
  </w:style>
  <w:style w:type="character" w:customStyle="1" w:styleId="cca-citation">
    <w:name w:val="cca-citation"/>
    <w:basedOn w:val="DefaultParagraphFont"/>
    <w:rsid w:val="00273EB7"/>
  </w:style>
  <w:style w:type="paragraph" w:customStyle="1" w:styleId="msonormal0">
    <w:name w:val="msonormal"/>
    <w:basedOn w:val="Normal"/>
    <w:rsid w:val="003F5E9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blfootnoteChar">
    <w:name w:val="Tbl footnote Char"/>
    <w:basedOn w:val="DefaultParagraphFont"/>
    <w:link w:val="Tblfootnote"/>
    <w:qFormat/>
    <w:locked/>
    <w:rsid w:val="003F5E9F"/>
    <w:rPr>
      <w:rFonts w:ascii="Times New Roman" w:eastAsia="Times New Roman" w:hAnsi="Times New Roman" w:cs="Times New Roman"/>
      <w:i/>
      <w:color w:val="000000"/>
      <w:lang w:val="en"/>
    </w:rPr>
  </w:style>
  <w:style w:type="paragraph" w:customStyle="1" w:styleId="Tblfootnote">
    <w:name w:val="Tbl footnote"/>
    <w:basedOn w:val="Normal"/>
    <w:link w:val="TblfootnoteChar"/>
    <w:qFormat/>
    <w:rsid w:val="003F5E9F"/>
    <w:pPr>
      <w:spacing w:after="200" w:line="240" w:lineRule="auto"/>
      <w:contextualSpacing/>
    </w:pPr>
    <w:rPr>
      <w:rFonts w:ascii="Times New Roman" w:eastAsia="Times New Roman" w:hAnsi="Times New Roman" w:cs="Times New Roman"/>
      <w:i/>
      <w:color w:val="000000"/>
      <w:lang w:val="en"/>
    </w:rPr>
  </w:style>
  <w:style w:type="character" w:customStyle="1" w:styleId="None">
    <w:name w:val="None"/>
    <w:rsid w:val="00A7482D"/>
  </w:style>
  <w:style w:type="paragraph" w:customStyle="1" w:styleId="Body">
    <w:name w:val="Body"/>
    <w:link w:val="BodyChar"/>
    <w:rsid w:val="001F6FE0"/>
    <w:pPr>
      <w:pBdr>
        <w:top w:val="nil"/>
        <w:left w:val="nil"/>
        <w:bottom w:val="nil"/>
        <w:right w:val="nil"/>
        <w:between w:val="nil"/>
        <w:bar w:val="nil"/>
      </w:pBdr>
      <w:spacing w:after="400" w:line="480" w:lineRule="auto"/>
    </w:pPr>
    <w:rPr>
      <w:rFonts w:ascii="Calibri" w:eastAsia="Calibri" w:hAnsi="Calibri" w:cs="Calibri"/>
      <w:color w:val="000000"/>
      <w:u w:color="000000"/>
      <w:bdr w:val="nil"/>
      <w:lang w:val="en-US" w:eastAsia="en-AU"/>
    </w:rPr>
  </w:style>
  <w:style w:type="character" w:customStyle="1" w:styleId="BodyChar">
    <w:name w:val="Body Char"/>
    <w:basedOn w:val="DefaultParagraphFont"/>
    <w:link w:val="Body"/>
    <w:rsid w:val="001F6FE0"/>
    <w:rPr>
      <w:rFonts w:ascii="Calibri" w:eastAsia="Calibri" w:hAnsi="Calibri" w:cs="Calibri"/>
      <w:color w:val="000000"/>
      <w:u w:color="000000"/>
      <w:bdr w:val="nil"/>
      <w:lang w:val="en-US" w:eastAsia="en-AU"/>
    </w:rPr>
  </w:style>
  <w:style w:type="character" w:customStyle="1" w:styleId="Hyperlink2">
    <w:name w:val="Hyperlink.2"/>
    <w:basedOn w:val="None"/>
    <w:rsid w:val="005C54AE"/>
    <w:rPr>
      <w:rFonts w:ascii="Calibri" w:eastAsia="Calibri" w:hAnsi="Calibri" w:cs="Calibri"/>
      <w:i/>
      <w:iCs/>
    </w:rPr>
  </w:style>
  <w:style w:type="character" w:customStyle="1" w:styleId="normaltextrun">
    <w:name w:val="normaltextrun"/>
    <w:basedOn w:val="DefaultParagraphFont"/>
    <w:rsid w:val="007066D0"/>
  </w:style>
  <w:style w:type="character" w:customStyle="1" w:styleId="eop">
    <w:name w:val="eop"/>
    <w:basedOn w:val="DefaultParagraphFont"/>
    <w:rsid w:val="00706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9146">
      <w:bodyDiv w:val="1"/>
      <w:marLeft w:val="0"/>
      <w:marRight w:val="0"/>
      <w:marTop w:val="0"/>
      <w:marBottom w:val="0"/>
      <w:divBdr>
        <w:top w:val="none" w:sz="0" w:space="0" w:color="auto"/>
        <w:left w:val="none" w:sz="0" w:space="0" w:color="auto"/>
        <w:bottom w:val="none" w:sz="0" w:space="0" w:color="auto"/>
        <w:right w:val="none" w:sz="0" w:space="0" w:color="auto"/>
      </w:divBdr>
    </w:div>
    <w:div w:id="85658408">
      <w:bodyDiv w:val="1"/>
      <w:marLeft w:val="0"/>
      <w:marRight w:val="0"/>
      <w:marTop w:val="0"/>
      <w:marBottom w:val="0"/>
      <w:divBdr>
        <w:top w:val="none" w:sz="0" w:space="0" w:color="auto"/>
        <w:left w:val="none" w:sz="0" w:space="0" w:color="auto"/>
        <w:bottom w:val="none" w:sz="0" w:space="0" w:color="auto"/>
        <w:right w:val="none" w:sz="0" w:space="0" w:color="auto"/>
      </w:divBdr>
    </w:div>
    <w:div w:id="116919340">
      <w:bodyDiv w:val="1"/>
      <w:marLeft w:val="0"/>
      <w:marRight w:val="0"/>
      <w:marTop w:val="0"/>
      <w:marBottom w:val="0"/>
      <w:divBdr>
        <w:top w:val="none" w:sz="0" w:space="0" w:color="auto"/>
        <w:left w:val="none" w:sz="0" w:space="0" w:color="auto"/>
        <w:bottom w:val="none" w:sz="0" w:space="0" w:color="auto"/>
        <w:right w:val="none" w:sz="0" w:space="0" w:color="auto"/>
      </w:divBdr>
    </w:div>
    <w:div w:id="195898437">
      <w:bodyDiv w:val="1"/>
      <w:marLeft w:val="0"/>
      <w:marRight w:val="0"/>
      <w:marTop w:val="0"/>
      <w:marBottom w:val="0"/>
      <w:divBdr>
        <w:top w:val="none" w:sz="0" w:space="0" w:color="auto"/>
        <w:left w:val="none" w:sz="0" w:space="0" w:color="auto"/>
        <w:bottom w:val="none" w:sz="0" w:space="0" w:color="auto"/>
        <w:right w:val="none" w:sz="0" w:space="0" w:color="auto"/>
      </w:divBdr>
    </w:div>
    <w:div w:id="196553978">
      <w:bodyDiv w:val="1"/>
      <w:marLeft w:val="0"/>
      <w:marRight w:val="0"/>
      <w:marTop w:val="0"/>
      <w:marBottom w:val="0"/>
      <w:divBdr>
        <w:top w:val="none" w:sz="0" w:space="0" w:color="auto"/>
        <w:left w:val="none" w:sz="0" w:space="0" w:color="auto"/>
        <w:bottom w:val="none" w:sz="0" w:space="0" w:color="auto"/>
        <w:right w:val="none" w:sz="0" w:space="0" w:color="auto"/>
      </w:divBdr>
    </w:div>
    <w:div w:id="297804434">
      <w:bodyDiv w:val="1"/>
      <w:marLeft w:val="0"/>
      <w:marRight w:val="0"/>
      <w:marTop w:val="0"/>
      <w:marBottom w:val="0"/>
      <w:divBdr>
        <w:top w:val="none" w:sz="0" w:space="0" w:color="auto"/>
        <w:left w:val="none" w:sz="0" w:space="0" w:color="auto"/>
        <w:bottom w:val="none" w:sz="0" w:space="0" w:color="auto"/>
        <w:right w:val="none" w:sz="0" w:space="0" w:color="auto"/>
      </w:divBdr>
    </w:div>
    <w:div w:id="330913043">
      <w:bodyDiv w:val="1"/>
      <w:marLeft w:val="0"/>
      <w:marRight w:val="0"/>
      <w:marTop w:val="0"/>
      <w:marBottom w:val="0"/>
      <w:divBdr>
        <w:top w:val="none" w:sz="0" w:space="0" w:color="auto"/>
        <w:left w:val="none" w:sz="0" w:space="0" w:color="auto"/>
        <w:bottom w:val="none" w:sz="0" w:space="0" w:color="auto"/>
        <w:right w:val="none" w:sz="0" w:space="0" w:color="auto"/>
      </w:divBdr>
    </w:div>
    <w:div w:id="388118210">
      <w:bodyDiv w:val="1"/>
      <w:marLeft w:val="0"/>
      <w:marRight w:val="0"/>
      <w:marTop w:val="0"/>
      <w:marBottom w:val="0"/>
      <w:divBdr>
        <w:top w:val="none" w:sz="0" w:space="0" w:color="auto"/>
        <w:left w:val="none" w:sz="0" w:space="0" w:color="auto"/>
        <w:bottom w:val="none" w:sz="0" w:space="0" w:color="auto"/>
        <w:right w:val="none" w:sz="0" w:space="0" w:color="auto"/>
      </w:divBdr>
    </w:div>
    <w:div w:id="426468180">
      <w:bodyDiv w:val="1"/>
      <w:marLeft w:val="0"/>
      <w:marRight w:val="0"/>
      <w:marTop w:val="0"/>
      <w:marBottom w:val="0"/>
      <w:divBdr>
        <w:top w:val="none" w:sz="0" w:space="0" w:color="auto"/>
        <w:left w:val="none" w:sz="0" w:space="0" w:color="auto"/>
        <w:bottom w:val="none" w:sz="0" w:space="0" w:color="auto"/>
        <w:right w:val="none" w:sz="0" w:space="0" w:color="auto"/>
      </w:divBdr>
    </w:div>
    <w:div w:id="438572136">
      <w:bodyDiv w:val="1"/>
      <w:marLeft w:val="0"/>
      <w:marRight w:val="0"/>
      <w:marTop w:val="0"/>
      <w:marBottom w:val="0"/>
      <w:divBdr>
        <w:top w:val="none" w:sz="0" w:space="0" w:color="auto"/>
        <w:left w:val="none" w:sz="0" w:space="0" w:color="auto"/>
        <w:bottom w:val="none" w:sz="0" w:space="0" w:color="auto"/>
        <w:right w:val="none" w:sz="0" w:space="0" w:color="auto"/>
      </w:divBdr>
    </w:div>
    <w:div w:id="451680126">
      <w:bodyDiv w:val="1"/>
      <w:marLeft w:val="0"/>
      <w:marRight w:val="0"/>
      <w:marTop w:val="0"/>
      <w:marBottom w:val="0"/>
      <w:divBdr>
        <w:top w:val="none" w:sz="0" w:space="0" w:color="auto"/>
        <w:left w:val="none" w:sz="0" w:space="0" w:color="auto"/>
        <w:bottom w:val="none" w:sz="0" w:space="0" w:color="auto"/>
        <w:right w:val="none" w:sz="0" w:space="0" w:color="auto"/>
      </w:divBdr>
    </w:div>
    <w:div w:id="452140376">
      <w:bodyDiv w:val="1"/>
      <w:marLeft w:val="0"/>
      <w:marRight w:val="0"/>
      <w:marTop w:val="0"/>
      <w:marBottom w:val="0"/>
      <w:divBdr>
        <w:top w:val="none" w:sz="0" w:space="0" w:color="auto"/>
        <w:left w:val="none" w:sz="0" w:space="0" w:color="auto"/>
        <w:bottom w:val="none" w:sz="0" w:space="0" w:color="auto"/>
        <w:right w:val="none" w:sz="0" w:space="0" w:color="auto"/>
      </w:divBdr>
    </w:div>
    <w:div w:id="529143277">
      <w:bodyDiv w:val="1"/>
      <w:marLeft w:val="0"/>
      <w:marRight w:val="0"/>
      <w:marTop w:val="0"/>
      <w:marBottom w:val="0"/>
      <w:divBdr>
        <w:top w:val="none" w:sz="0" w:space="0" w:color="auto"/>
        <w:left w:val="none" w:sz="0" w:space="0" w:color="auto"/>
        <w:bottom w:val="none" w:sz="0" w:space="0" w:color="auto"/>
        <w:right w:val="none" w:sz="0" w:space="0" w:color="auto"/>
      </w:divBdr>
    </w:div>
    <w:div w:id="609973224">
      <w:bodyDiv w:val="1"/>
      <w:marLeft w:val="0"/>
      <w:marRight w:val="0"/>
      <w:marTop w:val="0"/>
      <w:marBottom w:val="0"/>
      <w:divBdr>
        <w:top w:val="none" w:sz="0" w:space="0" w:color="auto"/>
        <w:left w:val="none" w:sz="0" w:space="0" w:color="auto"/>
        <w:bottom w:val="none" w:sz="0" w:space="0" w:color="auto"/>
        <w:right w:val="none" w:sz="0" w:space="0" w:color="auto"/>
      </w:divBdr>
    </w:div>
    <w:div w:id="633020569">
      <w:bodyDiv w:val="1"/>
      <w:marLeft w:val="0"/>
      <w:marRight w:val="0"/>
      <w:marTop w:val="0"/>
      <w:marBottom w:val="0"/>
      <w:divBdr>
        <w:top w:val="none" w:sz="0" w:space="0" w:color="auto"/>
        <w:left w:val="none" w:sz="0" w:space="0" w:color="auto"/>
        <w:bottom w:val="none" w:sz="0" w:space="0" w:color="auto"/>
        <w:right w:val="none" w:sz="0" w:space="0" w:color="auto"/>
      </w:divBdr>
    </w:div>
    <w:div w:id="642079375">
      <w:bodyDiv w:val="1"/>
      <w:marLeft w:val="0"/>
      <w:marRight w:val="0"/>
      <w:marTop w:val="0"/>
      <w:marBottom w:val="0"/>
      <w:divBdr>
        <w:top w:val="none" w:sz="0" w:space="0" w:color="auto"/>
        <w:left w:val="none" w:sz="0" w:space="0" w:color="auto"/>
        <w:bottom w:val="none" w:sz="0" w:space="0" w:color="auto"/>
        <w:right w:val="none" w:sz="0" w:space="0" w:color="auto"/>
      </w:divBdr>
    </w:div>
    <w:div w:id="683820384">
      <w:bodyDiv w:val="1"/>
      <w:marLeft w:val="0"/>
      <w:marRight w:val="0"/>
      <w:marTop w:val="0"/>
      <w:marBottom w:val="0"/>
      <w:divBdr>
        <w:top w:val="none" w:sz="0" w:space="0" w:color="auto"/>
        <w:left w:val="none" w:sz="0" w:space="0" w:color="auto"/>
        <w:bottom w:val="none" w:sz="0" w:space="0" w:color="auto"/>
        <w:right w:val="none" w:sz="0" w:space="0" w:color="auto"/>
      </w:divBdr>
      <w:divsChild>
        <w:div w:id="502622205">
          <w:marLeft w:val="150"/>
          <w:marRight w:val="150"/>
          <w:marTop w:val="0"/>
          <w:marBottom w:val="0"/>
          <w:divBdr>
            <w:top w:val="none" w:sz="0" w:space="0" w:color="auto"/>
            <w:left w:val="none" w:sz="0" w:space="0" w:color="auto"/>
            <w:bottom w:val="none" w:sz="0" w:space="0" w:color="auto"/>
            <w:right w:val="none" w:sz="0" w:space="0" w:color="auto"/>
          </w:divBdr>
          <w:divsChild>
            <w:div w:id="1065104792">
              <w:marLeft w:val="0"/>
              <w:marRight w:val="0"/>
              <w:marTop w:val="300"/>
              <w:marBottom w:val="0"/>
              <w:divBdr>
                <w:top w:val="none" w:sz="0" w:space="0" w:color="auto"/>
                <w:left w:val="none" w:sz="0" w:space="0" w:color="auto"/>
                <w:bottom w:val="none" w:sz="0" w:space="0" w:color="auto"/>
                <w:right w:val="none" w:sz="0" w:space="0" w:color="auto"/>
              </w:divBdr>
              <w:divsChild>
                <w:div w:id="727723354">
                  <w:marLeft w:val="0"/>
                  <w:marRight w:val="0"/>
                  <w:marTop w:val="0"/>
                  <w:marBottom w:val="0"/>
                  <w:divBdr>
                    <w:top w:val="none" w:sz="0" w:space="0" w:color="auto"/>
                    <w:left w:val="none" w:sz="0" w:space="0" w:color="auto"/>
                    <w:bottom w:val="none" w:sz="0" w:space="0" w:color="auto"/>
                    <w:right w:val="none" w:sz="0" w:space="0" w:color="auto"/>
                  </w:divBdr>
                </w:div>
                <w:div w:id="20629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4902">
          <w:marLeft w:val="150"/>
          <w:marRight w:val="150"/>
          <w:marTop w:val="300"/>
          <w:marBottom w:val="300"/>
          <w:divBdr>
            <w:top w:val="none" w:sz="0" w:space="0" w:color="auto"/>
            <w:left w:val="none" w:sz="0" w:space="0" w:color="auto"/>
            <w:bottom w:val="none" w:sz="0" w:space="0" w:color="auto"/>
            <w:right w:val="none" w:sz="0" w:space="0" w:color="auto"/>
          </w:divBdr>
        </w:div>
        <w:div w:id="1841039075">
          <w:marLeft w:val="150"/>
          <w:marRight w:val="150"/>
          <w:marTop w:val="300"/>
          <w:marBottom w:val="0"/>
          <w:divBdr>
            <w:top w:val="none" w:sz="0" w:space="0" w:color="auto"/>
            <w:left w:val="none" w:sz="0" w:space="0" w:color="auto"/>
            <w:bottom w:val="none" w:sz="0" w:space="0" w:color="auto"/>
            <w:right w:val="none" w:sz="0" w:space="0" w:color="auto"/>
          </w:divBdr>
        </w:div>
        <w:div w:id="711341408">
          <w:marLeft w:val="150"/>
          <w:marRight w:val="150"/>
          <w:marTop w:val="0"/>
          <w:marBottom w:val="0"/>
          <w:divBdr>
            <w:top w:val="none" w:sz="0" w:space="0" w:color="auto"/>
            <w:left w:val="none" w:sz="0" w:space="0" w:color="auto"/>
            <w:bottom w:val="none" w:sz="0" w:space="0" w:color="auto"/>
            <w:right w:val="none" w:sz="0" w:space="0" w:color="auto"/>
          </w:divBdr>
        </w:div>
        <w:div w:id="325598116">
          <w:marLeft w:val="150"/>
          <w:marRight w:val="150"/>
          <w:marTop w:val="0"/>
          <w:marBottom w:val="0"/>
          <w:divBdr>
            <w:top w:val="none" w:sz="0" w:space="0" w:color="auto"/>
            <w:left w:val="none" w:sz="0" w:space="0" w:color="auto"/>
            <w:bottom w:val="none" w:sz="0" w:space="0" w:color="auto"/>
            <w:right w:val="none" w:sz="0" w:space="0" w:color="auto"/>
          </w:divBdr>
          <w:divsChild>
            <w:div w:id="546452057">
              <w:marLeft w:val="0"/>
              <w:marRight w:val="0"/>
              <w:marTop w:val="0"/>
              <w:marBottom w:val="0"/>
              <w:divBdr>
                <w:top w:val="none" w:sz="0" w:space="0" w:color="auto"/>
                <w:left w:val="none" w:sz="0" w:space="0" w:color="auto"/>
                <w:bottom w:val="none" w:sz="0" w:space="0" w:color="auto"/>
                <w:right w:val="none" w:sz="0" w:space="0" w:color="auto"/>
              </w:divBdr>
              <w:divsChild>
                <w:div w:id="813568536">
                  <w:marLeft w:val="0"/>
                  <w:marRight w:val="0"/>
                  <w:marTop w:val="0"/>
                  <w:marBottom w:val="0"/>
                  <w:divBdr>
                    <w:top w:val="none" w:sz="0" w:space="0" w:color="auto"/>
                    <w:left w:val="none" w:sz="0" w:space="0" w:color="auto"/>
                    <w:bottom w:val="none" w:sz="0" w:space="0" w:color="auto"/>
                    <w:right w:val="none" w:sz="0" w:space="0" w:color="auto"/>
                  </w:divBdr>
                </w:div>
              </w:divsChild>
            </w:div>
            <w:div w:id="4120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7225">
      <w:bodyDiv w:val="1"/>
      <w:marLeft w:val="0"/>
      <w:marRight w:val="0"/>
      <w:marTop w:val="0"/>
      <w:marBottom w:val="0"/>
      <w:divBdr>
        <w:top w:val="none" w:sz="0" w:space="0" w:color="auto"/>
        <w:left w:val="none" w:sz="0" w:space="0" w:color="auto"/>
        <w:bottom w:val="none" w:sz="0" w:space="0" w:color="auto"/>
        <w:right w:val="none" w:sz="0" w:space="0" w:color="auto"/>
      </w:divBdr>
    </w:div>
    <w:div w:id="757219392">
      <w:bodyDiv w:val="1"/>
      <w:marLeft w:val="0"/>
      <w:marRight w:val="0"/>
      <w:marTop w:val="0"/>
      <w:marBottom w:val="0"/>
      <w:divBdr>
        <w:top w:val="none" w:sz="0" w:space="0" w:color="auto"/>
        <w:left w:val="none" w:sz="0" w:space="0" w:color="auto"/>
        <w:bottom w:val="none" w:sz="0" w:space="0" w:color="auto"/>
        <w:right w:val="none" w:sz="0" w:space="0" w:color="auto"/>
      </w:divBdr>
    </w:div>
    <w:div w:id="820004903">
      <w:bodyDiv w:val="1"/>
      <w:marLeft w:val="0"/>
      <w:marRight w:val="0"/>
      <w:marTop w:val="0"/>
      <w:marBottom w:val="0"/>
      <w:divBdr>
        <w:top w:val="none" w:sz="0" w:space="0" w:color="auto"/>
        <w:left w:val="none" w:sz="0" w:space="0" w:color="auto"/>
        <w:bottom w:val="none" w:sz="0" w:space="0" w:color="auto"/>
        <w:right w:val="none" w:sz="0" w:space="0" w:color="auto"/>
      </w:divBdr>
    </w:div>
    <w:div w:id="865288342">
      <w:bodyDiv w:val="1"/>
      <w:marLeft w:val="0"/>
      <w:marRight w:val="0"/>
      <w:marTop w:val="0"/>
      <w:marBottom w:val="0"/>
      <w:divBdr>
        <w:top w:val="none" w:sz="0" w:space="0" w:color="auto"/>
        <w:left w:val="none" w:sz="0" w:space="0" w:color="auto"/>
        <w:bottom w:val="none" w:sz="0" w:space="0" w:color="auto"/>
        <w:right w:val="none" w:sz="0" w:space="0" w:color="auto"/>
      </w:divBdr>
    </w:div>
    <w:div w:id="912593094">
      <w:bodyDiv w:val="1"/>
      <w:marLeft w:val="0"/>
      <w:marRight w:val="0"/>
      <w:marTop w:val="0"/>
      <w:marBottom w:val="0"/>
      <w:divBdr>
        <w:top w:val="none" w:sz="0" w:space="0" w:color="auto"/>
        <w:left w:val="none" w:sz="0" w:space="0" w:color="auto"/>
        <w:bottom w:val="none" w:sz="0" w:space="0" w:color="auto"/>
        <w:right w:val="none" w:sz="0" w:space="0" w:color="auto"/>
      </w:divBdr>
    </w:div>
    <w:div w:id="912928336">
      <w:bodyDiv w:val="1"/>
      <w:marLeft w:val="0"/>
      <w:marRight w:val="0"/>
      <w:marTop w:val="0"/>
      <w:marBottom w:val="0"/>
      <w:divBdr>
        <w:top w:val="none" w:sz="0" w:space="0" w:color="auto"/>
        <w:left w:val="none" w:sz="0" w:space="0" w:color="auto"/>
        <w:bottom w:val="none" w:sz="0" w:space="0" w:color="auto"/>
        <w:right w:val="none" w:sz="0" w:space="0" w:color="auto"/>
      </w:divBdr>
      <w:divsChild>
        <w:div w:id="527136838">
          <w:marLeft w:val="0"/>
          <w:marRight w:val="0"/>
          <w:marTop w:val="0"/>
          <w:marBottom w:val="0"/>
          <w:divBdr>
            <w:top w:val="none" w:sz="0" w:space="0" w:color="auto"/>
            <w:left w:val="none" w:sz="0" w:space="0" w:color="auto"/>
            <w:bottom w:val="none" w:sz="0" w:space="0" w:color="auto"/>
            <w:right w:val="none" w:sz="0" w:space="0" w:color="auto"/>
          </w:divBdr>
          <w:divsChild>
            <w:div w:id="1186478555">
              <w:marLeft w:val="0"/>
              <w:marRight w:val="0"/>
              <w:marTop w:val="0"/>
              <w:marBottom w:val="0"/>
              <w:divBdr>
                <w:top w:val="none" w:sz="0" w:space="0" w:color="auto"/>
                <w:left w:val="none" w:sz="0" w:space="0" w:color="auto"/>
                <w:bottom w:val="none" w:sz="0" w:space="0" w:color="auto"/>
                <w:right w:val="none" w:sz="0" w:space="0" w:color="auto"/>
              </w:divBdr>
            </w:div>
          </w:divsChild>
        </w:div>
        <w:div w:id="1044601289">
          <w:marLeft w:val="0"/>
          <w:marRight w:val="0"/>
          <w:marTop w:val="0"/>
          <w:marBottom w:val="0"/>
          <w:divBdr>
            <w:top w:val="none" w:sz="0" w:space="0" w:color="auto"/>
            <w:left w:val="none" w:sz="0" w:space="0" w:color="auto"/>
            <w:bottom w:val="none" w:sz="0" w:space="0" w:color="auto"/>
            <w:right w:val="none" w:sz="0" w:space="0" w:color="auto"/>
          </w:divBdr>
          <w:divsChild>
            <w:div w:id="1048606046">
              <w:marLeft w:val="0"/>
              <w:marRight w:val="0"/>
              <w:marTop w:val="0"/>
              <w:marBottom w:val="0"/>
              <w:divBdr>
                <w:top w:val="none" w:sz="0" w:space="0" w:color="auto"/>
                <w:left w:val="none" w:sz="0" w:space="0" w:color="auto"/>
                <w:bottom w:val="none" w:sz="0" w:space="0" w:color="auto"/>
                <w:right w:val="none" w:sz="0" w:space="0" w:color="auto"/>
              </w:divBdr>
            </w:div>
          </w:divsChild>
        </w:div>
        <w:div w:id="1790975866">
          <w:marLeft w:val="0"/>
          <w:marRight w:val="0"/>
          <w:marTop w:val="0"/>
          <w:marBottom w:val="0"/>
          <w:divBdr>
            <w:top w:val="none" w:sz="0" w:space="0" w:color="auto"/>
            <w:left w:val="none" w:sz="0" w:space="0" w:color="auto"/>
            <w:bottom w:val="none" w:sz="0" w:space="0" w:color="auto"/>
            <w:right w:val="none" w:sz="0" w:space="0" w:color="auto"/>
          </w:divBdr>
          <w:divsChild>
            <w:div w:id="109708448">
              <w:marLeft w:val="0"/>
              <w:marRight w:val="0"/>
              <w:marTop w:val="0"/>
              <w:marBottom w:val="0"/>
              <w:divBdr>
                <w:top w:val="none" w:sz="0" w:space="0" w:color="auto"/>
                <w:left w:val="none" w:sz="0" w:space="0" w:color="auto"/>
                <w:bottom w:val="none" w:sz="0" w:space="0" w:color="auto"/>
                <w:right w:val="none" w:sz="0" w:space="0" w:color="auto"/>
              </w:divBdr>
            </w:div>
          </w:divsChild>
        </w:div>
        <w:div w:id="362940850">
          <w:marLeft w:val="0"/>
          <w:marRight w:val="0"/>
          <w:marTop w:val="0"/>
          <w:marBottom w:val="0"/>
          <w:divBdr>
            <w:top w:val="none" w:sz="0" w:space="0" w:color="auto"/>
            <w:left w:val="none" w:sz="0" w:space="0" w:color="auto"/>
            <w:bottom w:val="none" w:sz="0" w:space="0" w:color="auto"/>
            <w:right w:val="none" w:sz="0" w:space="0" w:color="auto"/>
          </w:divBdr>
          <w:divsChild>
            <w:div w:id="666597562">
              <w:marLeft w:val="0"/>
              <w:marRight w:val="0"/>
              <w:marTop w:val="0"/>
              <w:marBottom w:val="0"/>
              <w:divBdr>
                <w:top w:val="none" w:sz="0" w:space="0" w:color="auto"/>
                <w:left w:val="none" w:sz="0" w:space="0" w:color="auto"/>
                <w:bottom w:val="none" w:sz="0" w:space="0" w:color="auto"/>
                <w:right w:val="none" w:sz="0" w:space="0" w:color="auto"/>
              </w:divBdr>
            </w:div>
          </w:divsChild>
        </w:div>
        <w:div w:id="1694649212">
          <w:marLeft w:val="0"/>
          <w:marRight w:val="0"/>
          <w:marTop w:val="0"/>
          <w:marBottom w:val="0"/>
          <w:divBdr>
            <w:top w:val="none" w:sz="0" w:space="0" w:color="auto"/>
            <w:left w:val="none" w:sz="0" w:space="0" w:color="auto"/>
            <w:bottom w:val="none" w:sz="0" w:space="0" w:color="auto"/>
            <w:right w:val="none" w:sz="0" w:space="0" w:color="auto"/>
          </w:divBdr>
          <w:divsChild>
            <w:div w:id="2000302159">
              <w:marLeft w:val="0"/>
              <w:marRight w:val="0"/>
              <w:marTop w:val="0"/>
              <w:marBottom w:val="0"/>
              <w:divBdr>
                <w:top w:val="none" w:sz="0" w:space="0" w:color="auto"/>
                <w:left w:val="none" w:sz="0" w:space="0" w:color="auto"/>
                <w:bottom w:val="none" w:sz="0" w:space="0" w:color="auto"/>
                <w:right w:val="none" w:sz="0" w:space="0" w:color="auto"/>
              </w:divBdr>
            </w:div>
          </w:divsChild>
        </w:div>
        <w:div w:id="558442792">
          <w:marLeft w:val="0"/>
          <w:marRight w:val="0"/>
          <w:marTop w:val="0"/>
          <w:marBottom w:val="0"/>
          <w:divBdr>
            <w:top w:val="none" w:sz="0" w:space="0" w:color="auto"/>
            <w:left w:val="none" w:sz="0" w:space="0" w:color="auto"/>
            <w:bottom w:val="none" w:sz="0" w:space="0" w:color="auto"/>
            <w:right w:val="none" w:sz="0" w:space="0" w:color="auto"/>
          </w:divBdr>
          <w:divsChild>
            <w:div w:id="1929147748">
              <w:marLeft w:val="0"/>
              <w:marRight w:val="0"/>
              <w:marTop w:val="0"/>
              <w:marBottom w:val="0"/>
              <w:divBdr>
                <w:top w:val="none" w:sz="0" w:space="0" w:color="auto"/>
                <w:left w:val="none" w:sz="0" w:space="0" w:color="auto"/>
                <w:bottom w:val="none" w:sz="0" w:space="0" w:color="auto"/>
                <w:right w:val="none" w:sz="0" w:space="0" w:color="auto"/>
              </w:divBdr>
            </w:div>
          </w:divsChild>
        </w:div>
        <w:div w:id="1727535109">
          <w:marLeft w:val="0"/>
          <w:marRight w:val="0"/>
          <w:marTop w:val="0"/>
          <w:marBottom w:val="0"/>
          <w:divBdr>
            <w:top w:val="none" w:sz="0" w:space="0" w:color="auto"/>
            <w:left w:val="none" w:sz="0" w:space="0" w:color="auto"/>
            <w:bottom w:val="none" w:sz="0" w:space="0" w:color="auto"/>
            <w:right w:val="none" w:sz="0" w:space="0" w:color="auto"/>
          </w:divBdr>
          <w:divsChild>
            <w:div w:id="1723213356">
              <w:marLeft w:val="0"/>
              <w:marRight w:val="0"/>
              <w:marTop w:val="0"/>
              <w:marBottom w:val="0"/>
              <w:divBdr>
                <w:top w:val="none" w:sz="0" w:space="0" w:color="auto"/>
                <w:left w:val="none" w:sz="0" w:space="0" w:color="auto"/>
                <w:bottom w:val="none" w:sz="0" w:space="0" w:color="auto"/>
                <w:right w:val="none" w:sz="0" w:space="0" w:color="auto"/>
              </w:divBdr>
            </w:div>
          </w:divsChild>
        </w:div>
        <w:div w:id="670111064">
          <w:marLeft w:val="0"/>
          <w:marRight w:val="0"/>
          <w:marTop w:val="0"/>
          <w:marBottom w:val="0"/>
          <w:divBdr>
            <w:top w:val="none" w:sz="0" w:space="0" w:color="auto"/>
            <w:left w:val="none" w:sz="0" w:space="0" w:color="auto"/>
            <w:bottom w:val="none" w:sz="0" w:space="0" w:color="auto"/>
            <w:right w:val="none" w:sz="0" w:space="0" w:color="auto"/>
          </w:divBdr>
          <w:divsChild>
            <w:div w:id="2113816138">
              <w:marLeft w:val="0"/>
              <w:marRight w:val="0"/>
              <w:marTop w:val="0"/>
              <w:marBottom w:val="0"/>
              <w:divBdr>
                <w:top w:val="none" w:sz="0" w:space="0" w:color="auto"/>
                <w:left w:val="none" w:sz="0" w:space="0" w:color="auto"/>
                <w:bottom w:val="none" w:sz="0" w:space="0" w:color="auto"/>
                <w:right w:val="none" w:sz="0" w:space="0" w:color="auto"/>
              </w:divBdr>
            </w:div>
          </w:divsChild>
        </w:div>
        <w:div w:id="234323100">
          <w:marLeft w:val="0"/>
          <w:marRight w:val="0"/>
          <w:marTop w:val="0"/>
          <w:marBottom w:val="0"/>
          <w:divBdr>
            <w:top w:val="none" w:sz="0" w:space="0" w:color="auto"/>
            <w:left w:val="none" w:sz="0" w:space="0" w:color="auto"/>
            <w:bottom w:val="none" w:sz="0" w:space="0" w:color="auto"/>
            <w:right w:val="none" w:sz="0" w:space="0" w:color="auto"/>
          </w:divBdr>
          <w:divsChild>
            <w:div w:id="1705714627">
              <w:marLeft w:val="0"/>
              <w:marRight w:val="0"/>
              <w:marTop w:val="0"/>
              <w:marBottom w:val="0"/>
              <w:divBdr>
                <w:top w:val="none" w:sz="0" w:space="0" w:color="auto"/>
                <w:left w:val="none" w:sz="0" w:space="0" w:color="auto"/>
                <w:bottom w:val="none" w:sz="0" w:space="0" w:color="auto"/>
                <w:right w:val="none" w:sz="0" w:space="0" w:color="auto"/>
              </w:divBdr>
            </w:div>
          </w:divsChild>
        </w:div>
        <w:div w:id="15425273">
          <w:marLeft w:val="0"/>
          <w:marRight w:val="0"/>
          <w:marTop w:val="0"/>
          <w:marBottom w:val="0"/>
          <w:divBdr>
            <w:top w:val="none" w:sz="0" w:space="0" w:color="auto"/>
            <w:left w:val="none" w:sz="0" w:space="0" w:color="auto"/>
            <w:bottom w:val="none" w:sz="0" w:space="0" w:color="auto"/>
            <w:right w:val="none" w:sz="0" w:space="0" w:color="auto"/>
          </w:divBdr>
          <w:divsChild>
            <w:div w:id="675032561">
              <w:marLeft w:val="0"/>
              <w:marRight w:val="0"/>
              <w:marTop w:val="0"/>
              <w:marBottom w:val="0"/>
              <w:divBdr>
                <w:top w:val="none" w:sz="0" w:space="0" w:color="auto"/>
                <w:left w:val="none" w:sz="0" w:space="0" w:color="auto"/>
                <w:bottom w:val="none" w:sz="0" w:space="0" w:color="auto"/>
                <w:right w:val="none" w:sz="0" w:space="0" w:color="auto"/>
              </w:divBdr>
            </w:div>
          </w:divsChild>
        </w:div>
        <w:div w:id="1076321517">
          <w:marLeft w:val="0"/>
          <w:marRight w:val="0"/>
          <w:marTop w:val="0"/>
          <w:marBottom w:val="0"/>
          <w:divBdr>
            <w:top w:val="none" w:sz="0" w:space="0" w:color="auto"/>
            <w:left w:val="none" w:sz="0" w:space="0" w:color="auto"/>
            <w:bottom w:val="none" w:sz="0" w:space="0" w:color="auto"/>
            <w:right w:val="none" w:sz="0" w:space="0" w:color="auto"/>
          </w:divBdr>
          <w:divsChild>
            <w:div w:id="228882305">
              <w:marLeft w:val="0"/>
              <w:marRight w:val="0"/>
              <w:marTop w:val="0"/>
              <w:marBottom w:val="0"/>
              <w:divBdr>
                <w:top w:val="none" w:sz="0" w:space="0" w:color="auto"/>
                <w:left w:val="none" w:sz="0" w:space="0" w:color="auto"/>
                <w:bottom w:val="none" w:sz="0" w:space="0" w:color="auto"/>
                <w:right w:val="none" w:sz="0" w:space="0" w:color="auto"/>
              </w:divBdr>
            </w:div>
          </w:divsChild>
        </w:div>
        <w:div w:id="1751196345">
          <w:marLeft w:val="0"/>
          <w:marRight w:val="0"/>
          <w:marTop w:val="0"/>
          <w:marBottom w:val="0"/>
          <w:divBdr>
            <w:top w:val="none" w:sz="0" w:space="0" w:color="auto"/>
            <w:left w:val="none" w:sz="0" w:space="0" w:color="auto"/>
            <w:bottom w:val="none" w:sz="0" w:space="0" w:color="auto"/>
            <w:right w:val="none" w:sz="0" w:space="0" w:color="auto"/>
          </w:divBdr>
          <w:divsChild>
            <w:div w:id="508910728">
              <w:marLeft w:val="0"/>
              <w:marRight w:val="0"/>
              <w:marTop w:val="0"/>
              <w:marBottom w:val="0"/>
              <w:divBdr>
                <w:top w:val="none" w:sz="0" w:space="0" w:color="auto"/>
                <w:left w:val="none" w:sz="0" w:space="0" w:color="auto"/>
                <w:bottom w:val="none" w:sz="0" w:space="0" w:color="auto"/>
                <w:right w:val="none" w:sz="0" w:space="0" w:color="auto"/>
              </w:divBdr>
            </w:div>
          </w:divsChild>
        </w:div>
        <w:div w:id="829099201">
          <w:marLeft w:val="0"/>
          <w:marRight w:val="0"/>
          <w:marTop w:val="0"/>
          <w:marBottom w:val="0"/>
          <w:divBdr>
            <w:top w:val="none" w:sz="0" w:space="0" w:color="auto"/>
            <w:left w:val="none" w:sz="0" w:space="0" w:color="auto"/>
            <w:bottom w:val="none" w:sz="0" w:space="0" w:color="auto"/>
            <w:right w:val="none" w:sz="0" w:space="0" w:color="auto"/>
          </w:divBdr>
          <w:divsChild>
            <w:div w:id="492140820">
              <w:marLeft w:val="0"/>
              <w:marRight w:val="0"/>
              <w:marTop w:val="0"/>
              <w:marBottom w:val="0"/>
              <w:divBdr>
                <w:top w:val="none" w:sz="0" w:space="0" w:color="auto"/>
                <w:left w:val="none" w:sz="0" w:space="0" w:color="auto"/>
                <w:bottom w:val="none" w:sz="0" w:space="0" w:color="auto"/>
                <w:right w:val="none" w:sz="0" w:space="0" w:color="auto"/>
              </w:divBdr>
            </w:div>
          </w:divsChild>
        </w:div>
        <w:div w:id="1335761504">
          <w:marLeft w:val="0"/>
          <w:marRight w:val="0"/>
          <w:marTop w:val="0"/>
          <w:marBottom w:val="0"/>
          <w:divBdr>
            <w:top w:val="none" w:sz="0" w:space="0" w:color="auto"/>
            <w:left w:val="none" w:sz="0" w:space="0" w:color="auto"/>
            <w:bottom w:val="none" w:sz="0" w:space="0" w:color="auto"/>
            <w:right w:val="none" w:sz="0" w:space="0" w:color="auto"/>
          </w:divBdr>
          <w:divsChild>
            <w:div w:id="1532760100">
              <w:marLeft w:val="0"/>
              <w:marRight w:val="0"/>
              <w:marTop w:val="0"/>
              <w:marBottom w:val="0"/>
              <w:divBdr>
                <w:top w:val="none" w:sz="0" w:space="0" w:color="auto"/>
                <w:left w:val="none" w:sz="0" w:space="0" w:color="auto"/>
                <w:bottom w:val="none" w:sz="0" w:space="0" w:color="auto"/>
                <w:right w:val="none" w:sz="0" w:space="0" w:color="auto"/>
              </w:divBdr>
            </w:div>
          </w:divsChild>
        </w:div>
        <w:div w:id="346754849">
          <w:marLeft w:val="0"/>
          <w:marRight w:val="0"/>
          <w:marTop w:val="0"/>
          <w:marBottom w:val="0"/>
          <w:divBdr>
            <w:top w:val="none" w:sz="0" w:space="0" w:color="auto"/>
            <w:left w:val="none" w:sz="0" w:space="0" w:color="auto"/>
            <w:bottom w:val="none" w:sz="0" w:space="0" w:color="auto"/>
            <w:right w:val="none" w:sz="0" w:space="0" w:color="auto"/>
          </w:divBdr>
          <w:divsChild>
            <w:div w:id="2007632804">
              <w:marLeft w:val="0"/>
              <w:marRight w:val="0"/>
              <w:marTop w:val="0"/>
              <w:marBottom w:val="0"/>
              <w:divBdr>
                <w:top w:val="none" w:sz="0" w:space="0" w:color="auto"/>
                <w:left w:val="none" w:sz="0" w:space="0" w:color="auto"/>
                <w:bottom w:val="none" w:sz="0" w:space="0" w:color="auto"/>
                <w:right w:val="none" w:sz="0" w:space="0" w:color="auto"/>
              </w:divBdr>
            </w:div>
          </w:divsChild>
        </w:div>
        <w:div w:id="1571383025">
          <w:marLeft w:val="0"/>
          <w:marRight w:val="0"/>
          <w:marTop w:val="0"/>
          <w:marBottom w:val="0"/>
          <w:divBdr>
            <w:top w:val="none" w:sz="0" w:space="0" w:color="auto"/>
            <w:left w:val="none" w:sz="0" w:space="0" w:color="auto"/>
            <w:bottom w:val="none" w:sz="0" w:space="0" w:color="auto"/>
            <w:right w:val="none" w:sz="0" w:space="0" w:color="auto"/>
          </w:divBdr>
          <w:divsChild>
            <w:div w:id="16687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8105">
      <w:bodyDiv w:val="1"/>
      <w:marLeft w:val="0"/>
      <w:marRight w:val="0"/>
      <w:marTop w:val="0"/>
      <w:marBottom w:val="0"/>
      <w:divBdr>
        <w:top w:val="none" w:sz="0" w:space="0" w:color="auto"/>
        <w:left w:val="none" w:sz="0" w:space="0" w:color="auto"/>
        <w:bottom w:val="none" w:sz="0" w:space="0" w:color="auto"/>
        <w:right w:val="none" w:sz="0" w:space="0" w:color="auto"/>
      </w:divBdr>
    </w:div>
    <w:div w:id="1007052792">
      <w:bodyDiv w:val="1"/>
      <w:marLeft w:val="0"/>
      <w:marRight w:val="0"/>
      <w:marTop w:val="0"/>
      <w:marBottom w:val="0"/>
      <w:divBdr>
        <w:top w:val="none" w:sz="0" w:space="0" w:color="auto"/>
        <w:left w:val="none" w:sz="0" w:space="0" w:color="auto"/>
        <w:bottom w:val="none" w:sz="0" w:space="0" w:color="auto"/>
        <w:right w:val="none" w:sz="0" w:space="0" w:color="auto"/>
      </w:divBdr>
    </w:div>
    <w:div w:id="1020930583">
      <w:bodyDiv w:val="1"/>
      <w:marLeft w:val="0"/>
      <w:marRight w:val="0"/>
      <w:marTop w:val="0"/>
      <w:marBottom w:val="0"/>
      <w:divBdr>
        <w:top w:val="none" w:sz="0" w:space="0" w:color="auto"/>
        <w:left w:val="none" w:sz="0" w:space="0" w:color="auto"/>
        <w:bottom w:val="none" w:sz="0" w:space="0" w:color="auto"/>
        <w:right w:val="none" w:sz="0" w:space="0" w:color="auto"/>
      </w:divBdr>
    </w:div>
    <w:div w:id="1028414031">
      <w:bodyDiv w:val="1"/>
      <w:marLeft w:val="0"/>
      <w:marRight w:val="0"/>
      <w:marTop w:val="0"/>
      <w:marBottom w:val="0"/>
      <w:divBdr>
        <w:top w:val="none" w:sz="0" w:space="0" w:color="auto"/>
        <w:left w:val="none" w:sz="0" w:space="0" w:color="auto"/>
        <w:bottom w:val="none" w:sz="0" w:space="0" w:color="auto"/>
        <w:right w:val="none" w:sz="0" w:space="0" w:color="auto"/>
      </w:divBdr>
    </w:div>
    <w:div w:id="1048190538">
      <w:bodyDiv w:val="1"/>
      <w:marLeft w:val="0"/>
      <w:marRight w:val="0"/>
      <w:marTop w:val="0"/>
      <w:marBottom w:val="0"/>
      <w:divBdr>
        <w:top w:val="none" w:sz="0" w:space="0" w:color="auto"/>
        <w:left w:val="none" w:sz="0" w:space="0" w:color="auto"/>
        <w:bottom w:val="none" w:sz="0" w:space="0" w:color="auto"/>
        <w:right w:val="none" w:sz="0" w:space="0" w:color="auto"/>
      </w:divBdr>
      <w:divsChild>
        <w:div w:id="1545478822">
          <w:marLeft w:val="0"/>
          <w:marRight w:val="0"/>
          <w:marTop w:val="135"/>
          <w:marBottom w:val="0"/>
          <w:divBdr>
            <w:top w:val="none" w:sz="0" w:space="0" w:color="auto"/>
            <w:left w:val="none" w:sz="0" w:space="0" w:color="auto"/>
            <w:bottom w:val="none" w:sz="0" w:space="0" w:color="auto"/>
            <w:right w:val="none" w:sz="0" w:space="0" w:color="auto"/>
          </w:divBdr>
        </w:div>
      </w:divsChild>
    </w:div>
    <w:div w:id="1073356361">
      <w:bodyDiv w:val="1"/>
      <w:marLeft w:val="0"/>
      <w:marRight w:val="0"/>
      <w:marTop w:val="0"/>
      <w:marBottom w:val="0"/>
      <w:divBdr>
        <w:top w:val="none" w:sz="0" w:space="0" w:color="auto"/>
        <w:left w:val="none" w:sz="0" w:space="0" w:color="auto"/>
        <w:bottom w:val="none" w:sz="0" w:space="0" w:color="auto"/>
        <w:right w:val="none" w:sz="0" w:space="0" w:color="auto"/>
      </w:divBdr>
    </w:div>
    <w:div w:id="1073619723">
      <w:bodyDiv w:val="1"/>
      <w:marLeft w:val="0"/>
      <w:marRight w:val="0"/>
      <w:marTop w:val="0"/>
      <w:marBottom w:val="0"/>
      <w:divBdr>
        <w:top w:val="none" w:sz="0" w:space="0" w:color="auto"/>
        <w:left w:val="none" w:sz="0" w:space="0" w:color="auto"/>
        <w:bottom w:val="none" w:sz="0" w:space="0" w:color="auto"/>
        <w:right w:val="none" w:sz="0" w:space="0" w:color="auto"/>
      </w:divBdr>
    </w:div>
    <w:div w:id="1153834765">
      <w:bodyDiv w:val="1"/>
      <w:marLeft w:val="0"/>
      <w:marRight w:val="0"/>
      <w:marTop w:val="0"/>
      <w:marBottom w:val="0"/>
      <w:divBdr>
        <w:top w:val="none" w:sz="0" w:space="0" w:color="auto"/>
        <w:left w:val="none" w:sz="0" w:space="0" w:color="auto"/>
        <w:bottom w:val="none" w:sz="0" w:space="0" w:color="auto"/>
        <w:right w:val="none" w:sz="0" w:space="0" w:color="auto"/>
      </w:divBdr>
      <w:divsChild>
        <w:div w:id="790054118">
          <w:marLeft w:val="0"/>
          <w:marRight w:val="0"/>
          <w:marTop w:val="0"/>
          <w:marBottom w:val="0"/>
          <w:divBdr>
            <w:top w:val="none" w:sz="0" w:space="0" w:color="auto"/>
            <w:left w:val="none" w:sz="0" w:space="0" w:color="auto"/>
            <w:bottom w:val="none" w:sz="0" w:space="0" w:color="auto"/>
            <w:right w:val="none" w:sz="0" w:space="0" w:color="auto"/>
          </w:divBdr>
          <w:divsChild>
            <w:div w:id="758866495">
              <w:marLeft w:val="0"/>
              <w:marRight w:val="0"/>
              <w:marTop w:val="0"/>
              <w:marBottom w:val="0"/>
              <w:divBdr>
                <w:top w:val="none" w:sz="0" w:space="0" w:color="auto"/>
                <w:left w:val="none" w:sz="0" w:space="0" w:color="auto"/>
                <w:bottom w:val="none" w:sz="0" w:space="0" w:color="auto"/>
                <w:right w:val="none" w:sz="0" w:space="0" w:color="auto"/>
              </w:divBdr>
            </w:div>
          </w:divsChild>
        </w:div>
        <w:div w:id="422337437">
          <w:marLeft w:val="0"/>
          <w:marRight w:val="0"/>
          <w:marTop w:val="0"/>
          <w:marBottom w:val="0"/>
          <w:divBdr>
            <w:top w:val="none" w:sz="0" w:space="0" w:color="auto"/>
            <w:left w:val="none" w:sz="0" w:space="0" w:color="auto"/>
            <w:bottom w:val="none" w:sz="0" w:space="0" w:color="auto"/>
            <w:right w:val="none" w:sz="0" w:space="0" w:color="auto"/>
          </w:divBdr>
          <w:divsChild>
            <w:div w:id="1322270208">
              <w:marLeft w:val="0"/>
              <w:marRight w:val="0"/>
              <w:marTop w:val="0"/>
              <w:marBottom w:val="0"/>
              <w:divBdr>
                <w:top w:val="none" w:sz="0" w:space="0" w:color="auto"/>
                <w:left w:val="none" w:sz="0" w:space="0" w:color="auto"/>
                <w:bottom w:val="none" w:sz="0" w:space="0" w:color="auto"/>
                <w:right w:val="none" w:sz="0" w:space="0" w:color="auto"/>
              </w:divBdr>
            </w:div>
          </w:divsChild>
        </w:div>
        <w:div w:id="383800419">
          <w:marLeft w:val="0"/>
          <w:marRight w:val="0"/>
          <w:marTop w:val="0"/>
          <w:marBottom w:val="0"/>
          <w:divBdr>
            <w:top w:val="none" w:sz="0" w:space="0" w:color="auto"/>
            <w:left w:val="none" w:sz="0" w:space="0" w:color="auto"/>
            <w:bottom w:val="none" w:sz="0" w:space="0" w:color="auto"/>
            <w:right w:val="none" w:sz="0" w:space="0" w:color="auto"/>
          </w:divBdr>
          <w:divsChild>
            <w:div w:id="7042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3006">
      <w:bodyDiv w:val="1"/>
      <w:marLeft w:val="0"/>
      <w:marRight w:val="0"/>
      <w:marTop w:val="0"/>
      <w:marBottom w:val="0"/>
      <w:divBdr>
        <w:top w:val="none" w:sz="0" w:space="0" w:color="auto"/>
        <w:left w:val="none" w:sz="0" w:space="0" w:color="auto"/>
        <w:bottom w:val="none" w:sz="0" w:space="0" w:color="auto"/>
        <w:right w:val="none" w:sz="0" w:space="0" w:color="auto"/>
      </w:divBdr>
    </w:div>
    <w:div w:id="1278608171">
      <w:bodyDiv w:val="1"/>
      <w:marLeft w:val="0"/>
      <w:marRight w:val="0"/>
      <w:marTop w:val="0"/>
      <w:marBottom w:val="0"/>
      <w:divBdr>
        <w:top w:val="none" w:sz="0" w:space="0" w:color="auto"/>
        <w:left w:val="none" w:sz="0" w:space="0" w:color="auto"/>
        <w:bottom w:val="none" w:sz="0" w:space="0" w:color="auto"/>
        <w:right w:val="none" w:sz="0" w:space="0" w:color="auto"/>
      </w:divBdr>
    </w:div>
    <w:div w:id="1286815588">
      <w:bodyDiv w:val="1"/>
      <w:marLeft w:val="0"/>
      <w:marRight w:val="0"/>
      <w:marTop w:val="0"/>
      <w:marBottom w:val="0"/>
      <w:divBdr>
        <w:top w:val="none" w:sz="0" w:space="0" w:color="auto"/>
        <w:left w:val="none" w:sz="0" w:space="0" w:color="auto"/>
        <w:bottom w:val="none" w:sz="0" w:space="0" w:color="auto"/>
        <w:right w:val="none" w:sz="0" w:space="0" w:color="auto"/>
      </w:divBdr>
    </w:div>
    <w:div w:id="1299145038">
      <w:bodyDiv w:val="1"/>
      <w:marLeft w:val="0"/>
      <w:marRight w:val="0"/>
      <w:marTop w:val="0"/>
      <w:marBottom w:val="0"/>
      <w:divBdr>
        <w:top w:val="none" w:sz="0" w:space="0" w:color="auto"/>
        <w:left w:val="none" w:sz="0" w:space="0" w:color="auto"/>
        <w:bottom w:val="none" w:sz="0" w:space="0" w:color="auto"/>
        <w:right w:val="none" w:sz="0" w:space="0" w:color="auto"/>
      </w:divBdr>
      <w:divsChild>
        <w:div w:id="297541082">
          <w:marLeft w:val="0"/>
          <w:marRight w:val="0"/>
          <w:marTop w:val="0"/>
          <w:marBottom w:val="0"/>
          <w:divBdr>
            <w:top w:val="none" w:sz="0" w:space="0" w:color="auto"/>
            <w:left w:val="none" w:sz="0" w:space="0" w:color="auto"/>
            <w:bottom w:val="none" w:sz="0" w:space="0" w:color="auto"/>
            <w:right w:val="none" w:sz="0" w:space="0" w:color="auto"/>
          </w:divBdr>
          <w:divsChild>
            <w:div w:id="556163816">
              <w:marLeft w:val="0"/>
              <w:marRight w:val="0"/>
              <w:marTop w:val="0"/>
              <w:marBottom w:val="0"/>
              <w:divBdr>
                <w:top w:val="none" w:sz="0" w:space="0" w:color="auto"/>
                <w:left w:val="none" w:sz="0" w:space="0" w:color="auto"/>
                <w:bottom w:val="none" w:sz="0" w:space="0" w:color="auto"/>
                <w:right w:val="none" w:sz="0" w:space="0" w:color="auto"/>
              </w:divBdr>
              <w:divsChild>
                <w:div w:id="1035884701">
                  <w:marLeft w:val="0"/>
                  <w:marRight w:val="0"/>
                  <w:marTop w:val="0"/>
                  <w:marBottom w:val="0"/>
                  <w:divBdr>
                    <w:top w:val="none" w:sz="0" w:space="0" w:color="auto"/>
                    <w:left w:val="none" w:sz="0" w:space="0" w:color="auto"/>
                    <w:bottom w:val="none" w:sz="0" w:space="0" w:color="auto"/>
                    <w:right w:val="none" w:sz="0" w:space="0" w:color="auto"/>
                  </w:divBdr>
                  <w:divsChild>
                    <w:div w:id="1603488805">
                      <w:marLeft w:val="0"/>
                      <w:marRight w:val="0"/>
                      <w:marTop w:val="0"/>
                      <w:marBottom w:val="0"/>
                      <w:divBdr>
                        <w:top w:val="none" w:sz="0" w:space="0" w:color="auto"/>
                        <w:left w:val="none" w:sz="0" w:space="0" w:color="auto"/>
                        <w:bottom w:val="none" w:sz="0" w:space="0" w:color="auto"/>
                        <w:right w:val="none" w:sz="0" w:space="0" w:color="auto"/>
                      </w:divBdr>
                      <w:divsChild>
                        <w:div w:id="1584145256">
                          <w:marLeft w:val="0"/>
                          <w:marRight w:val="0"/>
                          <w:marTop w:val="0"/>
                          <w:marBottom w:val="0"/>
                          <w:divBdr>
                            <w:top w:val="none" w:sz="0" w:space="0" w:color="auto"/>
                            <w:left w:val="none" w:sz="0" w:space="0" w:color="auto"/>
                            <w:bottom w:val="none" w:sz="0" w:space="0" w:color="auto"/>
                            <w:right w:val="none" w:sz="0" w:space="0" w:color="auto"/>
                          </w:divBdr>
                          <w:divsChild>
                            <w:div w:id="1149639451">
                              <w:marLeft w:val="0"/>
                              <w:marRight w:val="0"/>
                              <w:marTop w:val="0"/>
                              <w:marBottom w:val="0"/>
                              <w:divBdr>
                                <w:top w:val="none" w:sz="0" w:space="0" w:color="auto"/>
                                <w:left w:val="none" w:sz="0" w:space="0" w:color="auto"/>
                                <w:bottom w:val="none" w:sz="0" w:space="0" w:color="auto"/>
                                <w:right w:val="none" w:sz="0" w:space="0" w:color="auto"/>
                              </w:divBdr>
                              <w:divsChild>
                                <w:div w:id="674767065">
                                  <w:marLeft w:val="0"/>
                                  <w:marRight w:val="0"/>
                                  <w:marTop w:val="0"/>
                                  <w:marBottom w:val="0"/>
                                  <w:divBdr>
                                    <w:top w:val="none" w:sz="0" w:space="0" w:color="auto"/>
                                    <w:left w:val="none" w:sz="0" w:space="0" w:color="auto"/>
                                    <w:bottom w:val="none" w:sz="0" w:space="0" w:color="auto"/>
                                    <w:right w:val="none" w:sz="0" w:space="0" w:color="auto"/>
                                  </w:divBdr>
                                  <w:divsChild>
                                    <w:div w:id="2138525396">
                                      <w:marLeft w:val="0"/>
                                      <w:marRight w:val="0"/>
                                      <w:marTop w:val="0"/>
                                      <w:marBottom w:val="0"/>
                                      <w:divBdr>
                                        <w:top w:val="none" w:sz="0" w:space="0" w:color="auto"/>
                                        <w:left w:val="none" w:sz="0" w:space="0" w:color="auto"/>
                                        <w:bottom w:val="none" w:sz="0" w:space="0" w:color="auto"/>
                                        <w:right w:val="none" w:sz="0" w:space="0" w:color="auto"/>
                                      </w:divBdr>
                                      <w:divsChild>
                                        <w:div w:id="1970436551">
                                          <w:marLeft w:val="0"/>
                                          <w:marRight w:val="0"/>
                                          <w:marTop w:val="0"/>
                                          <w:marBottom w:val="0"/>
                                          <w:divBdr>
                                            <w:top w:val="none" w:sz="0" w:space="0" w:color="auto"/>
                                            <w:left w:val="none" w:sz="0" w:space="0" w:color="auto"/>
                                            <w:bottom w:val="none" w:sz="0" w:space="0" w:color="auto"/>
                                            <w:right w:val="none" w:sz="0" w:space="0" w:color="auto"/>
                                          </w:divBdr>
                                          <w:divsChild>
                                            <w:div w:id="597446628">
                                              <w:marLeft w:val="0"/>
                                              <w:marRight w:val="0"/>
                                              <w:marTop w:val="0"/>
                                              <w:marBottom w:val="0"/>
                                              <w:divBdr>
                                                <w:top w:val="none" w:sz="0" w:space="0" w:color="auto"/>
                                                <w:left w:val="none" w:sz="0" w:space="0" w:color="auto"/>
                                                <w:bottom w:val="none" w:sz="0" w:space="0" w:color="auto"/>
                                                <w:right w:val="none" w:sz="0" w:space="0" w:color="auto"/>
                                              </w:divBdr>
                                              <w:divsChild>
                                                <w:div w:id="2032607872">
                                                  <w:marLeft w:val="0"/>
                                                  <w:marRight w:val="0"/>
                                                  <w:marTop w:val="0"/>
                                                  <w:marBottom w:val="0"/>
                                                  <w:divBdr>
                                                    <w:top w:val="none" w:sz="0" w:space="0" w:color="auto"/>
                                                    <w:left w:val="none" w:sz="0" w:space="0" w:color="auto"/>
                                                    <w:bottom w:val="none" w:sz="0" w:space="0" w:color="auto"/>
                                                    <w:right w:val="none" w:sz="0" w:space="0" w:color="auto"/>
                                                  </w:divBdr>
                                                  <w:divsChild>
                                                    <w:div w:id="81492510">
                                                      <w:marLeft w:val="0"/>
                                                      <w:marRight w:val="0"/>
                                                      <w:marTop w:val="0"/>
                                                      <w:marBottom w:val="0"/>
                                                      <w:divBdr>
                                                        <w:top w:val="none" w:sz="0" w:space="0" w:color="auto"/>
                                                        <w:left w:val="none" w:sz="0" w:space="0" w:color="auto"/>
                                                        <w:bottom w:val="none" w:sz="0" w:space="0" w:color="auto"/>
                                                        <w:right w:val="none" w:sz="0" w:space="0" w:color="auto"/>
                                                      </w:divBdr>
                                                      <w:divsChild>
                                                        <w:div w:id="818380058">
                                                          <w:marLeft w:val="0"/>
                                                          <w:marRight w:val="0"/>
                                                          <w:marTop w:val="0"/>
                                                          <w:marBottom w:val="0"/>
                                                          <w:divBdr>
                                                            <w:top w:val="none" w:sz="0" w:space="0" w:color="auto"/>
                                                            <w:left w:val="none" w:sz="0" w:space="0" w:color="auto"/>
                                                            <w:bottom w:val="none" w:sz="0" w:space="0" w:color="auto"/>
                                                            <w:right w:val="none" w:sz="0" w:space="0" w:color="auto"/>
                                                          </w:divBdr>
                                                          <w:divsChild>
                                                            <w:div w:id="991644538">
                                                              <w:marLeft w:val="0"/>
                                                              <w:marRight w:val="0"/>
                                                              <w:marTop w:val="0"/>
                                                              <w:marBottom w:val="0"/>
                                                              <w:divBdr>
                                                                <w:top w:val="none" w:sz="0" w:space="0" w:color="auto"/>
                                                                <w:left w:val="none" w:sz="0" w:space="0" w:color="auto"/>
                                                                <w:bottom w:val="none" w:sz="0" w:space="0" w:color="auto"/>
                                                                <w:right w:val="none" w:sz="0" w:space="0" w:color="auto"/>
                                                              </w:divBdr>
                                                              <w:divsChild>
                                                                <w:div w:id="13421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4868068">
      <w:bodyDiv w:val="1"/>
      <w:marLeft w:val="0"/>
      <w:marRight w:val="0"/>
      <w:marTop w:val="0"/>
      <w:marBottom w:val="0"/>
      <w:divBdr>
        <w:top w:val="none" w:sz="0" w:space="0" w:color="auto"/>
        <w:left w:val="none" w:sz="0" w:space="0" w:color="auto"/>
        <w:bottom w:val="none" w:sz="0" w:space="0" w:color="auto"/>
        <w:right w:val="none" w:sz="0" w:space="0" w:color="auto"/>
      </w:divBdr>
    </w:div>
    <w:div w:id="1404373364">
      <w:bodyDiv w:val="1"/>
      <w:marLeft w:val="0"/>
      <w:marRight w:val="0"/>
      <w:marTop w:val="0"/>
      <w:marBottom w:val="0"/>
      <w:divBdr>
        <w:top w:val="none" w:sz="0" w:space="0" w:color="auto"/>
        <w:left w:val="none" w:sz="0" w:space="0" w:color="auto"/>
        <w:bottom w:val="none" w:sz="0" w:space="0" w:color="auto"/>
        <w:right w:val="none" w:sz="0" w:space="0" w:color="auto"/>
      </w:divBdr>
    </w:div>
    <w:div w:id="1446341159">
      <w:bodyDiv w:val="1"/>
      <w:marLeft w:val="0"/>
      <w:marRight w:val="0"/>
      <w:marTop w:val="0"/>
      <w:marBottom w:val="0"/>
      <w:divBdr>
        <w:top w:val="none" w:sz="0" w:space="0" w:color="auto"/>
        <w:left w:val="none" w:sz="0" w:space="0" w:color="auto"/>
        <w:bottom w:val="none" w:sz="0" w:space="0" w:color="auto"/>
        <w:right w:val="none" w:sz="0" w:space="0" w:color="auto"/>
      </w:divBdr>
    </w:div>
    <w:div w:id="1473326788">
      <w:bodyDiv w:val="1"/>
      <w:marLeft w:val="0"/>
      <w:marRight w:val="0"/>
      <w:marTop w:val="0"/>
      <w:marBottom w:val="0"/>
      <w:divBdr>
        <w:top w:val="none" w:sz="0" w:space="0" w:color="auto"/>
        <w:left w:val="none" w:sz="0" w:space="0" w:color="auto"/>
        <w:bottom w:val="none" w:sz="0" w:space="0" w:color="auto"/>
        <w:right w:val="none" w:sz="0" w:space="0" w:color="auto"/>
      </w:divBdr>
    </w:div>
    <w:div w:id="1500080840">
      <w:bodyDiv w:val="1"/>
      <w:marLeft w:val="0"/>
      <w:marRight w:val="0"/>
      <w:marTop w:val="0"/>
      <w:marBottom w:val="0"/>
      <w:divBdr>
        <w:top w:val="none" w:sz="0" w:space="0" w:color="auto"/>
        <w:left w:val="none" w:sz="0" w:space="0" w:color="auto"/>
        <w:bottom w:val="none" w:sz="0" w:space="0" w:color="auto"/>
        <w:right w:val="none" w:sz="0" w:space="0" w:color="auto"/>
      </w:divBdr>
    </w:div>
    <w:div w:id="1539507503">
      <w:bodyDiv w:val="1"/>
      <w:marLeft w:val="0"/>
      <w:marRight w:val="0"/>
      <w:marTop w:val="0"/>
      <w:marBottom w:val="0"/>
      <w:divBdr>
        <w:top w:val="none" w:sz="0" w:space="0" w:color="auto"/>
        <w:left w:val="none" w:sz="0" w:space="0" w:color="auto"/>
        <w:bottom w:val="none" w:sz="0" w:space="0" w:color="auto"/>
        <w:right w:val="none" w:sz="0" w:space="0" w:color="auto"/>
      </w:divBdr>
    </w:div>
    <w:div w:id="1551838457">
      <w:bodyDiv w:val="1"/>
      <w:marLeft w:val="0"/>
      <w:marRight w:val="0"/>
      <w:marTop w:val="0"/>
      <w:marBottom w:val="0"/>
      <w:divBdr>
        <w:top w:val="none" w:sz="0" w:space="0" w:color="auto"/>
        <w:left w:val="none" w:sz="0" w:space="0" w:color="auto"/>
        <w:bottom w:val="none" w:sz="0" w:space="0" w:color="auto"/>
        <w:right w:val="none" w:sz="0" w:space="0" w:color="auto"/>
      </w:divBdr>
    </w:div>
    <w:div w:id="1575119396">
      <w:bodyDiv w:val="1"/>
      <w:marLeft w:val="0"/>
      <w:marRight w:val="0"/>
      <w:marTop w:val="0"/>
      <w:marBottom w:val="0"/>
      <w:divBdr>
        <w:top w:val="none" w:sz="0" w:space="0" w:color="auto"/>
        <w:left w:val="none" w:sz="0" w:space="0" w:color="auto"/>
        <w:bottom w:val="none" w:sz="0" w:space="0" w:color="auto"/>
        <w:right w:val="none" w:sz="0" w:space="0" w:color="auto"/>
      </w:divBdr>
    </w:div>
    <w:div w:id="1741949851">
      <w:bodyDiv w:val="1"/>
      <w:marLeft w:val="0"/>
      <w:marRight w:val="0"/>
      <w:marTop w:val="0"/>
      <w:marBottom w:val="0"/>
      <w:divBdr>
        <w:top w:val="none" w:sz="0" w:space="0" w:color="auto"/>
        <w:left w:val="none" w:sz="0" w:space="0" w:color="auto"/>
        <w:bottom w:val="none" w:sz="0" w:space="0" w:color="auto"/>
        <w:right w:val="none" w:sz="0" w:space="0" w:color="auto"/>
      </w:divBdr>
    </w:div>
    <w:div w:id="1744840035">
      <w:bodyDiv w:val="1"/>
      <w:marLeft w:val="0"/>
      <w:marRight w:val="0"/>
      <w:marTop w:val="0"/>
      <w:marBottom w:val="0"/>
      <w:divBdr>
        <w:top w:val="none" w:sz="0" w:space="0" w:color="auto"/>
        <w:left w:val="none" w:sz="0" w:space="0" w:color="auto"/>
        <w:bottom w:val="none" w:sz="0" w:space="0" w:color="auto"/>
        <w:right w:val="none" w:sz="0" w:space="0" w:color="auto"/>
      </w:divBdr>
    </w:div>
    <w:div w:id="1747804227">
      <w:bodyDiv w:val="1"/>
      <w:marLeft w:val="0"/>
      <w:marRight w:val="0"/>
      <w:marTop w:val="0"/>
      <w:marBottom w:val="0"/>
      <w:divBdr>
        <w:top w:val="none" w:sz="0" w:space="0" w:color="auto"/>
        <w:left w:val="none" w:sz="0" w:space="0" w:color="auto"/>
        <w:bottom w:val="none" w:sz="0" w:space="0" w:color="auto"/>
        <w:right w:val="none" w:sz="0" w:space="0" w:color="auto"/>
      </w:divBdr>
    </w:div>
    <w:div w:id="1750493686">
      <w:bodyDiv w:val="1"/>
      <w:marLeft w:val="0"/>
      <w:marRight w:val="0"/>
      <w:marTop w:val="0"/>
      <w:marBottom w:val="0"/>
      <w:divBdr>
        <w:top w:val="none" w:sz="0" w:space="0" w:color="auto"/>
        <w:left w:val="none" w:sz="0" w:space="0" w:color="auto"/>
        <w:bottom w:val="none" w:sz="0" w:space="0" w:color="auto"/>
        <w:right w:val="none" w:sz="0" w:space="0" w:color="auto"/>
      </w:divBdr>
    </w:div>
    <w:div w:id="1785806585">
      <w:bodyDiv w:val="1"/>
      <w:marLeft w:val="0"/>
      <w:marRight w:val="0"/>
      <w:marTop w:val="0"/>
      <w:marBottom w:val="0"/>
      <w:divBdr>
        <w:top w:val="none" w:sz="0" w:space="0" w:color="auto"/>
        <w:left w:val="none" w:sz="0" w:space="0" w:color="auto"/>
        <w:bottom w:val="none" w:sz="0" w:space="0" w:color="auto"/>
        <w:right w:val="none" w:sz="0" w:space="0" w:color="auto"/>
      </w:divBdr>
    </w:div>
    <w:div w:id="1849364160">
      <w:bodyDiv w:val="1"/>
      <w:marLeft w:val="0"/>
      <w:marRight w:val="0"/>
      <w:marTop w:val="0"/>
      <w:marBottom w:val="0"/>
      <w:divBdr>
        <w:top w:val="none" w:sz="0" w:space="0" w:color="auto"/>
        <w:left w:val="none" w:sz="0" w:space="0" w:color="auto"/>
        <w:bottom w:val="none" w:sz="0" w:space="0" w:color="auto"/>
        <w:right w:val="none" w:sz="0" w:space="0" w:color="auto"/>
      </w:divBdr>
    </w:div>
    <w:div w:id="1861505978">
      <w:bodyDiv w:val="1"/>
      <w:marLeft w:val="0"/>
      <w:marRight w:val="0"/>
      <w:marTop w:val="0"/>
      <w:marBottom w:val="0"/>
      <w:divBdr>
        <w:top w:val="none" w:sz="0" w:space="0" w:color="auto"/>
        <w:left w:val="none" w:sz="0" w:space="0" w:color="auto"/>
        <w:bottom w:val="none" w:sz="0" w:space="0" w:color="auto"/>
        <w:right w:val="none" w:sz="0" w:space="0" w:color="auto"/>
      </w:divBdr>
    </w:div>
    <w:div w:id="1872723545">
      <w:bodyDiv w:val="1"/>
      <w:marLeft w:val="0"/>
      <w:marRight w:val="0"/>
      <w:marTop w:val="0"/>
      <w:marBottom w:val="0"/>
      <w:divBdr>
        <w:top w:val="none" w:sz="0" w:space="0" w:color="auto"/>
        <w:left w:val="none" w:sz="0" w:space="0" w:color="auto"/>
        <w:bottom w:val="none" w:sz="0" w:space="0" w:color="auto"/>
        <w:right w:val="none" w:sz="0" w:space="0" w:color="auto"/>
      </w:divBdr>
    </w:div>
    <w:div w:id="1915697737">
      <w:bodyDiv w:val="1"/>
      <w:marLeft w:val="0"/>
      <w:marRight w:val="0"/>
      <w:marTop w:val="0"/>
      <w:marBottom w:val="0"/>
      <w:divBdr>
        <w:top w:val="none" w:sz="0" w:space="0" w:color="auto"/>
        <w:left w:val="none" w:sz="0" w:space="0" w:color="auto"/>
        <w:bottom w:val="none" w:sz="0" w:space="0" w:color="auto"/>
        <w:right w:val="none" w:sz="0" w:space="0" w:color="auto"/>
      </w:divBdr>
    </w:div>
    <w:div w:id="1922058218">
      <w:bodyDiv w:val="1"/>
      <w:marLeft w:val="0"/>
      <w:marRight w:val="0"/>
      <w:marTop w:val="0"/>
      <w:marBottom w:val="0"/>
      <w:divBdr>
        <w:top w:val="none" w:sz="0" w:space="0" w:color="auto"/>
        <w:left w:val="none" w:sz="0" w:space="0" w:color="auto"/>
        <w:bottom w:val="none" w:sz="0" w:space="0" w:color="auto"/>
        <w:right w:val="none" w:sz="0" w:space="0" w:color="auto"/>
      </w:divBdr>
    </w:div>
    <w:div w:id="1927499964">
      <w:bodyDiv w:val="1"/>
      <w:marLeft w:val="0"/>
      <w:marRight w:val="0"/>
      <w:marTop w:val="0"/>
      <w:marBottom w:val="0"/>
      <w:divBdr>
        <w:top w:val="none" w:sz="0" w:space="0" w:color="auto"/>
        <w:left w:val="none" w:sz="0" w:space="0" w:color="auto"/>
        <w:bottom w:val="none" w:sz="0" w:space="0" w:color="auto"/>
        <w:right w:val="none" w:sz="0" w:space="0" w:color="auto"/>
      </w:divBdr>
    </w:div>
    <w:div w:id="1998265524">
      <w:bodyDiv w:val="1"/>
      <w:marLeft w:val="0"/>
      <w:marRight w:val="0"/>
      <w:marTop w:val="0"/>
      <w:marBottom w:val="0"/>
      <w:divBdr>
        <w:top w:val="none" w:sz="0" w:space="0" w:color="auto"/>
        <w:left w:val="none" w:sz="0" w:space="0" w:color="auto"/>
        <w:bottom w:val="none" w:sz="0" w:space="0" w:color="auto"/>
        <w:right w:val="none" w:sz="0" w:space="0" w:color="auto"/>
      </w:divBdr>
    </w:div>
    <w:div w:id="2032025269">
      <w:bodyDiv w:val="1"/>
      <w:marLeft w:val="0"/>
      <w:marRight w:val="0"/>
      <w:marTop w:val="0"/>
      <w:marBottom w:val="0"/>
      <w:divBdr>
        <w:top w:val="none" w:sz="0" w:space="0" w:color="auto"/>
        <w:left w:val="none" w:sz="0" w:space="0" w:color="auto"/>
        <w:bottom w:val="none" w:sz="0" w:space="0" w:color="auto"/>
        <w:right w:val="none" w:sz="0" w:space="0" w:color="auto"/>
      </w:divBdr>
    </w:div>
    <w:div w:id="2053648738">
      <w:bodyDiv w:val="1"/>
      <w:marLeft w:val="0"/>
      <w:marRight w:val="0"/>
      <w:marTop w:val="0"/>
      <w:marBottom w:val="0"/>
      <w:divBdr>
        <w:top w:val="none" w:sz="0" w:space="0" w:color="auto"/>
        <w:left w:val="none" w:sz="0" w:space="0" w:color="auto"/>
        <w:bottom w:val="none" w:sz="0" w:space="0" w:color="auto"/>
        <w:right w:val="none" w:sz="0" w:space="0" w:color="auto"/>
      </w:divBdr>
    </w:div>
    <w:div w:id="20997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3E171-9737-46AB-AE02-E222868B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2019-12-29T02:31:00Z</dcterms:created>
  <dcterms:modified xsi:type="dcterms:W3CDTF">2020-01-10T09:38:00Z</dcterms:modified>
</cp:coreProperties>
</file>