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1" w:rsidRDefault="00B73201" w:rsidP="00B73201">
      <w:pPr>
        <w:autoSpaceDE w:val="0"/>
        <w:autoSpaceDN w:val="0"/>
        <w:adjustRightInd w:val="0"/>
        <w:spacing w:line="240" w:lineRule="auto"/>
        <w:rPr>
          <w:rFonts w:ascii="Segoe UI" w:hAnsi="Segoe UI" w:cs="Segoe UI"/>
          <w:b/>
          <w:sz w:val="20"/>
          <w:szCs w:val="20"/>
        </w:rPr>
      </w:pPr>
      <w:proofErr w:type="gramStart"/>
      <w:r w:rsidRPr="00024E85">
        <w:rPr>
          <w:rFonts w:ascii="Segoe UI" w:hAnsi="Segoe UI" w:cs="Segoe UI"/>
          <w:b/>
          <w:color w:val="auto"/>
          <w:sz w:val="20"/>
          <w:szCs w:val="20"/>
        </w:rPr>
        <w:t>Additional file 6.</w:t>
      </w:r>
      <w:proofErr w:type="gramEnd"/>
      <w:r w:rsidRPr="00024E85">
        <w:rPr>
          <w:rFonts w:ascii="Segoe UI" w:hAnsi="Segoe UI" w:cs="Segoe UI"/>
          <w:b/>
          <w:color w:val="auto"/>
          <w:sz w:val="20"/>
          <w:szCs w:val="20"/>
        </w:rPr>
        <w:t xml:space="preserve"> </w:t>
      </w:r>
      <w:r w:rsidRPr="00024E85">
        <w:rPr>
          <w:rFonts w:ascii="Segoe UI" w:hAnsi="Segoe UI" w:cs="Segoe UI"/>
          <w:b/>
          <w:sz w:val="20"/>
          <w:szCs w:val="20"/>
        </w:rPr>
        <w:t>Overview of Prevention Centre communication outputs (as of May 2019)</w:t>
      </w:r>
    </w:p>
    <w:p w:rsidR="00B73201" w:rsidRDefault="00B73201" w:rsidP="00B73201">
      <w:pPr>
        <w:autoSpaceDE w:val="0"/>
        <w:autoSpaceDN w:val="0"/>
        <w:adjustRightInd w:val="0"/>
        <w:spacing w:line="240" w:lineRule="auto"/>
        <w:rPr>
          <w:rFonts w:ascii="Segoe UI" w:hAnsi="Segoe UI" w:cs="Segoe UI"/>
          <w:b/>
          <w:sz w:val="20"/>
          <w:szCs w:val="20"/>
        </w:rPr>
      </w:pPr>
    </w:p>
    <w:tbl>
      <w:tblPr>
        <w:tblStyle w:val="GridTableLight"/>
        <w:tblW w:w="9209" w:type="dxa"/>
        <w:tblLook w:val="04A0" w:firstRow="1" w:lastRow="0" w:firstColumn="1" w:lastColumn="0" w:noHBand="0" w:noVBand="1"/>
      </w:tblPr>
      <w:tblGrid>
        <w:gridCol w:w="1696"/>
        <w:gridCol w:w="7513"/>
      </w:tblGrid>
      <w:tr w:rsidR="00B73201" w:rsidRPr="00225CB1" w:rsidTr="00B06AFE">
        <w:tc>
          <w:tcPr>
            <w:tcW w:w="1696" w:type="dxa"/>
          </w:tcPr>
          <w:p w:rsidR="00B73201" w:rsidRPr="00225CB1" w:rsidRDefault="00B73201" w:rsidP="00B06AFE">
            <w:pPr>
              <w:spacing w:before="120"/>
              <w:rPr>
                <w:rFonts w:ascii="Segoe UI" w:hAnsi="Segoe UI" w:cs="Segoe UI"/>
                <w:b/>
                <w:color w:val="auto"/>
                <w:sz w:val="18"/>
                <w:lang w:val="en-US"/>
              </w:rPr>
            </w:pPr>
            <w:r w:rsidRPr="00225CB1">
              <w:rPr>
                <w:rFonts w:ascii="Segoe UI" w:hAnsi="Segoe UI" w:cs="Segoe UI"/>
                <w:b/>
                <w:color w:val="auto"/>
                <w:sz w:val="18"/>
                <w:lang w:val="en-US"/>
              </w:rPr>
              <w:t>Output</w:t>
            </w:r>
            <w:r>
              <w:rPr>
                <w:rFonts w:ascii="Segoe UI" w:hAnsi="Segoe UI" w:cs="Segoe UI"/>
                <w:b/>
                <w:color w:val="auto"/>
                <w:sz w:val="18"/>
                <w:lang w:val="en-US"/>
              </w:rPr>
              <w:t>/activity</w:t>
            </w:r>
          </w:p>
        </w:tc>
        <w:tc>
          <w:tcPr>
            <w:tcW w:w="7513" w:type="dxa"/>
          </w:tcPr>
          <w:p w:rsidR="00B73201" w:rsidRPr="00225CB1" w:rsidRDefault="00B73201" w:rsidP="00B06AFE">
            <w:pPr>
              <w:spacing w:before="120"/>
              <w:rPr>
                <w:rFonts w:ascii="Segoe UI" w:hAnsi="Segoe UI" w:cs="Segoe UI"/>
                <w:b/>
                <w:color w:val="auto"/>
                <w:sz w:val="18"/>
                <w:lang w:val="en-US"/>
              </w:rPr>
            </w:pPr>
            <w:r w:rsidRPr="00225CB1">
              <w:rPr>
                <w:rFonts w:ascii="Segoe UI" w:hAnsi="Segoe UI" w:cs="Segoe UI"/>
                <w:b/>
                <w:color w:val="auto"/>
                <w:sz w:val="18"/>
                <w:lang w:val="en-US"/>
              </w:rPr>
              <w:t xml:space="preserve">Brief description </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Fortnightly update</w:t>
            </w:r>
          </w:p>
        </w:tc>
        <w:tc>
          <w:tcPr>
            <w:tcW w:w="7513" w:type="dxa"/>
          </w:tcPr>
          <w:p w:rsidR="00B73201" w:rsidRPr="00225CB1" w:rsidRDefault="00B73201" w:rsidP="00B06AFE">
            <w:pPr>
              <w:spacing w:before="120"/>
              <w:rPr>
                <w:rFonts w:ascii="Segoe UI" w:hAnsi="Segoe UI" w:cs="Segoe UI"/>
                <w:b/>
                <w:color w:val="auto"/>
                <w:sz w:val="18"/>
                <w:lang w:val="en-US"/>
              </w:rPr>
            </w:pPr>
            <w:r w:rsidRPr="00225CB1">
              <w:rPr>
                <w:rFonts w:ascii="Segoe UI" w:hAnsi="Segoe UI" w:cs="Segoe UI"/>
                <w:color w:val="auto"/>
                <w:sz w:val="18"/>
              </w:rPr>
              <w:t>Succinct emails sent to internal stakeholders, which include information on projects, learning and development opportunities, events, staff updates and other relevant news</w:t>
            </w:r>
            <w:r w:rsidRPr="00225CB1">
              <w:rPr>
                <w:rFonts w:ascii="Segoe UI" w:hAnsi="Segoe UI" w:cs="Segoe UI"/>
                <w:color w:val="auto"/>
                <w:sz w:val="18"/>
                <w:lang w:val="en-US"/>
              </w:rPr>
              <w:t>.</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Investigator teleconferences</w:t>
            </w:r>
          </w:p>
        </w:tc>
        <w:tc>
          <w:tcPr>
            <w:tcW w:w="7513" w:type="dxa"/>
          </w:tcPr>
          <w:p w:rsidR="00B73201" w:rsidRPr="00225CB1" w:rsidRDefault="00B73201" w:rsidP="00B06AFE">
            <w:pPr>
              <w:spacing w:before="120"/>
              <w:rPr>
                <w:rFonts w:ascii="Segoe UI" w:hAnsi="Segoe UI" w:cs="Segoe UI"/>
                <w:b/>
                <w:color w:val="auto"/>
                <w:sz w:val="18"/>
                <w:lang w:val="en-US"/>
              </w:rPr>
            </w:pPr>
            <w:r w:rsidRPr="00225CB1">
              <w:rPr>
                <w:rFonts w:ascii="Segoe UI" w:hAnsi="Segoe UI" w:cs="Segoe UI"/>
                <w:color w:val="auto"/>
                <w:sz w:val="18"/>
              </w:rPr>
              <w:t>Regular teleconferences for members of the Chief Investigator and Research Network groups in addition to face to face meetings provide opportunities for members to be updated on what is happening across the Prevention Centre and to discuss their current projects and findings. These teleconferences occur two to three times a year, usually in between the face to face meetings.</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‘The Chronicle’ newsletter</w:t>
            </w:r>
          </w:p>
        </w:tc>
        <w:tc>
          <w:tcPr>
            <w:tcW w:w="7513"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 xml:space="preserve">‘The Chronicle’ is a bi-monthly newsletter sent to </w:t>
            </w:r>
            <w:r>
              <w:rPr>
                <w:rFonts w:ascii="Segoe UI" w:hAnsi="Segoe UI" w:cs="Segoe UI"/>
                <w:color w:val="auto"/>
                <w:sz w:val="18"/>
                <w:lang w:val="en-US"/>
              </w:rPr>
              <w:t>over 2,000</w:t>
            </w:r>
            <w:r w:rsidRPr="00225CB1">
              <w:rPr>
                <w:rFonts w:ascii="Segoe UI" w:hAnsi="Segoe UI" w:cs="Segoe UI"/>
                <w:color w:val="auto"/>
                <w:sz w:val="18"/>
                <w:lang w:val="en-US"/>
              </w:rPr>
              <w:t xml:space="preserve"> subscribers that provides up to date information on progress of ongoing projects, results and impacts of completed projects, upcoming conferences and events, policy matters and announcements impacting on the prevention of chronic disease</w:t>
            </w:r>
            <w:proofErr w:type="gramStart"/>
            <w:r w:rsidRPr="00225CB1">
              <w:rPr>
                <w:rFonts w:ascii="Segoe UI" w:hAnsi="Segoe UI" w:cs="Segoe UI"/>
                <w:color w:val="auto"/>
                <w:sz w:val="18"/>
                <w:lang w:val="en-US"/>
              </w:rPr>
              <w:t xml:space="preserve">.  </w:t>
            </w:r>
            <w:proofErr w:type="gramEnd"/>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bookmarkStart w:id="0" w:name="_Hlk499537475"/>
            <w:r w:rsidRPr="00225CB1">
              <w:rPr>
                <w:rFonts w:ascii="Segoe UI" w:hAnsi="Segoe UI" w:cs="Segoe UI"/>
                <w:color w:val="auto"/>
                <w:sz w:val="18"/>
                <w:lang w:val="en-US"/>
              </w:rPr>
              <w:t>Evidence Reviews</w:t>
            </w:r>
          </w:p>
        </w:tc>
        <w:tc>
          <w:tcPr>
            <w:tcW w:w="7513" w:type="dxa"/>
          </w:tcPr>
          <w:p w:rsidR="00B73201" w:rsidRPr="00225CB1" w:rsidRDefault="00B73201" w:rsidP="00B06AFE">
            <w:pPr>
              <w:spacing w:before="120"/>
              <w:rPr>
                <w:rFonts w:ascii="Segoe UI" w:hAnsi="Segoe UI" w:cs="Segoe UI"/>
                <w:color w:val="auto"/>
                <w:sz w:val="18"/>
              </w:rPr>
            </w:pPr>
            <w:r w:rsidRPr="00225CB1">
              <w:rPr>
                <w:rFonts w:ascii="Segoe UI" w:hAnsi="Segoe UI" w:cs="Segoe UI"/>
                <w:color w:val="auto"/>
                <w:sz w:val="18"/>
              </w:rPr>
              <w:t xml:space="preserve">Reviews (usually rapid reviews) of evidence designed to identify, synthesise and interpret the latest evidence and provide a concise summary of the current state of knowledge. </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 xml:space="preserve">Evidence Briefs </w:t>
            </w:r>
          </w:p>
        </w:tc>
        <w:tc>
          <w:tcPr>
            <w:tcW w:w="7513" w:type="dxa"/>
          </w:tcPr>
          <w:p w:rsidR="00B73201" w:rsidRPr="00225CB1" w:rsidRDefault="00B73201" w:rsidP="00B06AFE">
            <w:pPr>
              <w:spacing w:before="120"/>
              <w:rPr>
                <w:rFonts w:ascii="Segoe UI" w:hAnsi="Segoe UI" w:cs="Segoe UI"/>
                <w:color w:val="auto"/>
                <w:sz w:val="18"/>
              </w:rPr>
            </w:pPr>
            <w:r w:rsidRPr="00225CB1">
              <w:rPr>
                <w:rFonts w:ascii="Segoe UI" w:hAnsi="Segoe UI" w:cs="Segoe UI"/>
                <w:color w:val="auto"/>
                <w:sz w:val="18"/>
                <w:lang w:val="en-US"/>
              </w:rPr>
              <w:t>Evidence briefs are c</w:t>
            </w:r>
            <w:proofErr w:type="spellStart"/>
            <w:r w:rsidRPr="00225CB1">
              <w:rPr>
                <w:rFonts w:ascii="Segoe UI" w:hAnsi="Segoe UI" w:cs="Segoe UI"/>
                <w:color w:val="auto"/>
                <w:sz w:val="18"/>
              </w:rPr>
              <w:t>oncise</w:t>
            </w:r>
            <w:proofErr w:type="spellEnd"/>
            <w:r w:rsidRPr="00225CB1">
              <w:rPr>
                <w:rFonts w:ascii="Segoe UI" w:hAnsi="Segoe UI" w:cs="Segoe UI"/>
                <w:color w:val="auto"/>
                <w:sz w:val="18"/>
              </w:rPr>
              <w:t xml:space="preserve"> summaries of key findings of Evidence Reviews, aiming to summarise the evidence in a form that can be quickly digested by policymakers.</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Findings Briefs</w:t>
            </w:r>
          </w:p>
        </w:tc>
        <w:tc>
          <w:tcPr>
            <w:tcW w:w="7513"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 xml:space="preserve">These </w:t>
            </w:r>
            <w:proofErr w:type="spellStart"/>
            <w:r w:rsidRPr="00225CB1">
              <w:rPr>
                <w:rFonts w:ascii="Segoe UI" w:hAnsi="Segoe UI" w:cs="Segoe UI"/>
                <w:color w:val="auto"/>
                <w:sz w:val="18"/>
                <w:lang w:val="en-US"/>
              </w:rPr>
              <w:t>summar</w:t>
            </w:r>
            <w:r>
              <w:rPr>
                <w:rFonts w:ascii="Segoe UI" w:hAnsi="Segoe UI" w:cs="Segoe UI"/>
                <w:color w:val="auto"/>
                <w:sz w:val="18"/>
                <w:lang w:val="en-US"/>
              </w:rPr>
              <w:t>ise</w:t>
            </w:r>
            <w:proofErr w:type="spellEnd"/>
            <w:r w:rsidRPr="00225CB1">
              <w:rPr>
                <w:rFonts w:ascii="Segoe UI" w:hAnsi="Segoe UI" w:cs="Segoe UI"/>
                <w:color w:val="auto"/>
                <w:sz w:val="18"/>
                <w:lang w:val="en-US"/>
              </w:rPr>
              <w:t xml:space="preserve"> key findings and outcomes of each completed research project</w:t>
            </w:r>
            <w:r>
              <w:rPr>
                <w:rFonts w:ascii="Segoe UI" w:hAnsi="Segoe UI" w:cs="Segoe UI"/>
                <w:color w:val="auto"/>
                <w:sz w:val="18"/>
                <w:lang w:val="en-US"/>
              </w:rPr>
              <w:t xml:space="preserve">, using </w:t>
            </w:r>
            <w:proofErr w:type="spellStart"/>
            <w:r>
              <w:rPr>
                <w:rFonts w:ascii="Segoe UI" w:hAnsi="Segoe UI" w:cs="Segoe UI"/>
                <w:color w:val="auto"/>
                <w:sz w:val="18"/>
                <w:lang w:val="en-US"/>
              </w:rPr>
              <w:t>infographics</w:t>
            </w:r>
            <w:proofErr w:type="spellEnd"/>
            <w:r>
              <w:rPr>
                <w:rFonts w:ascii="Segoe UI" w:hAnsi="Segoe UI" w:cs="Segoe UI"/>
                <w:color w:val="auto"/>
                <w:sz w:val="18"/>
                <w:lang w:val="en-US"/>
              </w:rPr>
              <w:t xml:space="preserve"> to convey information succinctly for policy makers</w:t>
            </w:r>
            <w:proofErr w:type="gramStart"/>
            <w:r w:rsidRPr="00225CB1">
              <w:rPr>
                <w:rFonts w:ascii="Segoe UI" w:hAnsi="Segoe UI" w:cs="Segoe UI"/>
                <w:color w:val="auto"/>
                <w:sz w:val="18"/>
                <w:lang w:val="en-US"/>
              </w:rPr>
              <w:t xml:space="preserve">.  </w:t>
            </w:r>
            <w:proofErr w:type="gramEnd"/>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Prevention Factsheets</w:t>
            </w:r>
          </w:p>
        </w:tc>
        <w:tc>
          <w:tcPr>
            <w:tcW w:w="7513"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These are f</w:t>
            </w:r>
            <w:proofErr w:type="spellStart"/>
            <w:r w:rsidRPr="00225CB1">
              <w:rPr>
                <w:rFonts w:ascii="Segoe UI" w:hAnsi="Segoe UI" w:cs="Segoe UI"/>
                <w:color w:val="auto"/>
                <w:sz w:val="18"/>
              </w:rPr>
              <w:t>actsheets</w:t>
            </w:r>
            <w:proofErr w:type="spellEnd"/>
            <w:r w:rsidRPr="00225CB1">
              <w:rPr>
                <w:rFonts w:ascii="Segoe UI" w:hAnsi="Segoe UI" w:cs="Segoe UI"/>
                <w:color w:val="auto"/>
                <w:sz w:val="18"/>
              </w:rPr>
              <w:t xml:space="preserve"> on key and current issues in prevention, which aim to distil evidence in a clear and concise manner and provide evidence-based “sound bites” to help policymakers argue for action and investment in prevention. </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Impact case studies</w:t>
            </w:r>
          </w:p>
        </w:tc>
        <w:tc>
          <w:tcPr>
            <w:tcW w:w="7513"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rPr>
              <w:t xml:space="preserve">Short case studies illustrating areas in which the Prevention Centre research has influenced policy or practice. </w:t>
            </w:r>
          </w:p>
        </w:tc>
      </w:tr>
      <w:tr w:rsidR="00B73201" w:rsidRPr="00225CB1" w:rsidTr="00B06AFE">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‘In a nutshell’ articles</w:t>
            </w:r>
          </w:p>
        </w:tc>
        <w:tc>
          <w:tcPr>
            <w:tcW w:w="7513"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rPr>
              <w:t>Short Q&amp;A article explaining key findings and importance of published journal articles based on Prevention Centre research.</w:t>
            </w:r>
          </w:p>
        </w:tc>
      </w:tr>
      <w:tr w:rsidR="00B73201" w:rsidRPr="00225CB1" w:rsidTr="00B06AFE">
        <w:trPr>
          <w:trHeight w:val="70"/>
        </w:trPr>
        <w:tc>
          <w:tcPr>
            <w:tcW w:w="1696" w:type="dxa"/>
          </w:tcPr>
          <w:p w:rsidR="00B73201" w:rsidRPr="00225CB1" w:rsidRDefault="00B73201" w:rsidP="00B06AFE">
            <w:pPr>
              <w:spacing w:before="120"/>
              <w:rPr>
                <w:rFonts w:ascii="Segoe UI" w:hAnsi="Segoe UI" w:cs="Segoe UI"/>
                <w:color w:val="auto"/>
                <w:sz w:val="18"/>
                <w:lang w:val="en-US"/>
              </w:rPr>
            </w:pPr>
            <w:r w:rsidRPr="00225CB1">
              <w:rPr>
                <w:rFonts w:ascii="Segoe UI" w:hAnsi="Segoe UI" w:cs="Segoe UI"/>
                <w:color w:val="auto"/>
                <w:sz w:val="18"/>
                <w:lang w:val="en-US"/>
              </w:rPr>
              <w:t xml:space="preserve">Progress Report </w:t>
            </w:r>
          </w:p>
        </w:tc>
        <w:tc>
          <w:tcPr>
            <w:tcW w:w="7513" w:type="dxa"/>
          </w:tcPr>
          <w:p w:rsidR="00B73201" w:rsidRPr="00225CB1" w:rsidRDefault="00B73201" w:rsidP="00B06AFE">
            <w:pPr>
              <w:spacing w:before="120"/>
              <w:rPr>
                <w:rFonts w:ascii="Segoe UI" w:hAnsi="Segoe UI" w:cs="Segoe UI"/>
                <w:sz w:val="18"/>
              </w:rPr>
            </w:pPr>
            <w:r w:rsidRPr="00225CB1">
              <w:rPr>
                <w:rFonts w:ascii="Segoe UI" w:hAnsi="Segoe UI" w:cs="Segoe UI"/>
                <w:sz w:val="18"/>
              </w:rPr>
              <w:t xml:space="preserve">Periodic report-style publication that conveys key achievements, findings and impact of the Prevention Centre. </w:t>
            </w:r>
          </w:p>
        </w:tc>
      </w:tr>
      <w:tr w:rsidR="00B73201" w:rsidRPr="00225CB1" w:rsidTr="00B06AFE">
        <w:trPr>
          <w:trHeight w:val="70"/>
        </w:trPr>
        <w:tc>
          <w:tcPr>
            <w:tcW w:w="1696" w:type="dxa"/>
            <w:shd w:val="clear" w:color="auto" w:fill="auto"/>
          </w:tcPr>
          <w:p w:rsidR="00B73201" w:rsidRPr="00225CB1" w:rsidRDefault="00B73201" w:rsidP="00B06AFE">
            <w:pPr>
              <w:spacing w:before="120"/>
              <w:rPr>
                <w:rFonts w:ascii="Segoe UI" w:hAnsi="Segoe UI" w:cs="Segoe UI"/>
                <w:color w:val="auto"/>
                <w:sz w:val="18"/>
                <w:lang w:val="en-US"/>
              </w:rPr>
            </w:pPr>
            <w:r>
              <w:rPr>
                <w:rFonts w:ascii="Segoe UI" w:hAnsi="Segoe UI" w:cs="Segoe UI"/>
                <w:color w:val="auto"/>
                <w:sz w:val="18"/>
                <w:lang w:val="en-US"/>
              </w:rPr>
              <w:t>Podcasts</w:t>
            </w:r>
          </w:p>
        </w:tc>
        <w:tc>
          <w:tcPr>
            <w:tcW w:w="7513" w:type="dxa"/>
            <w:shd w:val="clear" w:color="auto" w:fill="auto"/>
          </w:tcPr>
          <w:p w:rsidR="00B73201" w:rsidRPr="00225CB1" w:rsidRDefault="00B73201" w:rsidP="00B06AFE">
            <w:pPr>
              <w:spacing w:before="120"/>
              <w:rPr>
                <w:rFonts w:ascii="Segoe UI" w:hAnsi="Segoe UI" w:cs="Segoe UI"/>
                <w:sz w:val="18"/>
              </w:rPr>
            </w:pPr>
            <w:r>
              <w:rPr>
                <w:rFonts w:ascii="Segoe UI" w:hAnsi="Segoe UI" w:cs="Segoe UI"/>
                <w:sz w:val="18"/>
              </w:rPr>
              <w:t>Our podcast series consists of interviews with Prevention Centre researchers on general topics around prevention of chronic disease, aimed at a broader public health audience and the general public.</w:t>
            </w:r>
          </w:p>
        </w:tc>
      </w:tr>
      <w:bookmarkEnd w:id="0"/>
    </w:tbl>
    <w:p w:rsidR="00B73201" w:rsidRPr="00783485" w:rsidRDefault="00B73201" w:rsidP="00B73201">
      <w:pPr>
        <w:rPr>
          <w:rFonts w:cstheme="minorHAnsi"/>
          <w:color w:val="auto"/>
          <w:sz w:val="20"/>
          <w:szCs w:val="19"/>
          <w:lang w:val="en-US"/>
        </w:rPr>
      </w:pPr>
    </w:p>
    <w:p w:rsidR="00B73201" w:rsidRPr="00783485" w:rsidRDefault="00B73201" w:rsidP="00B73201">
      <w:pPr>
        <w:rPr>
          <w:color w:val="auto"/>
          <w:sz w:val="24"/>
        </w:rPr>
      </w:pPr>
      <w:r w:rsidRPr="00783485">
        <w:rPr>
          <w:sz w:val="20"/>
        </w:rPr>
        <w:t xml:space="preserve">The resources listed above are available on the Prevention Centre’s website </w:t>
      </w:r>
      <w:hyperlink r:id="rId5" w:history="1">
        <w:r w:rsidRPr="003670A2">
          <w:rPr>
            <w:rStyle w:val="Hyperlink"/>
            <w:sz w:val="20"/>
          </w:rPr>
          <w:t>https://preventioncentre.org.au</w:t>
        </w:r>
      </w:hyperlink>
      <w:r>
        <w:rPr>
          <w:sz w:val="20"/>
        </w:rPr>
        <w:t xml:space="preserve">. </w:t>
      </w:r>
      <w:r w:rsidRPr="00783485">
        <w:rPr>
          <w:sz w:val="20"/>
        </w:rPr>
        <w:t xml:space="preserve"> Users frequently visit the website with 457,666 page views and 218,587 users (those who have initiated at least one session) since the website’s launch in March 2015. </w:t>
      </w:r>
    </w:p>
    <w:p w:rsidR="0071114D" w:rsidRDefault="0071114D"/>
    <w:p w:rsidR="00B73201" w:rsidRPr="007C4371" w:rsidRDefault="00B73201" w:rsidP="00B73201">
      <w:pPr>
        <w:rPr>
          <w:rFonts w:ascii="Segoe UI" w:hAnsi="Segoe UI" w:cs="Segoe UI"/>
          <w:b/>
          <w:sz w:val="20"/>
          <w:szCs w:val="20"/>
        </w:rPr>
      </w:pPr>
      <w:r w:rsidRPr="007C4371">
        <w:rPr>
          <w:rFonts w:ascii="Segoe UI" w:hAnsi="Segoe UI" w:cs="Segoe UI"/>
          <w:b/>
          <w:sz w:val="20"/>
          <w:szCs w:val="20"/>
        </w:rPr>
        <w:lastRenderedPageBreak/>
        <w:t>Additional file references</w:t>
      </w:r>
    </w:p>
    <w:p w:rsidR="00B73201" w:rsidRPr="00AD6737" w:rsidRDefault="00B73201" w:rsidP="00B73201">
      <w:pPr>
        <w:pStyle w:val="EndNoteBibliography"/>
        <w:spacing w:after="0"/>
        <w:ind w:left="720" w:hanging="720"/>
      </w:pPr>
      <w:r w:rsidRPr="00A37AB4">
        <w:rPr>
          <w:rFonts w:ascii="Segoe UI" w:hAnsi="Segoe UI" w:cs="Segoe UI"/>
          <w:sz w:val="22"/>
          <w:szCs w:val="20"/>
        </w:rPr>
        <w:fldChar w:fldCharType="begin"/>
      </w:r>
      <w:r w:rsidRPr="00A37AB4">
        <w:rPr>
          <w:rFonts w:ascii="Segoe UI" w:hAnsi="Segoe UI" w:cs="Segoe UI"/>
          <w:sz w:val="22"/>
          <w:szCs w:val="20"/>
        </w:rPr>
        <w:instrText xml:space="preserve"> ADDIN EN.REFLIST </w:instrText>
      </w:r>
      <w:r w:rsidRPr="00A37AB4">
        <w:rPr>
          <w:rFonts w:ascii="Segoe UI" w:hAnsi="Segoe UI" w:cs="Segoe UI"/>
          <w:sz w:val="22"/>
          <w:szCs w:val="20"/>
        </w:rPr>
        <w:fldChar w:fldCharType="separate"/>
      </w:r>
      <w:bookmarkStart w:id="1" w:name="_ENREF_1"/>
      <w:r w:rsidRPr="00AD6737">
        <w:t>1.</w:t>
      </w:r>
      <w:r w:rsidRPr="00AD6737">
        <w:tab/>
        <w:t xml:space="preserve">Greenhalgh, T., et al., </w:t>
      </w:r>
      <w:r w:rsidRPr="00AD6737">
        <w:rPr>
          <w:i/>
        </w:rPr>
        <w:t>Achieving Research Impact Through Co‐creation in Community‐Based Health Services: Literature Review and Case Study.</w:t>
      </w:r>
      <w:r w:rsidRPr="00AD6737">
        <w:t xml:space="preserve"> The Milbank Quarterly, 2016. </w:t>
      </w:r>
      <w:r w:rsidRPr="00AD6737">
        <w:rPr>
          <w:b/>
        </w:rPr>
        <w:t>94</w:t>
      </w:r>
      <w:r w:rsidRPr="00AD6737">
        <w:t>(2): p. 392-429.</w:t>
      </w:r>
      <w:bookmarkEnd w:id="1"/>
    </w:p>
    <w:p w:rsidR="00B73201" w:rsidRPr="00AD6737" w:rsidRDefault="00B73201" w:rsidP="00B73201">
      <w:pPr>
        <w:pStyle w:val="EndNoteBibliography"/>
        <w:spacing w:after="0"/>
        <w:ind w:left="720" w:hanging="720"/>
      </w:pPr>
      <w:bookmarkStart w:id="2" w:name="_ENREF_2"/>
      <w:r w:rsidRPr="00AD6737">
        <w:t>2.</w:t>
      </w:r>
      <w:r w:rsidRPr="00AD6737">
        <w:tab/>
        <w:t xml:space="preserve">Heaton, J., J. Day, and N. Britten, </w:t>
      </w:r>
      <w:r w:rsidRPr="00AD6737">
        <w:rPr>
          <w:i/>
        </w:rPr>
        <w:t>Collaborative research and the co-production of knowledge for practice: an illustrative case study.</w:t>
      </w:r>
      <w:r w:rsidRPr="00AD6737">
        <w:t xml:space="preserve"> Implement Sci, 2016. </w:t>
      </w:r>
      <w:r w:rsidRPr="00AD6737">
        <w:rPr>
          <w:b/>
        </w:rPr>
        <w:t>11</w:t>
      </w:r>
      <w:r w:rsidRPr="00AD6737">
        <w:t>: p. 20.</w:t>
      </w:r>
      <w:bookmarkEnd w:id="2"/>
    </w:p>
    <w:p w:rsidR="00B73201" w:rsidRPr="00AD6737" w:rsidRDefault="00B73201" w:rsidP="00B73201">
      <w:pPr>
        <w:pStyle w:val="EndNoteBibliography"/>
        <w:spacing w:after="0"/>
        <w:ind w:left="720" w:hanging="720"/>
      </w:pPr>
      <w:bookmarkStart w:id="3" w:name="_ENREF_3"/>
      <w:r w:rsidRPr="00AD6737">
        <w:t>3.</w:t>
      </w:r>
      <w:r w:rsidRPr="00AD6737">
        <w:tab/>
        <w:t xml:space="preserve">Holmes, B.J., et al., </w:t>
      </w:r>
      <w:r w:rsidRPr="00AD6737">
        <w:rPr>
          <w:i/>
        </w:rPr>
        <w:t>Mobilising knowledge in complex health systems: a call to action.</w:t>
      </w:r>
      <w:r w:rsidRPr="00AD6737">
        <w:t xml:space="preserve"> Evidence and Policy, 2016.</w:t>
      </w:r>
      <w:bookmarkEnd w:id="3"/>
    </w:p>
    <w:p w:rsidR="00B73201" w:rsidRPr="00AD6737" w:rsidRDefault="00B73201" w:rsidP="00B73201">
      <w:pPr>
        <w:pStyle w:val="EndNoteBibliography"/>
        <w:spacing w:after="0"/>
        <w:ind w:left="720" w:hanging="720"/>
      </w:pPr>
      <w:bookmarkStart w:id="4" w:name="_ENREF_4"/>
      <w:r w:rsidRPr="00AD6737">
        <w:t>4.</w:t>
      </w:r>
      <w:r w:rsidRPr="00AD6737">
        <w:tab/>
        <w:t xml:space="preserve">Glasgow, R. and K. Emmons, </w:t>
      </w:r>
      <w:r w:rsidRPr="00AD6737">
        <w:rPr>
          <w:i/>
        </w:rPr>
        <w:t>How can we increase translation of research into practice? Types of evidence needed.</w:t>
      </w:r>
      <w:r w:rsidRPr="00AD6737">
        <w:t xml:space="preserve"> Annual Review of Public Health, 2007. </w:t>
      </w:r>
      <w:r w:rsidRPr="00AD6737">
        <w:rPr>
          <w:b/>
        </w:rPr>
        <w:t>28</w:t>
      </w:r>
      <w:r w:rsidRPr="00AD6737">
        <w:t>: p. 413–433.</w:t>
      </w:r>
      <w:bookmarkEnd w:id="4"/>
    </w:p>
    <w:p w:rsidR="00B73201" w:rsidRPr="00AD6737" w:rsidRDefault="00B73201" w:rsidP="00B73201">
      <w:pPr>
        <w:pStyle w:val="EndNoteBibliography"/>
        <w:spacing w:after="0"/>
        <w:ind w:left="720" w:hanging="720"/>
      </w:pPr>
      <w:bookmarkStart w:id="5" w:name="_ENREF_5"/>
      <w:r w:rsidRPr="00AD6737">
        <w:t>5.</w:t>
      </w:r>
      <w:r w:rsidRPr="00AD6737">
        <w:tab/>
        <w:t xml:space="preserve">Green, L., </w:t>
      </w:r>
      <w:r w:rsidRPr="00AD6737">
        <w:rPr>
          <w:i/>
        </w:rPr>
        <w:t>From research to “best practices” in other settings and populations.</w:t>
      </w:r>
      <w:r w:rsidRPr="00AD6737">
        <w:t xml:space="preserve"> American Journal of Health Behavior, 2001. </w:t>
      </w:r>
      <w:r w:rsidRPr="00AD6737">
        <w:rPr>
          <w:b/>
        </w:rPr>
        <w:t>25</w:t>
      </w:r>
      <w:r w:rsidRPr="00AD6737">
        <w:t xml:space="preserve">(3): p. 165–178 </w:t>
      </w:r>
      <w:bookmarkEnd w:id="5"/>
    </w:p>
    <w:p w:rsidR="00B73201" w:rsidRPr="00AD6737" w:rsidRDefault="00B73201" w:rsidP="00B73201">
      <w:pPr>
        <w:pStyle w:val="EndNoteBibliography"/>
        <w:spacing w:after="0"/>
        <w:ind w:left="720" w:hanging="720"/>
      </w:pPr>
      <w:bookmarkStart w:id="6" w:name="_ENREF_6"/>
      <w:r w:rsidRPr="00AD6737">
        <w:t>6.</w:t>
      </w:r>
      <w:r w:rsidRPr="00AD6737">
        <w:tab/>
        <w:t xml:space="preserve">Best, A. and B. Holmes, </w:t>
      </w:r>
      <w:r w:rsidRPr="00AD6737">
        <w:rPr>
          <w:i/>
        </w:rPr>
        <w:t>Systems thinking, knowledge and action: towards better models and methods.</w:t>
      </w:r>
      <w:r w:rsidRPr="00AD6737">
        <w:t xml:space="preserve"> Evidence &amp; Policy: A Journal of Research, Debate and Practice, 2010. </w:t>
      </w:r>
      <w:r w:rsidRPr="00AD6737">
        <w:rPr>
          <w:b/>
        </w:rPr>
        <w:t>6</w:t>
      </w:r>
      <w:r w:rsidRPr="00AD6737">
        <w:t>(2): p. 145-159.</w:t>
      </w:r>
      <w:bookmarkEnd w:id="6"/>
    </w:p>
    <w:p w:rsidR="00B73201" w:rsidRPr="00AD6737" w:rsidRDefault="00B73201" w:rsidP="00B73201">
      <w:pPr>
        <w:pStyle w:val="EndNoteBibliography"/>
        <w:spacing w:after="0"/>
        <w:ind w:left="720" w:hanging="720"/>
      </w:pPr>
      <w:bookmarkStart w:id="7" w:name="_ENREF_7"/>
      <w:r w:rsidRPr="00AD6737">
        <w:t>7.</w:t>
      </w:r>
      <w:r w:rsidRPr="00AD6737">
        <w:tab/>
        <w:t xml:space="preserve">Patton, M.Q., </w:t>
      </w:r>
      <w:r w:rsidRPr="00AD6737">
        <w:rPr>
          <w:i/>
        </w:rPr>
        <w:t>Developmental evaluation: applying complexity concepts to enhance innovation and use</w:t>
      </w:r>
      <w:r w:rsidRPr="00AD6737">
        <w:t>. 2011, New York: Guilford Press.</w:t>
      </w:r>
      <w:bookmarkEnd w:id="7"/>
    </w:p>
    <w:p w:rsidR="00B73201" w:rsidRPr="00AD6737" w:rsidRDefault="00B73201" w:rsidP="00B73201">
      <w:pPr>
        <w:pStyle w:val="EndNoteBibliography"/>
        <w:spacing w:after="0"/>
        <w:ind w:left="720" w:hanging="720"/>
      </w:pPr>
      <w:bookmarkStart w:id="8" w:name="_ENREF_8"/>
      <w:r w:rsidRPr="00AD6737">
        <w:t>8.</w:t>
      </w:r>
      <w:r w:rsidRPr="00AD6737">
        <w:tab/>
        <w:t xml:space="preserve">Patton, M.Q., K. McKegg, and N. Wehipeihana, </w:t>
      </w:r>
      <w:r w:rsidRPr="00AD6737">
        <w:rPr>
          <w:i/>
        </w:rPr>
        <w:t>Developmental evaluation exemplars: Principles in practice</w:t>
      </w:r>
      <w:r w:rsidRPr="00AD6737">
        <w:t>. 2015, New York: Guilford Publications.</w:t>
      </w:r>
      <w:bookmarkEnd w:id="8"/>
    </w:p>
    <w:p w:rsidR="00B73201" w:rsidRPr="00AD6737" w:rsidRDefault="00B73201" w:rsidP="00B73201">
      <w:pPr>
        <w:pStyle w:val="EndNoteBibliography"/>
        <w:spacing w:after="0"/>
        <w:ind w:left="720" w:hanging="720"/>
      </w:pPr>
      <w:bookmarkStart w:id="9" w:name="_ENREF_9"/>
      <w:r w:rsidRPr="00AD6737">
        <w:t>9.</w:t>
      </w:r>
      <w:r w:rsidRPr="00AD6737">
        <w:tab/>
        <w:t xml:space="preserve">Rowbotham, S. and H. Hughes, </w:t>
      </w:r>
      <w:r w:rsidRPr="00AD6737">
        <w:rPr>
          <w:i/>
        </w:rPr>
        <w:t>Draft impact report (26 March)</w:t>
      </w:r>
      <w:r w:rsidRPr="00AD6737">
        <w:t>. 2018, The Australian Prevention Partnership Centre: Unpublished.</w:t>
      </w:r>
      <w:bookmarkEnd w:id="9"/>
    </w:p>
    <w:p w:rsidR="00B73201" w:rsidRPr="00AD6737" w:rsidRDefault="00B73201" w:rsidP="00B73201">
      <w:pPr>
        <w:pStyle w:val="EndNoteBibliography"/>
        <w:spacing w:after="0"/>
        <w:ind w:left="720" w:hanging="720"/>
      </w:pPr>
      <w:bookmarkStart w:id="10" w:name="_ENREF_10"/>
      <w:r w:rsidRPr="00AD6737">
        <w:t>10.</w:t>
      </w:r>
      <w:r w:rsidRPr="00AD6737">
        <w:tab/>
        <w:t xml:space="preserve">QSR International Pty Ltd, </w:t>
      </w:r>
      <w:r w:rsidRPr="00AD6737">
        <w:rPr>
          <w:i/>
        </w:rPr>
        <w:t>NVivo qualitative data analysis software. Version 11</w:t>
      </w:r>
      <w:r w:rsidRPr="00AD6737">
        <w:t>. 2017.</w:t>
      </w:r>
      <w:bookmarkEnd w:id="10"/>
    </w:p>
    <w:p w:rsidR="00B73201" w:rsidRPr="00AD6737" w:rsidRDefault="00B73201" w:rsidP="00B73201">
      <w:pPr>
        <w:pStyle w:val="EndNoteBibliography"/>
        <w:ind w:left="720" w:hanging="720"/>
      </w:pPr>
      <w:bookmarkStart w:id="11" w:name="_ENREF_11"/>
      <w:r w:rsidRPr="00AD6737">
        <w:t>11.</w:t>
      </w:r>
      <w:r w:rsidRPr="00AD6737">
        <w:tab/>
        <w:t xml:space="preserve">O’Reilly, M. and N. Parker, </w:t>
      </w:r>
      <w:r w:rsidRPr="00AD6737">
        <w:rPr>
          <w:i/>
        </w:rPr>
        <w:t>‘Unsatisfactory Saturation’: a critical exploration of the notion of saturated sample sizes in qualitative research.</w:t>
      </w:r>
      <w:r w:rsidRPr="00AD6737">
        <w:t xml:space="preserve"> Qualitative research, 2013. </w:t>
      </w:r>
      <w:r w:rsidRPr="00AD6737">
        <w:rPr>
          <w:b/>
        </w:rPr>
        <w:t>13</w:t>
      </w:r>
      <w:r w:rsidRPr="00AD6737">
        <w:t>(2): p. 190-197.</w:t>
      </w:r>
      <w:bookmarkEnd w:id="11"/>
    </w:p>
    <w:p w:rsidR="00B73201" w:rsidRDefault="00B73201" w:rsidP="00B73201">
      <w:r w:rsidRPr="00A37AB4">
        <w:rPr>
          <w:rFonts w:ascii="Segoe UI" w:hAnsi="Segoe UI" w:cs="Segoe UI"/>
          <w:sz w:val="22"/>
          <w:szCs w:val="20"/>
        </w:rPr>
        <w:fldChar w:fldCharType="end"/>
      </w:r>
      <w:bookmarkStart w:id="12" w:name="_GoBack"/>
      <w:bookmarkEnd w:id="12"/>
    </w:p>
    <w:sectPr w:rsidR="00B7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1"/>
    <w:rsid w:val="000073E5"/>
    <w:rsid w:val="0071114D"/>
    <w:rsid w:val="00B732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01"/>
    <w:pPr>
      <w:spacing w:after="120" w:line="247" w:lineRule="auto"/>
    </w:pPr>
    <w:rPr>
      <w:color w:val="000000" w:themeColor="text1"/>
      <w:sz w:val="19"/>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B73201"/>
    <w:pPr>
      <w:spacing w:after="0" w:line="240" w:lineRule="auto"/>
    </w:pPr>
    <w:rPr>
      <w:lang w:val="en-A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B73201"/>
    <w:rPr>
      <w:color w:val="0000FF" w:themeColor="hyperlink"/>
      <w:u w:val="single"/>
    </w:rPr>
  </w:style>
  <w:style w:type="paragraph" w:customStyle="1" w:styleId="EndNoteBibliography">
    <w:name w:val="EndNote Bibliography"/>
    <w:basedOn w:val="Normal"/>
    <w:link w:val="EndNoteBibliographyChar"/>
    <w:rsid w:val="00B73201"/>
    <w:pPr>
      <w:spacing w:line="240" w:lineRule="auto"/>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B73201"/>
    <w:rPr>
      <w:rFonts w:ascii="Calibri" w:hAnsi="Calibri" w:cs="Calibri"/>
      <w:noProof/>
      <w:color w:val="000000" w:themeColor="text1"/>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01"/>
    <w:pPr>
      <w:spacing w:after="120" w:line="247" w:lineRule="auto"/>
    </w:pPr>
    <w:rPr>
      <w:color w:val="000000" w:themeColor="text1"/>
      <w:sz w:val="19"/>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B73201"/>
    <w:pPr>
      <w:spacing w:after="0" w:line="240" w:lineRule="auto"/>
    </w:pPr>
    <w:rPr>
      <w:lang w:val="en-A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B73201"/>
    <w:rPr>
      <w:color w:val="0000FF" w:themeColor="hyperlink"/>
      <w:u w:val="single"/>
    </w:rPr>
  </w:style>
  <w:style w:type="paragraph" w:customStyle="1" w:styleId="EndNoteBibliography">
    <w:name w:val="EndNote Bibliography"/>
    <w:basedOn w:val="Normal"/>
    <w:link w:val="EndNoteBibliographyChar"/>
    <w:rsid w:val="00B73201"/>
    <w:pPr>
      <w:spacing w:line="240" w:lineRule="auto"/>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B73201"/>
    <w:rPr>
      <w:rFonts w:ascii="Calibri" w:hAnsi="Calibri" w:cs="Calibri"/>
      <w:noProof/>
      <w:color w:val="000000" w:themeColor="text1"/>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ventioncentre.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3871</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RTORRES</dc:creator>
  <cp:lastModifiedBy>RTORRES</cp:lastModifiedBy>
  <cp:revision>1</cp:revision>
  <dcterms:created xsi:type="dcterms:W3CDTF">2019-11-08T12:48:00Z</dcterms:created>
  <dcterms:modified xsi:type="dcterms:W3CDTF">2019-11-08T12:50:00Z</dcterms:modified>
</cp:coreProperties>
</file>