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0768" w14:textId="64DF5A3C" w:rsidR="00D85E36" w:rsidRPr="00C033B6" w:rsidRDefault="00D85E36" w:rsidP="00D85E36">
      <w:pPr>
        <w:spacing w:after="0" w:line="276" w:lineRule="auto"/>
        <w:rPr>
          <w:b/>
          <w:sz w:val="32"/>
          <w:szCs w:val="32"/>
        </w:rPr>
      </w:pPr>
      <w:r w:rsidRPr="00C033B6">
        <w:rPr>
          <w:b/>
          <w:sz w:val="32"/>
          <w:szCs w:val="32"/>
        </w:rPr>
        <w:t>Supp</w:t>
      </w:r>
      <w:r w:rsidR="004064AA" w:rsidRPr="00C033B6">
        <w:rPr>
          <w:b/>
          <w:sz w:val="32"/>
          <w:szCs w:val="32"/>
        </w:rPr>
        <w:t>orting</w:t>
      </w:r>
      <w:r w:rsidRPr="00C033B6">
        <w:rPr>
          <w:b/>
          <w:sz w:val="32"/>
          <w:szCs w:val="32"/>
        </w:rPr>
        <w:t xml:space="preserve"> Information</w:t>
      </w:r>
    </w:p>
    <w:p w14:paraId="42880569" w14:textId="77777777" w:rsidR="00D85E36" w:rsidRDefault="00D85E36" w:rsidP="00D85E36">
      <w:pPr>
        <w:spacing w:after="0" w:line="276" w:lineRule="auto"/>
        <w:rPr>
          <w:b/>
          <w:sz w:val="32"/>
          <w:szCs w:val="32"/>
        </w:rPr>
      </w:pPr>
    </w:p>
    <w:p w14:paraId="774464CF" w14:textId="77777777" w:rsidR="00D85E36" w:rsidRPr="00C033B6" w:rsidRDefault="00D85E36" w:rsidP="00D85E36">
      <w:pPr>
        <w:spacing w:after="0" w:line="276" w:lineRule="auto"/>
        <w:rPr>
          <w:b/>
          <w:color w:val="000000" w:themeColor="text1"/>
          <w:sz w:val="28"/>
          <w:szCs w:val="28"/>
        </w:rPr>
      </w:pPr>
      <w:r w:rsidRPr="00C033B6">
        <w:rPr>
          <w:b/>
          <w:color w:val="000000" w:themeColor="text1"/>
          <w:sz w:val="28"/>
          <w:szCs w:val="28"/>
        </w:rPr>
        <w:t>Interactions between repetitive DNA elements</w:t>
      </w:r>
    </w:p>
    <w:p w14:paraId="15DC46F9" w14:textId="77777777" w:rsidR="00D85E36" w:rsidRDefault="00D85E36" w:rsidP="00D85E36">
      <w:pPr>
        <w:spacing w:after="0" w:line="276" w:lineRule="auto"/>
        <w:rPr>
          <w:b/>
          <w:sz w:val="32"/>
          <w:szCs w:val="32"/>
        </w:rPr>
      </w:pPr>
    </w:p>
    <w:p w14:paraId="3E9B75FB" w14:textId="5DB2C1BB" w:rsidR="00D85E36" w:rsidRDefault="00D85E36" w:rsidP="007F5195">
      <w:pPr>
        <w:spacing w:after="0" w:line="480" w:lineRule="auto"/>
        <w:jc w:val="both"/>
        <w:rPr>
          <w:sz w:val="24"/>
          <w:szCs w:val="24"/>
        </w:rPr>
      </w:pPr>
      <w:r>
        <w:rPr>
          <w:sz w:val="24"/>
          <w:szCs w:val="24"/>
        </w:rPr>
        <w:t>Repetitive sequences have been estimated to make up approximately two-thirds of t</w:t>
      </w:r>
      <w:r w:rsidRPr="004E2917">
        <w:rPr>
          <w:sz w:val="24"/>
          <w:szCs w:val="24"/>
        </w:rPr>
        <w:t xml:space="preserve">he human genome </w:t>
      </w:r>
      <w:r w:rsidR="00B966DE">
        <w:rPr>
          <w:sz w:val="24"/>
          <w:szCs w:val="24"/>
        </w:rPr>
        <w:fldChar w:fldCharType="begin"/>
      </w:r>
      <w:r w:rsidR="00B966DE">
        <w:rPr>
          <w:sz w:val="24"/>
          <w:szCs w:val="24"/>
        </w:rPr>
        <w:instrText xml:space="preserve"> ADDIN EN.CITE &lt;EndNote&gt;&lt;Cite&gt;&lt;Author&gt;de Koning&lt;/Author&gt;&lt;Year&gt;2011&lt;/Year&gt;&lt;RecNum&gt;8&lt;/RecNum&gt;&lt;DisplayText&gt;[1]&lt;/DisplayText&gt;&lt;record&gt;&lt;rec-number&gt;8&lt;/rec-number&gt;&lt;foreign-keys&gt;&lt;key app="EN" db-id="v05pvpxsopt5ttetfvypv5xsfsv0w0wz9dd0" timestamp="1548351313"&gt;8&lt;/key&gt;&lt;/foreign-keys&gt;&lt;ref-type name="Journal Article"&gt;17&lt;/ref-type&gt;&lt;contributors&gt;&lt;authors&gt;&lt;author&gt;de Koning, AP Jason&lt;/author&gt;&lt;author&gt;Gu, Wanjun&lt;/author&gt;&lt;author&gt;Castoe, Todd A&lt;/author&gt;&lt;author&gt;Batzer, Mark A&lt;/author&gt;&lt;author&gt;Pollock, David D &lt;/author&gt;&lt;/authors&gt;&lt;/contributors&gt;&lt;titles&gt;&lt;title&gt;Repetitive elements may comprise over two-thirds of the human genome&lt;/title&gt;&lt;secondary-title&gt;PLoS Genetics&lt;/secondary-title&gt;&lt;/titles&gt;&lt;periodical&gt;&lt;full-title&gt;PLoS genetics&lt;/full-title&gt;&lt;/periodical&gt;&lt;pages&gt;e1002384&lt;/pages&gt;&lt;volume&gt;7&lt;/volume&gt;&lt;number&gt;12&lt;/number&gt;&lt;dates&gt;&lt;year&gt;2011&lt;/year&gt;&lt;/dates&gt;&lt;isbn&gt;1553-7404&lt;/isbn&gt;&lt;urls&gt;&lt;/urls&gt;&lt;/record&gt;&lt;/Cite&gt;&lt;/EndNote&gt;</w:instrText>
      </w:r>
      <w:r w:rsidR="00B966DE">
        <w:rPr>
          <w:sz w:val="24"/>
          <w:szCs w:val="24"/>
        </w:rPr>
        <w:fldChar w:fldCharType="separate"/>
      </w:r>
      <w:r w:rsidR="00B966DE">
        <w:rPr>
          <w:noProof/>
          <w:sz w:val="24"/>
          <w:szCs w:val="24"/>
        </w:rPr>
        <w:t>[1]</w:t>
      </w:r>
      <w:r w:rsidR="00B966DE">
        <w:rPr>
          <w:sz w:val="24"/>
          <w:szCs w:val="24"/>
        </w:rPr>
        <w:fldChar w:fldCharType="end"/>
      </w:r>
      <w:r>
        <w:rPr>
          <w:sz w:val="24"/>
          <w:szCs w:val="24"/>
        </w:rPr>
        <w:t xml:space="preserve">. </w:t>
      </w:r>
      <w:r w:rsidRPr="004E2917">
        <w:rPr>
          <w:sz w:val="24"/>
          <w:szCs w:val="24"/>
        </w:rPr>
        <w:t>An overview of the most common human repetitive sequ</w:t>
      </w:r>
      <w:r>
        <w:rPr>
          <w:sz w:val="24"/>
          <w:szCs w:val="24"/>
        </w:rPr>
        <w:t xml:space="preserve">ences is </w:t>
      </w:r>
      <w:r w:rsidR="00744CFE">
        <w:rPr>
          <w:sz w:val="24"/>
          <w:szCs w:val="24"/>
        </w:rPr>
        <w:t>provided</w:t>
      </w:r>
      <w:r>
        <w:rPr>
          <w:sz w:val="24"/>
          <w:szCs w:val="24"/>
        </w:rPr>
        <w:t xml:space="preserve"> in S</w:t>
      </w:r>
      <w:r w:rsidR="00F90528">
        <w:rPr>
          <w:sz w:val="24"/>
          <w:szCs w:val="24"/>
        </w:rPr>
        <w:t>1</w:t>
      </w:r>
      <w:r w:rsidR="00F90528" w:rsidRPr="00F90528">
        <w:rPr>
          <w:sz w:val="24"/>
          <w:szCs w:val="24"/>
        </w:rPr>
        <w:t xml:space="preserve"> </w:t>
      </w:r>
      <w:r w:rsidR="00F90528">
        <w:rPr>
          <w:sz w:val="24"/>
          <w:szCs w:val="24"/>
        </w:rPr>
        <w:t>Table</w:t>
      </w:r>
      <w:r>
        <w:rPr>
          <w:sz w:val="24"/>
          <w:szCs w:val="24"/>
        </w:rPr>
        <w:t xml:space="preserve">. </w:t>
      </w:r>
      <w:proofErr w:type="gramStart"/>
      <w:r w:rsidRPr="004E2917">
        <w:rPr>
          <w:sz w:val="24"/>
          <w:szCs w:val="24"/>
        </w:rPr>
        <w:t>The majority of</w:t>
      </w:r>
      <w:proofErr w:type="gramEnd"/>
      <w:r w:rsidRPr="004E2917">
        <w:rPr>
          <w:sz w:val="24"/>
          <w:szCs w:val="24"/>
        </w:rPr>
        <w:t xml:space="preserve"> the repetitive sequence in the human genome is the result of transposable element insertion events.  While insertion events into genes have been shown to result in multiple disease states, researchers have noted that subsequent interactions between these highly homologous sequences may pose a more pronounced threat to human health than their insertions </w:t>
      </w:r>
      <w:r w:rsidR="00B966DE">
        <w:rPr>
          <w:sz w:val="24"/>
          <w:szCs w:val="24"/>
        </w:rPr>
        <w:fldChar w:fldCharType="begin"/>
      </w:r>
      <w:r w:rsidR="00B966DE">
        <w:rPr>
          <w:sz w:val="24"/>
          <w:szCs w:val="24"/>
        </w:rPr>
        <w:instrText xml:space="preserve"> ADDIN EN.CITE &lt;EndNote&gt;&lt;Cite&gt;&lt;Author&gt;Deininger&lt;/Author&gt;&lt;Year&gt;1999&lt;/Year&gt;&lt;RecNum&gt;10&lt;/RecNum&gt;&lt;DisplayText&gt;[2, 3]&lt;/DisplayText&gt;&lt;record&gt;&lt;rec-number&gt;10&lt;/rec-number&gt;&lt;foreign-keys&gt;&lt;key app="EN" db-id="v05pvpxsopt5ttetfvypv5xsfsv0w0wz9dd0" timestamp="1548351368"&gt;10&lt;/key&gt;&lt;/foreign-keys&gt;&lt;ref-type name="Journal Article"&gt;17&lt;/ref-type&gt;&lt;contributors&gt;&lt;authors&gt;&lt;author&gt;Deininger, Prescott L&lt;/author&gt;&lt;author&gt;Batzer, Mark A &lt;/author&gt;&lt;/authors&gt;&lt;/contributors&gt;&lt;titles&gt;&lt;title&gt;Alu repeats and human disease&lt;/title&gt;&lt;secondary-title&gt;Molecular Genetics Metabolism&lt;/secondary-title&gt;&lt;/titles&gt;&lt;periodical&gt;&lt;full-title&gt;Molecular genetics metabolism&lt;/full-title&gt;&lt;/periodical&gt;&lt;pages&gt;183-193&lt;/pages&gt;&lt;volume&gt;67&lt;/volume&gt;&lt;number&gt;3&lt;/number&gt;&lt;dates&gt;&lt;year&gt;1999&lt;/year&gt;&lt;/dates&gt;&lt;isbn&gt;1096-7192&lt;/isbn&gt;&lt;urls&gt;&lt;/urls&gt;&lt;/record&gt;&lt;/Cite&gt;&lt;Cite&gt;&lt;Author&gt;Hedges&lt;/Author&gt;&lt;Year&gt;2007&lt;/Year&gt;&lt;RecNum&gt;26&lt;/RecNum&gt;&lt;record&gt;&lt;rec-number&gt;26&lt;/rec-number&gt;&lt;foreign-keys&gt;&lt;key app="EN" db-id="v05pvpxsopt5ttetfvypv5xsfsv0w0wz9dd0" timestamp="1548351863"&gt;26&lt;/key&gt;&lt;/foreign-keys&gt;&lt;ref-type name="Journal Article"&gt;17&lt;/ref-type&gt;&lt;contributors&gt;&lt;authors&gt;&lt;author&gt;Hedges, DJ&lt;/author&gt;&lt;author&gt;Deininger, PL &lt;/author&gt;&lt;/authors&gt;&lt;/contributors&gt;&lt;titles&gt;&lt;title&gt;Inviting instability: transposable elements, double-strand breaks, and the maintenance of genome integrity&lt;/title&gt;&lt;secondary-title&gt;Mutation Research/Fundamental Molecular Mechanisms of Mutagenesis&lt;/secondary-title&gt;&lt;/titles&gt;&lt;periodical&gt;&lt;full-title&gt;Mutation Research/Fundamental Molecular Mechanisms of Mutagenesis&lt;/full-title&gt;&lt;/periodical&gt;&lt;pages&gt;46-59&lt;/pages&gt;&lt;volume&gt;616&lt;/volume&gt;&lt;number&gt;1&lt;/number&gt;&lt;dates&gt;&lt;year&gt;2007&lt;/year&gt;&lt;/dates&gt;&lt;isbn&gt;0027-5107&lt;/isbn&gt;&lt;urls&gt;&lt;/urls&gt;&lt;/record&gt;&lt;/Cite&gt;&lt;/EndNote&gt;</w:instrText>
      </w:r>
      <w:r w:rsidR="00B966DE">
        <w:rPr>
          <w:sz w:val="24"/>
          <w:szCs w:val="24"/>
        </w:rPr>
        <w:fldChar w:fldCharType="separate"/>
      </w:r>
      <w:r w:rsidR="00B966DE">
        <w:rPr>
          <w:noProof/>
          <w:sz w:val="24"/>
          <w:szCs w:val="24"/>
        </w:rPr>
        <w:t>[2, 3]</w:t>
      </w:r>
      <w:r w:rsidR="00B966DE">
        <w:rPr>
          <w:sz w:val="24"/>
          <w:szCs w:val="24"/>
        </w:rPr>
        <w:fldChar w:fldCharType="end"/>
      </w:r>
      <w:r>
        <w:rPr>
          <w:noProof/>
          <w:sz w:val="24"/>
          <w:szCs w:val="24"/>
        </w:rPr>
        <w:t>.</w:t>
      </w:r>
      <w:r w:rsidRPr="004E2917">
        <w:rPr>
          <w:sz w:val="24"/>
          <w:szCs w:val="24"/>
        </w:rPr>
        <w:t xml:space="preserve"> </w:t>
      </w:r>
    </w:p>
    <w:p w14:paraId="2C2EE176" w14:textId="77777777" w:rsidR="00E308DF" w:rsidRPr="004E2917" w:rsidRDefault="00E308DF" w:rsidP="00D85E36">
      <w:pPr>
        <w:spacing w:after="0" w:line="480" w:lineRule="auto"/>
        <w:rPr>
          <w:sz w:val="24"/>
          <w:szCs w:val="24"/>
        </w:rPr>
      </w:pPr>
    </w:p>
    <w:p w14:paraId="17458E80" w14:textId="5DC96DAD" w:rsidR="003F0AA8" w:rsidRDefault="00773941" w:rsidP="007F5195">
      <w:pPr>
        <w:spacing w:after="0" w:line="480" w:lineRule="auto"/>
        <w:jc w:val="both"/>
        <w:rPr>
          <w:sz w:val="24"/>
          <w:szCs w:val="24"/>
        </w:rPr>
      </w:pPr>
      <w:r>
        <w:rPr>
          <w:sz w:val="24"/>
          <w:szCs w:val="24"/>
        </w:rPr>
        <w:t>I</w:t>
      </w:r>
      <w:r w:rsidR="00E308DF" w:rsidRPr="00E308DF">
        <w:rPr>
          <w:sz w:val="24"/>
          <w:szCs w:val="24"/>
        </w:rPr>
        <w:t>nverted DNA sequences have long been recognized as unstable motifs.  However, beyond the formation of cruciform/hairpin structures, we are aware of only two mechanisms</w:t>
      </w:r>
      <w:r w:rsidR="00E308DF">
        <w:rPr>
          <w:sz w:val="24"/>
          <w:szCs w:val="24"/>
        </w:rPr>
        <w:t xml:space="preserve"> that have been described</w:t>
      </w:r>
      <w:r w:rsidR="00E308DF" w:rsidRPr="00E308DF">
        <w:rPr>
          <w:sz w:val="24"/>
          <w:szCs w:val="24"/>
        </w:rPr>
        <w:t xml:space="preserve"> </w:t>
      </w:r>
      <w:r>
        <w:rPr>
          <w:sz w:val="24"/>
          <w:szCs w:val="24"/>
        </w:rPr>
        <w:t xml:space="preserve">for how </w:t>
      </w:r>
      <w:r w:rsidR="00E308DF" w:rsidRPr="00E308DF">
        <w:rPr>
          <w:sz w:val="24"/>
          <w:szCs w:val="24"/>
        </w:rPr>
        <w:t xml:space="preserve">more widely spaced inverted </w:t>
      </w:r>
      <w:r>
        <w:rPr>
          <w:sz w:val="24"/>
          <w:szCs w:val="24"/>
        </w:rPr>
        <w:t>DNA sequences might interact</w:t>
      </w:r>
      <w:r w:rsidR="00E308DF" w:rsidRPr="00E308DF">
        <w:rPr>
          <w:sz w:val="24"/>
          <w:szCs w:val="24"/>
        </w:rPr>
        <w:t xml:space="preserve">.  These </w:t>
      </w:r>
      <w:proofErr w:type="gramStart"/>
      <w:r w:rsidR="004D384F">
        <w:rPr>
          <w:sz w:val="24"/>
          <w:szCs w:val="24"/>
        </w:rPr>
        <w:t>widely-spaced</w:t>
      </w:r>
      <w:proofErr w:type="gramEnd"/>
      <w:r w:rsidR="004D384F">
        <w:rPr>
          <w:sz w:val="24"/>
          <w:szCs w:val="24"/>
        </w:rPr>
        <w:t xml:space="preserve"> interactions (&gt;100 bp)</w:t>
      </w:r>
      <w:r w:rsidR="00E308DF" w:rsidRPr="00E308DF">
        <w:rPr>
          <w:sz w:val="24"/>
          <w:szCs w:val="24"/>
        </w:rPr>
        <w:t xml:space="preserve">, are hypothesized to </w:t>
      </w:r>
      <w:r w:rsidR="004D384F">
        <w:rPr>
          <w:sz w:val="24"/>
          <w:szCs w:val="24"/>
        </w:rPr>
        <w:t>occur</w:t>
      </w:r>
      <w:r w:rsidR="00E308DF" w:rsidRPr="00E308DF">
        <w:rPr>
          <w:sz w:val="24"/>
          <w:szCs w:val="24"/>
        </w:rPr>
        <w:t xml:space="preserve"> by the formation</w:t>
      </w:r>
      <w:r w:rsidR="004D384F">
        <w:rPr>
          <w:sz w:val="24"/>
          <w:szCs w:val="24"/>
        </w:rPr>
        <w:t xml:space="preserve"> an</w:t>
      </w:r>
      <w:r w:rsidR="00E308DF" w:rsidRPr="00E308DF">
        <w:rPr>
          <w:sz w:val="24"/>
          <w:szCs w:val="24"/>
        </w:rPr>
        <w:t xml:space="preserve"> ectopic DNA structure</w:t>
      </w:r>
      <w:r w:rsidR="004D384F">
        <w:rPr>
          <w:sz w:val="24"/>
          <w:szCs w:val="24"/>
        </w:rPr>
        <w:t xml:space="preserve"> know as a Doomsday Junction.  </w:t>
      </w:r>
      <w:r w:rsidR="00E308DF" w:rsidRPr="00E308DF">
        <w:rPr>
          <w:sz w:val="24"/>
          <w:szCs w:val="24"/>
        </w:rPr>
        <w:t xml:space="preserve">Doomsday Junctions </w:t>
      </w:r>
      <w:r>
        <w:rPr>
          <w:sz w:val="24"/>
          <w:szCs w:val="24"/>
        </w:rPr>
        <w:t xml:space="preserve">could potentially </w:t>
      </w:r>
      <w:r w:rsidR="00E308DF" w:rsidRPr="00E308DF">
        <w:rPr>
          <w:sz w:val="24"/>
          <w:szCs w:val="24"/>
        </w:rPr>
        <w:t xml:space="preserve">result from the invasion and annealing of inverted single-stranded sequences </w:t>
      </w:r>
      <w:r>
        <w:rPr>
          <w:sz w:val="24"/>
          <w:szCs w:val="24"/>
        </w:rPr>
        <w:t>between</w:t>
      </w:r>
      <w:r w:rsidR="00E308DF" w:rsidRPr="00E308DF">
        <w:rPr>
          <w:sz w:val="24"/>
          <w:szCs w:val="24"/>
        </w:rPr>
        <w:t xml:space="preserve"> replication forks and/or DNA breathing bubbles.  This latter conformation is described in Fig 1 as a Doomsday Junction</w:t>
      </w:r>
      <w:r w:rsidR="003F0AA8">
        <w:rPr>
          <w:sz w:val="24"/>
          <w:szCs w:val="24"/>
        </w:rPr>
        <w:t>.</w:t>
      </w:r>
      <w:r w:rsidR="004D384F">
        <w:rPr>
          <w:sz w:val="24"/>
          <w:szCs w:val="24"/>
        </w:rPr>
        <w:t xml:space="preserve"> </w:t>
      </w:r>
    </w:p>
    <w:p w14:paraId="43C4B64D" w14:textId="77777777" w:rsidR="003F0AA8" w:rsidRDefault="003F0AA8" w:rsidP="007F5195">
      <w:pPr>
        <w:spacing w:after="0" w:line="480" w:lineRule="auto"/>
        <w:jc w:val="both"/>
        <w:rPr>
          <w:sz w:val="24"/>
          <w:szCs w:val="24"/>
        </w:rPr>
      </w:pPr>
    </w:p>
    <w:p w14:paraId="3029CAA0" w14:textId="4B78967E" w:rsidR="00D85E36" w:rsidRDefault="00773941" w:rsidP="007F5195">
      <w:pPr>
        <w:spacing w:after="0" w:line="480" w:lineRule="auto"/>
        <w:jc w:val="both"/>
        <w:rPr>
          <w:sz w:val="24"/>
          <w:szCs w:val="24"/>
        </w:rPr>
      </w:pPr>
      <w:r>
        <w:rPr>
          <w:sz w:val="24"/>
          <w:szCs w:val="24"/>
        </w:rPr>
        <w:t>The hypothesized</w:t>
      </w:r>
      <w:r w:rsidR="003F0AA8">
        <w:rPr>
          <w:sz w:val="24"/>
          <w:szCs w:val="24"/>
        </w:rPr>
        <w:t xml:space="preserve"> formation and </w:t>
      </w:r>
      <w:r>
        <w:rPr>
          <w:sz w:val="24"/>
          <w:szCs w:val="24"/>
        </w:rPr>
        <w:t xml:space="preserve">subsequent </w:t>
      </w:r>
      <w:r w:rsidR="003F0AA8">
        <w:rPr>
          <w:sz w:val="24"/>
          <w:szCs w:val="24"/>
        </w:rPr>
        <w:t>resolution of Doomsday junctions</w:t>
      </w:r>
      <w:r>
        <w:rPr>
          <w:sz w:val="24"/>
          <w:szCs w:val="24"/>
        </w:rPr>
        <w:t xml:space="preserve"> provide the only</w:t>
      </w:r>
      <w:r w:rsidR="003F0AA8">
        <w:rPr>
          <w:sz w:val="24"/>
          <w:szCs w:val="24"/>
        </w:rPr>
        <w:t xml:space="preserve"> explan</w:t>
      </w:r>
      <w:r>
        <w:rPr>
          <w:sz w:val="24"/>
          <w:szCs w:val="24"/>
        </w:rPr>
        <w:t>ation of which we are aware for</w:t>
      </w:r>
      <w:r w:rsidR="003F0AA8">
        <w:rPr>
          <w:sz w:val="24"/>
          <w:szCs w:val="24"/>
        </w:rPr>
        <w:t xml:space="preserve"> the exclusion of over one-million inverted </w:t>
      </w:r>
      <w:r w:rsidR="003F0AA8" w:rsidRPr="003F0AA8">
        <w:rPr>
          <w:i/>
          <w:sz w:val="24"/>
          <w:szCs w:val="24"/>
        </w:rPr>
        <w:t>Alu</w:t>
      </w:r>
      <w:r w:rsidR="003F0AA8">
        <w:rPr>
          <w:sz w:val="24"/>
          <w:szCs w:val="24"/>
        </w:rPr>
        <w:t xml:space="preserve"> pairs (as compared to direct</w:t>
      </w:r>
      <w:r w:rsidR="008325F6">
        <w:rPr>
          <w:sz w:val="24"/>
          <w:szCs w:val="24"/>
        </w:rPr>
        <w:t>-</w:t>
      </w:r>
      <w:r w:rsidR="003F0AA8">
        <w:rPr>
          <w:sz w:val="24"/>
          <w:szCs w:val="24"/>
        </w:rPr>
        <w:t xml:space="preserve">oriented </w:t>
      </w:r>
      <w:r w:rsidR="003F0AA8" w:rsidRPr="003F0AA8">
        <w:rPr>
          <w:i/>
          <w:sz w:val="24"/>
          <w:szCs w:val="24"/>
        </w:rPr>
        <w:t>Alu</w:t>
      </w:r>
      <w:r w:rsidR="003F0AA8">
        <w:rPr>
          <w:sz w:val="24"/>
          <w:szCs w:val="24"/>
        </w:rPr>
        <w:t xml:space="preserve"> pairs) in the human genome </w:t>
      </w:r>
      <w:r w:rsidR="00B966DE">
        <w:rPr>
          <w:sz w:val="24"/>
          <w:szCs w:val="24"/>
        </w:rPr>
        <w:fldChar w:fldCharType="begin"/>
      </w:r>
      <w:r w:rsidR="00B966DE">
        <w:rPr>
          <w:sz w:val="24"/>
          <w:szCs w:val="24"/>
        </w:rPr>
        <w:instrText xml:space="preserve"> ADDIN EN.CITE &lt;EndNote&gt;&lt;Cite&gt;&lt;Author&gt;Cook&lt;/Author&gt;&lt;Year&gt;2011&lt;/Year&gt;&lt;RecNum&gt;85&lt;/RecNum&gt;&lt;DisplayText&gt;[4, 5]&lt;/DisplayText&gt;&lt;record&gt;&lt;rec-number&gt;85&lt;/rec-number&gt;&lt;foreign-keys&gt;&lt;key app="EN" db-id="v05pvpxsopt5ttetfvypv5xsfsv0w0wz9dd0" timestamp="1548368601"&gt;85&lt;/key&gt;&lt;/foreign-keys&gt;&lt;ref-type name="Journal Article"&gt;17&lt;/ref-type&gt;&lt;contributors&gt;&lt;authors&gt;&lt;author&gt;Cook, George W&lt;/author&gt;&lt;author&gt;Konkel, Miriam K&lt;/author&gt;&lt;author&gt;Major, James D&lt;/author&gt;&lt;author&gt;Walker, Jerilyn A&lt;/author&gt;&lt;author&gt;Han, Kyudong&lt;/author&gt;&lt;author&gt;Batzer, Mark A &lt;/author&gt;&lt;/authors&gt;&lt;/contributors&gt;&lt;titles&gt;&lt;title&gt;Alu pair exclusions in the human genome&lt;/title&gt;&lt;secondary-title&gt;Mobile DNA&lt;/secondary-title&gt;&lt;/titles&gt;&lt;periodical&gt;&lt;full-title&gt;Mobile DNA&lt;/full-title&gt;&lt;/periodical&gt;&lt;pages&gt;10&lt;/pages&gt;&lt;volume&gt;2&lt;/volume&gt;&lt;number&gt;1&lt;/number&gt;&lt;dates&gt;&lt;year&gt;2011&lt;/year&gt;&lt;/dates&gt;&lt;isbn&gt;1759-8753&lt;/isbn&gt;&lt;urls&gt;&lt;/urls&gt;&lt;/record&gt;&lt;/Cite&gt;&lt;Cite&gt;&lt;Author&gt;Cook&lt;/Author&gt;&lt;Year&gt;2013&lt;/Year&gt;&lt;RecNum&gt;7&lt;/RecNum&gt;&lt;record&gt;&lt;rec-number&gt;7&lt;/rec-number&gt;&lt;foreign-keys&gt;&lt;key app="EN" db-id="v05pvpxsopt5ttetfvypv5xsfsv0w0wz9dd0" timestamp="1548351282"&gt;7&lt;/key&gt;&lt;/foreign-keys&gt;&lt;ref-type name="Journal Article"&gt;17&lt;/ref-type&gt;&lt;contributors&gt;&lt;authors&gt;&lt;author&gt;Cook, George W&lt;/author&gt;&lt;author&gt;Konkel, Miriam K&lt;/author&gt;&lt;author&gt;Walker, Jerilyn A&lt;/author&gt;&lt;author&gt;Bourgeois, Matthew G&lt;/author&gt;&lt;author&gt;Fullerton, Mitchell L&lt;/author&gt;&lt;author&gt;Fussell, John T&lt;/author&gt;&lt;author&gt;Herbold, Heath D&lt;/author&gt;&lt;author&gt;Batzer, Mark A &lt;/author&gt;&lt;/authors&gt;&lt;/contributors&gt;&lt;titles&gt;&lt;title&gt;A comparison of 100 human genes using an alu element-based instability model&lt;/title&gt;&lt;secondary-title&gt;PLoS One&lt;/secondary-title&gt;&lt;/titles&gt;&lt;periodical&gt;&lt;full-title&gt;PLoS One&lt;/full-title&gt;&lt;/periodical&gt;&lt;pages&gt;e65188&lt;/pages&gt;&lt;volume&gt;8&lt;/volume&gt;&lt;number&gt;6&lt;/number&gt;&lt;dates&gt;&lt;year&gt;2013&lt;/year&gt;&lt;/dates&gt;&lt;isbn&gt;1932-6203&lt;/isbn&gt;&lt;urls&gt;&lt;/urls&gt;&lt;/record&gt;&lt;/Cite&gt;&lt;/EndNote&gt;</w:instrText>
      </w:r>
      <w:r w:rsidR="00B966DE">
        <w:rPr>
          <w:sz w:val="24"/>
          <w:szCs w:val="24"/>
        </w:rPr>
        <w:fldChar w:fldCharType="separate"/>
      </w:r>
      <w:r w:rsidR="00B966DE">
        <w:rPr>
          <w:noProof/>
          <w:sz w:val="24"/>
          <w:szCs w:val="24"/>
        </w:rPr>
        <w:t>[4, 5]</w:t>
      </w:r>
      <w:r w:rsidR="00B966DE">
        <w:rPr>
          <w:sz w:val="24"/>
          <w:szCs w:val="24"/>
        </w:rPr>
        <w:fldChar w:fldCharType="end"/>
      </w:r>
      <w:r w:rsidR="00D85E36" w:rsidRPr="004E2917">
        <w:rPr>
          <w:sz w:val="24"/>
          <w:szCs w:val="24"/>
        </w:rPr>
        <w:t>.  Th</w:t>
      </w:r>
      <w:r w:rsidR="003F0AA8">
        <w:rPr>
          <w:sz w:val="24"/>
          <w:szCs w:val="24"/>
        </w:rPr>
        <w:t>e</w:t>
      </w:r>
      <w:r w:rsidR="00D85E36" w:rsidRPr="004E2917">
        <w:rPr>
          <w:sz w:val="24"/>
          <w:szCs w:val="24"/>
        </w:rPr>
        <w:t xml:space="preserve"> depression in inverted </w:t>
      </w:r>
      <w:r w:rsidR="00D85E36" w:rsidRPr="004E2917">
        <w:rPr>
          <w:i/>
          <w:sz w:val="24"/>
          <w:szCs w:val="24"/>
        </w:rPr>
        <w:t>Alu</w:t>
      </w:r>
      <w:r w:rsidR="00D85E36" w:rsidRPr="004E2917">
        <w:rPr>
          <w:sz w:val="24"/>
          <w:szCs w:val="24"/>
        </w:rPr>
        <w:t xml:space="preserve"> pairs as compared to direct</w:t>
      </w:r>
      <w:r w:rsidR="008325F6">
        <w:rPr>
          <w:sz w:val="24"/>
          <w:szCs w:val="24"/>
        </w:rPr>
        <w:t>-</w:t>
      </w:r>
      <w:r w:rsidR="00D85E36" w:rsidRPr="004E2917">
        <w:rPr>
          <w:sz w:val="24"/>
          <w:szCs w:val="24"/>
        </w:rPr>
        <w:t xml:space="preserve">oriented </w:t>
      </w:r>
      <w:r w:rsidR="00D85E36" w:rsidRPr="004E2917">
        <w:rPr>
          <w:i/>
          <w:sz w:val="24"/>
          <w:szCs w:val="24"/>
        </w:rPr>
        <w:t>Alu</w:t>
      </w:r>
      <w:r w:rsidR="00D85E36" w:rsidRPr="004E2917">
        <w:rPr>
          <w:sz w:val="24"/>
          <w:szCs w:val="24"/>
        </w:rPr>
        <w:t xml:space="preserve"> pairs is approximately </w:t>
      </w:r>
      <w:r w:rsidR="00D85E36" w:rsidRPr="004E2917">
        <w:rPr>
          <w:sz w:val="24"/>
          <w:szCs w:val="24"/>
        </w:rPr>
        <w:lastRenderedPageBreak/>
        <w:t xml:space="preserve">10-15% for </w:t>
      </w:r>
      <w:r w:rsidR="00D85E36" w:rsidRPr="004E2917">
        <w:rPr>
          <w:i/>
          <w:sz w:val="24"/>
          <w:szCs w:val="24"/>
        </w:rPr>
        <w:t>Alu</w:t>
      </w:r>
      <w:r w:rsidR="00D85E36" w:rsidRPr="004E2917">
        <w:rPr>
          <w:sz w:val="24"/>
          <w:szCs w:val="24"/>
        </w:rPr>
        <w:t xml:space="preserve"> pairs separated by </w:t>
      </w:r>
      <w:r w:rsidR="003F0AA8">
        <w:rPr>
          <w:sz w:val="24"/>
          <w:szCs w:val="24"/>
        </w:rPr>
        <w:sym w:font="Symbol" w:char="F0A3"/>
      </w:r>
      <w:r w:rsidR="003F0AA8">
        <w:rPr>
          <w:sz w:val="24"/>
          <w:szCs w:val="24"/>
        </w:rPr>
        <w:t xml:space="preserve"> </w:t>
      </w:r>
      <w:r w:rsidR="00D85E36" w:rsidRPr="004E2917">
        <w:rPr>
          <w:sz w:val="24"/>
          <w:szCs w:val="24"/>
        </w:rPr>
        <w:t xml:space="preserve">5,000 base pairs and between 5-10% </w:t>
      </w:r>
      <w:r w:rsidR="008325F6">
        <w:rPr>
          <w:sz w:val="24"/>
          <w:szCs w:val="24"/>
        </w:rPr>
        <w:t>for</w:t>
      </w:r>
      <w:r w:rsidR="00D85E36" w:rsidRPr="004E2917">
        <w:rPr>
          <w:sz w:val="24"/>
          <w:szCs w:val="24"/>
        </w:rPr>
        <w:t xml:space="preserve"> separation</w:t>
      </w:r>
      <w:r w:rsidR="008325F6">
        <w:rPr>
          <w:sz w:val="24"/>
          <w:szCs w:val="24"/>
        </w:rPr>
        <w:t>s</w:t>
      </w:r>
      <w:r w:rsidR="00D85E36" w:rsidRPr="004E2917">
        <w:rPr>
          <w:sz w:val="24"/>
          <w:szCs w:val="24"/>
        </w:rPr>
        <w:t xml:space="preserve"> </w:t>
      </w:r>
      <w:r w:rsidR="008325F6">
        <w:rPr>
          <w:sz w:val="24"/>
          <w:szCs w:val="24"/>
        </w:rPr>
        <w:t>of</w:t>
      </w:r>
      <w:r w:rsidR="00D85E36" w:rsidRPr="004E2917">
        <w:rPr>
          <w:sz w:val="24"/>
          <w:szCs w:val="24"/>
        </w:rPr>
        <w:t xml:space="preserve"> 5,000</w:t>
      </w:r>
      <w:r w:rsidR="008325F6">
        <w:rPr>
          <w:sz w:val="24"/>
          <w:szCs w:val="24"/>
        </w:rPr>
        <w:t xml:space="preserve"> - </w:t>
      </w:r>
      <w:r w:rsidR="00D85E36" w:rsidRPr="004E2917">
        <w:rPr>
          <w:sz w:val="24"/>
          <w:szCs w:val="24"/>
        </w:rPr>
        <w:t>40,000 base pairs</w:t>
      </w:r>
      <w:r w:rsidR="00D85E36">
        <w:rPr>
          <w:sz w:val="24"/>
          <w:szCs w:val="24"/>
        </w:rPr>
        <w:t xml:space="preserve"> </w:t>
      </w:r>
      <w:r w:rsidR="00B966DE">
        <w:rPr>
          <w:sz w:val="24"/>
          <w:szCs w:val="24"/>
        </w:rPr>
        <w:fldChar w:fldCharType="begin"/>
      </w:r>
      <w:r w:rsidR="00B966DE">
        <w:rPr>
          <w:sz w:val="24"/>
          <w:szCs w:val="24"/>
        </w:rPr>
        <w:instrText xml:space="preserve"> ADDIN EN.CITE &lt;EndNote&gt;&lt;Cite&gt;&lt;Author&gt;Cook&lt;/Author&gt;&lt;Year&gt;2013&lt;/Year&gt;&lt;RecNum&gt;7&lt;/RecNum&gt;&lt;DisplayText&gt;[5]&lt;/DisplayText&gt;&lt;record&gt;&lt;rec-number&gt;7&lt;/rec-number&gt;&lt;foreign-keys&gt;&lt;key app="EN" db-id="v05pvpxsopt5ttetfvypv5xsfsv0w0wz9dd0" timestamp="1548351282"&gt;7&lt;/key&gt;&lt;/foreign-keys&gt;&lt;ref-type name="Journal Article"&gt;17&lt;/ref-type&gt;&lt;contributors&gt;&lt;authors&gt;&lt;author&gt;Cook, George W&lt;/author&gt;&lt;author&gt;Konkel, Miriam K&lt;/author&gt;&lt;author&gt;Walker, Jerilyn A&lt;/author&gt;&lt;author&gt;Bourgeois, Matthew G&lt;/author&gt;&lt;author&gt;Fullerton, Mitchell L&lt;/author&gt;&lt;author&gt;Fussell, John T&lt;/author&gt;&lt;author&gt;Herbold, Heath D&lt;/author&gt;&lt;author&gt;Batzer, Mark A &lt;/author&gt;&lt;/authors&gt;&lt;/contributors&gt;&lt;titles&gt;&lt;title&gt;A comparison of 100 human genes using an alu element-based instability model&lt;/title&gt;&lt;secondary-title&gt;PLoS One&lt;/secondary-title&gt;&lt;/titles&gt;&lt;periodical&gt;&lt;full-title&gt;PLoS One&lt;/full-title&gt;&lt;/periodical&gt;&lt;pages&gt;e65188&lt;/pages&gt;&lt;volume&gt;8&lt;/volume&gt;&lt;number&gt;6&lt;/number&gt;&lt;dates&gt;&lt;year&gt;2013&lt;/year&gt;&lt;/dates&gt;&lt;isbn&gt;1932-6203&lt;/isbn&gt;&lt;urls&gt;&lt;/urls&gt;&lt;/record&gt;&lt;/Cite&gt;&lt;/EndNote&gt;</w:instrText>
      </w:r>
      <w:r w:rsidR="00B966DE">
        <w:rPr>
          <w:sz w:val="24"/>
          <w:szCs w:val="24"/>
        </w:rPr>
        <w:fldChar w:fldCharType="separate"/>
      </w:r>
      <w:r w:rsidR="00B966DE">
        <w:rPr>
          <w:noProof/>
          <w:sz w:val="24"/>
          <w:szCs w:val="24"/>
        </w:rPr>
        <w:t>[5]</w:t>
      </w:r>
      <w:r w:rsidR="00B966DE">
        <w:rPr>
          <w:sz w:val="24"/>
          <w:szCs w:val="24"/>
        </w:rPr>
        <w:fldChar w:fldCharType="end"/>
      </w:r>
      <w:r w:rsidR="00D85E36">
        <w:rPr>
          <w:sz w:val="24"/>
          <w:szCs w:val="24"/>
        </w:rPr>
        <w:t>.</w:t>
      </w:r>
      <w:r w:rsidR="003F0AA8">
        <w:rPr>
          <w:sz w:val="24"/>
          <w:szCs w:val="24"/>
        </w:rPr>
        <w:t xml:space="preserve"> </w:t>
      </w:r>
      <w:r w:rsidR="00680313">
        <w:rPr>
          <w:sz w:val="24"/>
          <w:szCs w:val="24"/>
        </w:rPr>
        <w:t xml:space="preserve"> This study extends the Doomsday Junction model for interactions between inverted </w:t>
      </w:r>
      <w:r w:rsidR="00680313" w:rsidRPr="00680313">
        <w:rPr>
          <w:i/>
          <w:sz w:val="24"/>
          <w:szCs w:val="24"/>
        </w:rPr>
        <w:t>Alu</w:t>
      </w:r>
      <w:r w:rsidR="00680313">
        <w:rPr>
          <w:sz w:val="24"/>
          <w:szCs w:val="24"/>
        </w:rPr>
        <w:t xml:space="preserve"> elements to the interaction of more rare inverted DNA sequences such as the </w:t>
      </w:r>
      <w:r w:rsidR="00680313" w:rsidRPr="00680313">
        <w:rPr>
          <w:i/>
          <w:sz w:val="24"/>
          <w:szCs w:val="24"/>
        </w:rPr>
        <w:t>EGFR</w:t>
      </w:r>
      <w:r w:rsidR="00680313">
        <w:rPr>
          <w:sz w:val="24"/>
          <w:szCs w:val="24"/>
        </w:rPr>
        <w:t xml:space="preserve"> canonical exon 19 deletion</w:t>
      </w:r>
      <w:r w:rsidR="008325F6">
        <w:rPr>
          <w:sz w:val="24"/>
          <w:szCs w:val="24"/>
        </w:rPr>
        <w:t xml:space="preserve"> sequence</w:t>
      </w:r>
      <w:r w:rsidR="00680313">
        <w:rPr>
          <w:sz w:val="24"/>
          <w:szCs w:val="24"/>
        </w:rPr>
        <w:t xml:space="preserve"> and its high homology reverse complement described in Fig 6.</w:t>
      </w:r>
    </w:p>
    <w:p w14:paraId="4E4F184B" w14:textId="77777777" w:rsidR="00D85E36" w:rsidRDefault="00D85E36" w:rsidP="00D85E36">
      <w:pPr>
        <w:spacing w:after="0" w:line="480" w:lineRule="auto"/>
        <w:rPr>
          <w:b/>
          <w:color w:val="CC0000"/>
          <w:sz w:val="24"/>
          <w:szCs w:val="24"/>
        </w:rPr>
      </w:pPr>
    </w:p>
    <w:p w14:paraId="4B63C99D" w14:textId="77777777" w:rsidR="00D85E36" w:rsidRPr="00C033B6" w:rsidRDefault="00D85E36" w:rsidP="00D85E36">
      <w:pPr>
        <w:spacing w:after="0" w:line="480" w:lineRule="auto"/>
        <w:rPr>
          <w:b/>
          <w:color w:val="000000" w:themeColor="text1"/>
          <w:sz w:val="28"/>
          <w:szCs w:val="28"/>
        </w:rPr>
      </w:pPr>
      <w:bookmarkStart w:id="0" w:name="_Hlk536429750"/>
      <w:r w:rsidRPr="00C033B6">
        <w:rPr>
          <w:b/>
          <w:color w:val="000000" w:themeColor="text1"/>
          <w:sz w:val="28"/>
          <w:szCs w:val="28"/>
        </w:rPr>
        <w:t>Repetitive sequence homologies inversely correlate with I:D ratio</w:t>
      </w:r>
    </w:p>
    <w:bookmarkEnd w:id="0"/>
    <w:p w14:paraId="4E3A7A1B" w14:textId="65C5D1A0" w:rsidR="00D85E36" w:rsidRPr="004E4275" w:rsidRDefault="00D85E36" w:rsidP="007F5195">
      <w:pPr>
        <w:spacing w:after="0" w:line="480" w:lineRule="auto"/>
        <w:jc w:val="both"/>
        <w:rPr>
          <w:sz w:val="24"/>
          <w:szCs w:val="24"/>
        </w:rPr>
      </w:pPr>
      <w:r w:rsidRPr="004E2917">
        <w:rPr>
          <w:i/>
          <w:sz w:val="24"/>
          <w:szCs w:val="24"/>
        </w:rPr>
        <w:t xml:space="preserve">Alu </w:t>
      </w:r>
      <w:r w:rsidRPr="004E2917">
        <w:rPr>
          <w:sz w:val="24"/>
          <w:szCs w:val="24"/>
        </w:rPr>
        <w:t xml:space="preserve">elements typically share approximately 85% homology while MIR elements share approximately </w:t>
      </w:r>
      <w:r>
        <w:rPr>
          <w:sz w:val="24"/>
          <w:szCs w:val="24"/>
        </w:rPr>
        <w:t>70</w:t>
      </w:r>
      <w:r w:rsidRPr="004E2917">
        <w:rPr>
          <w:sz w:val="24"/>
          <w:szCs w:val="24"/>
        </w:rPr>
        <w:t>% homology</w:t>
      </w:r>
      <w:r>
        <w:rPr>
          <w:sz w:val="24"/>
          <w:szCs w:val="24"/>
        </w:rPr>
        <w:t xml:space="preserve"> </w:t>
      </w:r>
      <w:r w:rsidR="00B966DE">
        <w:rPr>
          <w:sz w:val="24"/>
          <w:szCs w:val="24"/>
        </w:rPr>
        <w:fldChar w:fldCharType="begin"/>
      </w:r>
      <w:r w:rsidR="00B966DE">
        <w:rPr>
          <w:sz w:val="24"/>
          <w:szCs w:val="24"/>
        </w:rPr>
        <w:instrText xml:space="preserve"> ADDIN EN.CITE &lt;EndNote&gt;&lt;Cite&gt;&lt;Author&gt;Smit&lt;/Author&gt;&lt;Year&gt;1995&lt;/Year&gt;&lt;RecNum&gt;61&lt;/RecNum&gt;&lt;DisplayText&gt;[6, 7]&lt;/DisplayText&gt;&lt;record&gt;&lt;rec-number&gt;61&lt;/rec-number&gt;&lt;foreign-keys&gt;&lt;key app="EN" db-id="v05pvpxsopt5ttetfvypv5xsfsv0w0wz9dd0" timestamp="1548360430"&gt;61&lt;/key&gt;&lt;/foreign-keys&gt;&lt;ref-type name="Journal Article"&gt;17&lt;/ref-type&gt;&lt;contributors&gt;&lt;authors&gt;&lt;author&gt;Smit, Arian FA&lt;/author&gt;&lt;author&gt;Riggs, Arthur D &lt;/author&gt;&lt;/authors&gt;&lt;/contributors&gt;&lt;titles&gt;&lt;title&gt;MIRs are classic, tRNA-derived SINEs that amplified before the mammalian radiation&lt;/title&gt;&lt;secondary-title&gt;Nucleic Acids Research&lt;/secondary-title&gt;&lt;/titles&gt;&lt;periodical&gt;&lt;full-title&gt;Nucleic acids research&lt;/full-title&gt;&lt;/periodical&gt;&lt;pages&gt;98-102&lt;/pages&gt;&lt;volume&gt;23&lt;/volume&gt;&lt;number&gt;1&lt;/number&gt;&lt;dates&gt;&lt;year&gt;1995&lt;/year&gt;&lt;/dates&gt;&lt;isbn&gt;1362-4962&lt;/isbn&gt;&lt;urls&gt;&lt;/urls&gt;&lt;/record&gt;&lt;/Cite&gt;&lt;Cite&gt;&lt;Author&gt;Stenger&lt;/Author&gt;&lt;Year&gt;2001&lt;/Year&gt;&lt;RecNum&gt;65&lt;/RecNum&gt;&lt;record&gt;&lt;rec-number&gt;65&lt;/rec-number&gt;&lt;foreign-keys&gt;&lt;key app="EN" db-id="v05pvpxsopt5ttetfvypv5xsfsv0w0wz9dd0" timestamp="1548360530"&gt;65&lt;/key&gt;&lt;/foreign-keys&gt;&lt;ref-type name="Journal Article"&gt;17&lt;/ref-type&gt;&lt;contributors&gt;&lt;authors&gt;&lt;author&gt;Stenger, Judith E&lt;/author&gt;&lt;author&gt;Lobachev, Kirill S&lt;/author&gt;&lt;author&gt;Gordenin, Dmitry&lt;/author&gt;&lt;author&gt;Darden, Thomas A&lt;/author&gt;&lt;author&gt;Jurka, Jerzy&lt;/author&gt;&lt;author&gt;Resnick, Michael A &lt;/author&gt;&lt;/authors&gt;&lt;/contributors&gt;&lt;titles&gt;&lt;title&gt;Biased distribution of inverted and direct Alus in the human genome: implications for insertion, exclusion, and genome stability&lt;/title&gt;&lt;secondary-title&gt;Genome Research&lt;/secondary-title&gt;&lt;/titles&gt;&lt;periodical&gt;&lt;full-title&gt;Genome research&lt;/full-title&gt;&lt;/periodical&gt;&lt;pages&gt;12-27&lt;/pages&gt;&lt;volume&gt;11&lt;/volume&gt;&lt;number&gt;1&lt;/number&gt;&lt;dates&gt;&lt;year&gt;2001&lt;/year&gt;&lt;/dates&gt;&lt;isbn&gt;1088-9051&lt;/isbn&gt;&lt;urls&gt;&lt;/urls&gt;&lt;/record&gt;&lt;/Cite&gt;&lt;/EndNote&gt;</w:instrText>
      </w:r>
      <w:r w:rsidR="00B966DE">
        <w:rPr>
          <w:sz w:val="24"/>
          <w:szCs w:val="24"/>
        </w:rPr>
        <w:fldChar w:fldCharType="separate"/>
      </w:r>
      <w:r w:rsidR="00B966DE">
        <w:rPr>
          <w:noProof/>
          <w:sz w:val="24"/>
          <w:szCs w:val="24"/>
        </w:rPr>
        <w:t>[6, 7]</w:t>
      </w:r>
      <w:r w:rsidR="00B966DE">
        <w:rPr>
          <w:sz w:val="24"/>
          <w:szCs w:val="24"/>
        </w:rPr>
        <w:fldChar w:fldCharType="end"/>
      </w:r>
      <w:r>
        <w:rPr>
          <w:noProof/>
          <w:sz w:val="24"/>
          <w:szCs w:val="24"/>
        </w:rPr>
        <w:t>.</w:t>
      </w:r>
      <w:r w:rsidRPr="004E2917">
        <w:rPr>
          <w:sz w:val="24"/>
          <w:szCs w:val="24"/>
        </w:rPr>
        <w:t xml:space="preserve">  This deviation in I:D versus homology is in general agreement with direct measurements of recombination rates between inverted </w:t>
      </w:r>
      <w:r w:rsidRPr="004E2917">
        <w:rPr>
          <w:i/>
          <w:sz w:val="24"/>
          <w:szCs w:val="24"/>
        </w:rPr>
        <w:t>Alu</w:t>
      </w:r>
      <w:r w:rsidRPr="004E2917">
        <w:rPr>
          <w:sz w:val="24"/>
          <w:szCs w:val="24"/>
        </w:rPr>
        <w:t xml:space="preserve"> elements in genetically engineered yeast experiments.  These experiments found that inverted </w:t>
      </w:r>
      <w:r w:rsidRPr="004E2917">
        <w:rPr>
          <w:i/>
          <w:sz w:val="24"/>
          <w:szCs w:val="24"/>
        </w:rPr>
        <w:t>Alu</w:t>
      </w:r>
      <w:r w:rsidRPr="004E2917">
        <w:rPr>
          <w:sz w:val="24"/>
          <w:szCs w:val="24"/>
        </w:rPr>
        <w:t xml:space="preserve"> recombination rates drop </w:t>
      </w:r>
      <w:r>
        <w:rPr>
          <w:sz w:val="24"/>
          <w:szCs w:val="24"/>
        </w:rPr>
        <w:t xml:space="preserve">by </w:t>
      </w:r>
      <w:r w:rsidRPr="004E2917">
        <w:rPr>
          <w:sz w:val="24"/>
          <w:szCs w:val="24"/>
        </w:rPr>
        <w:t>approximately an order of magnitude for each ten percent drop in homology</w:t>
      </w:r>
      <w:r>
        <w:rPr>
          <w:sz w:val="24"/>
          <w:szCs w:val="24"/>
        </w:rPr>
        <w:t xml:space="preserve"> </w:t>
      </w:r>
      <w:r w:rsidR="00B966DE">
        <w:rPr>
          <w:sz w:val="24"/>
          <w:szCs w:val="24"/>
        </w:rPr>
        <w:fldChar w:fldCharType="begin"/>
      </w:r>
      <w:r w:rsidR="00B966DE">
        <w:rPr>
          <w:sz w:val="24"/>
          <w:szCs w:val="24"/>
        </w:rPr>
        <w:instrText xml:space="preserve"> ADDIN EN.CITE &lt;EndNote&gt;&lt;Cite&gt;&lt;Author&gt;Lobachev&lt;/Author&gt;&lt;Year&gt;2000&lt;/Year&gt;&lt;RecNum&gt;44&lt;/RecNum&gt;&lt;DisplayText&gt;[8]&lt;/DisplayText&gt;&lt;record&gt;&lt;rec-number&gt;44&lt;/rec-number&gt;&lt;foreign-keys&gt;&lt;key app="EN" db-id="v05pvpxsopt5ttetfvypv5xsfsv0w0wz9dd0" timestamp="1548360042"&gt;44&lt;/key&gt;&lt;/foreign-keys&gt;&lt;ref-type name="Journal Article"&gt;17&lt;/ref-type&gt;&lt;contributors&gt;&lt;authors&gt;&lt;author&gt;Lobachev, Kirill S&lt;/author&gt;&lt;author&gt;Stenger, Judith E&lt;/author&gt;&lt;author&gt;Kozyreva, Olga G&lt;/author&gt;&lt;author&gt;Jurka, Jerzy&lt;/author&gt;&lt;author&gt;Gordenin, Dmitry A&lt;/author&gt;&lt;author&gt;Resnick, Michael A &lt;/author&gt;&lt;/authors&gt;&lt;/contributors&gt;&lt;titles&gt;&lt;title&gt;Inverted Alu repeats unstable in yeast are excluded from the human genome&lt;/title&gt;&lt;secondary-title&gt;The EMBO Journal&lt;/secondary-title&gt;&lt;/titles&gt;&lt;periodical&gt;&lt;full-title&gt;The EMBO journal&lt;/full-title&gt;&lt;/periodical&gt;&lt;pages&gt;3822-3830&lt;/pages&gt;&lt;volume&gt;19&lt;/volume&gt;&lt;number&gt;14&lt;/number&gt;&lt;dates&gt;&lt;year&gt;2000&lt;/year&gt;&lt;/dates&gt;&lt;isbn&gt;0261-4189&lt;/isbn&gt;&lt;urls&gt;&lt;/urls&gt;&lt;/record&gt;&lt;/Cite&gt;&lt;/EndNote&gt;</w:instrText>
      </w:r>
      <w:r w:rsidR="00B966DE">
        <w:rPr>
          <w:sz w:val="24"/>
          <w:szCs w:val="24"/>
        </w:rPr>
        <w:fldChar w:fldCharType="separate"/>
      </w:r>
      <w:r w:rsidR="00B966DE">
        <w:rPr>
          <w:noProof/>
          <w:sz w:val="24"/>
          <w:szCs w:val="24"/>
        </w:rPr>
        <w:t>[8]</w:t>
      </w:r>
      <w:r w:rsidR="00B966DE">
        <w:rPr>
          <w:sz w:val="24"/>
          <w:szCs w:val="24"/>
        </w:rPr>
        <w:fldChar w:fldCharType="end"/>
      </w:r>
      <w:r w:rsidRPr="004E2917">
        <w:rPr>
          <w:sz w:val="24"/>
          <w:szCs w:val="24"/>
        </w:rPr>
        <w:t>.  S</w:t>
      </w:r>
      <w:r>
        <w:rPr>
          <w:sz w:val="24"/>
          <w:szCs w:val="24"/>
        </w:rPr>
        <w:t>3</w:t>
      </w:r>
      <w:r w:rsidR="00886264">
        <w:rPr>
          <w:sz w:val="24"/>
          <w:szCs w:val="24"/>
        </w:rPr>
        <w:t xml:space="preserve"> Fig</w:t>
      </w:r>
      <w:r w:rsidRPr="004E2917">
        <w:rPr>
          <w:sz w:val="24"/>
          <w:szCs w:val="24"/>
        </w:rPr>
        <w:t xml:space="preserve"> is adapted from this original work. This </w:t>
      </w:r>
      <w:proofErr w:type="gramStart"/>
      <w:r w:rsidRPr="004E2917">
        <w:rPr>
          <w:sz w:val="24"/>
          <w:szCs w:val="24"/>
        </w:rPr>
        <w:t>drop in</w:t>
      </w:r>
      <w:proofErr w:type="gramEnd"/>
      <w:r w:rsidRPr="004E2917">
        <w:rPr>
          <w:sz w:val="24"/>
          <w:szCs w:val="24"/>
        </w:rPr>
        <w:t xml:space="preserve"> recombination rate</w:t>
      </w:r>
      <w:r>
        <w:rPr>
          <w:sz w:val="24"/>
          <w:szCs w:val="24"/>
        </w:rPr>
        <w:t>,</w:t>
      </w:r>
      <w:r w:rsidRPr="004E2917">
        <w:rPr>
          <w:sz w:val="24"/>
          <w:szCs w:val="24"/>
        </w:rPr>
        <w:t xml:space="preserve"> with decreasing inverted </w:t>
      </w:r>
      <w:r w:rsidRPr="004E2917">
        <w:rPr>
          <w:i/>
          <w:sz w:val="24"/>
          <w:szCs w:val="24"/>
        </w:rPr>
        <w:t>Alu</w:t>
      </w:r>
      <w:r w:rsidRPr="004E2917">
        <w:rPr>
          <w:sz w:val="24"/>
          <w:szCs w:val="24"/>
        </w:rPr>
        <w:t xml:space="preserve"> homology</w:t>
      </w:r>
      <w:r>
        <w:rPr>
          <w:sz w:val="24"/>
          <w:szCs w:val="24"/>
        </w:rPr>
        <w:t>,</w:t>
      </w:r>
      <w:r w:rsidRPr="004E2917">
        <w:rPr>
          <w:sz w:val="24"/>
          <w:szCs w:val="24"/>
        </w:rPr>
        <w:t xml:space="preserve"> is consistent with the observed lower I:D deviation from unity </w:t>
      </w:r>
      <w:r>
        <w:rPr>
          <w:sz w:val="24"/>
          <w:szCs w:val="24"/>
        </w:rPr>
        <w:t>in inverted human</w:t>
      </w:r>
      <w:r w:rsidRPr="004E2917">
        <w:rPr>
          <w:sz w:val="24"/>
          <w:szCs w:val="24"/>
        </w:rPr>
        <w:t xml:space="preserve"> MIR elements</w:t>
      </w:r>
      <w:r>
        <w:rPr>
          <w:sz w:val="24"/>
          <w:szCs w:val="24"/>
        </w:rPr>
        <w:t xml:space="preserve"> discussed above</w:t>
      </w:r>
      <w:r w:rsidRPr="004E2917">
        <w:rPr>
          <w:sz w:val="24"/>
          <w:szCs w:val="24"/>
        </w:rPr>
        <w:t xml:space="preserve">. Using these two observations, the instability model used in this study does not consider inverted sequence homologies of less than 60% </w:t>
      </w:r>
      <w:r w:rsidR="00BF224F">
        <w:rPr>
          <w:sz w:val="24"/>
          <w:szCs w:val="24"/>
        </w:rPr>
        <w:t>as lower homology interactions should make</w:t>
      </w:r>
      <w:r>
        <w:rPr>
          <w:sz w:val="24"/>
          <w:szCs w:val="24"/>
        </w:rPr>
        <w:t xml:space="preserve"> an</w:t>
      </w:r>
      <w:r w:rsidRPr="004E2917">
        <w:rPr>
          <w:sz w:val="24"/>
          <w:szCs w:val="24"/>
        </w:rPr>
        <w:t xml:space="preserve"> insignificant contribution to genome instability (S</w:t>
      </w:r>
      <w:r>
        <w:rPr>
          <w:sz w:val="24"/>
          <w:szCs w:val="24"/>
        </w:rPr>
        <w:t>3</w:t>
      </w:r>
      <w:r w:rsidR="00492959">
        <w:rPr>
          <w:sz w:val="24"/>
          <w:szCs w:val="24"/>
        </w:rPr>
        <w:t xml:space="preserve"> Fig</w:t>
      </w:r>
      <w:r w:rsidRPr="004E2917">
        <w:rPr>
          <w:sz w:val="24"/>
          <w:szCs w:val="24"/>
        </w:rPr>
        <w:t xml:space="preserve">).  Therefore, inverse complements to the 15 base pair </w:t>
      </w:r>
      <w:r w:rsidRPr="004E2917">
        <w:rPr>
          <w:i/>
          <w:sz w:val="24"/>
          <w:szCs w:val="24"/>
        </w:rPr>
        <w:t>EGFR</w:t>
      </w:r>
      <w:r w:rsidRPr="004E2917">
        <w:rPr>
          <w:sz w:val="24"/>
          <w:szCs w:val="24"/>
        </w:rPr>
        <w:t xml:space="preserve"> exon 19 canonical deletion were limited to a maximum of 6 mismatches (60% homology).</w:t>
      </w:r>
      <w:r>
        <w:rPr>
          <w:sz w:val="24"/>
          <w:szCs w:val="24"/>
        </w:rPr>
        <w:t xml:space="preserve"> </w:t>
      </w:r>
    </w:p>
    <w:p w14:paraId="346B3121" w14:textId="77777777" w:rsidR="005F3C49" w:rsidRDefault="005F3C49" w:rsidP="007F5195">
      <w:pPr>
        <w:spacing w:after="0" w:line="480" w:lineRule="auto"/>
        <w:jc w:val="both"/>
        <w:rPr>
          <w:b/>
          <w:i/>
          <w:color w:val="000000" w:themeColor="text1"/>
          <w:sz w:val="24"/>
          <w:szCs w:val="24"/>
        </w:rPr>
      </w:pPr>
      <w:bookmarkStart w:id="1" w:name="_Hlk536429986"/>
    </w:p>
    <w:p w14:paraId="3EA76874" w14:textId="77777777" w:rsidR="00362A00" w:rsidRDefault="00362A00" w:rsidP="007F5195">
      <w:pPr>
        <w:spacing w:after="0" w:line="480" w:lineRule="auto"/>
        <w:jc w:val="both"/>
        <w:rPr>
          <w:b/>
          <w:i/>
          <w:color w:val="000000" w:themeColor="text1"/>
          <w:sz w:val="24"/>
          <w:szCs w:val="24"/>
        </w:rPr>
      </w:pPr>
    </w:p>
    <w:p w14:paraId="535963A8" w14:textId="77777777" w:rsidR="00362A00" w:rsidRDefault="00362A00" w:rsidP="00D85E36">
      <w:pPr>
        <w:spacing w:after="0" w:line="480" w:lineRule="auto"/>
        <w:rPr>
          <w:b/>
          <w:i/>
          <w:color w:val="000000" w:themeColor="text1"/>
          <w:sz w:val="24"/>
          <w:szCs w:val="24"/>
        </w:rPr>
      </w:pPr>
    </w:p>
    <w:p w14:paraId="0F48983B" w14:textId="375F0541" w:rsidR="00D85E36" w:rsidRPr="004F389D" w:rsidRDefault="00D85E36" w:rsidP="00D85E36">
      <w:pPr>
        <w:spacing w:after="0" w:line="480" w:lineRule="auto"/>
        <w:rPr>
          <w:b/>
          <w:color w:val="000000" w:themeColor="text1"/>
          <w:sz w:val="28"/>
          <w:szCs w:val="28"/>
        </w:rPr>
      </w:pPr>
      <w:r w:rsidRPr="004F389D">
        <w:rPr>
          <w:b/>
          <w:color w:val="000000" w:themeColor="text1"/>
          <w:sz w:val="28"/>
          <w:szCs w:val="28"/>
        </w:rPr>
        <w:lastRenderedPageBreak/>
        <w:t>Motifs and Frequencies of EGFR Exon 19 Driver Mutations</w:t>
      </w:r>
      <w:bookmarkEnd w:id="1"/>
    </w:p>
    <w:p w14:paraId="6F04CFB8" w14:textId="7D18F485" w:rsidR="00D85E36" w:rsidRPr="00D22F83" w:rsidRDefault="00D85E36" w:rsidP="007F5195">
      <w:pPr>
        <w:spacing w:after="0" w:line="480" w:lineRule="auto"/>
        <w:jc w:val="both"/>
        <w:rPr>
          <w:sz w:val="24"/>
          <w:szCs w:val="24"/>
        </w:rPr>
      </w:pPr>
      <w:r w:rsidRPr="00D22F83">
        <w:rPr>
          <w:sz w:val="24"/>
          <w:szCs w:val="24"/>
        </w:rPr>
        <w:t xml:space="preserve">Most, if not all, tumors containing </w:t>
      </w:r>
      <w:r w:rsidRPr="003E1FD7">
        <w:rPr>
          <w:i/>
          <w:sz w:val="24"/>
          <w:szCs w:val="24"/>
        </w:rPr>
        <w:t>EGFR</w:t>
      </w:r>
      <w:r w:rsidRPr="00D22F83">
        <w:rPr>
          <w:sz w:val="24"/>
          <w:szCs w:val="24"/>
        </w:rPr>
        <w:t xml:space="preserve"> exon</w:t>
      </w:r>
      <w:r>
        <w:rPr>
          <w:sz w:val="24"/>
          <w:szCs w:val="24"/>
        </w:rPr>
        <w:t xml:space="preserve"> 19 damage</w:t>
      </w:r>
      <w:r w:rsidRPr="00D22F83">
        <w:rPr>
          <w:sz w:val="24"/>
          <w:szCs w:val="24"/>
        </w:rPr>
        <w:t xml:space="preserve"> </w:t>
      </w:r>
      <w:r>
        <w:rPr>
          <w:sz w:val="24"/>
          <w:szCs w:val="24"/>
        </w:rPr>
        <w:t>are</w:t>
      </w:r>
      <w:r w:rsidRPr="00D22F83">
        <w:rPr>
          <w:sz w:val="24"/>
          <w:szCs w:val="24"/>
        </w:rPr>
        <w:t xml:space="preserve"> in-frame </w:t>
      </w:r>
      <w:r>
        <w:rPr>
          <w:sz w:val="24"/>
          <w:szCs w:val="24"/>
        </w:rPr>
        <w:t xml:space="preserve">deletions </w:t>
      </w:r>
      <w:r w:rsidR="00B966DE">
        <w:rPr>
          <w:sz w:val="24"/>
          <w:szCs w:val="24"/>
        </w:rPr>
        <w:fldChar w:fldCharType="begin"/>
      </w:r>
      <w:r w:rsidR="00B966DE">
        <w:rPr>
          <w:sz w:val="24"/>
          <w:szCs w:val="24"/>
        </w:rPr>
        <w:instrText xml:space="preserve"> ADDIN EN.CITE &lt;EndNote&gt;&lt;Cite&gt;&lt;Author&gt;Schrock&lt;/Author&gt;&lt;Year&gt;2016&lt;/Year&gt;&lt;RecNum&gt;55&lt;/RecNum&gt;&lt;DisplayText&gt;[9]&lt;/DisplayText&gt;&lt;record&gt;&lt;rec-number&gt;55&lt;/rec-number&gt;&lt;foreign-keys&gt;&lt;key app="EN" db-id="v05pvpxsopt5ttetfvypv5xsfsv0w0wz9dd0" timestamp="1548360300"&gt;55&lt;/key&gt;&lt;/foreign-keys&gt;&lt;ref-type name="Journal Article"&gt;17&lt;/ref-type&gt;&lt;contributors&gt;&lt;authors&gt;&lt;author&gt;Schrock, Alexa B&lt;/author&gt;&lt;author&gt;Frampton, Garrett M&lt;/author&gt;&lt;author&gt;Herndon, Dana&lt;/author&gt;&lt;author&gt;Greenbowe, Joel&lt;/author&gt;&lt;author&gt;Wang, Kai&lt;/author&gt;&lt;author&gt;Lipson, Doron&lt;/author&gt;&lt;author&gt;Yelensky, Roman&lt;/author&gt;&lt;author&gt;Chalmers, Zachary&lt;/author&gt;&lt;author&gt;Chmielecki, Juliann&lt;/author&gt;&lt;author&gt;Elvin, Julia A &lt;/author&gt;&lt;/authors&gt;&lt;/contributors&gt;&lt;titles&gt;&lt;title&gt;Comprehensive genomic profiling identifies frequent drug sensitive EGFR exon 19 deletions in NSCLC not identified by prior molecular testing&lt;/title&gt;&lt;secondary-title&gt;Clinical Cancer Research&lt;/secondary-title&gt;&lt;/titles&gt;&lt;periodical&gt;&lt;full-title&gt;Clinical cancer research&lt;/full-title&gt;&lt;/periodical&gt;&lt;pages&gt;clincanres. 1668.2015&lt;/pages&gt;&lt;dates&gt;&lt;year&gt;2016&lt;/year&gt;&lt;/dates&gt;&lt;isbn&gt;1078-0432&lt;/isbn&gt;&lt;urls&gt;&lt;/urls&gt;&lt;/record&gt;&lt;/Cite&gt;&lt;/EndNote&gt;</w:instrText>
      </w:r>
      <w:r w:rsidR="00B966DE">
        <w:rPr>
          <w:sz w:val="24"/>
          <w:szCs w:val="24"/>
        </w:rPr>
        <w:fldChar w:fldCharType="separate"/>
      </w:r>
      <w:r w:rsidR="00B966DE">
        <w:rPr>
          <w:noProof/>
          <w:sz w:val="24"/>
          <w:szCs w:val="24"/>
        </w:rPr>
        <w:t>[9]</w:t>
      </w:r>
      <w:r w:rsidR="00B966DE">
        <w:rPr>
          <w:sz w:val="24"/>
          <w:szCs w:val="24"/>
        </w:rPr>
        <w:fldChar w:fldCharType="end"/>
      </w:r>
      <w:r w:rsidRPr="00D22F83">
        <w:rPr>
          <w:sz w:val="24"/>
          <w:szCs w:val="24"/>
        </w:rPr>
        <w:t>.  Th</w:t>
      </w:r>
      <w:r>
        <w:rPr>
          <w:sz w:val="24"/>
          <w:szCs w:val="24"/>
        </w:rPr>
        <w:t>e</w:t>
      </w:r>
      <w:r w:rsidRPr="00D22F83">
        <w:rPr>
          <w:sz w:val="24"/>
          <w:szCs w:val="24"/>
        </w:rPr>
        <w:t xml:space="preserve"> paucity of out-of-frame repairs at this locus suggests that the </w:t>
      </w:r>
      <w:r w:rsidRPr="00D22F83">
        <w:rPr>
          <w:i/>
          <w:sz w:val="24"/>
          <w:szCs w:val="24"/>
        </w:rPr>
        <w:t>EGFR</w:t>
      </w:r>
      <w:r w:rsidRPr="00D22F83">
        <w:rPr>
          <w:sz w:val="24"/>
          <w:szCs w:val="24"/>
        </w:rPr>
        <w:t xml:space="preserve"> driver protein requires in-frame </w:t>
      </w:r>
      <w:r>
        <w:rPr>
          <w:sz w:val="24"/>
          <w:szCs w:val="24"/>
        </w:rPr>
        <w:t xml:space="preserve">DNA </w:t>
      </w:r>
      <w:r w:rsidRPr="00D22F83">
        <w:rPr>
          <w:sz w:val="24"/>
          <w:szCs w:val="24"/>
        </w:rPr>
        <w:t>repair. Further</w:t>
      </w:r>
      <w:r>
        <w:rPr>
          <w:sz w:val="24"/>
          <w:szCs w:val="24"/>
        </w:rPr>
        <w:t>more</w:t>
      </w:r>
      <w:r w:rsidRPr="00D22F83">
        <w:rPr>
          <w:sz w:val="24"/>
          <w:szCs w:val="24"/>
        </w:rPr>
        <w:t>, many cells with th</w:t>
      </w:r>
      <w:r w:rsidR="00BF224F">
        <w:rPr>
          <w:sz w:val="24"/>
          <w:szCs w:val="24"/>
        </w:rPr>
        <w:t>e</w:t>
      </w:r>
      <w:r w:rsidRPr="00D22F83">
        <w:rPr>
          <w:sz w:val="24"/>
          <w:szCs w:val="24"/>
        </w:rPr>
        <w:t xml:space="preserve"> canonical deletion may not </w:t>
      </w:r>
      <w:r>
        <w:rPr>
          <w:sz w:val="24"/>
          <w:szCs w:val="24"/>
        </w:rPr>
        <w:t>obtain</w:t>
      </w:r>
      <w:r w:rsidRPr="00D22F83">
        <w:rPr>
          <w:sz w:val="24"/>
          <w:szCs w:val="24"/>
        </w:rPr>
        <w:t xml:space="preserve"> the necessary complement of </w:t>
      </w:r>
      <w:r w:rsidR="00BF224F">
        <w:rPr>
          <w:sz w:val="24"/>
          <w:szCs w:val="24"/>
        </w:rPr>
        <w:t xml:space="preserve">necessary </w:t>
      </w:r>
      <w:r w:rsidRPr="00D22F83">
        <w:rPr>
          <w:sz w:val="24"/>
          <w:szCs w:val="24"/>
        </w:rPr>
        <w:t>mutations to acquire the cancer phenotype</w:t>
      </w:r>
      <w:r>
        <w:rPr>
          <w:sz w:val="24"/>
          <w:szCs w:val="24"/>
        </w:rPr>
        <w:t xml:space="preserve"> </w:t>
      </w:r>
      <w:r w:rsidR="00B966DE">
        <w:rPr>
          <w:sz w:val="24"/>
          <w:szCs w:val="24"/>
        </w:rPr>
        <w:fldChar w:fldCharType="begin"/>
      </w:r>
      <w:r w:rsidR="00B966DE">
        <w:rPr>
          <w:sz w:val="24"/>
          <w:szCs w:val="24"/>
        </w:rPr>
        <w:instrText xml:space="preserve"> ADDIN EN.CITE &lt;EndNote&gt;&lt;Cite&gt;&lt;Author&gt;Hanahan&lt;/Author&gt;&lt;Year&gt;2000&lt;/Year&gt;&lt;RecNum&gt;22&lt;/RecNum&gt;&lt;DisplayText&gt;[10, 11]&lt;/DisplayText&gt;&lt;record&gt;&lt;rec-number&gt;22&lt;/rec-number&gt;&lt;foreign-keys&gt;&lt;key app="EN" db-id="v05pvpxsopt5ttetfvypv5xsfsv0w0wz9dd0" timestamp="1548351760"&gt;22&lt;/key&gt;&lt;/foreign-keys&gt;&lt;ref-type name="Journal Article"&gt;17&lt;/ref-type&gt;&lt;contributors&gt;&lt;authors&gt;&lt;author&gt;Hanahan, Douglas&lt;/author&gt;&lt;author&gt;Weinberg, Robert A &lt;/author&gt;&lt;/authors&gt;&lt;/contributors&gt;&lt;titles&gt;&lt;title&gt;The hallmarks of cancer&lt;/title&gt;&lt;secondary-title&gt;Cell&lt;/secondary-title&gt;&lt;/titles&gt;&lt;periodical&gt;&lt;full-title&gt;Cell&lt;/full-title&gt;&lt;/periodical&gt;&lt;pages&gt;57-70&lt;/pages&gt;&lt;volume&gt;100&lt;/volume&gt;&lt;number&gt;1&lt;/number&gt;&lt;dates&gt;&lt;year&gt;2000&lt;/year&gt;&lt;/dates&gt;&lt;isbn&gt;0092-8674&lt;/isbn&gt;&lt;urls&gt;&lt;/urls&gt;&lt;/record&gt;&lt;/Cite&gt;&lt;Cite&gt;&lt;Author&gt;Hanahan&lt;/Author&gt;&lt;Year&gt;2011&lt;/Year&gt;&lt;RecNum&gt;23&lt;/RecNum&gt;&lt;record&gt;&lt;rec-number&gt;23&lt;/rec-number&gt;&lt;foreign-keys&gt;&lt;key app="EN" db-id="v05pvpxsopt5ttetfvypv5xsfsv0w0wz9dd0" timestamp="1548351783"&gt;23&lt;/key&gt;&lt;/foreign-keys&gt;&lt;ref-type name="Journal Article"&gt;17&lt;/ref-type&gt;&lt;contributors&gt;&lt;authors&gt;&lt;author&gt;Hanahan, Douglas&lt;/author&gt;&lt;author&gt;Weinberg, Robert A &lt;/author&gt;&lt;/authors&gt;&lt;/contributors&gt;&lt;titles&gt;&lt;title&gt;Hallmarks of cancer: the next generation&lt;/title&gt;&lt;secondary-title&gt;Cell&lt;/secondary-title&gt;&lt;/titles&gt;&lt;periodical&gt;&lt;full-title&gt;Cell&lt;/full-title&gt;&lt;/periodical&gt;&lt;pages&gt;646-674&lt;/pages&gt;&lt;volume&gt;144&lt;/volume&gt;&lt;number&gt;5&lt;/number&gt;&lt;dates&gt;&lt;year&gt;2011&lt;/year&gt;&lt;/dates&gt;&lt;isbn&gt;0092-8674&lt;/isbn&gt;&lt;urls&gt;&lt;/urls&gt;&lt;/record&gt;&lt;/Cite&gt;&lt;/EndNote&gt;</w:instrText>
      </w:r>
      <w:r w:rsidR="00B966DE">
        <w:rPr>
          <w:sz w:val="24"/>
          <w:szCs w:val="24"/>
        </w:rPr>
        <w:fldChar w:fldCharType="separate"/>
      </w:r>
      <w:r w:rsidR="00B966DE">
        <w:rPr>
          <w:noProof/>
          <w:sz w:val="24"/>
          <w:szCs w:val="24"/>
        </w:rPr>
        <w:t>[10, 11]</w:t>
      </w:r>
      <w:r w:rsidR="00B966DE">
        <w:rPr>
          <w:sz w:val="24"/>
          <w:szCs w:val="24"/>
        </w:rPr>
        <w:fldChar w:fldCharType="end"/>
      </w:r>
      <w:r w:rsidRPr="00D22F83">
        <w:rPr>
          <w:sz w:val="24"/>
          <w:szCs w:val="24"/>
        </w:rPr>
        <w:t xml:space="preserve">. </w:t>
      </w:r>
      <w:r>
        <w:rPr>
          <w:sz w:val="24"/>
          <w:szCs w:val="24"/>
        </w:rPr>
        <w:t xml:space="preserve"> </w:t>
      </w:r>
      <w:r w:rsidRPr="00D22F83">
        <w:rPr>
          <w:sz w:val="24"/>
          <w:szCs w:val="24"/>
        </w:rPr>
        <w:t xml:space="preserve">Additionally, other occurrences of the canonical deletion may have acquired the phenotype, but not have clonally expanded to the point where a tumor is detected before death </w:t>
      </w:r>
      <w:r>
        <w:rPr>
          <w:sz w:val="24"/>
          <w:szCs w:val="24"/>
        </w:rPr>
        <w:t xml:space="preserve">occurs </w:t>
      </w:r>
      <w:r w:rsidRPr="00D22F83">
        <w:rPr>
          <w:sz w:val="24"/>
          <w:szCs w:val="24"/>
        </w:rPr>
        <w:t xml:space="preserve">by other causes. </w:t>
      </w:r>
    </w:p>
    <w:p w14:paraId="6412DAC7" w14:textId="3C65C95C" w:rsidR="00D85E36" w:rsidRDefault="00D85E36" w:rsidP="00E308DF">
      <w:pPr>
        <w:tabs>
          <w:tab w:val="right" w:pos="1260"/>
          <w:tab w:val="center" w:pos="3600"/>
          <w:tab w:val="center" w:pos="6120"/>
          <w:tab w:val="center" w:pos="8190"/>
        </w:tabs>
        <w:spacing w:after="0" w:line="240" w:lineRule="auto"/>
        <w:jc w:val="center"/>
        <w:rPr>
          <w:b/>
          <w:sz w:val="28"/>
          <w:szCs w:val="28"/>
        </w:rPr>
      </w:pPr>
      <w:bookmarkStart w:id="2" w:name="Discussion1_LUAD_Phenotype_Very_Rare"/>
      <w:bookmarkStart w:id="3" w:name="Discussion2_Duplication_2_DJs_from_Forks"/>
      <w:bookmarkStart w:id="4" w:name="_GoBack"/>
      <w:bookmarkEnd w:id="2"/>
      <w:bookmarkEnd w:id="3"/>
      <w:r>
        <w:rPr>
          <w:b/>
          <w:sz w:val="28"/>
          <w:szCs w:val="28"/>
        </w:rPr>
        <w:t>S</w:t>
      </w:r>
      <w:r w:rsidRPr="004B455E">
        <w:rPr>
          <w:b/>
          <w:sz w:val="28"/>
          <w:szCs w:val="28"/>
        </w:rPr>
        <w:t>2</w:t>
      </w:r>
      <w:r w:rsidR="00886264">
        <w:rPr>
          <w:b/>
          <w:sz w:val="28"/>
          <w:szCs w:val="28"/>
        </w:rPr>
        <w:t xml:space="preserve"> Table</w:t>
      </w:r>
      <w:bookmarkEnd w:id="4"/>
    </w:p>
    <w:p w14:paraId="30296D32" w14:textId="77777777" w:rsidR="00290FCC" w:rsidRDefault="00290FCC" w:rsidP="00D85E36">
      <w:pPr>
        <w:spacing w:after="0" w:line="276" w:lineRule="auto"/>
        <w:rPr>
          <w:sz w:val="20"/>
          <w:szCs w:val="20"/>
        </w:rPr>
      </w:pPr>
    </w:p>
    <w:p w14:paraId="711A570D" w14:textId="77777777" w:rsidR="00290FCC" w:rsidRPr="00AF110F" w:rsidRDefault="00290FCC" w:rsidP="00D85E36">
      <w:pPr>
        <w:spacing w:after="0" w:line="276" w:lineRule="auto"/>
        <w:rPr>
          <w:sz w:val="20"/>
          <w:szCs w:val="20"/>
        </w:rPr>
      </w:pPr>
    </w:p>
    <w:p w14:paraId="44FD613C" w14:textId="77777777" w:rsidR="00D85E36" w:rsidRDefault="00D85E36" w:rsidP="00D85E36">
      <w:pPr>
        <w:spacing w:after="0" w:line="276" w:lineRule="auto"/>
        <w:rPr>
          <w:b/>
          <w:sz w:val="32"/>
          <w:szCs w:val="32"/>
        </w:rPr>
      </w:pPr>
    </w:p>
    <w:p w14:paraId="47881011" w14:textId="77777777" w:rsidR="00D85E36" w:rsidRDefault="00D85E36" w:rsidP="00D85E36">
      <w:pPr>
        <w:spacing w:after="0" w:line="276" w:lineRule="auto"/>
        <w:rPr>
          <w:b/>
          <w:sz w:val="32"/>
          <w:szCs w:val="32"/>
        </w:rPr>
      </w:pPr>
    </w:p>
    <w:p w14:paraId="04B282BC" w14:textId="77777777" w:rsidR="00D85E36" w:rsidRDefault="00D85E36" w:rsidP="00D85E36">
      <w:pPr>
        <w:spacing w:after="0" w:line="276" w:lineRule="auto"/>
        <w:rPr>
          <w:b/>
          <w:sz w:val="24"/>
          <w:szCs w:val="24"/>
        </w:rPr>
      </w:pPr>
    </w:p>
    <w:p w14:paraId="45E600B5" w14:textId="77777777" w:rsidR="00D85E36" w:rsidRPr="00D85E36" w:rsidRDefault="00D85E36" w:rsidP="00D85E36">
      <w:pPr>
        <w:pStyle w:val="EndNoteBibliography"/>
        <w:spacing w:after="0"/>
        <w:ind w:left="720" w:hanging="720"/>
        <w:rPr>
          <w:b/>
          <w:sz w:val="28"/>
          <w:szCs w:val="28"/>
        </w:rPr>
      </w:pPr>
      <w:r w:rsidRPr="00D85E36">
        <w:rPr>
          <w:b/>
          <w:sz w:val="28"/>
          <w:szCs w:val="28"/>
        </w:rPr>
        <w:t>References</w:t>
      </w:r>
    </w:p>
    <w:p w14:paraId="7DF54C8E" w14:textId="77777777" w:rsidR="00B966DE" w:rsidRDefault="00B966DE"/>
    <w:p w14:paraId="3CD2911A" w14:textId="77777777" w:rsidR="00B966DE" w:rsidRDefault="00B966DE"/>
    <w:p w14:paraId="085D91DB" w14:textId="77777777" w:rsidR="00B966DE" w:rsidRPr="00B966DE" w:rsidRDefault="00B966DE" w:rsidP="00B966DE">
      <w:pPr>
        <w:pStyle w:val="EndNoteBibliography"/>
        <w:spacing w:after="0"/>
      </w:pPr>
      <w:r>
        <w:fldChar w:fldCharType="begin"/>
      </w:r>
      <w:r>
        <w:instrText xml:space="preserve"> ADDIN EN.REFLIST </w:instrText>
      </w:r>
      <w:r>
        <w:fldChar w:fldCharType="separate"/>
      </w:r>
      <w:r w:rsidRPr="00B966DE">
        <w:t>1.</w:t>
      </w:r>
      <w:r w:rsidRPr="00B966DE">
        <w:tab/>
        <w:t>de Koning AJ, Gu W, Castoe TA, Batzer MA, Pollock DD. Repetitive elements may comprise over two-thirds of the human genome. PLoS Genetics. 2011;7(12):e1002384.</w:t>
      </w:r>
    </w:p>
    <w:p w14:paraId="6ED79157" w14:textId="77777777" w:rsidR="00B966DE" w:rsidRPr="00B966DE" w:rsidRDefault="00B966DE" w:rsidP="00B966DE">
      <w:pPr>
        <w:pStyle w:val="EndNoteBibliography"/>
        <w:spacing w:after="0"/>
      </w:pPr>
      <w:r w:rsidRPr="00B966DE">
        <w:t>2.</w:t>
      </w:r>
      <w:r w:rsidRPr="00B966DE">
        <w:tab/>
        <w:t>Deininger PL, Batzer MA. Alu repeats and human disease. Molecular Genetics Metabolism. 1999;67(3):183-93.</w:t>
      </w:r>
    </w:p>
    <w:p w14:paraId="2B10D646" w14:textId="77777777" w:rsidR="00B966DE" w:rsidRPr="00B966DE" w:rsidRDefault="00B966DE" w:rsidP="00B966DE">
      <w:pPr>
        <w:pStyle w:val="EndNoteBibliography"/>
        <w:spacing w:after="0"/>
      </w:pPr>
      <w:r w:rsidRPr="00B966DE">
        <w:t>3.</w:t>
      </w:r>
      <w:r w:rsidRPr="00B966DE">
        <w:tab/>
        <w:t>Hedges D, Deininger P. Inviting instability: transposable elements, double-strand breaks, and the maintenance of genome integrity. Mutation Research/Fundamental Molecular Mechanisms of Mutagenesis. 2007;616(1):46-59.</w:t>
      </w:r>
    </w:p>
    <w:p w14:paraId="09FBD095" w14:textId="77777777" w:rsidR="00B966DE" w:rsidRPr="00B966DE" w:rsidRDefault="00B966DE" w:rsidP="00B966DE">
      <w:pPr>
        <w:pStyle w:val="EndNoteBibliography"/>
        <w:spacing w:after="0"/>
      </w:pPr>
      <w:r w:rsidRPr="00B966DE">
        <w:t>4.</w:t>
      </w:r>
      <w:r w:rsidRPr="00B966DE">
        <w:tab/>
        <w:t>Cook GW, Konkel MK, Major JD, Walker JA, Han K, Batzer MA. Alu pair exclusions in the human genome. Mobile DNA. 2011;2(1):10.</w:t>
      </w:r>
    </w:p>
    <w:p w14:paraId="5F84ED44" w14:textId="77777777" w:rsidR="00B966DE" w:rsidRPr="00B966DE" w:rsidRDefault="00B966DE" w:rsidP="00B966DE">
      <w:pPr>
        <w:pStyle w:val="EndNoteBibliography"/>
        <w:spacing w:after="0"/>
      </w:pPr>
      <w:r w:rsidRPr="00B966DE">
        <w:t>5.</w:t>
      </w:r>
      <w:r w:rsidRPr="00B966DE">
        <w:tab/>
        <w:t>Cook GW, Konkel MK, Walker JA, Bourgeois MG, Fullerton ML, Fussell JT, et al. A comparison of 100 human genes using an alu element-based instability model. PLoS One. 2013;8(6):e65188.</w:t>
      </w:r>
    </w:p>
    <w:p w14:paraId="53B238E6" w14:textId="77777777" w:rsidR="00B966DE" w:rsidRPr="00B966DE" w:rsidRDefault="00B966DE" w:rsidP="00B966DE">
      <w:pPr>
        <w:pStyle w:val="EndNoteBibliography"/>
        <w:spacing w:after="0"/>
      </w:pPr>
      <w:r w:rsidRPr="00B966DE">
        <w:t>6.</w:t>
      </w:r>
      <w:r w:rsidRPr="00B966DE">
        <w:tab/>
        <w:t>Smit AF, Riggs AD. MIRs are classic, tRNA-derived SINEs that amplified before the mammalian radiation. Nucleic Acids Research. 1995;23(1):98-102.</w:t>
      </w:r>
    </w:p>
    <w:p w14:paraId="1F19036F" w14:textId="77777777" w:rsidR="00B966DE" w:rsidRPr="00B966DE" w:rsidRDefault="00B966DE" w:rsidP="00B966DE">
      <w:pPr>
        <w:pStyle w:val="EndNoteBibliography"/>
        <w:spacing w:after="0"/>
      </w:pPr>
      <w:r w:rsidRPr="00B966DE">
        <w:t>7.</w:t>
      </w:r>
      <w:r w:rsidRPr="00B966DE">
        <w:tab/>
        <w:t>Stenger JE, Lobachev KS, Gordenin D, Darden TA, Jurka J, Resnick MA. Biased distribution of inverted and direct Alus in the human genome: implications for insertion, exclusion, and genome stability. Genome Research. 2001;11(1):12-27.</w:t>
      </w:r>
    </w:p>
    <w:p w14:paraId="0777977A" w14:textId="77777777" w:rsidR="00B966DE" w:rsidRPr="00B966DE" w:rsidRDefault="00B966DE" w:rsidP="00B966DE">
      <w:pPr>
        <w:pStyle w:val="EndNoteBibliography"/>
        <w:spacing w:after="0"/>
      </w:pPr>
      <w:r w:rsidRPr="00B966DE">
        <w:t>8.</w:t>
      </w:r>
      <w:r w:rsidRPr="00B966DE">
        <w:tab/>
        <w:t>Lobachev KS, Stenger JE, Kozyreva OG, Jurka J, Gordenin DA, Resnick MA. Inverted Alu repeats unstable in yeast are excluded from the human genome. The EMBO Journal. 2000;19(14):3822-30.</w:t>
      </w:r>
    </w:p>
    <w:p w14:paraId="03DDDCFE" w14:textId="77777777" w:rsidR="00B966DE" w:rsidRPr="00B966DE" w:rsidRDefault="00B966DE" w:rsidP="00B966DE">
      <w:pPr>
        <w:pStyle w:val="EndNoteBibliography"/>
        <w:spacing w:after="0"/>
      </w:pPr>
      <w:r w:rsidRPr="00B966DE">
        <w:lastRenderedPageBreak/>
        <w:t>9.</w:t>
      </w:r>
      <w:r w:rsidRPr="00B966DE">
        <w:tab/>
        <w:t>Schrock AB, Frampton GM, Herndon D, Greenbowe J, Wang K, Lipson D, et al. Comprehensive genomic profiling identifies frequent drug sensitive EGFR exon 19 deletions in NSCLC not identified by prior molecular testing. Clinical Cancer Research. 2016:clincanres. 1668.2015.</w:t>
      </w:r>
    </w:p>
    <w:p w14:paraId="7BD72530" w14:textId="77777777" w:rsidR="00B966DE" w:rsidRPr="00B966DE" w:rsidRDefault="00B966DE" w:rsidP="00B966DE">
      <w:pPr>
        <w:pStyle w:val="EndNoteBibliography"/>
        <w:spacing w:after="0"/>
      </w:pPr>
      <w:r w:rsidRPr="00B966DE">
        <w:t>10.</w:t>
      </w:r>
      <w:r w:rsidRPr="00B966DE">
        <w:tab/>
        <w:t>Hanahan D, Weinberg RA. The hallmarks of cancer. Cell. 2000;100(1):57-70.</w:t>
      </w:r>
    </w:p>
    <w:p w14:paraId="35B82ED4" w14:textId="77777777" w:rsidR="00B966DE" w:rsidRPr="00B966DE" w:rsidRDefault="00B966DE" w:rsidP="00B966DE">
      <w:pPr>
        <w:pStyle w:val="EndNoteBibliography"/>
        <w:spacing w:after="0"/>
      </w:pPr>
      <w:r w:rsidRPr="00B966DE">
        <w:t>11.</w:t>
      </w:r>
      <w:r w:rsidRPr="00B966DE">
        <w:tab/>
        <w:t>Hanahan D, Weinberg RA. Hallmarks of cancer: the next generation. Cell. 2011;144(5):646-74.</w:t>
      </w:r>
    </w:p>
    <w:p w14:paraId="11D0F999" w14:textId="77777777" w:rsidR="00B966DE" w:rsidRPr="00B966DE" w:rsidRDefault="00B966DE" w:rsidP="00B966DE">
      <w:pPr>
        <w:pStyle w:val="EndNoteBibliography"/>
        <w:spacing w:after="0"/>
      </w:pPr>
      <w:r w:rsidRPr="00B966DE">
        <w:t>12.</w:t>
      </w:r>
      <w:r w:rsidRPr="00B966DE">
        <w:tab/>
        <w:t>Mandal PK, Kazazian HH. SnapShot: vertebrate transposons. Cell. 2008;135(1):192-. e1.</w:t>
      </w:r>
    </w:p>
    <w:p w14:paraId="289F3C18" w14:textId="77777777" w:rsidR="00B966DE" w:rsidRPr="00B966DE" w:rsidRDefault="00B966DE" w:rsidP="00B966DE">
      <w:pPr>
        <w:pStyle w:val="EndNoteBibliography"/>
      </w:pPr>
      <w:r w:rsidRPr="00B966DE">
        <w:t>13.</w:t>
      </w:r>
      <w:r w:rsidRPr="00B966DE">
        <w:tab/>
        <w:t>Batzer MA, Deininger PL. Alu repeats and human genomic diversity. Nature Reviews Genetics. 2002;3:370. doi: 10.1038/nrg798.</w:t>
      </w:r>
    </w:p>
    <w:p w14:paraId="326AA0A6" w14:textId="4E337F16" w:rsidR="00821C66" w:rsidRDefault="00B966DE">
      <w:r>
        <w:fldChar w:fldCharType="end"/>
      </w:r>
    </w:p>
    <w:sectPr w:rsidR="00821C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A333D" w14:textId="77777777" w:rsidR="000B1690" w:rsidRDefault="000B1690" w:rsidP="007F5195">
      <w:pPr>
        <w:spacing w:after="0" w:line="240" w:lineRule="auto"/>
      </w:pPr>
      <w:r>
        <w:separator/>
      </w:r>
    </w:p>
  </w:endnote>
  <w:endnote w:type="continuationSeparator" w:id="0">
    <w:p w14:paraId="16FD07C6" w14:textId="77777777" w:rsidR="000B1690" w:rsidRDefault="000B1690" w:rsidP="007F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946548"/>
      <w:docPartObj>
        <w:docPartGallery w:val="Page Numbers (Bottom of Page)"/>
        <w:docPartUnique/>
      </w:docPartObj>
    </w:sdtPr>
    <w:sdtEndPr>
      <w:rPr>
        <w:noProof/>
      </w:rPr>
    </w:sdtEndPr>
    <w:sdtContent>
      <w:p w14:paraId="223A6C96" w14:textId="08B20CF2" w:rsidR="007F5195" w:rsidRDefault="007F5195">
        <w:pPr>
          <w:pStyle w:val="Footer"/>
          <w:jc w:val="center"/>
        </w:pPr>
        <w:r>
          <w:t>S</w:t>
        </w:r>
        <w:r>
          <w:fldChar w:fldCharType="begin"/>
        </w:r>
        <w:r>
          <w:instrText xml:space="preserve"> PAGE   \* MERGEFORMAT </w:instrText>
        </w:r>
        <w:r>
          <w:fldChar w:fldCharType="separate"/>
        </w:r>
        <w:r w:rsidR="00DB009F">
          <w:rPr>
            <w:noProof/>
          </w:rPr>
          <w:t>4</w:t>
        </w:r>
        <w:r>
          <w:rPr>
            <w:noProof/>
          </w:rPr>
          <w:fldChar w:fldCharType="end"/>
        </w:r>
      </w:p>
    </w:sdtContent>
  </w:sdt>
  <w:p w14:paraId="6DD347AB" w14:textId="77777777" w:rsidR="007F5195" w:rsidRDefault="007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743C" w14:textId="77777777" w:rsidR="000B1690" w:rsidRDefault="000B1690" w:rsidP="007F5195">
      <w:pPr>
        <w:spacing w:after="0" w:line="240" w:lineRule="auto"/>
      </w:pPr>
      <w:r>
        <w:separator/>
      </w:r>
    </w:p>
  </w:footnote>
  <w:footnote w:type="continuationSeparator" w:id="0">
    <w:p w14:paraId="1C94F49D" w14:textId="77777777" w:rsidR="000B1690" w:rsidRDefault="000B1690" w:rsidP="007F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53B"/>
    <w:multiLevelType w:val="hybridMultilevel"/>
    <w:tmpl w:val="13CE0284"/>
    <w:lvl w:ilvl="0" w:tplc="FF7E2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5pvpxsopt5ttetfvypv5xsfsv0w0wz9dd0&quot;&gt;Cook et al 2019&lt;record-ids&gt;&lt;item&gt;2&lt;/item&gt;&lt;item&gt;7&lt;/item&gt;&lt;item&gt;8&lt;/item&gt;&lt;item&gt;10&lt;/item&gt;&lt;item&gt;22&lt;/item&gt;&lt;item&gt;23&lt;/item&gt;&lt;item&gt;26&lt;/item&gt;&lt;item&gt;44&lt;/item&gt;&lt;item&gt;48&lt;/item&gt;&lt;item&gt;55&lt;/item&gt;&lt;item&gt;61&lt;/item&gt;&lt;item&gt;65&lt;/item&gt;&lt;item&gt;85&lt;/item&gt;&lt;/record-ids&gt;&lt;/item&gt;&lt;/Libraries&gt;"/>
  </w:docVars>
  <w:rsids>
    <w:rsidRoot w:val="00D85E36"/>
    <w:rsid w:val="0006598A"/>
    <w:rsid w:val="000B1690"/>
    <w:rsid w:val="00140E45"/>
    <w:rsid w:val="0024336E"/>
    <w:rsid w:val="00244705"/>
    <w:rsid w:val="00290FCC"/>
    <w:rsid w:val="002B4615"/>
    <w:rsid w:val="00362A00"/>
    <w:rsid w:val="003F0AA8"/>
    <w:rsid w:val="004064AA"/>
    <w:rsid w:val="00492959"/>
    <w:rsid w:val="004D384F"/>
    <w:rsid w:val="004F389D"/>
    <w:rsid w:val="0051059A"/>
    <w:rsid w:val="00557860"/>
    <w:rsid w:val="00571D61"/>
    <w:rsid w:val="005F3C49"/>
    <w:rsid w:val="00680313"/>
    <w:rsid w:val="00744CFE"/>
    <w:rsid w:val="00750387"/>
    <w:rsid w:val="0076739C"/>
    <w:rsid w:val="00773941"/>
    <w:rsid w:val="007F5195"/>
    <w:rsid w:val="00821C66"/>
    <w:rsid w:val="008325F6"/>
    <w:rsid w:val="008522E6"/>
    <w:rsid w:val="00886264"/>
    <w:rsid w:val="00A65575"/>
    <w:rsid w:val="00B021F1"/>
    <w:rsid w:val="00B12B91"/>
    <w:rsid w:val="00B966DE"/>
    <w:rsid w:val="00BF224F"/>
    <w:rsid w:val="00BF53CD"/>
    <w:rsid w:val="00C033B6"/>
    <w:rsid w:val="00C337E4"/>
    <w:rsid w:val="00D523DC"/>
    <w:rsid w:val="00D634DF"/>
    <w:rsid w:val="00D85E36"/>
    <w:rsid w:val="00DB009F"/>
    <w:rsid w:val="00E308DF"/>
    <w:rsid w:val="00E76D44"/>
    <w:rsid w:val="00F9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7BC8"/>
  <w15:chartTrackingRefBased/>
  <w15:docId w15:val="{11B89226-EA7C-4BC6-A20D-ADCCB462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E36"/>
    <w:rPr>
      <w:rFonts w:ascii="Arial" w:hAnsi="Arial"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36"/>
    <w:pPr>
      <w:ind w:left="720"/>
      <w:contextualSpacing/>
    </w:pPr>
  </w:style>
  <w:style w:type="paragraph" w:customStyle="1" w:styleId="EndNoteBibliographyTitle">
    <w:name w:val="EndNote Bibliography Title"/>
    <w:basedOn w:val="Normal"/>
    <w:link w:val="EndNoteBibliographyTitleChar"/>
    <w:rsid w:val="00D85E36"/>
    <w:pPr>
      <w:spacing w:after="0"/>
      <w:jc w:val="center"/>
    </w:pPr>
    <w:rPr>
      <w:noProof/>
    </w:rPr>
  </w:style>
  <w:style w:type="character" w:customStyle="1" w:styleId="EndNoteBibliographyTitleChar">
    <w:name w:val="EndNote Bibliography Title Char"/>
    <w:basedOn w:val="DefaultParagraphFont"/>
    <w:link w:val="EndNoteBibliographyTitle"/>
    <w:rsid w:val="00D85E36"/>
    <w:rPr>
      <w:rFonts w:ascii="Arial" w:hAnsi="Arial" w:cs="Arial"/>
      <w:noProof/>
      <w:szCs w:val="21"/>
    </w:rPr>
  </w:style>
  <w:style w:type="paragraph" w:customStyle="1" w:styleId="EndNoteBibliography">
    <w:name w:val="EndNote Bibliography"/>
    <w:basedOn w:val="Normal"/>
    <w:link w:val="EndNoteBibliographyChar"/>
    <w:rsid w:val="00D85E36"/>
    <w:pPr>
      <w:spacing w:line="240" w:lineRule="auto"/>
    </w:pPr>
    <w:rPr>
      <w:noProof/>
    </w:rPr>
  </w:style>
  <w:style w:type="character" w:customStyle="1" w:styleId="EndNoteBibliographyChar">
    <w:name w:val="EndNote Bibliography Char"/>
    <w:basedOn w:val="DefaultParagraphFont"/>
    <w:link w:val="EndNoteBibliography"/>
    <w:rsid w:val="00D85E36"/>
    <w:rPr>
      <w:rFonts w:ascii="Arial" w:hAnsi="Arial" w:cs="Arial"/>
      <w:noProof/>
      <w:szCs w:val="21"/>
    </w:rPr>
  </w:style>
  <w:style w:type="character" w:styleId="CommentReference">
    <w:name w:val="annotation reference"/>
    <w:basedOn w:val="DefaultParagraphFont"/>
    <w:uiPriority w:val="99"/>
    <w:semiHidden/>
    <w:unhideWhenUsed/>
    <w:rsid w:val="005F3C49"/>
    <w:rPr>
      <w:sz w:val="16"/>
      <w:szCs w:val="16"/>
    </w:rPr>
  </w:style>
  <w:style w:type="paragraph" w:styleId="CommentText">
    <w:name w:val="annotation text"/>
    <w:basedOn w:val="Normal"/>
    <w:link w:val="CommentTextChar"/>
    <w:uiPriority w:val="99"/>
    <w:semiHidden/>
    <w:unhideWhenUsed/>
    <w:rsid w:val="005F3C49"/>
    <w:pPr>
      <w:spacing w:line="240" w:lineRule="auto"/>
    </w:pPr>
    <w:rPr>
      <w:sz w:val="20"/>
      <w:szCs w:val="20"/>
    </w:rPr>
  </w:style>
  <w:style w:type="character" w:customStyle="1" w:styleId="CommentTextChar">
    <w:name w:val="Comment Text Char"/>
    <w:basedOn w:val="DefaultParagraphFont"/>
    <w:link w:val="CommentText"/>
    <w:uiPriority w:val="99"/>
    <w:semiHidden/>
    <w:rsid w:val="005F3C4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F3C49"/>
    <w:rPr>
      <w:b/>
      <w:bCs/>
    </w:rPr>
  </w:style>
  <w:style w:type="character" w:customStyle="1" w:styleId="CommentSubjectChar">
    <w:name w:val="Comment Subject Char"/>
    <w:basedOn w:val="CommentTextChar"/>
    <w:link w:val="CommentSubject"/>
    <w:uiPriority w:val="99"/>
    <w:semiHidden/>
    <w:rsid w:val="005F3C49"/>
    <w:rPr>
      <w:rFonts w:ascii="Arial" w:hAnsi="Arial" w:cs="Arial"/>
      <w:b/>
      <w:bCs/>
      <w:sz w:val="20"/>
      <w:szCs w:val="20"/>
    </w:rPr>
  </w:style>
  <w:style w:type="paragraph" w:styleId="BalloonText">
    <w:name w:val="Balloon Text"/>
    <w:basedOn w:val="Normal"/>
    <w:link w:val="BalloonTextChar"/>
    <w:uiPriority w:val="99"/>
    <w:semiHidden/>
    <w:unhideWhenUsed/>
    <w:rsid w:val="005F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C49"/>
    <w:rPr>
      <w:rFonts w:ascii="Segoe UI" w:hAnsi="Segoe UI" w:cs="Segoe UI"/>
      <w:sz w:val="18"/>
      <w:szCs w:val="18"/>
    </w:rPr>
  </w:style>
  <w:style w:type="paragraph" w:styleId="Header">
    <w:name w:val="header"/>
    <w:basedOn w:val="Normal"/>
    <w:link w:val="HeaderChar"/>
    <w:uiPriority w:val="99"/>
    <w:unhideWhenUsed/>
    <w:rsid w:val="007F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195"/>
    <w:rPr>
      <w:rFonts w:ascii="Arial" w:hAnsi="Arial" w:cs="Arial"/>
      <w:szCs w:val="21"/>
    </w:rPr>
  </w:style>
  <w:style w:type="paragraph" w:styleId="Footer">
    <w:name w:val="footer"/>
    <w:basedOn w:val="Normal"/>
    <w:link w:val="FooterChar"/>
    <w:uiPriority w:val="99"/>
    <w:unhideWhenUsed/>
    <w:rsid w:val="007F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195"/>
    <w:rPr>
      <w:rFonts w:ascii="Arial" w:hAnsi="Arial" w:cs="Arial"/>
      <w:szCs w:val="21"/>
    </w:rPr>
  </w:style>
  <w:style w:type="paragraph" w:styleId="Revision">
    <w:name w:val="Revision"/>
    <w:hidden/>
    <w:uiPriority w:val="99"/>
    <w:semiHidden/>
    <w:rsid w:val="004F389D"/>
    <w:pPr>
      <w:spacing w:after="0" w:line="240" w:lineRule="auto"/>
    </w:pPr>
    <w:rPr>
      <w:rFonts w:ascii="Arial" w:hAnsi="Arial"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Stephanie Milosh</cp:lastModifiedBy>
  <cp:revision>2</cp:revision>
  <dcterms:created xsi:type="dcterms:W3CDTF">2019-12-16T13:50:00Z</dcterms:created>
  <dcterms:modified xsi:type="dcterms:W3CDTF">2019-12-16T13:50:00Z</dcterms:modified>
</cp:coreProperties>
</file>