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AE" w:rsidRPr="00DC67AE" w:rsidRDefault="00DC67AE" w:rsidP="00DC67AE">
      <w:pPr>
        <w:jc w:val="both"/>
        <w:rPr>
          <w:rFonts w:cstheme="minorHAnsi"/>
          <w:b/>
          <w:lang w:val="en-GB"/>
        </w:rPr>
      </w:pPr>
      <w:r w:rsidRPr="00DC67AE">
        <w:rPr>
          <w:rFonts w:cstheme="minorHAnsi"/>
          <w:b/>
          <w:lang w:val="en-GB"/>
        </w:rPr>
        <w:t>Comparisons between the four experimental conditions</w:t>
      </w:r>
    </w:p>
    <w:p w:rsidR="00DC67AE" w:rsidRPr="00DC67AE" w:rsidRDefault="00DC67AE" w:rsidP="00DC67AE">
      <w:pPr>
        <w:jc w:val="both"/>
        <w:rPr>
          <w:rFonts w:cstheme="minorHAnsi"/>
          <w:lang w:val="en-GB"/>
        </w:rPr>
      </w:pPr>
      <w:r w:rsidRPr="00DC67AE">
        <w:rPr>
          <w:rFonts w:cstheme="minorHAnsi"/>
          <w:lang w:val="en-GB"/>
        </w:rPr>
        <w:t>We performed TOST Paired Samples T-Test to examine potential differences and equivalences between conditions (tab. S1) by reversing the roles of H</w:t>
      </w:r>
      <w:r w:rsidRPr="00DC67AE">
        <w:rPr>
          <w:rFonts w:cstheme="minorHAnsi"/>
          <w:vertAlign w:val="subscript"/>
          <w:lang w:val="en-GB"/>
        </w:rPr>
        <w:t>0</w:t>
      </w:r>
      <w:r w:rsidRPr="00DC67AE">
        <w:rPr>
          <w:rFonts w:cstheme="minorHAnsi"/>
          <w:lang w:val="en-GB"/>
        </w:rPr>
        <w:t xml:space="preserve"> and H</w:t>
      </w:r>
      <w:r w:rsidRPr="00DC67AE">
        <w:rPr>
          <w:rFonts w:cstheme="minorHAnsi"/>
          <w:vertAlign w:val="subscript"/>
          <w:lang w:val="en-GB"/>
        </w:rPr>
        <w:t>1,</w:t>
      </w:r>
      <w:r w:rsidRPr="00DC67AE">
        <w:rPr>
          <w:rFonts w:cstheme="minorHAnsi"/>
          <w:lang w:val="en-GB"/>
        </w:rPr>
        <w:t xml:space="preserve"> taking into account that the data </w:t>
      </w:r>
      <w:proofErr w:type="gramStart"/>
      <w:r w:rsidRPr="00DC67AE">
        <w:rPr>
          <w:rFonts w:cstheme="minorHAnsi"/>
          <w:lang w:val="en-GB"/>
        </w:rPr>
        <w:t>are paired</w:t>
      </w:r>
      <w:proofErr w:type="gramEnd"/>
      <w:r w:rsidRPr="00DC67AE">
        <w:rPr>
          <w:rFonts w:cstheme="minorHAnsi"/>
          <w:lang w:val="en-GB"/>
        </w:rPr>
        <w:t xml:space="preserve">, i.e. the same focal rats were tested repeatedly (1). This test </w:t>
      </w:r>
      <w:proofErr w:type="gramStart"/>
      <w:r w:rsidRPr="00DC67AE">
        <w:rPr>
          <w:rFonts w:cstheme="minorHAnsi"/>
          <w:lang w:val="en-GB"/>
        </w:rPr>
        <w:t>is based</w:t>
      </w:r>
      <w:proofErr w:type="gramEnd"/>
      <w:r w:rsidRPr="00DC67AE">
        <w:rPr>
          <w:rFonts w:cstheme="minorHAnsi"/>
          <w:lang w:val="en-GB"/>
        </w:rPr>
        <w:t xml:space="preserve"> on a parametric t-test, whereas our data were not normally distributed. However, based on our sample size this assumption violation does not </w:t>
      </w:r>
      <w:proofErr w:type="gramStart"/>
      <w:r w:rsidRPr="00DC67AE">
        <w:rPr>
          <w:rFonts w:cstheme="minorHAnsi"/>
          <w:lang w:val="en-GB"/>
        </w:rPr>
        <w:t>impact</w:t>
      </w:r>
      <w:proofErr w:type="gramEnd"/>
      <w:r w:rsidRPr="00DC67AE">
        <w:rPr>
          <w:rFonts w:cstheme="minorHAnsi"/>
          <w:lang w:val="en-GB"/>
        </w:rPr>
        <w:t xml:space="preserve"> the detection rate of this test (2). Further, we validated this approach by comparing our results to a permutated Paired Samples T-Test (R package: </w:t>
      </w:r>
      <w:proofErr w:type="spellStart"/>
      <w:r w:rsidRPr="00DC67AE">
        <w:rPr>
          <w:rFonts w:cstheme="minorHAnsi"/>
          <w:lang w:val="en-GB"/>
        </w:rPr>
        <w:t>RVAideMemoire</w:t>
      </w:r>
      <w:proofErr w:type="spellEnd"/>
      <w:r w:rsidRPr="00DC67AE">
        <w:rPr>
          <w:rFonts w:cstheme="minorHAnsi"/>
          <w:lang w:val="en-GB"/>
        </w:rPr>
        <w:t xml:space="preserve">, code: </w:t>
      </w:r>
      <w:proofErr w:type="spellStart"/>
      <w:r w:rsidRPr="00DC67AE">
        <w:rPr>
          <w:rFonts w:cstheme="minorHAnsi"/>
          <w:lang w:val="en-GB"/>
        </w:rPr>
        <w:t>perm.t.test</w:t>
      </w:r>
      <w:proofErr w:type="spellEnd"/>
      <w:r w:rsidRPr="00DC67AE">
        <w:rPr>
          <w:rFonts w:cstheme="minorHAnsi"/>
          <w:lang w:val="en-GB"/>
        </w:rPr>
        <w:t xml:space="preserve"> with 5000 permutations). The results did not deviate from the results obtained with the TOST Paired Samples T-Tests, which seems therefore a valid test for our data (3).</w:t>
      </w:r>
    </w:p>
    <w:p w:rsidR="00DC67AE" w:rsidRPr="00DC67AE" w:rsidRDefault="00DC67AE" w:rsidP="00DC67AE">
      <w:pPr>
        <w:jc w:val="both"/>
        <w:rPr>
          <w:rFonts w:cstheme="minorHAnsi"/>
          <w:lang w:val="en-GB"/>
        </w:rPr>
      </w:pPr>
      <w:r w:rsidRPr="00DC67AE">
        <w:rPr>
          <w:rFonts w:cstheme="minorHAnsi"/>
          <w:lang w:val="en-GB"/>
        </w:rPr>
        <w:t xml:space="preserve">This TOST Paired Samples T-Test requires defining a threshold above which two conditions </w:t>
      </w:r>
      <w:proofErr w:type="gramStart"/>
      <w:r w:rsidRPr="00DC67AE">
        <w:rPr>
          <w:rFonts w:cstheme="minorHAnsi"/>
          <w:lang w:val="en-GB"/>
        </w:rPr>
        <w:t>are considered</w:t>
      </w:r>
      <w:proofErr w:type="gramEnd"/>
      <w:r w:rsidRPr="00DC67AE">
        <w:rPr>
          <w:rFonts w:cstheme="minorHAnsi"/>
          <w:lang w:val="en-GB"/>
        </w:rPr>
        <w:t xml:space="preserve"> as equal. A medium sized effect size is d= 0.5, i.e. two groups differ by half the standard deviation, which is commonly used for equivalence tests (4). Hence, we set the upper and lower equivalence boundaries symmetrically to ± 0.5. If the true effect (± 90% confidence interval) was within this boundary, it was considered </w:t>
      </w:r>
      <w:proofErr w:type="gramStart"/>
      <w:r w:rsidRPr="00DC67AE">
        <w:rPr>
          <w:rFonts w:cstheme="minorHAnsi"/>
          <w:lang w:val="en-GB"/>
        </w:rPr>
        <w:t>to be equal</w:t>
      </w:r>
      <w:proofErr w:type="gramEnd"/>
      <w:r w:rsidRPr="00DC67AE">
        <w:rPr>
          <w:rFonts w:cstheme="minorHAnsi"/>
          <w:lang w:val="en-GB"/>
        </w:rPr>
        <w:t xml:space="preserve">. To test whether the effect is within the boundaries, two one-sided tests </w:t>
      </w:r>
      <w:proofErr w:type="gramStart"/>
      <w:r w:rsidRPr="00DC67AE">
        <w:rPr>
          <w:rFonts w:cstheme="minorHAnsi"/>
          <w:lang w:val="en-GB"/>
        </w:rPr>
        <w:t>are conducted</w:t>
      </w:r>
      <w:proofErr w:type="gramEnd"/>
      <w:r w:rsidRPr="00DC67AE">
        <w:rPr>
          <w:rFonts w:cstheme="minorHAnsi"/>
          <w:lang w:val="en-GB"/>
        </w:rPr>
        <w:t>. If both one-sided tests are significant, H</w:t>
      </w:r>
      <w:r w:rsidRPr="00DC67AE">
        <w:rPr>
          <w:rFonts w:cstheme="minorHAnsi"/>
          <w:vertAlign w:val="subscript"/>
          <w:lang w:val="en-GB"/>
        </w:rPr>
        <w:t>0</w:t>
      </w:r>
      <w:r w:rsidRPr="00DC67AE">
        <w:rPr>
          <w:rFonts w:cstheme="minorHAnsi"/>
          <w:lang w:val="en-GB"/>
        </w:rPr>
        <w:t xml:space="preserve"> can be rejected, i.e. the conditions can be considered </w:t>
      </w:r>
      <w:proofErr w:type="gramStart"/>
      <w:r w:rsidRPr="00DC67AE">
        <w:rPr>
          <w:rFonts w:cstheme="minorHAnsi"/>
          <w:lang w:val="en-GB"/>
        </w:rPr>
        <w:t>to be equal</w:t>
      </w:r>
      <w:proofErr w:type="gramEnd"/>
      <w:r w:rsidRPr="00DC67AE">
        <w:rPr>
          <w:rFonts w:cstheme="minorHAnsi"/>
          <w:lang w:val="en-GB"/>
        </w:rPr>
        <w:t>.</w:t>
      </w:r>
    </w:p>
    <w:p w:rsidR="00DC67AE" w:rsidRPr="00DC67AE" w:rsidRDefault="00DC67AE" w:rsidP="00DC67AE">
      <w:pPr>
        <w:widowControl w:val="0"/>
        <w:autoSpaceDE w:val="0"/>
        <w:autoSpaceDN w:val="0"/>
        <w:adjustRightInd w:val="0"/>
        <w:spacing w:after="0"/>
        <w:ind w:left="640" w:hanging="640"/>
        <w:rPr>
          <w:rFonts w:cstheme="minorHAnsi"/>
          <w:noProof/>
          <w:lang w:val="en-GB"/>
        </w:rPr>
      </w:pPr>
      <w:r w:rsidRPr="00DC67AE">
        <w:rPr>
          <w:rFonts w:cstheme="minorHAnsi"/>
          <w:noProof/>
          <w:lang w:val="en-GB"/>
        </w:rPr>
        <w:t xml:space="preserve">1. </w:t>
      </w:r>
      <w:r w:rsidRPr="00DC67AE">
        <w:rPr>
          <w:rFonts w:cstheme="minorHAnsi"/>
          <w:noProof/>
          <w:lang w:val="en-GB"/>
        </w:rPr>
        <w:tab/>
        <w:t>Lakens D. Equivalence tests: a practical primer for t-tests, correlations, and meta-analyses. Soc Psychol Personal Sci. 2017;8(4):355–62.</w:t>
      </w:r>
    </w:p>
    <w:p w:rsidR="00DC67AE" w:rsidRPr="00DC67AE" w:rsidRDefault="00DC67AE" w:rsidP="00DC67AE">
      <w:pPr>
        <w:widowControl w:val="0"/>
        <w:autoSpaceDE w:val="0"/>
        <w:autoSpaceDN w:val="0"/>
        <w:adjustRightInd w:val="0"/>
        <w:spacing w:after="0"/>
        <w:ind w:left="640" w:hanging="640"/>
        <w:rPr>
          <w:rFonts w:cstheme="minorHAnsi"/>
          <w:noProof/>
          <w:lang w:val="en-GB"/>
        </w:rPr>
      </w:pPr>
      <w:r w:rsidRPr="00DC67AE">
        <w:rPr>
          <w:rFonts w:cstheme="minorHAnsi"/>
          <w:noProof/>
          <w:lang w:val="en-GB"/>
        </w:rPr>
        <w:t xml:space="preserve">2. </w:t>
      </w:r>
      <w:r w:rsidRPr="00DC67AE">
        <w:rPr>
          <w:rFonts w:cstheme="minorHAnsi"/>
          <w:noProof/>
          <w:lang w:val="en-GB"/>
        </w:rPr>
        <w:tab/>
        <w:t>Mara CA, Cribbie RA. Paired-samples tests of equivalence. Commun Stat Simul Comput. 2012;41(10):1928–43.</w:t>
      </w:r>
    </w:p>
    <w:p w:rsidR="00DC67AE" w:rsidRPr="00DC67AE" w:rsidRDefault="00DC67AE" w:rsidP="00DC67AE">
      <w:pPr>
        <w:widowControl w:val="0"/>
        <w:autoSpaceDE w:val="0"/>
        <w:autoSpaceDN w:val="0"/>
        <w:adjustRightInd w:val="0"/>
        <w:spacing w:after="0"/>
        <w:rPr>
          <w:rFonts w:cstheme="minorHAnsi"/>
          <w:noProof/>
          <w:lang w:val="en-GB"/>
        </w:rPr>
      </w:pPr>
      <w:r w:rsidRPr="00DC67AE">
        <w:rPr>
          <w:rFonts w:cstheme="minorHAnsi"/>
          <w:noProof/>
          <w:lang w:val="en-GB"/>
        </w:rPr>
        <w:t>3.</w:t>
      </w:r>
      <w:r w:rsidRPr="00DC67AE">
        <w:rPr>
          <w:rFonts w:cstheme="minorHAnsi"/>
          <w:noProof/>
          <w:lang w:val="en-GB"/>
        </w:rPr>
        <w:tab/>
        <w:t xml:space="preserve">Konietschke F, Pauly M. Bootstrapping and permuting paired t-test type statistics. Stat </w:t>
      </w:r>
      <w:r w:rsidRPr="00DC67AE">
        <w:rPr>
          <w:rFonts w:cstheme="minorHAnsi"/>
          <w:noProof/>
          <w:lang w:val="en-GB"/>
        </w:rPr>
        <w:tab/>
        <w:t>Comput (2014) 24:283–96.</w:t>
      </w:r>
    </w:p>
    <w:p w:rsidR="00DC67AE" w:rsidRPr="00DC67AE" w:rsidRDefault="00DC67AE" w:rsidP="00DC67AE">
      <w:pPr>
        <w:widowControl w:val="0"/>
        <w:autoSpaceDE w:val="0"/>
        <w:autoSpaceDN w:val="0"/>
        <w:adjustRightInd w:val="0"/>
        <w:spacing w:after="0"/>
        <w:rPr>
          <w:rFonts w:cstheme="minorHAnsi"/>
          <w:lang w:val="en-GB"/>
        </w:rPr>
      </w:pPr>
      <w:r w:rsidRPr="00DC67AE">
        <w:rPr>
          <w:rFonts w:cstheme="minorHAnsi"/>
          <w:noProof/>
          <w:lang w:val="en-GB"/>
        </w:rPr>
        <w:t xml:space="preserve">4. </w:t>
      </w:r>
      <w:r w:rsidRPr="00DC67AE">
        <w:rPr>
          <w:rFonts w:cstheme="minorHAnsi"/>
          <w:noProof/>
          <w:lang w:val="en-GB"/>
        </w:rPr>
        <w:tab/>
        <w:t xml:space="preserve">Lakens D, Scheel AM, Isager PM. Equivalence testing for psychological research: a tutorial. </w:t>
      </w:r>
      <w:r w:rsidRPr="00DC67AE">
        <w:rPr>
          <w:rFonts w:cstheme="minorHAnsi"/>
          <w:noProof/>
          <w:lang w:val="en-GB"/>
        </w:rPr>
        <w:tab/>
        <w:t>Adv Methods Pract Psychol Sci. 2018;1(2):259–69.</w:t>
      </w:r>
    </w:p>
    <w:p w:rsidR="00DC67AE" w:rsidRPr="00DC67AE" w:rsidRDefault="00DC67AE" w:rsidP="00DC67AE">
      <w:pPr>
        <w:spacing w:before="240" w:after="0"/>
        <w:jc w:val="both"/>
        <w:rPr>
          <w:rFonts w:cstheme="minorHAnsi"/>
          <w:b/>
          <w:lang w:val="en-GB"/>
        </w:rPr>
      </w:pPr>
      <w:r w:rsidRPr="00DC67AE">
        <w:rPr>
          <w:rFonts w:cstheme="minorHAnsi"/>
          <w:b/>
          <w:lang w:val="en-GB"/>
        </w:rPr>
        <w:t xml:space="preserve">Tab. S1 Comparisons between the four experimental conditions </w:t>
      </w:r>
    </w:p>
    <w:tbl>
      <w:tblPr>
        <w:tblStyle w:val="TableGrid"/>
        <w:tblW w:w="8065" w:type="dxa"/>
        <w:jc w:val="center"/>
        <w:tblLook w:val="04A0" w:firstRow="1" w:lastRow="0" w:firstColumn="1" w:lastColumn="0" w:noHBand="0" w:noVBand="1"/>
      </w:tblPr>
      <w:tblGrid>
        <w:gridCol w:w="1677"/>
        <w:gridCol w:w="1864"/>
        <w:gridCol w:w="2280"/>
        <w:gridCol w:w="2244"/>
      </w:tblGrid>
      <w:tr w:rsidR="00DC67AE" w:rsidRPr="00DC67AE" w:rsidTr="00452840">
        <w:trPr>
          <w:trHeight w:val="235"/>
          <w:jc w:val="center"/>
        </w:trPr>
        <w:tc>
          <w:tcPr>
            <w:tcW w:w="1677" w:type="dxa"/>
            <w:vMerge w:val="restart"/>
            <w:vAlign w:val="center"/>
          </w:tcPr>
          <w:p w:rsidR="00DC67AE" w:rsidRPr="00DC67AE" w:rsidRDefault="00DC67AE" w:rsidP="00DC67AE">
            <w:pPr>
              <w:jc w:val="center"/>
              <w:rPr>
                <w:rFonts w:cstheme="minorHAnsi"/>
              </w:rPr>
            </w:pPr>
            <w:r w:rsidRPr="00DC67AE">
              <w:rPr>
                <w:rFonts w:cstheme="minorHAnsi"/>
              </w:rPr>
              <w:t>Condition</w:t>
            </w:r>
          </w:p>
        </w:tc>
        <w:tc>
          <w:tcPr>
            <w:tcW w:w="1864" w:type="dxa"/>
            <w:vMerge w:val="restart"/>
            <w:vAlign w:val="center"/>
          </w:tcPr>
          <w:p w:rsidR="00DC67AE" w:rsidRPr="00DC67AE" w:rsidRDefault="00DC67AE" w:rsidP="00DC67AE">
            <w:pPr>
              <w:jc w:val="center"/>
              <w:rPr>
                <w:rFonts w:cstheme="minorHAnsi"/>
              </w:rPr>
            </w:pPr>
            <w:r w:rsidRPr="00DC67AE">
              <w:rPr>
                <w:rFonts w:cstheme="minorHAnsi"/>
              </w:rPr>
              <w:t>Dissimilarity</w:t>
            </w:r>
          </w:p>
        </w:tc>
        <w:tc>
          <w:tcPr>
            <w:tcW w:w="4524" w:type="dxa"/>
            <w:gridSpan w:val="2"/>
            <w:vAlign w:val="center"/>
          </w:tcPr>
          <w:p w:rsidR="00DC67AE" w:rsidRPr="00DC67AE" w:rsidRDefault="00DC67AE" w:rsidP="00DC67AE">
            <w:pPr>
              <w:jc w:val="center"/>
              <w:rPr>
                <w:rFonts w:cstheme="minorHAnsi"/>
              </w:rPr>
            </w:pPr>
            <w:r w:rsidRPr="00DC67AE">
              <w:rPr>
                <w:rFonts w:cstheme="minorHAnsi"/>
              </w:rPr>
              <w:t>Similarity</w:t>
            </w:r>
          </w:p>
        </w:tc>
      </w:tr>
      <w:tr w:rsidR="00DC67AE" w:rsidRPr="00DC67AE" w:rsidTr="00452840">
        <w:trPr>
          <w:jc w:val="center"/>
        </w:trPr>
        <w:tc>
          <w:tcPr>
            <w:tcW w:w="1677" w:type="dxa"/>
            <w:vMerge/>
            <w:vAlign w:val="center"/>
          </w:tcPr>
          <w:p w:rsidR="00DC67AE" w:rsidRPr="00DC67AE" w:rsidRDefault="00DC67AE" w:rsidP="00DC67AE">
            <w:pPr>
              <w:jc w:val="center"/>
              <w:rPr>
                <w:rFonts w:cstheme="minorHAnsi"/>
              </w:rPr>
            </w:pPr>
          </w:p>
        </w:tc>
        <w:tc>
          <w:tcPr>
            <w:tcW w:w="1864" w:type="dxa"/>
            <w:vMerge/>
            <w:vAlign w:val="center"/>
          </w:tcPr>
          <w:p w:rsidR="00DC67AE" w:rsidRPr="00DC67AE" w:rsidRDefault="00DC67AE" w:rsidP="00DC67AE">
            <w:pPr>
              <w:jc w:val="center"/>
              <w:rPr>
                <w:rFonts w:cstheme="minorHAnsi"/>
              </w:rPr>
            </w:pPr>
          </w:p>
        </w:tc>
        <w:tc>
          <w:tcPr>
            <w:tcW w:w="2280" w:type="dxa"/>
            <w:vAlign w:val="center"/>
          </w:tcPr>
          <w:p w:rsidR="00DC67AE" w:rsidRPr="00DC67AE" w:rsidRDefault="00DC67AE" w:rsidP="00DC67AE">
            <w:pPr>
              <w:jc w:val="center"/>
              <w:rPr>
                <w:rFonts w:cstheme="minorHAnsi"/>
              </w:rPr>
            </w:pPr>
            <w:r w:rsidRPr="00DC67AE">
              <w:rPr>
                <w:rFonts w:cstheme="minorHAnsi"/>
              </w:rPr>
              <w:t>TOST upper boundary</w:t>
            </w:r>
          </w:p>
        </w:tc>
        <w:tc>
          <w:tcPr>
            <w:tcW w:w="2244" w:type="dxa"/>
            <w:vAlign w:val="center"/>
          </w:tcPr>
          <w:p w:rsidR="00DC67AE" w:rsidRPr="00DC67AE" w:rsidRDefault="00DC67AE" w:rsidP="00DC67AE">
            <w:pPr>
              <w:jc w:val="center"/>
              <w:rPr>
                <w:rFonts w:cstheme="minorHAnsi"/>
              </w:rPr>
            </w:pPr>
            <w:r w:rsidRPr="00DC67AE">
              <w:rPr>
                <w:rFonts w:cstheme="minorHAnsi"/>
              </w:rPr>
              <w:t>TOST lower boundary</w:t>
            </w:r>
          </w:p>
        </w:tc>
      </w:tr>
      <w:tr w:rsidR="00DC67AE" w:rsidRPr="00DC67AE" w:rsidTr="00452840">
        <w:trPr>
          <w:jc w:val="center"/>
        </w:trPr>
        <w:tc>
          <w:tcPr>
            <w:tcW w:w="1677" w:type="dxa"/>
          </w:tcPr>
          <w:p w:rsidR="00DC67AE" w:rsidRPr="00DC67AE" w:rsidRDefault="00DC67AE" w:rsidP="00DC67AE">
            <w:pPr>
              <w:jc w:val="both"/>
              <w:rPr>
                <w:rFonts w:cstheme="minorHAnsi"/>
              </w:rPr>
            </w:pPr>
            <w:r w:rsidRPr="00DC67AE">
              <w:rPr>
                <w:rFonts w:cstheme="minorHAnsi"/>
              </w:rPr>
              <w:t>C vs. D</w:t>
            </w:r>
          </w:p>
        </w:tc>
        <w:tc>
          <w:tcPr>
            <w:tcW w:w="1864" w:type="dxa"/>
          </w:tcPr>
          <w:p w:rsidR="00DC67AE" w:rsidRPr="00DC67AE" w:rsidRDefault="00DC67AE" w:rsidP="00DC67AE">
            <w:pPr>
              <w:jc w:val="both"/>
              <w:rPr>
                <w:rFonts w:cstheme="minorHAnsi"/>
              </w:rPr>
            </w:pPr>
            <w:r w:rsidRPr="00DC67AE">
              <w:rPr>
                <w:rFonts w:cstheme="minorHAnsi"/>
              </w:rPr>
              <w:t>t</w:t>
            </w:r>
            <w:r w:rsidRPr="00DC67AE">
              <w:rPr>
                <w:rFonts w:cstheme="minorHAnsi"/>
                <w:vertAlign w:val="subscript"/>
              </w:rPr>
              <w:t>20</w:t>
            </w:r>
            <w:r w:rsidRPr="00DC67AE">
              <w:rPr>
                <w:rFonts w:cstheme="minorHAnsi"/>
              </w:rPr>
              <w:t xml:space="preserve">= 2.59, </w:t>
            </w:r>
            <w:r w:rsidRPr="00DC67AE">
              <w:rPr>
                <w:rFonts w:cstheme="minorHAnsi"/>
                <w:b/>
                <w:i/>
              </w:rPr>
              <w:t>p</w:t>
            </w:r>
            <w:r w:rsidRPr="00DC67AE">
              <w:rPr>
                <w:rFonts w:cstheme="minorHAnsi"/>
                <w:b/>
              </w:rPr>
              <w:t>= 0.02</w:t>
            </w:r>
          </w:p>
        </w:tc>
        <w:tc>
          <w:tcPr>
            <w:tcW w:w="2280" w:type="dxa"/>
          </w:tcPr>
          <w:p w:rsidR="00DC67AE" w:rsidRPr="00DC67AE" w:rsidRDefault="00DC67AE" w:rsidP="00DC67AE">
            <w:pPr>
              <w:jc w:val="both"/>
              <w:rPr>
                <w:rFonts w:cstheme="minorHAnsi"/>
              </w:rPr>
            </w:pPr>
            <w:r w:rsidRPr="00DC67AE">
              <w:rPr>
                <w:rFonts w:cstheme="minorHAnsi"/>
              </w:rPr>
              <w:t>t</w:t>
            </w:r>
            <w:r w:rsidRPr="00DC67AE">
              <w:rPr>
                <w:rFonts w:cstheme="minorHAnsi"/>
                <w:vertAlign w:val="subscript"/>
              </w:rPr>
              <w:t>20</w:t>
            </w:r>
            <w:r w:rsidRPr="00DC67AE">
              <w:rPr>
                <w:rFonts w:cstheme="minorHAnsi"/>
              </w:rPr>
              <w:t xml:space="preserve">= -0.30, </w:t>
            </w:r>
            <w:r w:rsidRPr="00DC67AE">
              <w:rPr>
                <w:rFonts w:cstheme="minorHAnsi"/>
                <w:i/>
              </w:rPr>
              <w:t>p</w:t>
            </w:r>
            <w:r w:rsidRPr="00DC67AE">
              <w:rPr>
                <w:rFonts w:cstheme="minorHAnsi"/>
              </w:rPr>
              <w:t>= 0.61</w:t>
            </w:r>
          </w:p>
        </w:tc>
        <w:tc>
          <w:tcPr>
            <w:tcW w:w="2244" w:type="dxa"/>
          </w:tcPr>
          <w:p w:rsidR="00DC67AE" w:rsidRPr="00DC67AE" w:rsidRDefault="00DC67AE" w:rsidP="00DC67AE">
            <w:pPr>
              <w:jc w:val="both"/>
              <w:rPr>
                <w:rFonts w:cstheme="minorHAnsi"/>
                <w:lang w:val="fr-FR"/>
              </w:rPr>
            </w:pPr>
            <w:r w:rsidRPr="00DC67AE">
              <w:rPr>
                <w:rFonts w:cstheme="minorHAnsi"/>
                <w:lang w:val="fr-FR"/>
              </w:rPr>
              <w:t>t</w:t>
            </w:r>
            <w:r w:rsidRPr="00DC67AE">
              <w:rPr>
                <w:rFonts w:cstheme="minorHAnsi"/>
                <w:vertAlign w:val="subscript"/>
                <w:lang w:val="fr-FR"/>
              </w:rPr>
              <w:t>20</w:t>
            </w:r>
            <w:r w:rsidRPr="00DC67AE">
              <w:rPr>
                <w:rFonts w:cstheme="minorHAnsi"/>
                <w:lang w:val="fr-FR"/>
              </w:rPr>
              <w:t xml:space="preserve">= 4.88, </w:t>
            </w:r>
            <w:r w:rsidRPr="00DC67AE">
              <w:rPr>
                <w:rFonts w:cstheme="minorHAnsi"/>
                <w:i/>
                <w:lang w:val="fr-FR"/>
              </w:rPr>
              <w:t>p</w:t>
            </w:r>
            <w:r w:rsidRPr="00DC67AE">
              <w:rPr>
                <w:rFonts w:cstheme="minorHAnsi"/>
                <w:lang w:val="fr-FR"/>
              </w:rPr>
              <w:t>&lt; 0.001</w:t>
            </w:r>
          </w:p>
        </w:tc>
      </w:tr>
      <w:tr w:rsidR="00DC67AE" w:rsidRPr="00DC67AE" w:rsidTr="00452840">
        <w:trPr>
          <w:jc w:val="center"/>
        </w:trPr>
        <w:tc>
          <w:tcPr>
            <w:tcW w:w="1677" w:type="dxa"/>
          </w:tcPr>
          <w:p w:rsidR="00DC67AE" w:rsidRPr="00DC67AE" w:rsidRDefault="00DC67AE" w:rsidP="00DC67AE">
            <w:pPr>
              <w:jc w:val="both"/>
              <w:rPr>
                <w:rFonts w:cstheme="minorHAnsi"/>
                <w:lang w:val="fr-FR"/>
              </w:rPr>
            </w:pPr>
            <w:r w:rsidRPr="00DC67AE">
              <w:rPr>
                <w:rFonts w:cstheme="minorHAnsi"/>
                <w:lang w:val="fr-FR"/>
              </w:rPr>
              <w:t>DDDC vs. CCCD</w:t>
            </w:r>
          </w:p>
        </w:tc>
        <w:tc>
          <w:tcPr>
            <w:tcW w:w="1864" w:type="dxa"/>
          </w:tcPr>
          <w:p w:rsidR="00DC67AE" w:rsidRPr="00DC67AE" w:rsidRDefault="00DC67AE" w:rsidP="00DC67AE">
            <w:pPr>
              <w:jc w:val="both"/>
              <w:rPr>
                <w:rFonts w:cstheme="minorHAnsi"/>
                <w:lang w:val="fr-FR"/>
              </w:rPr>
            </w:pPr>
            <w:r w:rsidRPr="00DC67AE">
              <w:rPr>
                <w:rFonts w:cstheme="minorHAnsi"/>
                <w:lang w:val="fr-FR"/>
              </w:rPr>
              <w:t>t</w:t>
            </w:r>
            <w:r w:rsidRPr="00DC67AE">
              <w:rPr>
                <w:rFonts w:cstheme="minorHAnsi"/>
                <w:vertAlign w:val="subscript"/>
                <w:lang w:val="fr-FR"/>
              </w:rPr>
              <w:t>20</w:t>
            </w:r>
            <w:r w:rsidRPr="00DC67AE">
              <w:rPr>
                <w:rFonts w:cstheme="minorHAnsi"/>
                <w:lang w:val="fr-FR"/>
              </w:rPr>
              <w:t xml:space="preserve">= 2.29, </w:t>
            </w:r>
            <w:r w:rsidRPr="00DC67AE">
              <w:rPr>
                <w:rFonts w:cstheme="minorHAnsi"/>
                <w:b/>
                <w:i/>
                <w:lang w:val="fr-FR"/>
              </w:rPr>
              <w:t>p</w:t>
            </w:r>
            <w:r w:rsidRPr="00DC67AE">
              <w:rPr>
                <w:rFonts w:cstheme="minorHAnsi"/>
                <w:b/>
                <w:lang w:val="fr-FR"/>
              </w:rPr>
              <w:t>= 0.03</w:t>
            </w:r>
          </w:p>
        </w:tc>
        <w:tc>
          <w:tcPr>
            <w:tcW w:w="2280" w:type="dxa"/>
          </w:tcPr>
          <w:p w:rsidR="00DC67AE" w:rsidRPr="00DC67AE" w:rsidRDefault="00DC67AE" w:rsidP="00DC67AE">
            <w:pPr>
              <w:jc w:val="both"/>
              <w:rPr>
                <w:rFonts w:cstheme="minorHAnsi"/>
                <w:lang w:val="fr-FR"/>
              </w:rPr>
            </w:pPr>
            <w:r w:rsidRPr="00DC67AE">
              <w:rPr>
                <w:rFonts w:cstheme="minorHAnsi"/>
                <w:lang w:val="fr-FR"/>
              </w:rPr>
              <w:t>t</w:t>
            </w:r>
            <w:r w:rsidRPr="00DC67AE">
              <w:rPr>
                <w:rFonts w:cstheme="minorHAnsi"/>
                <w:vertAlign w:val="subscript"/>
                <w:lang w:val="fr-FR"/>
              </w:rPr>
              <w:t>20</w:t>
            </w:r>
            <w:r w:rsidRPr="00DC67AE">
              <w:rPr>
                <w:rFonts w:cstheme="minorHAnsi"/>
                <w:lang w:val="fr-FR"/>
              </w:rPr>
              <w:t xml:space="preserve">= -0.01, </w:t>
            </w:r>
            <w:r w:rsidRPr="00DC67AE">
              <w:rPr>
                <w:rFonts w:cstheme="minorHAnsi"/>
                <w:i/>
                <w:lang w:val="fr-FR"/>
              </w:rPr>
              <w:t>p</w:t>
            </w:r>
            <w:r w:rsidRPr="00DC67AE">
              <w:rPr>
                <w:rFonts w:cstheme="minorHAnsi"/>
                <w:lang w:val="fr-FR"/>
              </w:rPr>
              <w:t>= 0.50</w:t>
            </w:r>
          </w:p>
        </w:tc>
        <w:tc>
          <w:tcPr>
            <w:tcW w:w="2244" w:type="dxa"/>
          </w:tcPr>
          <w:p w:rsidR="00DC67AE" w:rsidRPr="00DC67AE" w:rsidRDefault="00DC67AE" w:rsidP="00DC67AE">
            <w:pPr>
              <w:jc w:val="both"/>
              <w:rPr>
                <w:rFonts w:cstheme="minorHAnsi"/>
                <w:lang w:val="fr-FR"/>
              </w:rPr>
            </w:pPr>
            <w:r w:rsidRPr="00DC67AE">
              <w:rPr>
                <w:rFonts w:cstheme="minorHAnsi"/>
                <w:lang w:val="fr-FR"/>
              </w:rPr>
              <w:t>t</w:t>
            </w:r>
            <w:r w:rsidRPr="00DC67AE">
              <w:rPr>
                <w:rFonts w:cstheme="minorHAnsi"/>
                <w:vertAlign w:val="subscript"/>
                <w:lang w:val="fr-FR"/>
              </w:rPr>
              <w:t>20</w:t>
            </w:r>
            <w:r w:rsidRPr="00DC67AE">
              <w:rPr>
                <w:rFonts w:cstheme="minorHAnsi"/>
                <w:lang w:val="fr-FR"/>
              </w:rPr>
              <w:t xml:space="preserve">= 4.58, </w:t>
            </w:r>
            <w:r w:rsidRPr="00DC67AE">
              <w:rPr>
                <w:rFonts w:cstheme="minorHAnsi"/>
                <w:i/>
                <w:lang w:val="fr-FR"/>
              </w:rPr>
              <w:t>p</w:t>
            </w:r>
            <w:r w:rsidRPr="00DC67AE">
              <w:rPr>
                <w:rFonts w:cstheme="minorHAnsi"/>
                <w:lang w:val="fr-FR"/>
              </w:rPr>
              <w:t>&lt; 0.001</w:t>
            </w:r>
          </w:p>
        </w:tc>
      </w:tr>
      <w:tr w:rsidR="00DC67AE" w:rsidRPr="00DC67AE" w:rsidTr="00452840">
        <w:trPr>
          <w:jc w:val="center"/>
        </w:trPr>
        <w:tc>
          <w:tcPr>
            <w:tcW w:w="1677" w:type="dxa"/>
          </w:tcPr>
          <w:p w:rsidR="00DC67AE" w:rsidRPr="00DC67AE" w:rsidRDefault="00DC67AE" w:rsidP="00DC67AE">
            <w:pPr>
              <w:jc w:val="both"/>
              <w:rPr>
                <w:rFonts w:cstheme="minorHAnsi"/>
                <w:lang w:val="fr-FR"/>
              </w:rPr>
            </w:pPr>
            <w:r w:rsidRPr="00DC67AE">
              <w:rPr>
                <w:rFonts w:cstheme="minorHAnsi"/>
                <w:lang w:val="fr-FR"/>
              </w:rPr>
              <w:t>D vs CCCD</w:t>
            </w:r>
          </w:p>
        </w:tc>
        <w:tc>
          <w:tcPr>
            <w:tcW w:w="1864" w:type="dxa"/>
          </w:tcPr>
          <w:p w:rsidR="00DC67AE" w:rsidRPr="00DC67AE" w:rsidRDefault="00DC67AE" w:rsidP="00DC67AE">
            <w:pPr>
              <w:jc w:val="both"/>
              <w:rPr>
                <w:rFonts w:cstheme="minorHAnsi"/>
                <w:lang w:val="fr-FR"/>
              </w:rPr>
            </w:pPr>
            <w:r w:rsidRPr="00DC67AE">
              <w:rPr>
                <w:rFonts w:cstheme="minorHAnsi"/>
                <w:lang w:val="fr-FR"/>
              </w:rPr>
              <w:t>t</w:t>
            </w:r>
            <w:r w:rsidRPr="00DC67AE">
              <w:rPr>
                <w:rFonts w:cstheme="minorHAnsi"/>
                <w:vertAlign w:val="subscript"/>
                <w:lang w:val="fr-FR"/>
              </w:rPr>
              <w:t>20</w:t>
            </w:r>
            <w:r w:rsidRPr="00DC67AE">
              <w:rPr>
                <w:rFonts w:cstheme="minorHAnsi"/>
                <w:lang w:val="fr-FR"/>
              </w:rPr>
              <w:t xml:space="preserve">= 1.56, </w:t>
            </w:r>
            <w:r w:rsidRPr="00DC67AE">
              <w:rPr>
                <w:rFonts w:cstheme="minorHAnsi"/>
                <w:i/>
                <w:lang w:val="fr-FR"/>
              </w:rPr>
              <w:t>p</w:t>
            </w:r>
            <w:r w:rsidRPr="00DC67AE">
              <w:rPr>
                <w:rFonts w:cstheme="minorHAnsi"/>
                <w:lang w:val="fr-FR"/>
              </w:rPr>
              <w:t>= 0.14</w:t>
            </w:r>
          </w:p>
        </w:tc>
        <w:tc>
          <w:tcPr>
            <w:tcW w:w="2280" w:type="dxa"/>
          </w:tcPr>
          <w:p w:rsidR="00DC67AE" w:rsidRPr="00DC67AE" w:rsidRDefault="00DC67AE" w:rsidP="00DC67AE">
            <w:pPr>
              <w:jc w:val="both"/>
              <w:rPr>
                <w:rFonts w:cstheme="minorHAnsi"/>
                <w:lang w:val="fr-FR"/>
              </w:rPr>
            </w:pPr>
            <w:r w:rsidRPr="00DC67AE">
              <w:rPr>
                <w:rFonts w:cstheme="minorHAnsi"/>
                <w:lang w:val="fr-FR"/>
              </w:rPr>
              <w:t>t</w:t>
            </w:r>
            <w:r w:rsidRPr="00DC67AE">
              <w:rPr>
                <w:rFonts w:cstheme="minorHAnsi"/>
                <w:vertAlign w:val="subscript"/>
                <w:lang w:val="fr-FR"/>
              </w:rPr>
              <w:t>20</w:t>
            </w:r>
            <w:r w:rsidRPr="00DC67AE">
              <w:rPr>
                <w:rFonts w:cstheme="minorHAnsi"/>
                <w:lang w:val="fr-FR"/>
              </w:rPr>
              <w:t xml:space="preserve">= -0.74, </w:t>
            </w:r>
            <w:r w:rsidRPr="00DC67AE">
              <w:rPr>
                <w:rFonts w:cstheme="minorHAnsi"/>
                <w:i/>
                <w:lang w:val="fr-FR"/>
              </w:rPr>
              <w:t>p</w:t>
            </w:r>
            <w:r w:rsidRPr="00DC67AE">
              <w:rPr>
                <w:rFonts w:cstheme="minorHAnsi"/>
                <w:lang w:val="fr-FR"/>
              </w:rPr>
              <w:t>= 0.24</w:t>
            </w:r>
          </w:p>
        </w:tc>
        <w:tc>
          <w:tcPr>
            <w:tcW w:w="2244" w:type="dxa"/>
          </w:tcPr>
          <w:p w:rsidR="00DC67AE" w:rsidRPr="00DC67AE" w:rsidRDefault="00DC67AE" w:rsidP="00DC67AE">
            <w:pPr>
              <w:jc w:val="both"/>
              <w:rPr>
                <w:rFonts w:cstheme="minorHAnsi"/>
              </w:rPr>
            </w:pPr>
            <w:r w:rsidRPr="00DC67AE">
              <w:rPr>
                <w:rFonts w:cstheme="minorHAnsi"/>
              </w:rPr>
              <w:t>t</w:t>
            </w:r>
            <w:r w:rsidRPr="00DC67AE">
              <w:rPr>
                <w:rFonts w:cstheme="minorHAnsi"/>
                <w:vertAlign w:val="subscript"/>
              </w:rPr>
              <w:t>20</w:t>
            </w:r>
            <w:r w:rsidRPr="00DC67AE">
              <w:rPr>
                <w:rFonts w:cstheme="minorHAnsi"/>
              </w:rPr>
              <w:t xml:space="preserve">= 3.85, </w:t>
            </w:r>
            <w:r w:rsidRPr="00DC67AE">
              <w:rPr>
                <w:rFonts w:cstheme="minorHAnsi"/>
                <w:i/>
              </w:rPr>
              <w:t>p</w:t>
            </w:r>
            <w:r w:rsidRPr="00DC67AE">
              <w:rPr>
                <w:rFonts w:cstheme="minorHAnsi"/>
              </w:rPr>
              <w:t>&lt; 0.001</w:t>
            </w:r>
          </w:p>
        </w:tc>
      </w:tr>
      <w:tr w:rsidR="00DC67AE" w:rsidRPr="00DC67AE" w:rsidTr="00452840">
        <w:trPr>
          <w:jc w:val="center"/>
        </w:trPr>
        <w:tc>
          <w:tcPr>
            <w:tcW w:w="1677" w:type="dxa"/>
          </w:tcPr>
          <w:p w:rsidR="00DC67AE" w:rsidRPr="00DC67AE" w:rsidRDefault="00DC67AE" w:rsidP="00DC67AE">
            <w:pPr>
              <w:jc w:val="both"/>
              <w:rPr>
                <w:rFonts w:cstheme="minorHAnsi"/>
              </w:rPr>
            </w:pPr>
            <w:r w:rsidRPr="00DC67AE">
              <w:rPr>
                <w:rFonts w:cstheme="minorHAnsi"/>
              </w:rPr>
              <w:t>C vs. DDDC</w:t>
            </w:r>
          </w:p>
        </w:tc>
        <w:tc>
          <w:tcPr>
            <w:tcW w:w="1864" w:type="dxa"/>
          </w:tcPr>
          <w:p w:rsidR="00DC67AE" w:rsidRPr="00DC67AE" w:rsidRDefault="00DC67AE" w:rsidP="00DC67AE">
            <w:pPr>
              <w:jc w:val="both"/>
              <w:rPr>
                <w:rFonts w:cstheme="minorHAnsi"/>
              </w:rPr>
            </w:pPr>
            <w:r w:rsidRPr="00DC67AE">
              <w:rPr>
                <w:rFonts w:cstheme="minorHAnsi"/>
              </w:rPr>
              <w:t>t</w:t>
            </w:r>
            <w:r w:rsidRPr="00DC67AE">
              <w:rPr>
                <w:rFonts w:cstheme="minorHAnsi"/>
                <w:vertAlign w:val="subscript"/>
              </w:rPr>
              <w:t>20</w:t>
            </w:r>
            <w:r w:rsidRPr="00DC67AE">
              <w:rPr>
                <w:rFonts w:cstheme="minorHAnsi"/>
              </w:rPr>
              <w:t xml:space="preserve">= 1.85, </w:t>
            </w:r>
            <w:r w:rsidRPr="00DC67AE">
              <w:rPr>
                <w:rFonts w:cstheme="minorHAnsi"/>
                <w:i/>
              </w:rPr>
              <w:t>p</w:t>
            </w:r>
            <w:r w:rsidRPr="00DC67AE">
              <w:rPr>
                <w:rFonts w:cstheme="minorHAnsi"/>
              </w:rPr>
              <w:t>= 0.08</w:t>
            </w:r>
          </w:p>
        </w:tc>
        <w:tc>
          <w:tcPr>
            <w:tcW w:w="2280" w:type="dxa"/>
          </w:tcPr>
          <w:p w:rsidR="00DC67AE" w:rsidRPr="00DC67AE" w:rsidRDefault="00DC67AE" w:rsidP="00DC67AE">
            <w:pPr>
              <w:jc w:val="both"/>
              <w:rPr>
                <w:rFonts w:cstheme="minorHAnsi"/>
              </w:rPr>
            </w:pPr>
            <w:r w:rsidRPr="00DC67AE">
              <w:rPr>
                <w:rFonts w:cstheme="minorHAnsi"/>
              </w:rPr>
              <w:t>t</w:t>
            </w:r>
            <w:r w:rsidRPr="00DC67AE">
              <w:rPr>
                <w:rFonts w:cstheme="minorHAnsi"/>
                <w:vertAlign w:val="subscript"/>
              </w:rPr>
              <w:t>20</w:t>
            </w:r>
            <w:r w:rsidRPr="00DC67AE">
              <w:rPr>
                <w:rFonts w:cstheme="minorHAnsi"/>
              </w:rPr>
              <w:t xml:space="preserve">= -0.44, </w:t>
            </w:r>
            <w:r w:rsidRPr="00DC67AE">
              <w:rPr>
                <w:rFonts w:cstheme="minorHAnsi"/>
                <w:i/>
              </w:rPr>
              <w:t>p</w:t>
            </w:r>
            <w:r w:rsidRPr="00DC67AE">
              <w:rPr>
                <w:rFonts w:cstheme="minorHAnsi"/>
              </w:rPr>
              <w:t>= 0.33</w:t>
            </w:r>
          </w:p>
        </w:tc>
        <w:tc>
          <w:tcPr>
            <w:tcW w:w="2244" w:type="dxa"/>
          </w:tcPr>
          <w:p w:rsidR="00DC67AE" w:rsidRPr="00DC67AE" w:rsidRDefault="00DC67AE" w:rsidP="00DC67AE">
            <w:pPr>
              <w:jc w:val="both"/>
              <w:rPr>
                <w:rFonts w:cstheme="minorHAnsi"/>
              </w:rPr>
            </w:pPr>
            <w:r w:rsidRPr="00DC67AE">
              <w:rPr>
                <w:rFonts w:cstheme="minorHAnsi"/>
              </w:rPr>
              <w:t>t</w:t>
            </w:r>
            <w:r w:rsidRPr="00DC67AE">
              <w:rPr>
                <w:rFonts w:cstheme="minorHAnsi"/>
                <w:vertAlign w:val="subscript"/>
              </w:rPr>
              <w:t>20</w:t>
            </w:r>
            <w:r w:rsidRPr="00DC67AE">
              <w:rPr>
                <w:rFonts w:cstheme="minorHAnsi"/>
              </w:rPr>
              <w:t xml:space="preserve">= 4.14, </w:t>
            </w:r>
            <w:r w:rsidRPr="00DC67AE">
              <w:rPr>
                <w:rFonts w:cstheme="minorHAnsi"/>
                <w:i/>
              </w:rPr>
              <w:t>p</w:t>
            </w:r>
            <w:r w:rsidRPr="00DC67AE">
              <w:rPr>
                <w:rFonts w:cstheme="minorHAnsi"/>
              </w:rPr>
              <w:t>&lt; 0.001</w:t>
            </w:r>
          </w:p>
        </w:tc>
      </w:tr>
    </w:tbl>
    <w:p w:rsidR="00B50012" w:rsidRPr="00DC67AE" w:rsidRDefault="00DC67AE" w:rsidP="00617DB0">
      <w:pPr>
        <w:spacing w:before="240" w:after="0"/>
        <w:ind w:left="426" w:right="425"/>
        <w:jc w:val="both"/>
        <w:rPr>
          <w:rFonts w:cstheme="minorHAnsi"/>
          <w:lang w:val="en-GB"/>
        </w:rPr>
      </w:pPr>
      <w:r w:rsidRPr="00DC67AE">
        <w:rPr>
          <w:rFonts w:cstheme="minorHAnsi"/>
          <w:lang w:val="en-GB"/>
        </w:rPr>
        <w:t xml:space="preserve">Focal rats experienced four partners that were experienced once as cooperators (C) and defectors (D), as well as four times as overall cooperators that were defecting in the last round (CCCD) and overall defectors that cooperated in the last round (DDDC). Comparisons </w:t>
      </w:r>
      <w:proofErr w:type="gramStart"/>
      <w:r w:rsidRPr="00DC67AE">
        <w:rPr>
          <w:rFonts w:cstheme="minorHAnsi"/>
          <w:lang w:val="en-GB"/>
        </w:rPr>
        <w:t>were made</w:t>
      </w:r>
      <w:proofErr w:type="gramEnd"/>
      <w:r w:rsidRPr="00DC67AE">
        <w:rPr>
          <w:rFonts w:cstheme="minorHAnsi"/>
          <w:lang w:val="en-GB"/>
        </w:rPr>
        <w:t xml:space="preserve"> using the TOST Paired Samples T-Test, testing for differences and similarities between conditions.</w:t>
      </w:r>
      <w:bookmarkStart w:id="0" w:name="_GoBack"/>
      <w:bookmarkEnd w:id="0"/>
    </w:p>
    <w:sectPr w:rsidR="00B50012" w:rsidRPr="00DC67AE" w:rsidSect="00DC67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E"/>
    <w:rsid w:val="002B5BD2"/>
    <w:rsid w:val="00617DB0"/>
    <w:rsid w:val="00B50012"/>
    <w:rsid w:val="00DC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0F67"/>
  <w15:chartTrackingRefBased/>
  <w15:docId w15:val="{EA70DB87-E8DF-42DD-9EC4-8445D80A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AE"/>
    <w:pPr>
      <w:spacing w:after="200" w:line="276"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7AE"/>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7AE"/>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LineNumber">
    <w:name w:val="line number"/>
    <w:basedOn w:val="DefaultParagraphFont"/>
    <w:uiPriority w:val="99"/>
    <w:semiHidden/>
    <w:unhideWhenUsed/>
    <w:rsid w:val="00DC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Schweinfurth</dc:creator>
  <cp:keywords/>
  <dc:description/>
  <cp:lastModifiedBy>Manon Schweinfurth</cp:lastModifiedBy>
  <cp:revision>3</cp:revision>
  <dcterms:created xsi:type="dcterms:W3CDTF">2019-11-22T15:28:00Z</dcterms:created>
  <dcterms:modified xsi:type="dcterms:W3CDTF">2019-11-22T15:34:00Z</dcterms:modified>
</cp:coreProperties>
</file>