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B3A4" w14:textId="2834125D" w:rsidR="00725259" w:rsidRPr="00AC19DC" w:rsidRDefault="00725259" w:rsidP="00725259">
      <w:pPr>
        <w:spacing w:line="360" w:lineRule="auto"/>
        <w:jc w:val="both"/>
        <w:rPr>
          <w:rFonts w:ascii="Times" w:hAnsi="Times" w:cs="Times"/>
          <w:b/>
          <w:sz w:val="28"/>
          <w:szCs w:val="24"/>
          <w:lang w:val="en-US"/>
        </w:rPr>
      </w:pPr>
      <w:r w:rsidRPr="00AC19DC">
        <w:rPr>
          <w:rFonts w:ascii="Times" w:hAnsi="Times" w:cs="Times"/>
          <w:b/>
          <w:sz w:val="28"/>
          <w:szCs w:val="24"/>
          <w:lang w:val="en-US"/>
        </w:rPr>
        <w:t xml:space="preserve">Supplemental </w:t>
      </w:r>
      <w:r w:rsidR="00AC19DC">
        <w:rPr>
          <w:rFonts w:ascii="Times" w:hAnsi="Times" w:cs="Times"/>
          <w:b/>
          <w:sz w:val="28"/>
          <w:szCs w:val="24"/>
          <w:lang w:val="en-US"/>
        </w:rPr>
        <w:t>Methods</w:t>
      </w:r>
      <w:r w:rsidRPr="00AC19DC">
        <w:rPr>
          <w:rFonts w:ascii="Times" w:hAnsi="Times" w:cs="Times"/>
          <w:b/>
          <w:sz w:val="28"/>
          <w:szCs w:val="24"/>
          <w:lang w:val="en-US"/>
        </w:rPr>
        <w:t xml:space="preserve"> </w:t>
      </w:r>
    </w:p>
    <w:p w14:paraId="26F95D23" w14:textId="77777777" w:rsidR="004A3DEA" w:rsidRPr="00AC19DC" w:rsidRDefault="004A3DEA" w:rsidP="003F425D">
      <w:pPr>
        <w:spacing w:line="360" w:lineRule="auto"/>
        <w:jc w:val="both"/>
        <w:rPr>
          <w:rFonts w:ascii="Times" w:hAnsi="Times" w:cs="Times"/>
          <w:b/>
          <w:sz w:val="24"/>
          <w:szCs w:val="24"/>
          <w:lang w:val="en-US"/>
        </w:rPr>
      </w:pPr>
    </w:p>
    <w:p w14:paraId="2A0592D4" w14:textId="77777777" w:rsidR="003F425D" w:rsidRPr="00AC19DC" w:rsidRDefault="003F425D" w:rsidP="003F425D">
      <w:pPr>
        <w:spacing w:line="360" w:lineRule="auto"/>
        <w:jc w:val="both"/>
        <w:rPr>
          <w:rFonts w:ascii="Times" w:hAnsi="Times" w:cs="Times"/>
          <w:b/>
          <w:sz w:val="24"/>
          <w:szCs w:val="24"/>
          <w:lang w:val="en-US"/>
        </w:rPr>
      </w:pPr>
      <w:r w:rsidRPr="00AC19DC">
        <w:rPr>
          <w:rFonts w:ascii="Times" w:hAnsi="Times" w:cs="Times"/>
          <w:b/>
          <w:sz w:val="24"/>
          <w:szCs w:val="24"/>
          <w:lang w:val="en-US"/>
        </w:rPr>
        <w:t>Primers used for SYBR green qPCR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690"/>
        <w:gridCol w:w="4140"/>
      </w:tblGrid>
      <w:tr w:rsidR="00725259" w:rsidRPr="00AC19DC" w14:paraId="1BC67EC7" w14:textId="77777777" w:rsidTr="00032DD6">
        <w:tc>
          <w:tcPr>
            <w:tcW w:w="1458" w:type="dxa"/>
          </w:tcPr>
          <w:p w14:paraId="7C6F9040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i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Gene</w:t>
            </w:r>
          </w:p>
        </w:tc>
        <w:tc>
          <w:tcPr>
            <w:tcW w:w="3690" w:type="dxa"/>
          </w:tcPr>
          <w:p w14:paraId="5EFDDB3D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Forward primer</w:t>
            </w:r>
          </w:p>
        </w:tc>
        <w:tc>
          <w:tcPr>
            <w:tcW w:w="4140" w:type="dxa"/>
          </w:tcPr>
          <w:p w14:paraId="4BD093E4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Reverse primer</w:t>
            </w:r>
          </w:p>
        </w:tc>
      </w:tr>
      <w:tr w:rsidR="00725259" w:rsidRPr="00AC19DC" w14:paraId="0FBA8967" w14:textId="77777777" w:rsidTr="00032DD6">
        <w:tc>
          <w:tcPr>
            <w:tcW w:w="1458" w:type="dxa"/>
          </w:tcPr>
          <w:p w14:paraId="28FA4FD1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HPRT</w:t>
            </w:r>
          </w:p>
        </w:tc>
        <w:tc>
          <w:tcPr>
            <w:tcW w:w="3690" w:type="dxa"/>
          </w:tcPr>
          <w:p w14:paraId="25D4CF42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GGCCCTCTGTGTGCTCAAG</w:t>
            </w:r>
          </w:p>
        </w:tc>
        <w:tc>
          <w:tcPr>
            <w:tcW w:w="4140" w:type="dxa"/>
          </w:tcPr>
          <w:p w14:paraId="701FD1A5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CTGATAAAATCTACAGTCATAGGAATGGA</w:t>
            </w:r>
          </w:p>
        </w:tc>
      </w:tr>
      <w:tr w:rsidR="00725259" w:rsidRPr="00AC19DC" w14:paraId="3F4160D3" w14:textId="77777777" w:rsidTr="00032DD6">
        <w:tc>
          <w:tcPr>
            <w:tcW w:w="1458" w:type="dxa"/>
          </w:tcPr>
          <w:p w14:paraId="0235DB9C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HIST1H1B</w:t>
            </w:r>
          </w:p>
        </w:tc>
        <w:tc>
          <w:tcPr>
            <w:tcW w:w="3690" w:type="dxa"/>
          </w:tcPr>
          <w:p w14:paraId="6736A312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GTCAAAAAGGTGGCGAAGAG</w:t>
            </w:r>
          </w:p>
        </w:tc>
        <w:tc>
          <w:tcPr>
            <w:tcW w:w="4140" w:type="dxa"/>
          </w:tcPr>
          <w:p w14:paraId="361ADA9C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CTTGGCCTTTGCAGCTTTAG</w:t>
            </w:r>
          </w:p>
        </w:tc>
      </w:tr>
      <w:tr w:rsidR="00725259" w:rsidRPr="00AC19DC" w14:paraId="27435D16" w14:textId="77777777" w:rsidTr="00032DD6">
        <w:tc>
          <w:tcPr>
            <w:tcW w:w="1458" w:type="dxa"/>
          </w:tcPr>
          <w:p w14:paraId="4A2C4370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HIST1H1C</w:t>
            </w:r>
          </w:p>
        </w:tc>
        <w:tc>
          <w:tcPr>
            <w:tcW w:w="3690" w:type="dxa"/>
          </w:tcPr>
          <w:p w14:paraId="1F23EFCA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TGCCACTTGTACCCGAGTTT</w:t>
            </w:r>
          </w:p>
        </w:tc>
        <w:tc>
          <w:tcPr>
            <w:tcW w:w="4140" w:type="dxa"/>
          </w:tcPr>
          <w:p w14:paraId="40B2D287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CCTTTTTGGCCGCCTTCTTC</w:t>
            </w:r>
          </w:p>
        </w:tc>
      </w:tr>
      <w:tr w:rsidR="00725259" w:rsidRPr="00AC19DC" w14:paraId="27AD825A" w14:textId="77777777" w:rsidTr="00032DD6">
        <w:tc>
          <w:tcPr>
            <w:tcW w:w="1458" w:type="dxa"/>
          </w:tcPr>
          <w:p w14:paraId="5E56D8E0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HIST1H1D</w:t>
            </w:r>
          </w:p>
        </w:tc>
        <w:tc>
          <w:tcPr>
            <w:tcW w:w="3690" w:type="dxa"/>
          </w:tcPr>
          <w:p w14:paraId="44CAF8F1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CTAAGGCCAAAGCCCCTAAG</w:t>
            </w:r>
          </w:p>
        </w:tc>
        <w:tc>
          <w:tcPr>
            <w:tcW w:w="4140" w:type="dxa"/>
          </w:tcPr>
          <w:p w14:paraId="39BD2126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CCGCCAGTTTCACTTTTTCT</w:t>
            </w:r>
          </w:p>
        </w:tc>
      </w:tr>
      <w:tr w:rsidR="00725259" w:rsidRPr="00AC19DC" w14:paraId="0954956A" w14:textId="77777777" w:rsidTr="00032DD6">
        <w:tc>
          <w:tcPr>
            <w:tcW w:w="1458" w:type="dxa"/>
          </w:tcPr>
          <w:p w14:paraId="466E7E7A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HIST1H1E</w:t>
            </w:r>
          </w:p>
        </w:tc>
        <w:tc>
          <w:tcPr>
            <w:tcW w:w="3690" w:type="dxa"/>
          </w:tcPr>
          <w:p w14:paraId="17F6E89D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GTCGGGTTCCTTCAAACTCA</w:t>
            </w:r>
          </w:p>
        </w:tc>
        <w:tc>
          <w:tcPr>
            <w:tcW w:w="4140" w:type="dxa"/>
          </w:tcPr>
          <w:p w14:paraId="76467DCA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GCCTTCTTTGGGGTCTTCTT</w:t>
            </w:r>
          </w:p>
        </w:tc>
      </w:tr>
      <w:tr w:rsidR="00725259" w:rsidRPr="00AC19DC" w14:paraId="4EA6D561" w14:textId="77777777" w:rsidTr="00032DD6">
        <w:tc>
          <w:tcPr>
            <w:tcW w:w="1458" w:type="dxa"/>
          </w:tcPr>
          <w:p w14:paraId="0CF4ADB2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HIST1H1F0</w:t>
            </w:r>
          </w:p>
        </w:tc>
        <w:tc>
          <w:tcPr>
            <w:tcW w:w="3690" w:type="dxa"/>
          </w:tcPr>
          <w:p w14:paraId="21B84342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CTCGCAGATCAAGTTGTCCA</w:t>
            </w:r>
          </w:p>
        </w:tc>
        <w:tc>
          <w:tcPr>
            <w:tcW w:w="4140" w:type="dxa"/>
          </w:tcPr>
          <w:p w14:paraId="34F8FA4B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GAAGGCCACTGACTTCTTGG</w:t>
            </w:r>
          </w:p>
        </w:tc>
      </w:tr>
      <w:tr w:rsidR="00725259" w:rsidRPr="00AC19DC" w14:paraId="6CE8F15A" w14:textId="77777777" w:rsidTr="00032DD6">
        <w:tc>
          <w:tcPr>
            <w:tcW w:w="1458" w:type="dxa"/>
          </w:tcPr>
          <w:p w14:paraId="7154C4AD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HIST1H1FX</w:t>
            </w:r>
          </w:p>
        </w:tc>
        <w:tc>
          <w:tcPr>
            <w:tcW w:w="3690" w:type="dxa"/>
          </w:tcPr>
          <w:p w14:paraId="5C0A03E7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GTGGTTCGACCAGCAGAATG</w:t>
            </w:r>
          </w:p>
        </w:tc>
        <w:tc>
          <w:tcPr>
            <w:tcW w:w="4140" w:type="dxa"/>
          </w:tcPr>
          <w:p w14:paraId="074493DB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GAGCTTGAAGGAACCGTTGG</w:t>
            </w:r>
          </w:p>
        </w:tc>
      </w:tr>
      <w:tr w:rsidR="00725259" w:rsidRPr="00AC19DC" w14:paraId="63F6C622" w14:textId="77777777" w:rsidTr="00032DD6">
        <w:tc>
          <w:tcPr>
            <w:tcW w:w="1458" w:type="dxa"/>
          </w:tcPr>
          <w:p w14:paraId="3F7FFDC2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HIST1H2AE</w:t>
            </w:r>
          </w:p>
        </w:tc>
        <w:tc>
          <w:tcPr>
            <w:tcW w:w="3690" w:type="dxa"/>
          </w:tcPr>
          <w:p w14:paraId="2C36E341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AGTCAAATCCGTCAGTGATCC</w:t>
            </w:r>
          </w:p>
        </w:tc>
        <w:tc>
          <w:tcPr>
            <w:tcW w:w="4140" w:type="dxa"/>
          </w:tcPr>
          <w:p w14:paraId="50B8FE0B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TCAGGCATCGTATGTGTATTCC</w:t>
            </w:r>
          </w:p>
        </w:tc>
      </w:tr>
      <w:tr w:rsidR="00725259" w:rsidRPr="00AC19DC" w14:paraId="56A849E2" w14:textId="77777777" w:rsidTr="00032DD6">
        <w:tc>
          <w:tcPr>
            <w:tcW w:w="1458" w:type="dxa"/>
          </w:tcPr>
          <w:p w14:paraId="0D1BF3E6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i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HIST1H2AI</w:t>
            </w:r>
          </w:p>
        </w:tc>
        <w:tc>
          <w:tcPr>
            <w:tcW w:w="3690" w:type="dxa"/>
          </w:tcPr>
          <w:p w14:paraId="04688777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GCTACTGCCCAAGAAGACCGA</w:t>
            </w:r>
          </w:p>
        </w:tc>
        <w:tc>
          <w:tcPr>
            <w:tcW w:w="4140" w:type="dxa"/>
          </w:tcPr>
          <w:p w14:paraId="39218997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TTCCTTTGGGATTGAGTTGCTGC</w:t>
            </w:r>
          </w:p>
        </w:tc>
      </w:tr>
      <w:tr w:rsidR="00725259" w:rsidRPr="00AC19DC" w14:paraId="16035734" w14:textId="77777777" w:rsidTr="00032DD6">
        <w:tc>
          <w:tcPr>
            <w:tcW w:w="1458" w:type="dxa"/>
          </w:tcPr>
          <w:p w14:paraId="11274FC0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i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HIST1H2BG</w:t>
            </w:r>
          </w:p>
        </w:tc>
        <w:tc>
          <w:tcPr>
            <w:tcW w:w="3690" w:type="dxa"/>
          </w:tcPr>
          <w:p w14:paraId="2C2B3AC3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AAGGTACCAAGGCTGTCACC</w:t>
            </w:r>
          </w:p>
        </w:tc>
        <w:tc>
          <w:tcPr>
            <w:tcW w:w="4140" w:type="dxa"/>
          </w:tcPr>
          <w:p w14:paraId="117A25A8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TGTGAGACTTGAGTGGCTCTG</w:t>
            </w:r>
          </w:p>
        </w:tc>
      </w:tr>
      <w:tr w:rsidR="00725259" w:rsidRPr="00AC19DC" w14:paraId="07D517E1" w14:textId="77777777" w:rsidTr="00032DD6">
        <w:tc>
          <w:tcPr>
            <w:tcW w:w="1458" w:type="dxa"/>
          </w:tcPr>
          <w:p w14:paraId="19353013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i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HIST1H2BH</w:t>
            </w:r>
          </w:p>
        </w:tc>
        <w:tc>
          <w:tcPr>
            <w:tcW w:w="3690" w:type="dxa"/>
          </w:tcPr>
          <w:p w14:paraId="2881F5A3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CACTAAGGCCGTCACCAAGT</w:t>
            </w:r>
          </w:p>
        </w:tc>
        <w:tc>
          <w:tcPr>
            <w:tcW w:w="4140" w:type="dxa"/>
          </w:tcPr>
          <w:p w14:paraId="1CB9328D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TTTGGGTTTGAACATGCGTC</w:t>
            </w:r>
          </w:p>
        </w:tc>
      </w:tr>
      <w:tr w:rsidR="00725259" w:rsidRPr="00AC19DC" w14:paraId="62ACEFD1" w14:textId="77777777" w:rsidTr="00032DD6">
        <w:tc>
          <w:tcPr>
            <w:tcW w:w="1458" w:type="dxa"/>
          </w:tcPr>
          <w:p w14:paraId="1501BF40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i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HIST1H3F</w:t>
            </w:r>
          </w:p>
        </w:tc>
        <w:tc>
          <w:tcPr>
            <w:tcW w:w="3690" w:type="dxa"/>
          </w:tcPr>
          <w:p w14:paraId="7F12A9AD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CAAGCGAGTGACTATCATGCC</w:t>
            </w:r>
          </w:p>
        </w:tc>
        <w:tc>
          <w:tcPr>
            <w:tcW w:w="4140" w:type="dxa"/>
          </w:tcPr>
          <w:p w14:paraId="0A04513B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GCGCACACCCTCAGTACAAC</w:t>
            </w:r>
          </w:p>
        </w:tc>
      </w:tr>
      <w:tr w:rsidR="00725259" w:rsidRPr="00AC19DC" w14:paraId="450E9712" w14:textId="77777777" w:rsidTr="00032DD6">
        <w:tc>
          <w:tcPr>
            <w:tcW w:w="1458" w:type="dxa"/>
          </w:tcPr>
          <w:p w14:paraId="1F790549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i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HIST1H4F</w:t>
            </w:r>
          </w:p>
        </w:tc>
        <w:tc>
          <w:tcPr>
            <w:tcW w:w="3690" w:type="dxa"/>
          </w:tcPr>
          <w:p w14:paraId="00CC8BA1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CCGTAACCTACACGGAGCAC</w:t>
            </w:r>
          </w:p>
        </w:tc>
        <w:tc>
          <w:tcPr>
            <w:tcW w:w="4140" w:type="dxa"/>
          </w:tcPr>
          <w:p w14:paraId="42154541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AAATAAAAAGCCGGGGTGAG</w:t>
            </w:r>
          </w:p>
        </w:tc>
      </w:tr>
      <w:tr w:rsidR="00725259" w:rsidRPr="00AC19DC" w14:paraId="066B42D2" w14:textId="77777777" w:rsidTr="00032DD6">
        <w:tc>
          <w:tcPr>
            <w:tcW w:w="1458" w:type="dxa"/>
          </w:tcPr>
          <w:p w14:paraId="5BC66547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i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CYBB</w:t>
            </w:r>
          </w:p>
        </w:tc>
        <w:tc>
          <w:tcPr>
            <w:tcW w:w="3690" w:type="dxa"/>
          </w:tcPr>
          <w:p w14:paraId="65284988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AACTGGGCTGTGAATGAGGG</w:t>
            </w:r>
          </w:p>
        </w:tc>
        <w:tc>
          <w:tcPr>
            <w:tcW w:w="4140" w:type="dxa"/>
          </w:tcPr>
          <w:p w14:paraId="5599C018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GCCAGTGCTGACCCAAGAA</w:t>
            </w:r>
          </w:p>
        </w:tc>
      </w:tr>
      <w:tr w:rsidR="00725259" w:rsidRPr="00AC19DC" w14:paraId="1EE6AD85" w14:textId="77777777" w:rsidTr="00032DD6">
        <w:tc>
          <w:tcPr>
            <w:tcW w:w="1458" w:type="dxa"/>
          </w:tcPr>
          <w:p w14:paraId="5BEF2D8E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i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FCN1</w:t>
            </w:r>
          </w:p>
        </w:tc>
        <w:tc>
          <w:tcPr>
            <w:tcW w:w="3690" w:type="dxa"/>
          </w:tcPr>
          <w:p w14:paraId="01B3946E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GATGCGTGGAGAGAAAGGAGAC</w:t>
            </w:r>
          </w:p>
        </w:tc>
        <w:tc>
          <w:tcPr>
            <w:tcW w:w="4140" w:type="dxa"/>
          </w:tcPr>
          <w:p w14:paraId="6151EC64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ATGTCACAGAGCACAGTCAGG</w:t>
            </w:r>
          </w:p>
        </w:tc>
      </w:tr>
      <w:tr w:rsidR="00725259" w:rsidRPr="00AC19DC" w14:paraId="6A1830BC" w14:textId="77777777" w:rsidTr="00032DD6">
        <w:tc>
          <w:tcPr>
            <w:tcW w:w="1458" w:type="dxa"/>
          </w:tcPr>
          <w:p w14:paraId="129B9518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i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CLEC4A</w:t>
            </w:r>
          </w:p>
        </w:tc>
        <w:tc>
          <w:tcPr>
            <w:tcW w:w="3690" w:type="dxa"/>
          </w:tcPr>
          <w:p w14:paraId="75B38206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GATCCAGAAGGTCAGCGACA</w:t>
            </w:r>
          </w:p>
        </w:tc>
        <w:tc>
          <w:tcPr>
            <w:tcW w:w="4140" w:type="dxa"/>
          </w:tcPr>
          <w:p w14:paraId="029004E3" w14:textId="77777777" w:rsidR="00725259" w:rsidRPr="00AC19DC" w:rsidRDefault="00725259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TGGATGCCAGAATGTGGAACT</w:t>
            </w:r>
          </w:p>
        </w:tc>
      </w:tr>
      <w:tr w:rsidR="00FC7CFA" w:rsidRPr="00AC19DC" w14:paraId="302FBCC2" w14:textId="77777777" w:rsidTr="00032DD6">
        <w:tc>
          <w:tcPr>
            <w:tcW w:w="1458" w:type="dxa"/>
          </w:tcPr>
          <w:p w14:paraId="50B789E4" w14:textId="32693219" w:rsidR="00FC7CFA" w:rsidRPr="00AC19DC" w:rsidRDefault="00FC7CFA" w:rsidP="00032DD6">
            <w:pPr>
              <w:spacing w:line="360" w:lineRule="auto"/>
              <w:jc w:val="both"/>
              <w:rPr>
                <w:rFonts w:ascii="Times" w:hAnsi="Times" w:cs="Times"/>
                <w:i/>
                <w:lang w:val="en-US"/>
              </w:rPr>
            </w:pPr>
            <w:r w:rsidRPr="00AC19DC">
              <w:rPr>
                <w:rFonts w:ascii="Times" w:hAnsi="Times" w:cs="Times"/>
                <w:i/>
                <w:lang w:val="en-US"/>
              </w:rPr>
              <w:t>ITGAM</w:t>
            </w:r>
          </w:p>
        </w:tc>
        <w:tc>
          <w:tcPr>
            <w:tcW w:w="3690" w:type="dxa"/>
          </w:tcPr>
          <w:p w14:paraId="2C31C313" w14:textId="6A7C7539" w:rsidR="00FC7CFA" w:rsidRPr="00AC19DC" w:rsidRDefault="003F425D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CCCGGAAAACTCAGAGGTCAC</w:t>
            </w:r>
          </w:p>
        </w:tc>
        <w:tc>
          <w:tcPr>
            <w:tcW w:w="4140" w:type="dxa"/>
          </w:tcPr>
          <w:p w14:paraId="0C15822D" w14:textId="1E4CE3AD" w:rsidR="00FC7CFA" w:rsidRPr="00AC19DC" w:rsidRDefault="003F425D" w:rsidP="00032DD6">
            <w:pPr>
              <w:spacing w:line="360" w:lineRule="auto"/>
              <w:jc w:val="both"/>
              <w:rPr>
                <w:rFonts w:ascii="Times" w:hAnsi="Times" w:cs="Times"/>
                <w:lang w:val="en-US"/>
              </w:rPr>
            </w:pPr>
            <w:r w:rsidRPr="00AC19DC">
              <w:rPr>
                <w:rFonts w:ascii="Times" w:hAnsi="Times" w:cs="Times"/>
                <w:lang w:val="en-US"/>
              </w:rPr>
              <w:t>GCTGGTGACCACCATGTAGA</w:t>
            </w:r>
          </w:p>
        </w:tc>
      </w:tr>
    </w:tbl>
    <w:p w14:paraId="0AA98A1B" w14:textId="77777777" w:rsidR="00725259" w:rsidRPr="00AC19DC" w:rsidRDefault="00725259" w:rsidP="00725259">
      <w:pPr>
        <w:spacing w:line="360" w:lineRule="auto"/>
        <w:jc w:val="both"/>
        <w:rPr>
          <w:rFonts w:ascii="Times" w:hAnsi="Times" w:cs="Times"/>
          <w:sz w:val="24"/>
          <w:szCs w:val="24"/>
          <w:lang w:val="en-US"/>
        </w:rPr>
      </w:pPr>
    </w:p>
    <w:p w14:paraId="2A326A6A" w14:textId="77777777" w:rsidR="004A3DEA" w:rsidRPr="00AC19DC" w:rsidRDefault="004A3DEA" w:rsidP="003F425D">
      <w:pPr>
        <w:spacing w:after="0"/>
        <w:jc w:val="both"/>
        <w:rPr>
          <w:rFonts w:ascii="Times" w:hAnsi="Times" w:cs="Times"/>
          <w:b/>
          <w:sz w:val="24"/>
          <w:szCs w:val="24"/>
          <w:lang w:val="en-US"/>
        </w:rPr>
      </w:pPr>
    </w:p>
    <w:p w14:paraId="6B293594" w14:textId="77777777" w:rsidR="004A3DEA" w:rsidRPr="00AC19DC" w:rsidRDefault="004A3DEA" w:rsidP="003F425D">
      <w:pPr>
        <w:spacing w:after="0"/>
        <w:jc w:val="both"/>
        <w:rPr>
          <w:rFonts w:ascii="Times" w:hAnsi="Times" w:cs="Times"/>
          <w:b/>
          <w:sz w:val="24"/>
          <w:szCs w:val="24"/>
          <w:lang w:val="en-US"/>
        </w:rPr>
      </w:pPr>
    </w:p>
    <w:p w14:paraId="4776D09F" w14:textId="342E337D" w:rsidR="004A3DEA" w:rsidRPr="00AC19DC" w:rsidRDefault="003F425D" w:rsidP="004A3DEA">
      <w:pPr>
        <w:spacing w:after="0" w:line="360" w:lineRule="auto"/>
        <w:jc w:val="both"/>
        <w:rPr>
          <w:rFonts w:ascii="Times" w:hAnsi="Times" w:cs="Times"/>
          <w:b/>
          <w:sz w:val="24"/>
          <w:szCs w:val="24"/>
          <w:lang w:val="en-US"/>
        </w:rPr>
      </w:pPr>
      <w:r w:rsidRPr="00AC19DC">
        <w:rPr>
          <w:rFonts w:ascii="Times" w:hAnsi="Times" w:cs="Times"/>
          <w:b/>
          <w:sz w:val="24"/>
          <w:szCs w:val="24"/>
          <w:lang w:val="en-US"/>
        </w:rPr>
        <w:t>Gene expression profiling</w:t>
      </w:r>
    </w:p>
    <w:p w14:paraId="387DA0A2" w14:textId="0DBC0284" w:rsidR="003F425D" w:rsidRPr="00AC19DC" w:rsidRDefault="003F425D" w:rsidP="004A3DEA">
      <w:pPr>
        <w:spacing w:after="0" w:line="360" w:lineRule="auto"/>
        <w:jc w:val="both"/>
        <w:rPr>
          <w:rFonts w:ascii="Times" w:hAnsi="Times" w:cs="Times"/>
          <w:sz w:val="24"/>
          <w:szCs w:val="24"/>
          <w:lang w:val="en-US"/>
        </w:rPr>
      </w:pPr>
      <w:r w:rsidRPr="00AC19DC">
        <w:rPr>
          <w:rFonts w:ascii="Times" w:hAnsi="Times" w:cs="Times"/>
          <w:sz w:val="24"/>
          <w:szCs w:val="24"/>
          <w:lang w:val="en-US"/>
        </w:rPr>
        <w:t xml:space="preserve">RNA expression profiling was done with </w:t>
      </w:r>
      <w:proofErr w:type="spellStart"/>
      <w:r w:rsidRPr="00AC19DC">
        <w:rPr>
          <w:rFonts w:ascii="Times" w:hAnsi="Times" w:cs="Times"/>
          <w:sz w:val="24"/>
          <w:szCs w:val="24"/>
          <w:lang w:val="en-US"/>
        </w:rPr>
        <w:t>Affymetrix</w:t>
      </w:r>
      <w:proofErr w:type="spellEnd"/>
      <w:r w:rsidRPr="00AC19DC">
        <w:rPr>
          <w:rFonts w:ascii="Times" w:hAnsi="Times" w:cs="Times"/>
          <w:sz w:val="24"/>
          <w:szCs w:val="24"/>
          <w:lang w:val="en-US"/>
        </w:rPr>
        <w:t xml:space="preserve"> Human gene ST 2.0 </w:t>
      </w:r>
      <w:r w:rsidR="00C74484" w:rsidRPr="00AC19DC">
        <w:rPr>
          <w:rFonts w:ascii="Times" w:hAnsi="Times" w:cs="Times"/>
          <w:sz w:val="24"/>
          <w:szCs w:val="24"/>
          <w:lang w:val="en-US"/>
        </w:rPr>
        <w:t xml:space="preserve">and Human Genome U133 Plus 2.0 </w:t>
      </w:r>
      <w:r w:rsidRPr="00AC19DC">
        <w:rPr>
          <w:rFonts w:ascii="Times" w:hAnsi="Times" w:cs="Times"/>
          <w:sz w:val="24"/>
          <w:szCs w:val="24"/>
          <w:lang w:val="en-US"/>
        </w:rPr>
        <w:t xml:space="preserve">DNA microarrays containing </w:t>
      </w:r>
      <w:r w:rsidR="00C74484" w:rsidRPr="00AC19DC">
        <w:rPr>
          <w:rFonts w:ascii="Times" w:hAnsi="Times" w:cs="Times"/>
          <w:sz w:val="24"/>
          <w:szCs w:val="24"/>
          <w:lang w:val="en-US"/>
        </w:rPr>
        <w:t xml:space="preserve">respectively </w:t>
      </w:r>
      <w:r w:rsidRPr="00AC19DC">
        <w:rPr>
          <w:rFonts w:ascii="Times" w:hAnsi="Times" w:cs="Times"/>
          <w:sz w:val="24"/>
          <w:szCs w:val="24"/>
          <w:lang w:val="en-US"/>
        </w:rPr>
        <w:t xml:space="preserve">more than 48,000 </w:t>
      </w:r>
      <w:r w:rsidR="00C74484" w:rsidRPr="00AC19DC">
        <w:rPr>
          <w:rFonts w:ascii="Times" w:hAnsi="Times" w:cs="Times"/>
          <w:sz w:val="24"/>
          <w:szCs w:val="24"/>
          <w:lang w:val="en-US"/>
        </w:rPr>
        <w:t xml:space="preserve">and 54,000 </w:t>
      </w:r>
      <w:r w:rsidRPr="00AC19DC">
        <w:rPr>
          <w:rFonts w:ascii="Times" w:hAnsi="Times" w:cs="Times"/>
          <w:sz w:val="24"/>
          <w:szCs w:val="24"/>
          <w:lang w:val="en-US"/>
        </w:rPr>
        <w:t>probe sets, representing 23</w:t>
      </w:r>
      <w:r w:rsidR="00B6034F" w:rsidRPr="00AC19DC">
        <w:rPr>
          <w:rFonts w:ascii="Times" w:hAnsi="Times" w:cs="Times"/>
          <w:sz w:val="24"/>
          <w:szCs w:val="24"/>
          <w:lang w:val="en-US"/>
        </w:rPr>
        <w:t>,</w:t>
      </w:r>
      <w:r w:rsidRPr="00AC19DC">
        <w:rPr>
          <w:rFonts w:ascii="Times" w:hAnsi="Times" w:cs="Times"/>
          <w:sz w:val="24"/>
          <w:szCs w:val="24"/>
          <w:lang w:val="en-US"/>
        </w:rPr>
        <w:t xml:space="preserve">816 </w:t>
      </w:r>
      <w:r w:rsidR="00C74484" w:rsidRPr="00AC19DC">
        <w:rPr>
          <w:rFonts w:ascii="Times" w:hAnsi="Times" w:cs="Times"/>
          <w:sz w:val="24"/>
          <w:szCs w:val="24"/>
          <w:lang w:val="en-US"/>
        </w:rPr>
        <w:t xml:space="preserve">and 20,678 </w:t>
      </w:r>
      <w:r w:rsidRPr="00AC19DC">
        <w:rPr>
          <w:rFonts w:ascii="Times" w:hAnsi="Times" w:cs="Times"/>
          <w:sz w:val="24"/>
          <w:szCs w:val="24"/>
          <w:lang w:val="en-US"/>
        </w:rPr>
        <w:t xml:space="preserve">well-characterized human genes. Preparation of </w:t>
      </w:r>
      <w:proofErr w:type="spellStart"/>
      <w:r w:rsidRPr="00AC19DC">
        <w:rPr>
          <w:rFonts w:ascii="Times" w:hAnsi="Times" w:cs="Times"/>
          <w:sz w:val="24"/>
          <w:szCs w:val="24"/>
          <w:lang w:val="en-US"/>
        </w:rPr>
        <w:t>cRNA</w:t>
      </w:r>
      <w:proofErr w:type="spellEnd"/>
      <w:r w:rsidRPr="00AC19DC">
        <w:rPr>
          <w:rFonts w:ascii="Times" w:hAnsi="Times" w:cs="Times"/>
          <w:sz w:val="24"/>
          <w:szCs w:val="24"/>
          <w:lang w:val="en-US"/>
        </w:rPr>
        <w:t xml:space="preserve"> was done with the “</w:t>
      </w:r>
      <w:proofErr w:type="spellStart"/>
      <w:r w:rsidRPr="00AC19DC">
        <w:rPr>
          <w:rFonts w:ascii="Times" w:hAnsi="Times" w:cs="Times"/>
          <w:sz w:val="24"/>
          <w:szCs w:val="24"/>
          <w:lang w:val="en-US"/>
        </w:rPr>
        <w:t>GeneChip</w:t>
      </w:r>
      <w:proofErr w:type="spellEnd"/>
      <w:r w:rsidRPr="00AC19DC">
        <w:rPr>
          <w:rFonts w:ascii="Times" w:hAnsi="Times" w:cs="Times"/>
          <w:sz w:val="24"/>
          <w:szCs w:val="24"/>
          <w:lang w:val="en-US"/>
        </w:rPr>
        <w:t>® WT</w:t>
      </w:r>
      <w:r w:rsidR="00BF45B0" w:rsidRPr="00AC19DC">
        <w:rPr>
          <w:rFonts w:ascii="Times" w:hAnsi="Times" w:cs="Times"/>
          <w:sz w:val="24"/>
          <w:szCs w:val="24"/>
          <w:lang w:val="en-US"/>
        </w:rPr>
        <w:t xml:space="preserve"> PLUS Reagent Kit (</w:t>
      </w:r>
      <w:proofErr w:type="spellStart"/>
      <w:r w:rsidR="00BF45B0" w:rsidRPr="00AC19DC">
        <w:rPr>
          <w:rFonts w:ascii="Times" w:hAnsi="Times" w:cs="Times"/>
          <w:sz w:val="24"/>
          <w:szCs w:val="24"/>
          <w:lang w:val="en-US"/>
        </w:rPr>
        <w:t>Affymetrix</w:t>
      </w:r>
      <w:proofErr w:type="spellEnd"/>
      <w:r w:rsidR="00BF45B0" w:rsidRPr="00AC19DC">
        <w:rPr>
          <w:rFonts w:ascii="Times" w:hAnsi="Times" w:cs="Times"/>
          <w:sz w:val="24"/>
          <w:szCs w:val="24"/>
          <w:lang w:val="en-US"/>
        </w:rPr>
        <w:t xml:space="preserve">)“ </w:t>
      </w:r>
      <w:r w:rsidR="00B6034F" w:rsidRPr="00AC19DC">
        <w:rPr>
          <w:rFonts w:ascii="Times" w:hAnsi="Times" w:cs="Times"/>
          <w:sz w:val="24"/>
          <w:szCs w:val="24"/>
          <w:lang w:val="en-US"/>
        </w:rPr>
        <w:t>and “</w:t>
      </w:r>
      <w:proofErr w:type="spellStart"/>
      <w:r w:rsidR="00B6034F" w:rsidRPr="00AC19DC">
        <w:rPr>
          <w:rFonts w:ascii="Times" w:hAnsi="Times" w:cs="Times"/>
          <w:sz w:val="24"/>
          <w:szCs w:val="24"/>
          <w:lang w:val="en-US"/>
        </w:rPr>
        <w:t>GeneChip</w:t>
      </w:r>
      <w:proofErr w:type="spellEnd"/>
      <w:r w:rsidR="00B6034F" w:rsidRPr="00AC19DC">
        <w:rPr>
          <w:rFonts w:ascii="Times" w:hAnsi="Times" w:cs="Times"/>
          <w:sz w:val="24"/>
          <w:szCs w:val="24"/>
          <w:lang w:val="en-US"/>
        </w:rPr>
        <w:t>® 3’ IVT Express Kit (</w:t>
      </w:r>
      <w:proofErr w:type="spellStart"/>
      <w:r w:rsidR="00B6034F" w:rsidRPr="00AC19DC">
        <w:rPr>
          <w:rFonts w:ascii="Times" w:hAnsi="Times" w:cs="Times"/>
          <w:sz w:val="24"/>
          <w:szCs w:val="24"/>
          <w:lang w:val="en-US"/>
        </w:rPr>
        <w:t>Affymetrix</w:t>
      </w:r>
      <w:proofErr w:type="spellEnd"/>
      <w:r w:rsidR="00B6034F" w:rsidRPr="00AC19DC">
        <w:rPr>
          <w:rFonts w:ascii="Times" w:hAnsi="Times" w:cs="Times"/>
          <w:sz w:val="24"/>
          <w:szCs w:val="24"/>
          <w:lang w:val="en-US"/>
        </w:rPr>
        <w:t xml:space="preserve">)” respectively </w:t>
      </w:r>
      <w:r w:rsidRPr="00AC19DC">
        <w:rPr>
          <w:rFonts w:ascii="Times" w:hAnsi="Times" w:cs="Times"/>
          <w:sz w:val="24"/>
          <w:szCs w:val="24"/>
          <w:lang w:val="en-US"/>
        </w:rPr>
        <w:t>as recommended by the supplier. Hybridizations, washes, detection and quantification were performed as previously described</w:t>
      </w:r>
      <w:r w:rsidR="00422CB9" w:rsidRPr="00AC19DC">
        <w:rPr>
          <w:rFonts w:ascii="Times" w:hAnsi="Times" w:cs="Times"/>
          <w:sz w:val="24"/>
          <w:szCs w:val="24"/>
          <w:lang w:val="en-US"/>
        </w:rPr>
        <w:t xml:space="preserve"> (</w:t>
      </w:r>
      <w:r w:rsidR="004A3DEA" w:rsidRPr="00AC19DC">
        <w:rPr>
          <w:rFonts w:ascii="Times" w:hAnsi="Times" w:cs="Times"/>
          <w:sz w:val="24"/>
          <w:szCs w:val="24"/>
          <w:lang w:val="en-US"/>
        </w:rPr>
        <w:t>1</w:t>
      </w:r>
      <w:r w:rsidR="00422CB9" w:rsidRPr="00AC19DC">
        <w:rPr>
          <w:rFonts w:ascii="Times" w:hAnsi="Times" w:cs="Times"/>
          <w:sz w:val="24"/>
          <w:szCs w:val="24"/>
          <w:lang w:val="en-US"/>
        </w:rPr>
        <w:t>)</w:t>
      </w:r>
      <w:r w:rsidR="004A3DEA" w:rsidRPr="00AC19DC">
        <w:rPr>
          <w:rFonts w:ascii="Times" w:hAnsi="Times" w:cs="Times"/>
          <w:sz w:val="24"/>
          <w:szCs w:val="24"/>
          <w:lang w:val="en-US"/>
        </w:rPr>
        <w:t>.</w:t>
      </w:r>
      <w:r w:rsidRPr="00AC19DC">
        <w:rPr>
          <w:rFonts w:ascii="Times" w:hAnsi="Times" w:cs="Times"/>
          <w:sz w:val="24"/>
          <w:szCs w:val="24"/>
          <w:lang w:val="en-US"/>
        </w:rPr>
        <w:t xml:space="preserve"> Expression data </w:t>
      </w:r>
      <w:r w:rsidR="004A01A9" w:rsidRPr="00AC19DC">
        <w:rPr>
          <w:rFonts w:ascii="Times" w:hAnsi="Times" w:cs="Times"/>
          <w:sz w:val="24"/>
          <w:szCs w:val="24"/>
          <w:lang w:val="en-US"/>
        </w:rPr>
        <w:t xml:space="preserve">in both </w:t>
      </w:r>
      <w:proofErr w:type="gramStart"/>
      <w:r w:rsidR="004A01A9" w:rsidRPr="00AC19DC">
        <w:rPr>
          <w:rFonts w:ascii="Times" w:hAnsi="Times" w:cs="Times"/>
          <w:sz w:val="24"/>
          <w:szCs w:val="24"/>
          <w:lang w:val="en-US"/>
        </w:rPr>
        <w:t>type</w:t>
      </w:r>
      <w:proofErr w:type="gramEnd"/>
      <w:r w:rsidR="004A01A9" w:rsidRPr="00AC19DC">
        <w:rPr>
          <w:rFonts w:ascii="Times" w:hAnsi="Times" w:cs="Times"/>
          <w:sz w:val="24"/>
          <w:szCs w:val="24"/>
          <w:lang w:val="en-US"/>
        </w:rPr>
        <w:t xml:space="preserve"> of chips </w:t>
      </w:r>
      <w:r w:rsidRPr="00AC19DC">
        <w:rPr>
          <w:rFonts w:ascii="Times" w:hAnsi="Times" w:cs="Times"/>
          <w:sz w:val="24"/>
          <w:szCs w:val="24"/>
          <w:lang w:val="en-US"/>
        </w:rPr>
        <w:t xml:space="preserve">were normalized </w:t>
      </w:r>
      <w:r w:rsidR="00FC128F" w:rsidRPr="00AC19DC">
        <w:rPr>
          <w:rFonts w:ascii="Times" w:hAnsi="Times" w:cs="Times"/>
          <w:sz w:val="24"/>
          <w:szCs w:val="24"/>
          <w:lang w:val="en-US"/>
        </w:rPr>
        <w:t xml:space="preserve">separately </w:t>
      </w:r>
      <w:r w:rsidRPr="00AC19DC">
        <w:rPr>
          <w:rFonts w:ascii="Times" w:hAnsi="Times" w:cs="Times"/>
          <w:sz w:val="24"/>
          <w:szCs w:val="24"/>
          <w:lang w:val="en-US"/>
        </w:rPr>
        <w:t>by the Robust Multichip Average method</w:t>
      </w:r>
      <w:r w:rsidR="00422CB9" w:rsidRPr="00AC19DC">
        <w:rPr>
          <w:rFonts w:ascii="Times" w:hAnsi="Times" w:cs="Times"/>
          <w:sz w:val="24"/>
          <w:szCs w:val="24"/>
          <w:lang w:val="en-US"/>
        </w:rPr>
        <w:t xml:space="preserve"> (</w:t>
      </w:r>
      <w:r w:rsidR="004A3DEA" w:rsidRPr="00AC19DC">
        <w:rPr>
          <w:rFonts w:ascii="Times" w:hAnsi="Times" w:cs="Times"/>
          <w:sz w:val="24"/>
          <w:szCs w:val="24"/>
          <w:lang w:val="en-US"/>
        </w:rPr>
        <w:t>2</w:t>
      </w:r>
      <w:r w:rsidR="00422CB9" w:rsidRPr="00AC19DC">
        <w:rPr>
          <w:rFonts w:ascii="Times" w:hAnsi="Times" w:cs="Times"/>
          <w:sz w:val="24"/>
          <w:szCs w:val="24"/>
          <w:lang w:val="en-US"/>
        </w:rPr>
        <w:t>)</w:t>
      </w:r>
      <w:r w:rsidRPr="00AC19DC">
        <w:rPr>
          <w:rFonts w:ascii="Times" w:hAnsi="Times" w:cs="Times"/>
          <w:sz w:val="24"/>
          <w:szCs w:val="24"/>
          <w:lang w:val="en-US"/>
        </w:rPr>
        <w:t xml:space="preserve"> using the </w:t>
      </w:r>
      <w:proofErr w:type="spellStart"/>
      <w:r w:rsidRPr="00AC19DC">
        <w:rPr>
          <w:rFonts w:ascii="Times" w:hAnsi="Times" w:cs="Times"/>
          <w:sz w:val="24"/>
          <w:szCs w:val="24"/>
          <w:lang w:val="en-US"/>
        </w:rPr>
        <w:t>Affymetrix</w:t>
      </w:r>
      <w:proofErr w:type="spellEnd"/>
      <w:r w:rsidRPr="00AC19DC">
        <w:rPr>
          <w:rFonts w:ascii="Times" w:hAnsi="Times" w:cs="Times"/>
          <w:sz w:val="24"/>
          <w:szCs w:val="24"/>
          <w:lang w:val="en-US"/>
        </w:rPr>
        <w:t xml:space="preserve"> “Expression Console” software. </w:t>
      </w:r>
      <w:r w:rsidR="004A01A9" w:rsidRPr="00AC19DC">
        <w:rPr>
          <w:rFonts w:ascii="Times" w:hAnsi="Times" w:cs="Times"/>
          <w:sz w:val="24"/>
          <w:szCs w:val="24"/>
          <w:lang w:val="en-US"/>
        </w:rPr>
        <w:t xml:space="preserve">Next, we mapped hybridization probes based on their NCBI </w:t>
      </w:r>
      <w:proofErr w:type="spellStart"/>
      <w:r w:rsidR="004A01A9" w:rsidRPr="00AC19DC">
        <w:rPr>
          <w:rFonts w:ascii="Times" w:hAnsi="Times" w:cs="Times"/>
          <w:sz w:val="24"/>
          <w:szCs w:val="24"/>
          <w:lang w:val="en-US"/>
        </w:rPr>
        <w:t>Entrez</w:t>
      </w:r>
      <w:proofErr w:type="spellEnd"/>
      <w:r w:rsidR="004A01A9" w:rsidRPr="00AC19DC">
        <w:rPr>
          <w:rFonts w:ascii="Times" w:hAnsi="Times" w:cs="Times"/>
          <w:sz w:val="24"/>
          <w:szCs w:val="24"/>
          <w:lang w:val="en-US"/>
        </w:rPr>
        <w:t xml:space="preserve"> Gene identification number</w:t>
      </w:r>
      <w:r w:rsidR="00FC128F" w:rsidRPr="00AC19DC">
        <w:rPr>
          <w:rFonts w:ascii="Times" w:hAnsi="Times" w:cs="Times"/>
          <w:sz w:val="24"/>
          <w:szCs w:val="24"/>
          <w:lang w:val="en-US"/>
        </w:rPr>
        <w:t xml:space="preserve"> in both data </w:t>
      </w:r>
      <w:r w:rsidR="0084307B" w:rsidRPr="00AC19DC">
        <w:rPr>
          <w:rFonts w:ascii="Times" w:hAnsi="Times" w:cs="Times"/>
          <w:sz w:val="24"/>
          <w:szCs w:val="24"/>
          <w:lang w:val="en-US"/>
        </w:rPr>
        <w:t>sets</w:t>
      </w:r>
      <w:r w:rsidR="004A01A9" w:rsidRPr="00AC19DC">
        <w:rPr>
          <w:rFonts w:ascii="Times" w:hAnsi="Times" w:cs="Times"/>
          <w:sz w:val="24"/>
          <w:szCs w:val="24"/>
          <w:lang w:val="en-US"/>
        </w:rPr>
        <w:t>. In the case of multiple probes by gene the one with the highest variance were selected. Finally, both data set</w:t>
      </w:r>
      <w:r w:rsidR="00FC128F" w:rsidRPr="00AC19DC">
        <w:rPr>
          <w:rFonts w:ascii="Times" w:hAnsi="Times" w:cs="Times"/>
          <w:sz w:val="24"/>
          <w:szCs w:val="24"/>
          <w:lang w:val="en-US"/>
        </w:rPr>
        <w:t xml:space="preserve"> were normalized</w:t>
      </w:r>
      <w:r w:rsidR="004A01A9" w:rsidRPr="00AC19DC">
        <w:rPr>
          <w:rFonts w:ascii="Times" w:hAnsi="Times" w:cs="Times"/>
          <w:sz w:val="24"/>
          <w:szCs w:val="24"/>
          <w:lang w:val="en-US"/>
        </w:rPr>
        <w:t xml:space="preserve"> </w:t>
      </w:r>
      <w:r w:rsidR="00FC128F" w:rsidRPr="00AC19DC">
        <w:rPr>
          <w:rFonts w:ascii="Times" w:hAnsi="Times" w:cs="Times"/>
          <w:sz w:val="24"/>
          <w:szCs w:val="24"/>
          <w:lang w:val="en-US"/>
        </w:rPr>
        <w:t xml:space="preserve">and gathered using </w:t>
      </w:r>
      <w:r w:rsidR="004A01A9" w:rsidRPr="00AC19DC">
        <w:rPr>
          <w:rFonts w:ascii="Times" w:hAnsi="Times" w:cs="Times"/>
          <w:sz w:val="24"/>
          <w:szCs w:val="24"/>
          <w:lang w:val="en-US"/>
        </w:rPr>
        <w:t>“</w:t>
      </w:r>
      <w:proofErr w:type="spellStart"/>
      <w:r w:rsidR="004A01A9" w:rsidRPr="00AC19DC">
        <w:rPr>
          <w:rFonts w:ascii="Times" w:hAnsi="Times" w:cs="Times"/>
          <w:sz w:val="24"/>
          <w:szCs w:val="24"/>
          <w:lang w:val="en-US"/>
        </w:rPr>
        <w:t>inSilicoMerging</w:t>
      </w:r>
      <w:proofErr w:type="spellEnd"/>
      <w:r w:rsidR="004A01A9" w:rsidRPr="00AC19DC">
        <w:rPr>
          <w:rFonts w:ascii="Times" w:hAnsi="Times" w:cs="Times"/>
          <w:sz w:val="24"/>
          <w:szCs w:val="24"/>
          <w:lang w:val="en-US"/>
        </w:rPr>
        <w:t>”</w:t>
      </w:r>
      <w:r w:rsidR="00FC128F" w:rsidRPr="00AC19DC">
        <w:rPr>
          <w:rFonts w:ascii="Times" w:hAnsi="Times" w:cs="Times"/>
          <w:sz w:val="24"/>
          <w:szCs w:val="24"/>
          <w:lang w:val="en-US"/>
        </w:rPr>
        <w:t xml:space="preserve"> R-</w:t>
      </w:r>
      <w:r w:rsidR="004A01A9" w:rsidRPr="00AC19DC">
        <w:rPr>
          <w:rFonts w:ascii="Times" w:hAnsi="Times" w:cs="Times"/>
          <w:sz w:val="24"/>
          <w:szCs w:val="24"/>
          <w:lang w:val="en-US"/>
        </w:rPr>
        <w:t>package</w:t>
      </w:r>
      <w:r w:rsidR="00FC128F" w:rsidRPr="00AC19DC">
        <w:rPr>
          <w:rFonts w:ascii="Times" w:hAnsi="Times" w:cs="Times"/>
          <w:sz w:val="24"/>
          <w:szCs w:val="24"/>
          <w:lang w:val="en-US"/>
        </w:rPr>
        <w:t xml:space="preserve"> with Empirical Bayes as method</w:t>
      </w:r>
      <w:r w:rsidR="004A01A9" w:rsidRPr="00AC19DC">
        <w:rPr>
          <w:rFonts w:ascii="Times" w:hAnsi="Times" w:cs="Times"/>
          <w:sz w:val="24"/>
          <w:szCs w:val="24"/>
          <w:lang w:val="en-US"/>
        </w:rPr>
        <w:t xml:space="preserve">. </w:t>
      </w:r>
      <w:r w:rsidRPr="00AC19DC">
        <w:rPr>
          <w:rFonts w:ascii="Times" w:hAnsi="Times" w:cs="Times"/>
          <w:sz w:val="24"/>
          <w:szCs w:val="24"/>
          <w:lang w:val="en-US"/>
        </w:rPr>
        <w:t>To define specific genes of both H3K27me3</w:t>
      </w:r>
      <w:r w:rsidR="00FE162B" w:rsidRPr="00AC19DC">
        <w:rPr>
          <w:rFonts w:ascii="Times" w:hAnsi="Times" w:cs="Times"/>
          <w:sz w:val="24"/>
          <w:szCs w:val="24"/>
          <w:lang w:val="en-US"/>
        </w:rPr>
        <w:t xml:space="preserve"> </w:t>
      </w:r>
      <w:r w:rsidRPr="00AC19DC">
        <w:rPr>
          <w:rFonts w:ascii="Times" w:hAnsi="Times" w:cs="Times"/>
          <w:i/>
          <w:sz w:val="24"/>
          <w:szCs w:val="24"/>
          <w:lang w:val="en-US"/>
        </w:rPr>
        <w:t>HIST1</w:t>
      </w:r>
      <w:r w:rsidRPr="00AC19DC">
        <w:rPr>
          <w:rFonts w:ascii="Times" w:hAnsi="Times" w:cs="Times"/>
          <w:sz w:val="24"/>
          <w:szCs w:val="24"/>
          <w:lang w:val="en-US"/>
        </w:rPr>
        <w:t xml:space="preserve"> groups</w:t>
      </w:r>
      <w:r w:rsidR="00B653AB" w:rsidRPr="00AC19DC">
        <w:rPr>
          <w:rFonts w:ascii="Times" w:hAnsi="Times" w:cs="Times"/>
          <w:sz w:val="24"/>
          <w:szCs w:val="24"/>
          <w:lang w:val="en-US"/>
        </w:rPr>
        <w:t>,</w:t>
      </w:r>
      <w:r w:rsidRPr="00AC19DC">
        <w:rPr>
          <w:rFonts w:ascii="Times" w:hAnsi="Times" w:cs="Times"/>
          <w:sz w:val="24"/>
          <w:szCs w:val="24"/>
          <w:lang w:val="en-US"/>
        </w:rPr>
        <w:t xml:space="preserve"> a moderated t-Test analysis was applied to expression levels of each probe set using linear models with empirical Bayes statistic included in the </w:t>
      </w:r>
      <w:proofErr w:type="spellStart"/>
      <w:r w:rsidRPr="00AC19DC">
        <w:rPr>
          <w:rFonts w:ascii="Times" w:hAnsi="Times" w:cs="Times"/>
          <w:sz w:val="24"/>
          <w:szCs w:val="24"/>
          <w:lang w:val="en-US"/>
        </w:rPr>
        <w:t>limma</w:t>
      </w:r>
      <w:proofErr w:type="spellEnd"/>
      <w:r w:rsidRPr="00AC19DC">
        <w:rPr>
          <w:rFonts w:ascii="Times" w:hAnsi="Times" w:cs="Times"/>
          <w:sz w:val="24"/>
          <w:szCs w:val="24"/>
          <w:lang w:val="en-US"/>
        </w:rPr>
        <w:t xml:space="preserve"> R package</w:t>
      </w:r>
      <w:r w:rsidR="00422CB9" w:rsidRPr="00AC19DC">
        <w:rPr>
          <w:rFonts w:ascii="Times" w:hAnsi="Times" w:cs="Times"/>
          <w:sz w:val="24"/>
          <w:szCs w:val="24"/>
          <w:lang w:val="en-US"/>
        </w:rPr>
        <w:t xml:space="preserve"> (</w:t>
      </w:r>
      <w:r w:rsidR="004A3DEA" w:rsidRPr="00AC19DC">
        <w:rPr>
          <w:rFonts w:ascii="Times" w:hAnsi="Times" w:cs="Times"/>
          <w:sz w:val="24"/>
          <w:szCs w:val="24"/>
          <w:lang w:val="en-US"/>
        </w:rPr>
        <w:t>3</w:t>
      </w:r>
      <w:r w:rsidR="00422CB9" w:rsidRPr="00AC19DC">
        <w:rPr>
          <w:rFonts w:ascii="Times" w:hAnsi="Times" w:cs="Times"/>
          <w:sz w:val="24"/>
          <w:szCs w:val="24"/>
          <w:lang w:val="en-US"/>
        </w:rPr>
        <w:t>)</w:t>
      </w:r>
      <w:r w:rsidR="004A3DEA" w:rsidRPr="00AC19DC">
        <w:rPr>
          <w:rFonts w:ascii="Times" w:hAnsi="Times" w:cs="Times"/>
          <w:sz w:val="24"/>
          <w:szCs w:val="24"/>
          <w:lang w:val="en-US"/>
        </w:rPr>
        <w:t>.</w:t>
      </w:r>
      <w:r w:rsidRPr="00AC19DC">
        <w:rPr>
          <w:rFonts w:ascii="Times" w:hAnsi="Times" w:cs="Times"/>
          <w:sz w:val="24"/>
          <w:szCs w:val="24"/>
          <w:lang w:val="en-US"/>
        </w:rPr>
        <w:t xml:space="preserve"> Probe sets were considered significantly as differentially expressed if they showed a fold change of at least 1.5 and a p-value of at least 5%. Analyses were done in R and associated packages. Gene set enrichment analysis (GSEA)</w:t>
      </w:r>
      <w:r w:rsidR="00422CB9" w:rsidRPr="00AC19DC">
        <w:rPr>
          <w:rFonts w:ascii="Times" w:hAnsi="Times" w:cs="Times"/>
          <w:sz w:val="24"/>
          <w:szCs w:val="24"/>
          <w:lang w:val="en-US"/>
        </w:rPr>
        <w:t>(4)</w:t>
      </w:r>
      <w:r w:rsidRPr="00AC19DC">
        <w:rPr>
          <w:rFonts w:ascii="Times" w:hAnsi="Times" w:cs="Times"/>
          <w:sz w:val="24"/>
          <w:szCs w:val="24"/>
          <w:lang w:val="en-US"/>
        </w:rPr>
        <w:t xml:space="preserve"> were made using Broad Institute tool (</w:t>
      </w:r>
      <w:hyperlink r:id="rId7" w:history="1">
        <w:r w:rsidRPr="00AC19DC">
          <w:rPr>
            <w:rStyle w:val="Lienhypertexte"/>
            <w:rFonts w:ascii="Times" w:hAnsi="Times" w:cs="Times"/>
            <w:sz w:val="24"/>
            <w:szCs w:val="24"/>
            <w:lang w:val="en-US"/>
          </w:rPr>
          <w:t>http://www.broadinstitute.org/gsea/</w:t>
        </w:r>
      </w:hyperlink>
      <w:r w:rsidRPr="00AC19DC">
        <w:rPr>
          <w:rFonts w:ascii="Times" w:hAnsi="Times" w:cs="Times"/>
          <w:sz w:val="24"/>
          <w:szCs w:val="24"/>
          <w:lang w:val="en-US"/>
        </w:rPr>
        <w:t>).</w:t>
      </w:r>
      <w:r w:rsidR="00B653AB" w:rsidRPr="00AC19DC">
        <w:rPr>
          <w:rFonts w:ascii="Times" w:hAnsi="Times" w:cs="Times"/>
          <w:sz w:val="24"/>
          <w:szCs w:val="24"/>
          <w:lang w:val="en-US"/>
        </w:rPr>
        <w:t xml:space="preserve"> For GSEA analyses, g</w:t>
      </w:r>
      <w:r w:rsidR="005C12A8" w:rsidRPr="00AC19DC">
        <w:rPr>
          <w:rFonts w:ascii="Times" w:hAnsi="Times" w:cs="Times"/>
          <w:sz w:val="24"/>
          <w:szCs w:val="24"/>
          <w:lang w:val="en-US"/>
        </w:rPr>
        <w:t>ene selection was based on a p-value of at least 5% and a q-value of at least 30%.</w:t>
      </w:r>
    </w:p>
    <w:p w14:paraId="72E48760" w14:textId="77777777" w:rsidR="00725259" w:rsidRPr="00AC19DC" w:rsidRDefault="00725259" w:rsidP="00725259">
      <w:pPr>
        <w:spacing w:line="360" w:lineRule="auto"/>
        <w:jc w:val="both"/>
        <w:rPr>
          <w:rFonts w:ascii="Times" w:hAnsi="Times" w:cs="Times"/>
          <w:sz w:val="24"/>
          <w:szCs w:val="24"/>
          <w:lang w:val="en-US"/>
        </w:rPr>
      </w:pPr>
    </w:p>
    <w:p w14:paraId="442A7306" w14:textId="77777777" w:rsidR="00725259" w:rsidRPr="00AC19DC" w:rsidRDefault="00725259" w:rsidP="00AB73B3">
      <w:pPr>
        <w:spacing w:after="0" w:line="360" w:lineRule="auto"/>
        <w:jc w:val="both"/>
        <w:rPr>
          <w:rFonts w:ascii="Times" w:hAnsi="Times"/>
          <w:b/>
          <w:sz w:val="24"/>
          <w:szCs w:val="24"/>
          <w:lang w:val="en-US"/>
        </w:rPr>
      </w:pPr>
      <w:r w:rsidRPr="00AC19DC">
        <w:rPr>
          <w:rFonts w:ascii="Times" w:hAnsi="Times"/>
          <w:b/>
          <w:sz w:val="24"/>
          <w:szCs w:val="24"/>
          <w:lang w:val="en-US"/>
        </w:rPr>
        <w:t>Gene expression data sets</w:t>
      </w:r>
    </w:p>
    <w:p w14:paraId="679B1260" w14:textId="41E2DF12" w:rsidR="003F425D" w:rsidRPr="00AC19DC" w:rsidRDefault="003F425D" w:rsidP="00AB73B3">
      <w:pPr>
        <w:spacing w:after="0" w:line="360" w:lineRule="auto"/>
        <w:jc w:val="both"/>
        <w:rPr>
          <w:rFonts w:ascii="Times" w:hAnsi="Times"/>
          <w:sz w:val="24"/>
          <w:szCs w:val="24"/>
          <w:lang w:val="en-US"/>
        </w:rPr>
      </w:pPr>
      <w:r w:rsidRPr="00AC19DC">
        <w:rPr>
          <w:rFonts w:ascii="Times" w:hAnsi="Times"/>
          <w:sz w:val="24"/>
          <w:szCs w:val="24"/>
          <w:lang w:val="en-US"/>
        </w:rPr>
        <w:t xml:space="preserve">We collected two retrospective public gene expression data sets including CN AML samples profiled using </w:t>
      </w:r>
      <w:proofErr w:type="spellStart"/>
      <w:r w:rsidRPr="00AC19DC">
        <w:rPr>
          <w:rFonts w:ascii="Times" w:hAnsi="Times"/>
          <w:sz w:val="24"/>
          <w:szCs w:val="24"/>
          <w:lang w:val="en-US"/>
        </w:rPr>
        <w:t>Affymetrix</w:t>
      </w:r>
      <w:proofErr w:type="spellEnd"/>
      <w:r w:rsidRPr="00AC19DC">
        <w:rPr>
          <w:rFonts w:ascii="Times" w:hAnsi="Times"/>
          <w:sz w:val="24"/>
          <w:szCs w:val="24"/>
          <w:lang w:val="en-US"/>
        </w:rPr>
        <w:t xml:space="preserve"> oligonucleotide microarrays. </w:t>
      </w:r>
      <w:r w:rsidR="007D7DA2" w:rsidRPr="00AC19DC">
        <w:rPr>
          <w:rFonts w:ascii="Times" w:hAnsi="Times"/>
          <w:sz w:val="24"/>
          <w:szCs w:val="24"/>
          <w:lang w:val="en-US"/>
        </w:rPr>
        <w:t xml:space="preserve">Gene expression, molecular and </w:t>
      </w:r>
      <w:r w:rsidRPr="00AC19DC">
        <w:rPr>
          <w:rFonts w:ascii="Times" w:hAnsi="Times"/>
          <w:sz w:val="24"/>
          <w:szCs w:val="24"/>
          <w:lang w:val="en-US"/>
        </w:rPr>
        <w:t xml:space="preserve">clinical data were obtained from NCBI/GEO database and The Cancer Genome Atlas (TCGA) portal. </w:t>
      </w:r>
      <w:r w:rsidR="00D81D3B" w:rsidRPr="00AC19DC">
        <w:rPr>
          <w:rFonts w:ascii="Times" w:hAnsi="Times"/>
          <w:sz w:val="24"/>
          <w:szCs w:val="24"/>
          <w:lang w:val="en-US"/>
        </w:rPr>
        <w:t>We analyzed</w:t>
      </w:r>
      <w:r w:rsidR="007D7DA2" w:rsidRPr="00AC19DC">
        <w:rPr>
          <w:rFonts w:ascii="Times" w:hAnsi="Times"/>
          <w:sz w:val="24"/>
          <w:szCs w:val="24"/>
          <w:lang w:val="en-US"/>
        </w:rPr>
        <w:t xml:space="preserve"> </w:t>
      </w:r>
      <w:r w:rsidRPr="00AC19DC">
        <w:rPr>
          <w:rFonts w:ascii="Times" w:hAnsi="Times"/>
          <w:sz w:val="24"/>
          <w:szCs w:val="24"/>
          <w:lang w:val="en-US"/>
        </w:rPr>
        <w:t xml:space="preserve">329 AMLs </w:t>
      </w:r>
      <w:r w:rsidR="00D81D3B" w:rsidRPr="00AC19DC">
        <w:rPr>
          <w:rFonts w:ascii="Times" w:hAnsi="Times"/>
          <w:sz w:val="24"/>
          <w:szCs w:val="24"/>
          <w:lang w:val="en-US"/>
        </w:rPr>
        <w:t>with</w:t>
      </w:r>
      <w:r w:rsidRPr="00AC19DC">
        <w:rPr>
          <w:rFonts w:ascii="Times" w:hAnsi="Times"/>
          <w:sz w:val="24"/>
          <w:szCs w:val="24"/>
          <w:lang w:val="en-US"/>
        </w:rPr>
        <w:t xml:space="preserve"> normal karyotype.</w:t>
      </w:r>
    </w:p>
    <w:p w14:paraId="431CE4D6" w14:textId="175EEFD4" w:rsidR="003F425D" w:rsidRPr="00AC19DC" w:rsidRDefault="003F425D" w:rsidP="003F425D">
      <w:pPr>
        <w:spacing w:line="360" w:lineRule="auto"/>
        <w:rPr>
          <w:rFonts w:ascii="Times" w:hAnsi="Times"/>
          <w:sz w:val="24"/>
          <w:szCs w:val="24"/>
          <w:lang w:val="en-US"/>
        </w:rPr>
      </w:pPr>
      <w:r w:rsidRPr="00AC19DC">
        <w:rPr>
          <w:rFonts w:ascii="Times" w:eastAsia="Times New Roman" w:hAnsi="Times" w:cs="Arial"/>
          <w:color w:val="000000"/>
          <w:sz w:val="24"/>
          <w:szCs w:val="24"/>
          <w:lang w:val="en-US" w:eastAsia="fr-FR"/>
        </w:rPr>
        <w:t>List of AML data sets included:</w:t>
      </w:r>
    </w:p>
    <w:tbl>
      <w:tblPr>
        <w:tblW w:w="8652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770"/>
        <w:gridCol w:w="1869"/>
        <w:gridCol w:w="966"/>
        <w:gridCol w:w="1070"/>
        <w:gridCol w:w="1162"/>
      </w:tblGrid>
      <w:tr w:rsidR="003F425D" w:rsidRPr="00AC19DC" w14:paraId="6B4E003D" w14:textId="77777777" w:rsidTr="003F425D">
        <w:trPr>
          <w:trHeight w:val="783"/>
        </w:trPr>
        <w:tc>
          <w:tcPr>
            <w:tcW w:w="1815" w:type="dxa"/>
            <w:shd w:val="clear" w:color="auto" w:fill="auto"/>
            <w:vAlign w:val="center"/>
            <w:hideMark/>
          </w:tcPr>
          <w:p w14:paraId="4683B82A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t>Source of data</w:t>
            </w:r>
          </w:p>
          <w:p w14:paraId="463CF59B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t>ref</w:t>
            </w:r>
            <w:proofErr w:type="spellEnd"/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BA706B0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t>Technological</w:t>
            </w:r>
            <w:proofErr w:type="spellEnd"/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t>platform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1B85D70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val="en-US" w:eastAsia="fr-FR"/>
              </w:rPr>
            </w:pPr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val="en-US" w:eastAsia="fr-FR"/>
              </w:rPr>
              <w:t>N° of probe sets/genes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8E560D0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br/>
              <w:t>(N)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72BFDE35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t>AML</w:t>
            </w:r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br/>
              <w:t>(N)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45BC7E81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t>CN-AML</w:t>
            </w:r>
            <w:r w:rsidRPr="00AC19DC">
              <w:rPr>
                <w:rFonts w:ascii="Times" w:eastAsia="Times New Roman" w:hAnsi="Times" w:cs="Arial"/>
                <w:b/>
                <w:color w:val="000000"/>
                <w:sz w:val="18"/>
                <w:szCs w:val="18"/>
                <w:lang w:eastAsia="fr-FR"/>
              </w:rPr>
              <w:br/>
              <w:t>(N)</w:t>
            </w:r>
          </w:p>
        </w:tc>
      </w:tr>
      <w:tr w:rsidR="003F425D" w:rsidRPr="00AC19DC" w14:paraId="3A4C16B2" w14:textId="77777777" w:rsidTr="003F425D">
        <w:trPr>
          <w:trHeight w:val="927"/>
        </w:trPr>
        <w:tc>
          <w:tcPr>
            <w:tcW w:w="1815" w:type="dxa"/>
            <w:shd w:val="clear" w:color="auto" w:fill="auto"/>
            <w:vAlign w:val="center"/>
            <w:hideMark/>
          </w:tcPr>
          <w:p w14:paraId="105A455E" w14:textId="5F62AAAE" w:rsidR="003F425D" w:rsidRPr="00AC19DC" w:rsidRDefault="003F425D" w:rsidP="004A3DEA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en-US" w:eastAsia="fr-FR"/>
              </w:rPr>
            </w:pPr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val="en-US" w:eastAsia="fr-FR"/>
              </w:rPr>
              <w:t>TCGA portal</w:t>
            </w:r>
            <w:r w:rsidR="00422CB9"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 w:rsidR="004A3DEA"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val="en-US" w:eastAsia="fr-FR"/>
              </w:rPr>
              <w:t>5</w:t>
            </w:r>
            <w:r w:rsidR="00422CB9"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val="en-US" w:eastAsia="fr-FR"/>
              </w:rPr>
              <w:t>)</w:t>
            </w:r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val="en-US" w:eastAsia="fr-FR"/>
              </w:rPr>
              <w:br/>
            </w:r>
            <w:hyperlink r:id="rId8" w:history="1">
              <w:r w:rsidRPr="00AC19DC">
                <w:rPr>
                  <w:rStyle w:val="Lienhypertexte"/>
                  <w:rFonts w:ascii="Times" w:eastAsia="Times New Roman" w:hAnsi="Times" w:cs="Arial"/>
                  <w:sz w:val="18"/>
                  <w:szCs w:val="18"/>
                  <w:lang w:val="en-US" w:eastAsia="fr-FR"/>
                </w:rPr>
                <w:t>https://tcga-data.nci.nih.gov</w:t>
              </w:r>
            </w:hyperlink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223E257" w14:textId="77777777" w:rsidR="003F425D" w:rsidRPr="00AC19DC" w:rsidRDefault="003F425D" w:rsidP="00AB73B3">
            <w:pPr>
              <w:spacing w:after="0" w:line="240" w:lineRule="auto"/>
              <w:ind w:left="50" w:hanging="134"/>
              <w:jc w:val="center"/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>Affymetrix,array</w:t>
            </w:r>
            <w:proofErr w:type="spellEnd"/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 xml:space="preserve"> U133 Plus 2.0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65AF1079" w14:textId="77777777" w:rsidR="003F425D" w:rsidRPr="00AC19DC" w:rsidRDefault="003F425D" w:rsidP="00AB73B3">
            <w:pPr>
              <w:spacing w:after="0" w:line="240" w:lineRule="auto"/>
              <w:ind w:right="115"/>
              <w:jc w:val="center"/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>54K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817EF51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944A57C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98D3C38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>89</w:t>
            </w:r>
          </w:p>
        </w:tc>
      </w:tr>
      <w:tr w:rsidR="003F425D" w:rsidRPr="00AC19DC" w14:paraId="2F0B526C" w14:textId="77777777" w:rsidTr="003F425D">
        <w:trPr>
          <w:trHeight w:val="694"/>
        </w:trPr>
        <w:tc>
          <w:tcPr>
            <w:tcW w:w="1815" w:type="dxa"/>
            <w:shd w:val="clear" w:color="auto" w:fill="auto"/>
            <w:vAlign w:val="center"/>
            <w:hideMark/>
          </w:tcPr>
          <w:p w14:paraId="140F8927" w14:textId="2529DC4C" w:rsidR="003F425D" w:rsidRPr="00AC19DC" w:rsidRDefault="003F425D" w:rsidP="004A3DEA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en-US" w:eastAsia="fr-FR"/>
              </w:rPr>
            </w:pPr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val="en-US" w:eastAsia="fr-FR"/>
              </w:rPr>
              <w:t>GEO database,</w:t>
            </w:r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val="en-US" w:eastAsia="fr-FR"/>
              </w:rPr>
              <w:br/>
              <w:t>GSE12417</w:t>
            </w:r>
            <w:r w:rsidR="00422CB9"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 w:rsidR="004A3DEA"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>6</w:t>
            </w:r>
            <w:r w:rsidR="00422CB9"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30D5285" w14:textId="77777777" w:rsidR="003F425D" w:rsidRPr="00AC19DC" w:rsidRDefault="003F425D" w:rsidP="00AB73B3">
            <w:pPr>
              <w:spacing w:after="0" w:line="240" w:lineRule="auto"/>
              <w:ind w:firstLine="180"/>
              <w:jc w:val="center"/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>Affymetrix</w:t>
            </w:r>
            <w:proofErr w:type="gramStart"/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>,array</w:t>
            </w:r>
            <w:proofErr w:type="spellEnd"/>
            <w:proofErr w:type="gramEnd"/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 xml:space="preserve"> U133 A+B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21237862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>22K+22K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8CE06B0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2E38BE4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E7A90A2" w14:textId="77777777" w:rsidR="003F425D" w:rsidRPr="00AC19DC" w:rsidRDefault="003F425D" w:rsidP="00AB73B3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</w:pPr>
            <w:r w:rsidRPr="00AC19DC">
              <w:rPr>
                <w:rFonts w:ascii="Times" w:eastAsia="Times New Roman" w:hAnsi="Times" w:cs="Arial"/>
                <w:color w:val="000000"/>
                <w:sz w:val="18"/>
                <w:szCs w:val="18"/>
                <w:lang w:eastAsia="fr-FR"/>
              </w:rPr>
              <w:t>240</w:t>
            </w:r>
          </w:p>
        </w:tc>
      </w:tr>
    </w:tbl>
    <w:p w14:paraId="6065BC38" w14:textId="77777777" w:rsidR="003F425D" w:rsidRPr="00AC19DC" w:rsidRDefault="003F425D" w:rsidP="00725259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65426E43" w14:textId="77777777" w:rsidR="00813DE3" w:rsidRPr="00AC19DC" w:rsidRDefault="00813DE3" w:rsidP="00813DE3">
      <w:pPr>
        <w:spacing w:after="0" w:line="360" w:lineRule="auto"/>
        <w:jc w:val="both"/>
        <w:rPr>
          <w:rFonts w:ascii="Times" w:hAnsi="Times"/>
          <w:b/>
          <w:sz w:val="24"/>
          <w:szCs w:val="24"/>
          <w:lang w:val="en-US"/>
        </w:rPr>
      </w:pPr>
      <w:r w:rsidRPr="00AC19DC">
        <w:rPr>
          <w:rFonts w:ascii="Times" w:hAnsi="Times"/>
          <w:b/>
          <w:sz w:val="24"/>
          <w:szCs w:val="24"/>
          <w:lang w:val="en-US"/>
        </w:rPr>
        <w:t>Pre-analytic gene expression data processing</w:t>
      </w:r>
    </w:p>
    <w:p w14:paraId="3DD6FB8B" w14:textId="449D39F3" w:rsidR="00813DE3" w:rsidRPr="007E1ECF" w:rsidRDefault="00813DE3" w:rsidP="004A3DEA">
      <w:pPr>
        <w:spacing w:after="0" w:line="360" w:lineRule="auto"/>
        <w:jc w:val="both"/>
        <w:rPr>
          <w:rFonts w:ascii="Times" w:hAnsi="Times"/>
          <w:sz w:val="24"/>
          <w:szCs w:val="24"/>
          <w:lang w:val="en-US"/>
        </w:rPr>
      </w:pPr>
      <w:bookmarkStart w:id="0" w:name="_GoBack"/>
      <w:r w:rsidRPr="007E1ECF">
        <w:rPr>
          <w:rFonts w:ascii="Times" w:hAnsi="Times"/>
          <w:sz w:val="24"/>
          <w:szCs w:val="24"/>
          <w:lang w:val="en-US"/>
        </w:rPr>
        <w:t>Before analysis, gene expression was processed as follow. First, each data set was normalized using Robust Multichip Average (RMA)</w:t>
      </w:r>
      <w:r w:rsidR="00422CB9" w:rsidRPr="007E1ECF">
        <w:rPr>
          <w:rFonts w:ascii="Times" w:hAnsi="Times"/>
          <w:sz w:val="24"/>
          <w:szCs w:val="24"/>
          <w:lang w:val="en-US"/>
        </w:rPr>
        <w:t xml:space="preserve"> (</w:t>
      </w:r>
      <w:r w:rsidR="004A3DEA" w:rsidRPr="007E1ECF">
        <w:rPr>
          <w:rFonts w:ascii="Times" w:hAnsi="Times"/>
          <w:sz w:val="24"/>
          <w:szCs w:val="24"/>
          <w:lang w:val="en-US"/>
        </w:rPr>
        <w:t>7</w:t>
      </w:r>
      <w:r w:rsidR="00422CB9" w:rsidRPr="007E1ECF">
        <w:rPr>
          <w:rFonts w:ascii="Times" w:hAnsi="Times"/>
          <w:sz w:val="24"/>
          <w:szCs w:val="24"/>
          <w:lang w:val="en-US"/>
        </w:rPr>
        <w:t>)</w:t>
      </w:r>
      <w:r w:rsidRPr="007E1ECF">
        <w:rPr>
          <w:rFonts w:ascii="Times" w:hAnsi="Times"/>
          <w:sz w:val="24"/>
          <w:szCs w:val="24"/>
          <w:lang w:val="en-US"/>
        </w:rPr>
        <w:t xml:space="preserve"> with the non-parametric quantile algorithm as normalization parameter. Then, we mapped hybridization probes across both platforms. We used </w:t>
      </w:r>
      <w:proofErr w:type="spellStart"/>
      <w:r w:rsidRPr="007E1ECF">
        <w:rPr>
          <w:rFonts w:ascii="Times" w:hAnsi="Times"/>
          <w:sz w:val="24"/>
          <w:szCs w:val="24"/>
          <w:lang w:val="en-US"/>
        </w:rPr>
        <w:t>NetAffx</w:t>
      </w:r>
      <w:proofErr w:type="spellEnd"/>
      <w:r w:rsidRPr="007E1ECF">
        <w:rPr>
          <w:rFonts w:ascii="Times" w:hAnsi="Times"/>
          <w:sz w:val="24"/>
          <w:szCs w:val="24"/>
          <w:lang w:val="en-US"/>
        </w:rPr>
        <w:t xml:space="preserve"> Annotation files (</w:t>
      </w:r>
      <w:proofErr w:type="spellStart"/>
      <w:r w:rsidRPr="007E1ECF">
        <w:rPr>
          <w:rFonts w:ascii="Times" w:hAnsi="Times"/>
          <w:sz w:val="24"/>
          <w:szCs w:val="24"/>
          <w:lang w:val="en-US"/>
        </w:rPr>
        <w:t>NetAffx</w:t>
      </w:r>
      <w:proofErr w:type="spellEnd"/>
      <w:r w:rsidRPr="007E1ECF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7E1ECF">
        <w:rPr>
          <w:rFonts w:ascii="Times" w:hAnsi="Times"/>
          <w:sz w:val="24"/>
          <w:szCs w:val="24"/>
          <w:lang w:val="en-US"/>
        </w:rPr>
        <w:t>Annalysis</w:t>
      </w:r>
      <w:proofErr w:type="spellEnd"/>
      <w:r w:rsidRPr="007E1ECF">
        <w:rPr>
          <w:rFonts w:ascii="Times" w:hAnsi="Times"/>
          <w:sz w:val="24"/>
          <w:szCs w:val="24"/>
          <w:lang w:val="en-US"/>
        </w:rPr>
        <w:t xml:space="preserve"> Center. http://www.affymetrix.com/analysis/index.affx) to retrieve and update </w:t>
      </w:r>
      <w:proofErr w:type="spellStart"/>
      <w:r w:rsidRPr="007E1ECF">
        <w:rPr>
          <w:rFonts w:ascii="Times" w:hAnsi="Times"/>
          <w:sz w:val="24"/>
          <w:szCs w:val="24"/>
          <w:lang w:val="en-US"/>
        </w:rPr>
        <w:t>Affymetrix</w:t>
      </w:r>
      <w:proofErr w:type="spellEnd"/>
      <w:r w:rsidRPr="007E1ECF">
        <w:rPr>
          <w:rFonts w:ascii="Times" w:hAnsi="Times"/>
          <w:sz w:val="24"/>
          <w:szCs w:val="24"/>
          <w:lang w:val="en-US"/>
        </w:rPr>
        <w:t xml:space="preserve"> annotations. The probes were then mapped according to their </w:t>
      </w:r>
      <w:proofErr w:type="spellStart"/>
      <w:r w:rsidRPr="007E1ECF">
        <w:rPr>
          <w:rFonts w:ascii="Times" w:hAnsi="Times"/>
          <w:sz w:val="24"/>
          <w:szCs w:val="24"/>
          <w:lang w:val="en-US"/>
        </w:rPr>
        <w:t>EntrezGeneID</w:t>
      </w:r>
      <w:proofErr w:type="spellEnd"/>
      <w:r w:rsidRPr="007E1ECF">
        <w:rPr>
          <w:rFonts w:ascii="Times" w:hAnsi="Times"/>
          <w:sz w:val="24"/>
          <w:szCs w:val="24"/>
          <w:lang w:val="en-US"/>
        </w:rPr>
        <w:t xml:space="preserve">. When multiple probes represented the same </w:t>
      </w:r>
      <w:proofErr w:type="spellStart"/>
      <w:r w:rsidRPr="007E1ECF">
        <w:rPr>
          <w:rFonts w:ascii="Times" w:hAnsi="Times"/>
          <w:sz w:val="24"/>
          <w:szCs w:val="24"/>
          <w:lang w:val="en-US"/>
        </w:rPr>
        <w:t>GeneID</w:t>
      </w:r>
      <w:proofErr w:type="spellEnd"/>
      <w:r w:rsidRPr="007E1ECF">
        <w:rPr>
          <w:rFonts w:ascii="Times" w:hAnsi="Times"/>
          <w:sz w:val="24"/>
          <w:szCs w:val="24"/>
          <w:lang w:val="en-US"/>
        </w:rPr>
        <w:t>, we retained the one with the highest variance in a particular dataset. Normalization was done in R using Bioconductor and associated packages.</w:t>
      </w:r>
    </w:p>
    <w:p w14:paraId="4D63EDC7" w14:textId="77777777" w:rsidR="004A3DEA" w:rsidRPr="007E1ECF" w:rsidRDefault="004A3DEA" w:rsidP="004A3DEA">
      <w:pPr>
        <w:spacing w:after="0" w:line="360" w:lineRule="auto"/>
        <w:jc w:val="both"/>
        <w:rPr>
          <w:rFonts w:ascii="Times" w:hAnsi="Times"/>
          <w:sz w:val="24"/>
          <w:szCs w:val="24"/>
          <w:lang w:val="en-US"/>
        </w:rPr>
      </w:pPr>
    </w:p>
    <w:p w14:paraId="438DA1C5" w14:textId="77777777" w:rsidR="003F425D" w:rsidRPr="007E1ECF" w:rsidRDefault="003F425D" w:rsidP="00AB73B3">
      <w:pPr>
        <w:spacing w:after="0" w:line="360" w:lineRule="auto"/>
        <w:jc w:val="both"/>
        <w:rPr>
          <w:rFonts w:ascii="Times" w:hAnsi="Times"/>
          <w:b/>
          <w:sz w:val="24"/>
          <w:szCs w:val="24"/>
          <w:lang w:val="en-US"/>
        </w:rPr>
      </w:pPr>
      <w:r w:rsidRPr="007E1ECF">
        <w:rPr>
          <w:rFonts w:ascii="Times" w:hAnsi="Times"/>
          <w:b/>
          <w:sz w:val="24"/>
          <w:szCs w:val="24"/>
          <w:lang w:val="en-US"/>
        </w:rPr>
        <w:t>Mutation prediction</w:t>
      </w:r>
    </w:p>
    <w:p w14:paraId="2B83DCA2" w14:textId="3FC29FE5" w:rsidR="003F425D" w:rsidRPr="007E1ECF" w:rsidRDefault="003F425D" w:rsidP="00AB73B3">
      <w:pPr>
        <w:spacing w:after="0" w:line="360" w:lineRule="auto"/>
        <w:jc w:val="both"/>
        <w:rPr>
          <w:rFonts w:ascii="Times" w:hAnsi="Times"/>
          <w:sz w:val="24"/>
          <w:szCs w:val="24"/>
          <w:lang w:val="en-US"/>
        </w:rPr>
      </w:pPr>
      <w:r w:rsidRPr="007E1ECF">
        <w:rPr>
          <w:rFonts w:ascii="Times" w:hAnsi="Times"/>
          <w:i/>
          <w:sz w:val="24"/>
          <w:szCs w:val="24"/>
          <w:lang w:val="en-US"/>
        </w:rPr>
        <w:t>NPM1</w:t>
      </w:r>
      <w:r w:rsidRPr="007E1ECF">
        <w:rPr>
          <w:rFonts w:ascii="Times" w:hAnsi="Times"/>
          <w:sz w:val="24"/>
          <w:szCs w:val="24"/>
          <w:lang w:val="en-US"/>
        </w:rPr>
        <w:t xml:space="preserve"> and </w:t>
      </w:r>
      <w:r w:rsidRPr="007E1ECF">
        <w:rPr>
          <w:rFonts w:ascii="Times" w:hAnsi="Times"/>
          <w:i/>
          <w:sz w:val="24"/>
          <w:szCs w:val="24"/>
          <w:lang w:val="en-US"/>
        </w:rPr>
        <w:t>FLT3</w:t>
      </w:r>
      <w:r w:rsidRPr="007E1ECF">
        <w:rPr>
          <w:rFonts w:ascii="Times" w:hAnsi="Times"/>
          <w:sz w:val="24"/>
          <w:szCs w:val="24"/>
          <w:lang w:val="en-US"/>
        </w:rPr>
        <w:t xml:space="preserve"> status were predicted using molecular signatures of respectively 301 and 500 specific probe sets defined by </w:t>
      </w:r>
      <w:proofErr w:type="spellStart"/>
      <w:r w:rsidRPr="007E1ECF">
        <w:rPr>
          <w:rFonts w:ascii="Times" w:hAnsi="Times"/>
          <w:sz w:val="24"/>
          <w:szCs w:val="24"/>
          <w:lang w:val="en-US"/>
        </w:rPr>
        <w:t>Kholmann</w:t>
      </w:r>
      <w:proofErr w:type="spellEnd"/>
      <w:r w:rsidRPr="007E1ECF">
        <w:rPr>
          <w:rFonts w:ascii="Times" w:hAnsi="Times"/>
          <w:sz w:val="24"/>
          <w:szCs w:val="24"/>
          <w:lang w:val="en-US"/>
        </w:rPr>
        <w:t xml:space="preserve"> </w:t>
      </w:r>
      <w:r w:rsidRPr="007E1ECF">
        <w:rPr>
          <w:rFonts w:ascii="Times" w:hAnsi="Times"/>
          <w:i/>
          <w:sz w:val="24"/>
          <w:szCs w:val="24"/>
          <w:lang w:val="en-US"/>
        </w:rPr>
        <w:t>et al</w:t>
      </w:r>
      <w:r w:rsidR="00422CB9" w:rsidRPr="007E1ECF">
        <w:rPr>
          <w:rFonts w:ascii="Times" w:hAnsi="Times"/>
          <w:sz w:val="24"/>
          <w:szCs w:val="24"/>
          <w:lang w:val="en-US"/>
        </w:rPr>
        <w:t>. (</w:t>
      </w:r>
      <w:r w:rsidR="004A3DEA" w:rsidRPr="007E1ECF">
        <w:rPr>
          <w:rFonts w:ascii="Times" w:hAnsi="Times"/>
          <w:sz w:val="24"/>
          <w:szCs w:val="24"/>
          <w:lang w:val="en-US"/>
        </w:rPr>
        <w:t>8</w:t>
      </w:r>
      <w:r w:rsidR="00422CB9" w:rsidRPr="007E1ECF">
        <w:rPr>
          <w:rFonts w:ascii="Times" w:hAnsi="Times"/>
          <w:sz w:val="24"/>
          <w:szCs w:val="24"/>
          <w:lang w:val="en-US"/>
        </w:rPr>
        <w:t>)</w:t>
      </w:r>
      <w:r w:rsidRPr="007E1ECF">
        <w:rPr>
          <w:rFonts w:ascii="Times" w:hAnsi="Times"/>
          <w:sz w:val="24"/>
          <w:szCs w:val="24"/>
          <w:lang w:val="en-US"/>
        </w:rPr>
        <w:t xml:space="preserve"> Classification models were computed using </w:t>
      </w:r>
      <w:proofErr w:type="spellStart"/>
      <w:proofErr w:type="gramStart"/>
      <w:r w:rsidRPr="007E1ECF">
        <w:rPr>
          <w:rFonts w:ascii="Times" w:hAnsi="Times"/>
          <w:sz w:val="24"/>
          <w:szCs w:val="24"/>
          <w:lang w:val="en-US"/>
        </w:rPr>
        <w:t>metagene</w:t>
      </w:r>
      <w:proofErr w:type="spellEnd"/>
      <w:r w:rsidRPr="007E1ECF">
        <w:rPr>
          <w:rFonts w:ascii="Times" w:hAnsi="Times"/>
          <w:sz w:val="24"/>
          <w:szCs w:val="24"/>
          <w:lang w:val="en-US"/>
        </w:rPr>
        <w:t xml:space="preserve"> based</w:t>
      </w:r>
      <w:proofErr w:type="gramEnd"/>
      <w:r w:rsidRPr="007E1ECF">
        <w:rPr>
          <w:rFonts w:ascii="Times" w:hAnsi="Times"/>
          <w:sz w:val="24"/>
          <w:szCs w:val="24"/>
          <w:lang w:val="en-US"/>
        </w:rPr>
        <w:t xml:space="preserve"> approach with respective gene lists and statistics for ponderation. With a natural cut-off of 0, samples of each public data set were classified as </w:t>
      </w:r>
      <w:r w:rsidRPr="007E1ECF">
        <w:rPr>
          <w:rFonts w:ascii="Times" w:hAnsi="Times"/>
          <w:i/>
          <w:sz w:val="24"/>
          <w:szCs w:val="24"/>
          <w:lang w:val="en-US"/>
        </w:rPr>
        <w:t>NPM1</w:t>
      </w:r>
      <w:r w:rsidRPr="007E1ECF">
        <w:rPr>
          <w:rFonts w:ascii="Times" w:hAnsi="Times"/>
          <w:sz w:val="24"/>
          <w:szCs w:val="24"/>
          <w:lang w:val="en-US"/>
        </w:rPr>
        <w:t xml:space="preserve"> wildtype- or mutated-</w:t>
      </w:r>
      <w:r w:rsidRPr="007E1ECF">
        <w:rPr>
          <w:rFonts w:ascii="Times" w:hAnsi="Times"/>
          <w:i/>
          <w:sz w:val="24"/>
          <w:szCs w:val="24"/>
          <w:lang w:val="en-US"/>
        </w:rPr>
        <w:t>like</w:t>
      </w:r>
      <w:r w:rsidRPr="007E1ECF">
        <w:rPr>
          <w:rFonts w:ascii="Times" w:hAnsi="Times"/>
          <w:sz w:val="24"/>
          <w:szCs w:val="24"/>
          <w:lang w:val="en-US"/>
        </w:rPr>
        <w:t xml:space="preserve">. </w:t>
      </w:r>
      <w:r w:rsidRPr="007E1ECF">
        <w:rPr>
          <w:rFonts w:ascii="Times" w:hAnsi="Times"/>
          <w:i/>
          <w:sz w:val="24"/>
          <w:szCs w:val="24"/>
          <w:lang w:val="en-US"/>
        </w:rPr>
        <w:t>NPM1</w:t>
      </w:r>
      <w:r w:rsidRPr="007E1ECF">
        <w:rPr>
          <w:rFonts w:ascii="Times" w:hAnsi="Times"/>
          <w:sz w:val="24"/>
          <w:szCs w:val="24"/>
          <w:lang w:val="en-US"/>
        </w:rPr>
        <w:t xml:space="preserve">-mut classification using this model was validated with publicly available GEP data (GEO GSE15434) that revealed 94% of correct classification. 188 </w:t>
      </w:r>
      <w:r w:rsidRPr="007E1ECF">
        <w:rPr>
          <w:rFonts w:ascii="Times" w:hAnsi="Times"/>
          <w:i/>
          <w:sz w:val="24"/>
          <w:szCs w:val="24"/>
          <w:lang w:val="en-US"/>
        </w:rPr>
        <w:t>NPM1</w:t>
      </w:r>
      <w:r w:rsidRPr="007E1ECF">
        <w:rPr>
          <w:rFonts w:ascii="Times" w:hAnsi="Times"/>
          <w:sz w:val="24"/>
          <w:szCs w:val="24"/>
          <w:lang w:val="en-US"/>
        </w:rPr>
        <w:t xml:space="preserve"> mutated-</w:t>
      </w:r>
      <w:r w:rsidRPr="007E1ECF">
        <w:rPr>
          <w:rFonts w:ascii="Times" w:hAnsi="Times"/>
          <w:i/>
          <w:sz w:val="24"/>
          <w:szCs w:val="24"/>
          <w:lang w:val="en-US"/>
        </w:rPr>
        <w:t>like</w:t>
      </w:r>
      <w:r w:rsidRPr="007E1ECF">
        <w:rPr>
          <w:rFonts w:ascii="Times" w:hAnsi="Times"/>
          <w:sz w:val="24"/>
          <w:szCs w:val="24"/>
          <w:lang w:val="en-US"/>
        </w:rPr>
        <w:t xml:space="preserve"> patients with survival outcome available were identified from the two cohorts and further analyzed. </w:t>
      </w:r>
    </w:p>
    <w:p w14:paraId="05FF9301" w14:textId="77777777" w:rsidR="00FB58BE" w:rsidRPr="007E1ECF" w:rsidRDefault="00FB58BE" w:rsidP="00AB73B3">
      <w:pPr>
        <w:spacing w:after="0" w:line="360" w:lineRule="auto"/>
        <w:jc w:val="both"/>
        <w:rPr>
          <w:rFonts w:ascii="Times" w:hAnsi="Times"/>
          <w:sz w:val="24"/>
          <w:szCs w:val="24"/>
          <w:lang w:val="en-US"/>
        </w:rPr>
      </w:pPr>
    </w:p>
    <w:p w14:paraId="41E7D273" w14:textId="38E51DFF" w:rsidR="009B6D68" w:rsidRPr="007E1ECF" w:rsidRDefault="009B6D68" w:rsidP="006E6586">
      <w:pPr>
        <w:spacing w:after="0" w:line="360" w:lineRule="auto"/>
        <w:jc w:val="both"/>
        <w:rPr>
          <w:rFonts w:ascii="Times" w:hAnsi="Times"/>
          <w:b/>
          <w:sz w:val="24"/>
          <w:szCs w:val="24"/>
          <w:lang w:val="en-US"/>
        </w:rPr>
      </w:pPr>
      <w:r w:rsidRPr="007E1ECF">
        <w:rPr>
          <w:rFonts w:ascii="Times" w:hAnsi="Times"/>
          <w:b/>
          <w:i/>
          <w:sz w:val="24"/>
          <w:szCs w:val="24"/>
          <w:lang w:val="en-US"/>
        </w:rPr>
        <w:t>HIST1</w:t>
      </w:r>
      <w:r w:rsidRPr="007E1ECF">
        <w:rPr>
          <w:rFonts w:ascii="Times" w:hAnsi="Times"/>
          <w:b/>
          <w:sz w:val="24"/>
          <w:szCs w:val="24"/>
          <w:lang w:val="en-US"/>
        </w:rPr>
        <w:t xml:space="preserve"> mRNA prognosis model </w:t>
      </w:r>
    </w:p>
    <w:p w14:paraId="38B74D0E" w14:textId="6DEAA8BB" w:rsidR="00FB58BE" w:rsidRPr="007E1ECF" w:rsidRDefault="009B6D68" w:rsidP="00BE69D0">
      <w:pPr>
        <w:spacing w:after="0" w:line="360" w:lineRule="auto"/>
        <w:jc w:val="both"/>
        <w:rPr>
          <w:rFonts w:ascii="Times" w:hAnsi="Times"/>
          <w:sz w:val="24"/>
          <w:szCs w:val="24"/>
          <w:lang w:val="en-US"/>
        </w:rPr>
      </w:pPr>
      <w:r w:rsidRPr="007E1ECF">
        <w:rPr>
          <w:rFonts w:ascii="Times" w:hAnsi="Times"/>
          <w:sz w:val="24"/>
          <w:szCs w:val="24"/>
          <w:lang w:val="en-US"/>
        </w:rPr>
        <w:t>T</w:t>
      </w:r>
      <w:r w:rsidR="00AB73B3" w:rsidRPr="007E1ECF">
        <w:rPr>
          <w:rFonts w:ascii="Times" w:hAnsi="Times"/>
          <w:sz w:val="24"/>
          <w:szCs w:val="24"/>
          <w:lang w:val="en-US"/>
        </w:rPr>
        <w:t>he 188 CN-AML NPM1-</w:t>
      </w:r>
      <w:r w:rsidR="00AB73B3" w:rsidRPr="007E1ECF">
        <w:rPr>
          <w:rFonts w:ascii="Times" w:hAnsi="Times"/>
          <w:i/>
          <w:sz w:val="24"/>
          <w:szCs w:val="24"/>
          <w:lang w:val="en-US"/>
        </w:rPr>
        <w:t>like</w:t>
      </w:r>
      <w:r w:rsidR="00AB73B3" w:rsidRPr="007E1ECF">
        <w:rPr>
          <w:rFonts w:ascii="Times" w:hAnsi="Times"/>
          <w:sz w:val="24"/>
          <w:szCs w:val="24"/>
          <w:lang w:val="en-US"/>
        </w:rPr>
        <w:t xml:space="preserve"> were randomly split into 2 random sets of 94 samples i.e. training and validation set, in which the </w:t>
      </w:r>
      <w:r w:rsidR="00AB73B3" w:rsidRPr="007E1ECF">
        <w:rPr>
          <w:rFonts w:ascii="Times" w:hAnsi="Times"/>
          <w:i/>
          <w:sz w:val="24"/>
          <w:szCs w:val="24"/>
          <w:lang w:val="en-US"/>
        </w:rPr>
        <w:t>HIST1H1D HIST1H2BG</w:t>
      </w:r>
      <w:r w:rsidR="00AB73B3" w:rsidRPr="007E1ECF">
        <w:rPr>
          <w:rFonts w:ascii="Times" w:hAnsi="Times"/>
          <w:sz w:val="24"/>
          <w:szCs w:val="24"/>
          <w:lang w:val="en-US"/>
        </w:rPr>
        <w:t xml:space="preserve"> and </w:t>
      </w:r>
      <w:r w:rsidR="00AB73B3" w:rsidRPr="007E1ECF">
        <w:rPr>
          <w:rFonts w:ascii="Times" w:hAnsi="Times"/>
          <w:i/>
          <w:sz w:val="24"/>
          <w:szCs w:val="24"/>
          <w:lang w:val="en-US"/>
        </w:rPr>
        <w:t>HIST1H2BH</w:t>
      </w:r>
      <w:r w:rsidR="00AB73B3" w:rsidRPr="007E1ECF">
        <w:rPr>
          <w:rFonts w:ascii="Times" w:hAnsi="Times"/>
          <w:sz w:val="24"/>
          <w:szCs w:val="24"/>
          <w:lang w:val="en-US"/>
        </w:rPr>
        <w:t xml:space="preserve"> 3-genes prognosis model (3-</w:t>
      </w:r>
      <w:r w:rsidR="00AB73B3" w:rsidRPr="007E1ECF">
        <w:rPr>
          <w:rFonts w:ascii="Times" w:hAnsi="Times"/>
          <w:i/>
          <w:sz w:val="24"/>
          <w:szCs w:val="24"/>
          <w:lang w:val="en-US"/>
        </w:rPr>
        <w:t>HIST1</w:t>
      </w:r>
      <w:r w:rsidR="006B4A51" w:rsidRPr="007E1ECF">
        <w:rPr>
          <w:rFonts w:ascii="Times" w:hAnsi="Times"/>
          <w:sz w:val="24"/>
          <w:szCs w:val="24"/>
          <w:lang w:val="en-US"/>
        </w:rPr>
        <w:t>-</w:t>
      </w:r>
      <w:r w:rsidR="00AB73B3" w:rsidRPr="007E1ECF">
        <w:rPr>
          <w:rFonts w:ascii="Times" w:hAnsi="Times"/>
          <w:sz w:val="24"/>
          <w:szCs w:val="24"/>
          <w:lang w:val="en-US"/>
        </w:rPr>
        <w:t>mRNA) was respectively built and evaluated</w:t>
      </w:r>
      <w:r w:rsidR="00481A48" w:rsidRPr="007E1ECF">
        <w:rPr>
          <w:rFonts w:ascii="Times" w:hAnsi="Times"/>
          <w:sz w:val="24"/>
          <w:szCs w:val="24"/>
          <w:lang w:val="en-US"/>
        </w:rPr>
        <w:t xml:space="preserve"> using Cox regression</w:t>
      </w:r>
      <w:r w:rsidR="00AB73B3" w:rsidRPr="007E1ECF">
        <w:rPr>
          <w:rFonts w:ascii="Times" w:hAnsi="Times"/>
          <w:sz w:val="24"/>
          <w:szCs w:val="24"/>
          <w:lang w:val="en-US"/>
        </w:rPr>
        <w:t>.</w:t>
      </w:r>
      <w:r w:rsidR="003B1158" w:rsidRPr="007E1ECF">
        <w:rPr>
          <w:rFonts w:ascii="Times" w:hAnsi="Times"/>
          <w:sz w:val="24"/>
          <w:szCs w:val="24"/>
          <w:lang w:val="en-US"/>
        </w:rPr>
        <w:t xml:space="preserve"> We followed the reporting </w:t>
      </w:r>
      <w:proofErr w:type="spellStart"/>
      <w:r w:rsidR="003B1158" w:rsidRPr="007E1ECF">
        <w:rPr>
          <w:rFonts w:ascii="Times" w:hAnsi="Times"/>
          <w:sz w:val="24"/>
          <w:szCs w:val="24"/>
          <w:lang w:val="en-US"/>
        </w:rPr>
        <w:t>REcommendations</w:t>
      </w:r>
      <w:proofErr w:type="spellEnd"/>
      <w:r w:rsidR="003B1158" w:rsidRPr="007E1ECF">
        <w:rPr>
          <w:rFonts w:ascii="Times" w:hAnsi="Times"/>
          <w:sz w:val="24"/>
          <w:szCs w:val="24"/>
          <w:lang w:val="en-US"/>
        </w:rPr>
        <w:t xml:space="preserve"> for </w:t>
      </w:r>
      <w:proofErr w:type="spellStart"/>
      <w:r w:rsidR="003B1158" w:rsidRPr="007E1ECF">
        <w:rPr>
          <w:rFonts w:ascii="Times" w:hAnsi="Times"/>
          <w:sz w:val="24"/>
          <w:szCs w:val="24"/>
          <w:lang w:val="en-US"/>
        </w:rPr>
        <w:t>tumour</w:t>
      </w:r>
      <w:proofErr w:type="spellEnd"/>
      <w:r w:rsidR="003B1158" w:rsidRPr="007E1ECF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="003B1158" w:rsidRPr="007E1ECF">
        <w:rPr>
          <w:rFonts w:ascii="Times" w:hAnsi="Times"/>
          <w:sz w:val="24"/>
          <w:szCs w:val="24"/>
          <w:lang w:val="en-US"/>
        </w:rPr>
        <w:t>MARKer</w:t>
      </w:r>
      <w:proofErr w:type="spellEnd"/>
      <w:r w:rsidR="003B1158" w:rsidRPr="007E1ECF">
        <w:rPr>
          <w:rFonts w:ascii="Times" w:hAnsi="Times"/>
          <w:sz w:val="24"/>
          <w:szCs w:val="24"/>
          <w:lang w:val="en-US"/>
        </w:rPr>
        <w:t xml:space="preserve"> prognostic studies </w:t>
      </w:r>
      <w:r w:rsidR="00422CB9" w:rsidRPr="007E1ECF">
        <w:rPr>
          <w:rFonts w:ascii="Times" w:hAnsi="Times"/>
          <w:sz w:val="24"/>
          <w:szCs w:val="24"/>
          <w:lang w:val="en-US"/>
        </w:rPr>
        <w:t>(</w:t>
      </w:r>
      <w:r w:rsidR="004A3DEA" w:rsidRPr="007E1ECF">
        <w:rPr>
          <w:rFonts w:ascii="Times" w:hAnsi="Times"/>
          <w:sz w:val="24"/>
          <w:szCs w:val="24"/>
          <w:lang w:val="en-US"/>
        </w:rPr>
        <w:t>9</w:t>
      </w:r>
      <w:r w:rsidR="00422CB9" w:rsidRPr="007E1ECF">
        <w:rPr>
          <w:rFonts w:ascii="Times" w:hAnsi="Times"/>
          <w:sz w:val="24"/>
          <w:szCs w:val="24"/>
          <w:lang w:val="en-US"/>
        </w:rPr>
        <w:t>)</w:t>
      </w:r>
      <w:r w:rsidR="003B1158" w:rsidRPr="007E1ECF">
        <w:rPr>
          <w:rFonts w:ascii="Times" w:hAnsi="Times"/>
          <w:sz w:val="24"/>
          <w:szCs w:val="24"/>
          <w:lang w:val="en-US"/>
        </w:rPr>
        <w:t>.</w:t>
      </w:r>
      <w:r w:rsidR="004A3DEA" w:rsidRPr="007E1ECF">
        <w:rPr>
          <w:rFonts w:ascii="Times" w:hAnsi="Times"/>
          <w:sz w:val="24"/>
          <w:szCs w:val="24"/>
          <w:lang w:val="en-US"/>
        </w:rPr>
        <w:t xml:space="preserve"> </w:t>
      </w:r>
    </w:p>
    <w:p w14:paraId="38FDA69C" w14:textId="77777777" w:rsidR="00BE69D0" w:rsidRPr="007E1ECF" w:rsidRDefault="00BE69D0" w:rsidP="00BE69D0">
      <w:pPr>
        <w:spacing w:after="0" w:line="360" w:lineRule="auto"/>
        <w:jc w:val="both"/>
        <w:rPr>
          <w:rFonts w:ascii="Times" w:hAnsi="Times"/>
          <w:sz w:val="24"/>
          <w:szCs w:val="24"/>
          <w:lang w:val="en-US"/>
        </w:rPr>
      </w:pPr>
    </w:p>
    <w:p w14:paraId="1C896442" w14:textId="77777777" w:rsidR="00126EFB" w:rsidRPr="007E1ECF" w:rsidRDefault="00126EFB" w:rsidP="00126EFB">
      <w:pPr>
        <w:spacing w:after="0" w:line="360" w:lineRule="auto"/>
        <w:jc w:val="both"/>
        <w:rPr>
          <w:rFonts w:ascii="Times" w:eastAsia="Times New Roman" w:hAnsi="Times" w:cs="Times New Roman"/>
          <w:b/>
          <w:bCs/>
          <w:sz w:val="24"/>
          <w:szCs w:val="24"/>
          <w:lang w:val="en-US" w:eastAsia="de-CH"/>
        </w:rPr>
      </w:pPr>
      <w:proofErr w:type="gramStart"/>
      <w:r w:rsidRPr="007E1ECF">
        <w:rPr>
          <w:rFonts w:ascii="Times" w:eastAsia="Times New Roman" w:hAnsi="Times" w:cs="Times New Roman"/>
          <w:b/>
          <w:bCs/>
          <w:sz w:val="24"/>
          <w:szCs w:val="24"/>
          <w:lang w:val="en-US" w:eastAsia="de-CH"/>
        </w:rPr>
        <w:t>Mass spectrometry analysis.</w:t>
      </w:r>
      <w:proofErr w:type="gramEnd"/>
      <w:r w:rsidRPr="007E1ECF">
        <w:rPr>
          <w:rFonts w:ascii="Times" w:eastAsia="Times New Roman" w:hAnsi="Times" w:cs="Times New Roman"/>
          <w:b/>
          <w:bCs/>
          <w:sz w:val="24"/>
          <w:szCs w:val="24"/>
          <w:lang w:val="en-US" w:eastAsia="de-CH"/>
        </w:rPr>
        <w:t xml:space="preserve"> </w:t>
      </w:r>
    </w:p>
    <w:p w14:paraId="43CBE0A2" w14:textId="3C518F08" w:rsidR="00126EFB" w:rsidRPr="007E1ECF" w:rsidRDefault="00126EFB" w:rsidP="00BE69D0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val="en-US" w:eastAsia="de-CH"/>
        </w:rPr>
      </w:pP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Protein extract (5</w:t>
      </w:r>
      <w:r w:rsidR="00B554CA"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</w:t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µg) were loaded on </w:t>
      </w:r>
      <w:proofErr w:type="spellStart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NuPAGE</w:t>
      </w:r>
      <w:proofErr w:type="spellEnd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4-12% </w:t>
      </w:r>
      <w:proofErr w:type="spellStart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Bis-Tris</w:t>
      </w:r>
      <w:proofErr w:type="spellEnd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acrylamide gels (Life Technologies) to stack proteins in a single band that was stained with Imperial Blue (Pierce, Rockford, IL) and cut from the gel. Gels pieces were submitted to an in-gel trypsin digestion according to Shevchenko et al</w:t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fldChar w:fldCharType="begin"/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instrText xml:space="preserve"> </w:instrText>
      </w:r>
      <w:r w:rsidR="00C20130"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instrText>ADDIN</w:instrText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instrText xml:space="preserve"> ZOTERO_ITEM CSL_CITATION {"citationID":"a22rpjmstpd","properties":{"formattedCitation":"\\super 11\\nosupersub{}","plainCitation":"11","noteIndex":0},"citationItems":[{"id":333,"uris":["http://zotero.org/users/4912319/items/BZTG9N2W"],"uri":["http://zotero.org/users/4912319/items/BZTG9N2W"],"itemData":{"id":333,"type":"article-journal","title":"Mass spectrometric sequencing of proteins silver-stained polyacrylamide gels","container-title":"Analytical Chemistry","page":"850-858","volume":"68","issue":"5","source":"PubMed","abstract":"Proteins from silver-stained gels can be digested enzymatically and the resulting peptide analyzed and sequenced by mass spectrometry. Standard proteins yield the same peptide maps when extracted from Coomassie- and silver-stained gels, as judged by electrospray and MALDI mass spectrometry. The low nanogram range can be reached by the protocols described here, and the method is robust. A silver-stained one-dimensional gel of a fraction from yeast proteins was analyzed by nano-electrospray tandem mass spectrometry. In the sequencing, more than 1000 amino acids were covered, resulting in no evidence of chemical modifications due to the silver staining procedure. Silver staining allows a substantial shortening of sample preparation time and may, therefore, be preferable over Coomassie staining. This work removes a major obstacle to the low-level sequence analysis of proteins separated on polyacrylamide gels.","ISSN":"0003-2700","note":"PMID: 8779443","journalAbbreviation":"Anal. Chem.","language":"eng","author":[{"family":"Shevchenko","given":"A."},{"family":"Wilm","given":"M."},{"family":"Vorm","given":"O."},{"family":"Mann","given":"M."}],"issued":{"date-parts":[["1996",3,1]]}}}],"schema":"https://github.com/citation-style-language/schema/raw/master/csl-citation.json"} </w:instrText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fldChar w:fldCharType="separate"/>
      </w:r>
      <w:r w:rsidRPr="007E1ECF">
        <w:rPr>
          <w:rFonts w:ascii="Times" w:hAnsi="Times" w:cs="Times New Roman"/>
          <w:sz w:val="24"/>
          <w:szCs w:val="24"/>
          <w:vertAlign w:val="superscript"/>
          <w:lang w:val="en-US"/>
        </w:rPr>
        <w:t>1</w:t>
      </w:r>
      <w:r w:rsidR="004A3DEA" w:rsidRPr="007E1ECF">
        <w:rPr>
          <w:rFonts w:ascii="Times" w:hAnsi="Times" w:cs="Times New Roman"/>
          <w:sz w:val="24"/>
          <w:szCs w:val="24"/>
          <w:vertAlign w:val="superscript"/>
          <w:lang w:val="en-US"/>
        </w:rPr>
        <w:t>0</w:t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fldChar w:fldCharType="end"/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. </w:t>
      </w:r>
      <w:r w:rsidRPr="007E1ECF">
        <w:rPr>
          <w:rFonts w:ascii="Times" w:hAnsi="Times" w:cs="Times New Roman"/>
          <w:sz w:val="24"/>
          <w:szCs w:val="24"/>
          <w:lang w:val="en-US"/>
        </w:rPr>
        <w:t xml:space="preserve">Mass spectrometry analysis were carried out by LC-MS/MS using a </w:t>
      </w:r>
      <w:r w:rsidRPr="007E1ECF">
        <w:rPr>
          <w:rFonts w:ascii="Times" w:eastAsia="Calibri" w:hAnsi="Times" w:cs="Times New Roman"/>
          <w:iCs/>
          <w:sz w:val="24"/>
          <w:szCs w:val="24"/>
          <w:lang w:val="en-US"/>
        </w:rPr>
        <w:t xml:space="preserve">Q </w:t>
      </w:r>
      <w:proofErr w:type="spellStart"/>
      <w:r w:rsidRPr="007E1ECF">
        <w:rPr>
          <w:rFonts w:ascii="Times" w:eastAsia="Calibri" w:hAnsi="Times" w:cs="Times New Roman"/>
          <w:iCs/>
          <w:sz w:val="24"/>
          <w:szCs w:val="24"/>
          <w:lang w:val="en-US"/>
        </w:rPr>
        <w:t>Exactive</w:t>
      </w:r>
      <w:proofErr w:type="spellEnd"/>
      <w:r w:rsidRPr="007E1ECF">
        <w:rPr>
          <w:rFonts w:ascii="Times" w:eastAsia="Calibri" w:hAnsi="Times" w:cs="Times New Roman"/>
          <w:iCs/>
          <w:sz w:val="24"/>
          <w:szCs w:val="24"/>
          <w:lang w:val="en-US"/>
        </w:rPr>
        <w:t xml:space="preserve"> Plus mass spectrometer online with a </w:t>
      </w:r>
      <w:proofErr w:type="spellStart"/>
      <w:r w:rsidRPr="007E1ECF">
        <w:rPr>
          <w:rFonts w:ascii="Times" w:eastAsia="Calibri" w:hAnsi="Times" w:cs="Times New Roman"/>
          <w:iCs/>
          <w:sz w:val="24"/>
          <w:szCs w:val="24"/>
          <w:lang w:val="en-US"/>
        </w:rPr>
        <w:t>nanoLC</w:t>
      </w:r>
      <w:proofErr w:type="spellEnd"/>
      <w:r w:rsidRPr="007E1ECF">
        <w:rPr>
          <w:rFonts w:ascii="Times" w:eastAsia="Calibri" w:hAnsi="Times" w:cs="Times New Roman"/>
          <w:iCs/>
          <w:sz w:val="24"/>
          <w:szCs w:val="24"/>
          <w:lang w:val="en-US"/>
        </w:rPr>
        <w:t xml:space="preserve"> Ultimate 3000 chromatography system (</w:t>
      </w:r>
      <w:r w:rsidRPr="007E1ECF">
        <w:rPr>
          <w:rFonts w:ascii="Times" w:hAnsi="Times" w:cs="Times New Roman"/>
          <w:sz w:val="24"/>
          <w:szCs w:val="24"/>
          <w:lang w:val="en-US"/>
        </w:rPr>
        <w:t>Thermo Fisher Scientific™</w:t>
      </w:r>
      <w:r w:rsidRPr="007E1ECF">
        <w:rPr>
          <w:rFonts w:ascii="Times" w:eastAsia="Calibri" w:hAnsi="Times" w:cs="Times New Roman"/>
          <w:iCs/>
          <w:sz w:val="24"/>
          <w:szCs w:val="24"/>
          <w:lang w:val="en-US"/>
        </w:rPr>
        <w:t>, San Jose, CA)</w:t>
      </w:r>
      <w:r w:rsidRPr="007E1ECF">
        <w:rPr>
          <w:rFonts w:ascii="Times" w:hAnsi="Times" w:cs="Times New Roman"/>
          <w:sz w:val="24"/>
          <w:szCs w:val="24"/>
          <w:lang w:val="en-US"/>
        </w:rPr>
        <w:t xml:space="preserve">. For each biological sample, 25 % of digested sample were injected in duplicate on the system. After pre-concentration and washing on a Acclaim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PepMap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 100 column (C18, 2 cm × 100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μm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i.d.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 100 A pore size, 5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μm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 particle size), peptides were separated on a LC EASY-Spray column (C18, 50 cm × 75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μm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i.d.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, 100 A, 2 µm, 100Å particle size) at a flow rate of 300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nL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/min with a linear gradient from 2 to 32% acetonitrile/H20; 0.1 % formic acid for 120 min. The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EASYSpray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 source was set at 1.9 kV and 250 °C. All samples were measured in a data dependent acquisition mode. The peptide masses were measured in a survey full scan (scan range 375-1500 m/z, with 70 K resolution, target AGC value of 3E6 and maximum injection time of 100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ms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). Then the 10 most intense data-dependent precursor ions were successively fragmented and measured in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Orbitrap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 (normalized collision energy of 25 %, activation time of 10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ms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, target AGC value of 1E3, intensity threshold 1E4 maximum injection time 100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ms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>, isolation window 2 m/z, 17.5 K resolution, scan range 200 to 2000 m/z). Dynamic exclusion was implemented with a repeat count of 1 and exclusion duration of 20 s.</w:t>
      </w:r>
    </w:p>
    <w:p w14:paraId="311A039D" w14:textId="77777777" w:rsidR="00BE69D0" w:rsidRPr="007E1ECF" w:rsidRDefault="00BE69D0" w:rsidP="00BE69D0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val="en-US" w:eastAsia="de-CH"/>
        </w:rPr>
      </w:pPr>
    </w:p>
    <w:p w14:paraId="7F758C87" w14:textId="77777777" w:rsidR="00126EFB" w:rsidRPr="007E1ECF" w:rsidRDefault="00126EFB" w:rsidP="00126EFB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val="en-US" w:eastAsia="de-CH"/>
        </w:rPr>
      </w:pPr>
      <w:proofErr w:type="gramStart"/>
      <w:r w:rsidRPr="007E1ECF">
        <w:rPr>
          <w:rFonts w:ascii="Times" w:eastAsia="Times New Roman" w:hAnsi="Times" w:cs="Times New Roman"/>
          <w:b/>
          <w:bCs/>
          <w:iCs/>
          <w:sz w:val="24"/>
          <w:szCs w:val="24"/>
          <w:lang w:val="en-US" w:eastAsia="de-CH"/>
        </w:rPr>
        <w:t>Protein identification and quantification</w:t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.</w:t>
      </w:r>
      <w:proofErr w:type="gramEnd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</w:t>
      </w:r>
    </w:p>
    <w:p w14:paraId="5B9D038A" w14:textId="0F5716F7" w:rsidR="00126EFB" w:rsidRPr="007E1ECF" w:rsidRDefault="00126EFB" w:rsidP="00126EFB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val="en-US" w:eastAsia="de-CH"/>
        </w:rPr>
      </w:pPr>
      <w:r w:rsidRPr="007E1ECF">
        <w:rPr>
          <w:rStyle w:val="lev"/>
          <w:rFonts w:ascii="Times" w:hAnsi="Times" w:cs="Times New Roman"/>
          <w:b w:val="0"/>
          <w:sz w:val="24"/>
          <w:szCs w:val="24"/>
          <w:lang w:val="en-US"/>
        </w:rPr>
        <w:t>Intensity Based Absolute Quantification</w:t>
      </w:r>
      <w:r w:rsidRPr="007E1ECF">
        <w:rPr>
          <w:rStyle w:val="lev"/>
          <w:rFonts w:ascii="Times" w:hAnsi="Times" w:cs="Times New Roman"/>
          <w:sz w:val="24"/>
          <w:szCs w:val="24"/>
          <w:lang w:val="en-US"/>
        </w:rPr>
        <w:t xml:space="preserve"> </w:t>
      </w:r>
      <w:r w:rsidRPr="007E1ECF">
        <w:rPr>
          <w:rStyle w:val="lev"/>
          <w:rFonts w:ascii="Times" w:hAnsi="Times" w:cs="Times New Roman"/>
          <w:b w:val="0"/>
          <w:sz w:val="24"/>
          <w:szCs w:val="24"/>
          <w:lang w:val="en-US"/>
        </w:rPr>
        <w:t>(</w:t>
      </w:r>
      <w:proofErr w:type="spellStart"/>
      <w:r w:rsidRPr="007E1ECF">
        <w:rPr>
          <w:rFonts w:ascii="Times" w:hAnsi="Times" w:cs="Times New Roman"/>
          <w:bCs/>
          <w:sz w:val="24"/>
          <w:szCs w:val="24"/>
          <w:lang w:val="en-US"/>
        </w:rPr>
        <w:t>iBAQ</w:t>
      </w:r>
      <w:proofErr w:type="spellEnd"/>
      <w:r w:rsidRPr="007E1ECF">
        <w:rPr>
          <w:rFonts w:ascii="Times" w:hAnsi="Times" w:cs="Times New Roman"/>
          <w:bCs/>
          <w:sz w:val="24"/>
          <w:szCs w:val="24"/>
          <w:lang w:val="en-US"/>
        </w:rPr>
        <w:t>)</w:t>
      </w:r>
      <w:r w:rsidRPr="007E1ECF">
        <w:rPr>
          <w:rFonts w:ascii="Times" w:hAnsi="Times" w:cs="Times New Roman"/>
          <w:sz w:val="24"/>
          <w:szCs w:val="24"/>
          <w:lang w:val="en-US"/>
        </w:rPr>
        <w:t xml:space="preserve"> values</w:t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was processed using the freely available </w:t>
      </w:r>
      <w:proofErr w:type="spellStart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MaxQuant</w:t>
      </w:r>
      <w:proofErr w:type="spellEnd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computational proteomics platform, version 1.5.3.8</w:t>
      </w:r>
      <w:r w:rsidR="006B4A51"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(</w:t>
      </w:r>
      <w:r w:rsidR="004A3DEA"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11</w:t>
      </w:r>
      <w:r w:rsidR="006B4A51"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)</w:t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. </w:t>
      </w:r>
      <w:proofErr w:type="spellStart"/>
      <w:proofErr w:type="gramStart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iBAQ</w:t>
      </w:r>
      <w:proofErr w:type="spellEnd"/>
      <w:proofErr w:type="gramEnd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</w:t>
      </w:r>
      <w:r w:rsidRPr="007E1ECF">
        <w:rPr>
          <w:rFonts w:ascii="Times" w:hAnsi="Times" w:cs="Times New Roman"/>
          <w:sz w:val="24"/>
          <w:szCs w:val="24"/>
          <w:lang w:val="en-US"/>
        </w:rPr>
        <w:t xml:space="preserve">calculated by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MaxQuant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 are the raw intensities divided by the number of theoretical peptides. Thus, </w:t>
      </w:r>
      <w:proofErr w:type="spellStart"/>
      <w:r w:rsidRPr="007E1ECF">
        <w:rPr>
          <w:rFonts w:ascii="Times" w:hAnsi="Times" w:cs="Times New Roman"/>
          <w:sz w:val="24"/>
          <w:szCs w:val="24"/>
          <w:lang w:val="en-US"/>
        </w:rPr>
        <w:t>iBAQ</w:t>
      </w:r>
      <w:proofErr w:type="spellEnd"/>
      <w:r w:rsidRPr="007E1ECF">
        <w:rPr>
          <w:rFonts w:ascii="Times" w:hAnsi="Times" w:cs="Times New Roman"/>
          <w:sz w:val="24"/>
          <w:szCs w:val="24"/>
          <w:lang w:val="en-US"/>
        </w:rPr>
        <w:t xml:space="preserve"> values can roughly estimate the relative abundance of the proteins within each sample. </w:t>
      </w:r>
      <w:proofErr w:type="gramStart"/>
      <w:r w:rsidRPr="007E1ECF">
        <w:rPr>
          <w:rFonts w:ascii="Times" w:hAnsi="Times" w:cs="Times New Roman"/>
          <w:sz w:val="24"/>
          <w:szCs w:val="24"/>
          <w:lang w:val="en-US"/>
        </w:rPr>
        <w:t xml:space="preserve">This </w:t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values</w:t>
      </w:r>
      <w:proofErr w:type="gramEnd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can be adjusted for each LC-MS/MS by dividing them by the median of the IBAQ values or normalized by dividing them by the sum of </w:t>
      </w:r>
      <w:proofErr w:type="spellStart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iBAQs</w:t>
      </w:r>
      <w:proofErr w:type="spellEnd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value in the sample to obtain the molar abundance. The acquired raw LC MS data were first processed using the integrated Andromeda search engine</w:t>
      </w:r>
      <w:r w:rsidR="006B4A51"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(</w:t>
      </w:r>
      <w:r w:rsidR="004A3DEA"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12</w:t>
      </w:r>
      <w:r w:rsidR="006B4A51"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)</w:t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. Spectra were searched against a </w:t>
      </w:r>
      <w:proofErr w:type="spellStart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UniProt</w:t>
      </w:r>
      <w:proofErr w:type="spellEnd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Human canonical database (version 2017.08; 20201 entries). This database was supplemented with a set of 245 frequently observed contaminants. </w:t>
      </w:r>
      <w:proofErr w:type="spellStart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MaxQuant</w:t>
      </w:r>
      <w:proofErr w:type="spellEnd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default parameters were used except mentioned. The match between runs option was enabled to transfer identifications across different LC-MS/MS replicates based on their masses and retention time. The quantification was performed using a minimum ratio count of 1 (</w:t>
      </w:r>
      <w:proofErr w:type="spellStart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unique+razor</w:t>
      </w:r>
      <w:proofErr w:type="spellEnd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) and the second peptide option to allow identification of co-fragmented co-eluting peptides with similar masses. The false discovery rate (FDR) at the peptide and protein levels were set to 1% and determined by searching a reverse database. For protein grouping, all proteins that cannot be distinguished based on their identified peptides were assembled into a single entry. The statistical analysis was done with Perseus program (version 1.5.6.0) from the </w:t>
      </w:r>
      <w:proofErr w:type="spellStart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MaxQuant</w:t>
      </w:r>
      <w:proofErr w:type="spellEnd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environment (</w:t>
      </w:r>
      <w:r w:rsidRPr="007E1ECF">
        <w:rPr>
          <w:rFonts w:ascii="Times" w:hAnsi="Times"/>
          <w:sz w:val="24"/>
          <w:szCs w:val="24"/>
          <w:lang w:val="en-US"/>
        </w:rPr>
        <w:t>www.maxquant</w:t>
      </w:r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.org). The </w:t>
      </w:r>
      <w:proofErr w:type="spellStart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>iBAQ</w:t>
      </w:r>
      <w:proofErr w:type="spellEnd"/>
      <w:r w:rsidRPr="007E1ECF">
        <w:rPr>
          <w:rFonts w:ascii="Times" w:eastAsia="Times New Roman" w:hAnsi="Times" w:cs="Times New Roman"/>
          <w:iCs/>
          <w:sz w:val="24"/>
          <w:szCs w:val="24"/>
          <w:lang w:val="en-US" w:eastAsia="de-CH"/>
        </w:rPr>
        <w:t xml:space="preserve"> intensities were uploaded from the proteinGroups.txt file. Proteins marked as contaminant, reverse hits, and “only identified by site” were discarded. Proteins list was then export on Excel for further analysis.</w:t>
      </w:r>
    </w:p>
    <w:p w14:paraId="06ED787A" w14:textId="77777777" w:rsidR="00E2030A" w:rsidRPr="007E1ECF" w:rsidRDefault="00E2030A" w:rsidP="006903EA">
      <w:pPr>
        <w:spacing w:after="0" w:line="360" w:lineRule="auto"/>
        <w:jc w:val="both"/>
        <w:rPr>
          <w:rFonts w:ascii="Times" w:hAnsi="Times" w:cs="Times"/>
          <w:sz w:val="24"/>
          <w:szCs w:val="24"/>
          <w:lang w:val="en-US"/>
        </w:rPr>
      </w:pPr>
    </w:p>
    <w:p w14:paraId="01CA306C" w14:textId="5F33A507" w:rsidR="00E2030A" w:rsidRPr="007E1ECF" w:rsidRDefault="00E2030A" w:rsidP="006903EA">
      <w:pPr>
        <w:spacing w:after="0" w:line="360" w:lineRule="auto"/>
        <w:jc w:val="both"/>
        <w:rPr>
          <w:rFonts w:ascii="Times" w:hAnsi="Times" w:cs="Times"/>
          <w:b/>
          <w:sz w:val="24"/>
          <w:szCs w:val="24"/>
          <w:lang w:val="en-US"/>
        </w:rPr>
      </w:pPr>
      <w:r w:rsidRPr="007E1ECF">
        <w:rPr>
          <w:rFonts w:ascii="Times" w:hAnsi="Times" w:cs="Times"/>
          <w:b/>
          <w:sz w:val="24"/>
          <w:szCs w:val="24"/>
          <w:lang w:val="en-US"/>
        </w:rPr>
        <w:t>Morphological analyses</w:t>
      </w:r>
    </w:p>
    <w:p w14:paraId="22927678" w14:textId="1DAF1D1E" w:rsidR="006903EA" w:rsidRPr="007E1ECF" w:rsidRDefault="006903EA" w:rsidP="006903EA">
      <w:pPr>
        <w:spacing w:after="0" w:line="360" w:lineRule="auto"/>
        <w:jc w:val="both"/>
        <w:rPr>
          <w:rFonts w:ascii="Times" w:hAnsi="Times" w:cs="Times"/>
          <w:sz w:val="24"/>
          <w:szCs w:val="24"/>
          <w:lang w:val="en-US"/>
        </w:rPr>
      </w:pPr>
      <w:r w:rsidRPr="007E1ECF">
        <w:rPr>
          <w:rFonts w:ascii="Times" w:hAnsi="Times" w:cs="Times"/>
          <w:sz w:val="24"/>
          <w:szCs w:val="24"/>
          <w:lang w:val="en-US"/>
        </w:rPr>
        <w:t xml:space="preserve">Approximately 10 000 cells were </w:t>
      </w:r>
      <w:r w:rsidRPr="007E1ECF">
        <w:rPr>
          <w:rFonts w:ascii="Times" w:eastAsia="Times New Roman" w:hAnsi="Times" w:cs="Times New Roman"/>
          <w:sz w:val="24"/>
          <w:szCs w:val="24"/>
          <w:lang w:val="en-US"/>
        </w:rPr>
        <w:t xml:space="preserve">transferred to a slide using a </w:t>
      </w:r>
      <w:proofErr w:type="spellStart"/>
      <w:r w:rsidRPr="007E1ECF">
        <w:rPr>
          <w:rFonts w:ascii="Times" w:eastAsia="Times New Roman" w:hAnsi="Times" w:cs="Times New Roman"/>
          <w:sz w:val="24"/>
          <w:szCs w:val="24"/>
          <w:lang w:val="en-US"/>
        </w:rPr>
        <w:t>Cytospin</w:t>
      </w:r>
      <w:proofErr w:type="spellEnd"/>
      <w:r w:rsidRPr="007E1ECF">
        <w:rPr>
          <w:rFonts w:ascii="Times" w:eastAsia="Times New Roman" w:hAnsi="Times" w:cs="Times New Roman"/>
          <w:sz w:val="24"/>
          <w:szCs w:val="24"/>
          <w:lang w:val="en-US"/>
        </w:rPr>
        <w:t xml:space="preserve"> centrifuge at 5000 rpm for 5 min at room temperature</w:t>
      </w:r>
      <w:r w:rsidRPr="007E1ECF">
        <w:rPr>
          <w:rFonts w:ascii="Times" w:hAnsi="Times" w:cs="Times"/>
          <w:sz w:val="24"/>
          <w:szCs w:val="24"/>
          <w:lang w:val="en-US"/>
        </w:rPr>
        <w:t>. Slides were stained at room temperature with May-</w:t>
      </w:r>
      <w:proofErr w:type="spellStart"/>
      <w:r w:rsidRPr="007E1ECF">
        <w:rPr>
          <w:rFonts w:ascii="Times" w:hAnsi="Times" w:cs="Times"/>
          <w:sz w:val="24"/>
          <w:szCs w:val="24"/>
          <w:lang w:val="en-US"/>
        </w:rPr>
        <w:t>G</w:t>
      </w:r>
      <w:r w:rsidR="00E2030A" w:rsidRPr="007E1ECF">
        <w:rPr>
          <w:rFonts w:ascii="Times" w:hAnsi="Times" w:cs="Times"/>
          <w:sz w:val="24"/>
          <w:szCs w:val="24"/>
          <w:lang w:val="en-US"/>
        </w:rPr>
        <w:t>rünwald</w:t>
      </w:r>
      <w:proofErr w:type="spellEnd"/>
      <w:r w:rsidR="00E2030A" w:rsidRPr="007E1ECF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="00E2030A" w:rsidRPr="007E1ECF">
        <w:rPr>
          <w:rFonts w:ascii="Times" w:hAnsi="Times" w:cs="Times"/>
          <w:sz w:val="24"/>
          <w:szCs w:val="24"/>
          <w:lang w:val="en-US"/>
        </w:rPr>
        <w:t>Giemsa</w:t>
      </w:r>
      <w:proofErr w:type="spellEnd"/>
      <w:r w:rsidR="00E2030A" w:rsidRPr="007E1ECF">
        <w:rPr>
          <w:rFonts w:ascii="Times" w:hAnsi="Times" w:cs="Times"/>
          <w:sz w:val="24"/>
          <w:szCs w:val="24"/>
          <w:lang w:val="en-US"/>
        </w:rPr>
        <w:t xml:space="preserve"> (Sigma-Aldrich) </w:t>
      </w:r>
      <w:r w:rsidRPr="007E1ECF">
        <w:rPr>
          <w:rFonts w:ascii="Times" w:hAnsi="Times" w:cs="Times"/>
          <w:sz w:val="24"/>
          <w:szCs w:val="24"/>
          <w:lang w:val="en-US"/>
        </w:rPr>
        <w:t xml:space="preserve">and examined for cellular morphology using an structured light </w:t>
      </w:r>
      <w:proofErr w:type="spellStart"/>
      <w:r w:rsidRPr="007E1ECF">
        <w:rPr>
          <w:rFonts w:ascii="Times" w:hAnsi="Times" w:cs="Times"/>
          <w:sz w:val="24"/>
          <w:szCs w:val="24"/>
          <w:lang w:val="en-US"/>
        </w:rPr>
        <w:t>ApoTome</w:t>
      </w:r>
      <w:proofErr w:type="spellEnd"/>
      <w:r w:rsidRPr="007E1ECF">
        <w:rPr>
          <w:rFonts w:ascii="Times" w:hAnsi="Times" w:cs="Times"/>
          <w:sz w:val="24"/>
          <w:szCs w:val="24"/>
          <w:lang w:val="en-US"/>
        </w:rPr>
        <w:t xml:space="preserve">™ microscope (Zeiss, </w:t>
      </w:r>
      <w:proofErr w:type="spellStart"/>
      <w:r w:rsidRPr="007E1ECF">
        <w:rPr>
          <w:rFonts w:ascii="Times" w:hAnsi="Times" w:cs="Times"/>
          <w:sz w:val="24"/>
          <w:szCs w:val="24"/>
          <w:lang w:val="en-US"/>
        </w:rPr>
        <w:t>Münich</w:t>
      </w:r>
      <w:proofErr w:type="spellEnd"/>
      <w:r w:rsidRPr="007E1ECF">
        <w:rPr>
          <w:rFonts w:ascii="Times" w:hAnsi="Times" w:cs="Times"/>
          <w:sz w:val="24"/>
          <w:szCs w:val="24"/>
          <w:lang w:val="en-US"/>
        </w:rPr>
        <w:t xml:space="preserve">, Germany) equipped with a 63x 1.4 plan </w:t>
      </w:r>
      <w:proofErr w:type="spellStart"/>
      <w:r w:rsidRPr="007E1ECF">
        <w:rPr>
          <w:rFonts w:ascii="Times" w:hAnsi="Times" w:cs="Times"/>
          <w:sz w:val="24"/>
          <w:szCs w:val="24"/>
          <w:lang w:val="en-US"/>
        </w:rPr>
        <w:t>ApoChromat</w:t>
      </w:r>
      <w:proofErr w:type="spellEnd"/>
      <w:r w:rsidRPr="007E1ECF">
        <w:rPr>
          <w:rFonts w:ascii="Times" w:hAnsi="Times" w:cs="Times"/>
          <w:sz w:val="24"/>
          <w:szCs w:val="24"/>
          <w:lang w:val="en-US"/>
        </w:rPr>
        <w:t xml:space="preserve"> objective and an </w:t>
      </w:r>
      <w:proofErr w:type="spellStart"/>
      <w:r w:rsidRPr="007E1ECF">
        <w:rPr>
          <w:rFonts w:ascii="Times" w:hAnsi="Times" w:cs="Times"/>
          <w:sz w:val="24"/>
          <w:szCs w:val="24"/>
          <w:lang w:val="en-US"/>
        </w:rPr>
        <w:t>Axiocam</w:t>
      </w:r>
      <w:proofErr w:type="spellEnd"/>
      <w:r w:rsidRPr="007E1ECF">
        <w:rPr>
          <w:rFonts w:ascii="Times" w:hAnsi="Times" w:cs="Times"/>
          <w:sz w:val="24"/>
          <w:szCs w:val="24"/>
          <w:lang w:val="en-US"/>
        </w:rPr>
        <w:t>™ MRc5 camera.</w:t>
      </w:r>
      <w:r w:rsidR="00F055C8" w:rsidRPr="007E1ECF">
        <w:rPr>
          <w:rFonts w:ascii="Times" w:hAnsi="Times" w:cs="Times"/>
          <w:sz w:val="24"/>
          <w:szCs w:val="24"/>
          <w:lang w:val="en-US"/>
        </w:rPr>
        <w:t xml:space="preserve"> At least 100 cells per condition were analyzed</w:t>
      </w:r>
      <w:r w:rsidR="00E2030A" w:rsidRPr="007E1ECF">
        <w:rPr>
          <w:rFonts w:ascii="Times" w:hAnsi="Times" w:cs="Times"/>
          <w:sz w:val="24"/>
          <w:szCs w:val="24"/>
          <w:lang w:val="en-US"/>
        </w:rPr>
        <w:t>. For quantification of cells with cytoplasmic granules, at least 100 cells per condition were analyzed</w:t>
      </w:r>
      <w:r w:rsidR="00F055C8" w:rsidRPr="007E1ECF">
        <w:rPr>
          <w:rFonts w:ascii="Times" w:hAnsi="Times" w:cs="Times"/>
          <w:sz w:val="24"/>
          <w:szCs w:val="24"/>
          <w:lang w:val="en-US"/>
        </w:rPr>
        <w:t xml:space="preserve"> </w:t>
      </w:r>
      <w:r w:rsidR="00E2030A" w:rsidRPr="007E1ECF">
        <w:rPr>
          <w:rFonts w:ascii="Times" w:hAnsi="Times" w:cs="Times"/>
          <w:sz w:val="24"/>
          <w:szCs w:val="24"/>
          <w:lang w:val="en-US"/>
        </w:rPr>
        <w:t xml:space="preserve">and </w:t>
      </w:r>
      <w:r w:rsidR="00F055C8" w:rsidRPr="007E1ECF">
        <w:rPr>
          <w:rFonts w:ascii="Times" w:hAnsi="Times" w:cs="Times"/>
          <w:sz w:val="24"/>
          <w:szCs w:val="24"/>
          <w:lang w:val="en-US"/>
        </w:rPr>
        <w:t>data represent an average of two independent and blind experimenter counts obtained from 3 independent experiments.</w:t>
      </w:r>
    </w:p>
    <w:bookmarkEnd w:id="0"/>
    <w:p w14:paraId="5B86BDA5" w14:textId="77777777" w:rsidR="006903EA" w:rsidRPr="00AC19DC" w:rsidRDefault="006903EA" w:rsidP="00126EFB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val="en-US" w:eastAsia="de-CH"/>
        </w:rPr>
      </w:pPr>
    </w:p>
    <w:p w14:paraId="0425B397" w14:textId="77777777" w:rsidR="00080457" w:rsidRPr="00AC19DC" w:rsidRDefault="00080457" w:rsidP="00725259">
      <w:pPr>
        <w:spacing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val="en-US" w:eastAsia="de-CH"/>
        </w:rPr>
      </w:pPr>
    </w:p>
    <w:p w14:paraId="6293FD4E" w14:textId="378854B0" w:rsidR="00F33AFE" w:rsidRPr="00AC19DC" w:rsidRDefault="00080457" w:rsidP="00725259">
      <w:pPr>
        <w:spacing w:line="360" w:lineRule="auto"/>
        <w:jc w:val="both"/>
        <w:rPr>
          <w:rFonts w:ascii="Times" w:hAnsi="Times"/>
          <w:b/>
          <w:sz w:val="24"/>
          <w:szCs w:val="24"/>
          <w:lang w:val="en-US"/>
        </w:rPr>
      </w:pPr>
      <w:r w:rsidRPr="00AC19DC">
        <w:rPr>
          <w:rFonts w:ascii="Times" w:hAnsi="Times"/>
          <w:b/>
          <w:sz w:val="24"/>
          <w:szCs w:val="24"/>
          <w:lang w:val="en-US"/>
        </w:rPr>
        <w:t>Supplemental references</w:t>
      </w:r>
    </w:p>
    <w:p w14:paraId="481ABB73" w14:textId="3AA7CD17" w:rsidR="00B653AB" w:rsidRPr="00AC19DC" w:rsidRDefault="00080457" w:rsidP="00AC19DC">
      <w:pPr>
        <w:pStyle w:val="Bibliographie"/>
        <w:rPr>
          <w:rFonts w:ascii="Times" w:hAnsi="Times"/>
          <w:sz w:val="24"/>
          <w:lang w:val="en-US"/>
        </w:rPr>
      </w:pPr>
      <w:r w:rsidRPr="00AC19DC">
        <w:rPr>
          <w:rFonts w:ascii="Times" w:hAnsi="Times"/>
          <w:b/>
          <w:lang w:val="en-US"/>
        </w:rPr>
        <w:fldChar w:fldCharType="begin"/>
      </w:r>
      <w:r w:rsidR="003B1158" w:rsidRPr="00AC19DC">
        <w:rPr>
          <w:rFonts w:ascii="Times" w:hAnsi="Times"/>
          <w:b/>
          <w:lang w:val="en-GB"/>
        </w:rPr>
        <w:instrText xml:space="preserve"> </w:instrText>
      </w:r>
      <w:r w:rsidR="00C20130" w:rsidRPr="00AC19DC">
        <w:rPr>
          <w:rFonts w:ascii="Times" w:hAnsi="Times"/>
          <w:b/>
          <w:lang w:val="en-GB"/>
        </w:rPr>
        <w:instrText>ADDIN</w:instrText>
      </w:r>
      <w:r w:rsidR="003B1158" w:rsidRPr="00AC19DC">
        <w:rPr>
          <w:rFonts w:ascii="Times" w:hAnsi="Times"/>
          <w:b/>
          <w:lang w:val="en-GB"/>
        </w:rPr>
        <w:instrText xml:space="preserve"> ZOTERO_BIBL {"uncited":[],"omitted":[],"custom":[]} CSL_BIBLIOGRAPHY </w:instrText>
      </w:r>
      <w:r w:rsidRPr="00AC19DC">
        <w:rPr>
          <w:rFonts w:ascii="Times" w:hAnsi="Times"/>
          <w:b/>
          <w:lang w:val="en-US"/>
        </w:rPr>
        <w:fldChar w:fldCharType="separate"/>
      </w:r>
      <w:r w:rsidR="004A3DEA" w:rsidRPr="00AC19DC">
        <w:rPr>
          <w:rFonts w:ascii="Times" w:hAnsi="Times"/>
          <w:sz w:val="24"/>
          <w:lang w:val="en-US"/>
        </w:rPr>
        <w:t>1</w:t>
      </w:r>
      <w:r w:rsidR="00B653AB" w:rsidRPr="00AC19DC">
        <w:rPr>
          <w:rFonts w:ascii="Times" w:hAnsi="Times"/>
          <w:sz w:val="24"/>
          <w:lang w:val="en-US"/>
        </w:rPr>
        <w:t>.</w:t>
      </w:r>
      <w:r w:rsidR="00B653AB" w:rsidRPr="00AC19DC">
        <w:rPr>
          <w:rFonts w:ascii="Times" w:hAnsi="Times"/>
          <w:sz w:val="24"/>
          <w:lang w:val="en-US"/>
        </w:rPr>
        <w:tab/>
        <w:t xml:space="preserve">Bertucci F, Finetti P, Cervera N, et al. Gene expression profiling shows medullary breast cancer is a subgroup of basal breast cancers. </w:t>
      </w:r>
      <w:r w:rsidR="00B653AB" w:rsidRPr="00AC19DC">
        <w:rPr>
          <w:rFonts w:ascii="Times" w:hAnsi="Times"/>
          <w:i/>
          <w:iCs/>
          <w:sz w:val="24"/>
          <w:lang w:val="en-US"/>
        </w:rPr>
        <w:t>Cancer Res.</w:t>
      </w:r>
      <w:r w:rsidR="00B653AB" w:rsidRPr="00AC19DC">
        <w:rPr>
          <w:rFonts w:ascii="Times" w:hAnsi="Times"/>
          <w:sz w:val="24"/>
          <w:lang w:val="en-US"/>
        </w:rPr>
        <w:t xml:space="preserve"> 2006;66(9):4636–4644. </w:t>
      </w:r>
    </w:p>
    <w:p w14:paraId="4495FC86" w14:textId="63911926" w:rsidR="00B653AB" w:rsidRPr="00AC19DC" w:rsidRDefault="004A3DEA" w:rsidP="00B653AB">
      <w:pPr>
        <w:pStyle w:val="Bibliographie"/>
        <w:rPr>
          <w:rFonts w:ascii="Times" w:hAnsi="Times"/>
          <w:sz w:val="24"/>
          <w:lang w:val="en-US"/>
        </w:rPr>
      </w:pPr>
      <w:r w:rsidRPr="00AC19DC">
        <w:rPr>
          <w:rFonts w:ascii="Times" w:hAnsi="Times"/>
          <w:sz w:val="24"/>
          <w:lang w:val="en-US"/>
        </w:rPr>
        <w:t>2</w:t>
      </w:r>
      <w:r w:rsidR="00B653AB" w:rsidRPr="00AC19DC">
        <w:rPr>
          <w:rFonts w:ascii="Times" w:hAnsi="Times"/>
          <w:sz w:val="24"/>
          <w:lang w:val="en-US"/>
        </w:rPr>
        <w:t>.</w:t>
      </w:r>
      <w:r w:rsidR="00B653AB" w:rsidRPr="00AC19DC">
        <w:rPr>
          <w:rFonts w:ascii="Times" w:hAnsi="Times"/>
          <w:sz w:val="24"/>
          <w:lang w:val="en-US"/>
        </w:rPr>
        <w:tab/>
        <w:t>Irizarry RA, Hobbs B, Collin F, et al. Exploration, norma</w:t>
      </w:r>
      <w:r w:rsidRPr="00AC19DC">
        <w:rPr>
          <w:rFonts w:ascii="Times" w:hAnsi="Times"/>
          <w:sz w:val="24"/>
          <w:lang w:val="en-US"/>
        </w:rPr>
        <w:t xml:space="preserve">lization, and summaries of high </w:t>
      </w:r>
      <w:r w:rsidR="00B653AB" w:rsidRPr="00AC19DC">
        <w:rPr>
          <w:rFonts w:ascii="Times" w:hAnsi="Times"/>
          <w:sz w:val="24"/>
          <w:lang w:val="en-US"/>
        </w:rPr>
        <w:t xml:space="preserve">density oligonucleotide array probe level data. </w:t>
      </w:r>
      <w:r w:rsidR="00B653AB" w:rsidRPr="00AC19DC">
        <w:rPr>
          <w:rFonts w:ascii="Times" w:hAnsi="Times"/>
          <w:i/>
          <w:iCs/>
          <w:sz w:val="24"/>
          <w:lang w:val="en-US"/>
        </w:rPr>
        <w:t>Biostat. Oxf. Engl.</w:t>
      </w:r>
      <w:r w:rsidR="00B653AB" w:rsidRPr="00AC19DC">
        <w:rPr>
          <w:rFonts w:ascii="Times" w:hAnsi="Times"/>
          <w:sz w:val="24"/>
          <w:lang w:val="en-US"/>
        </w:rPr>
        <w:t xml:space="preserve"> 2003;4(2):249–264. </w:t>
      </w:r>
    </w:p>
    <w:p w14:paraId="4905810A" w14:textId="3B01A098" w:rsidR="00B653AB" w:rsidRPr="00AC19DC" w:rsidRDefault="004A3DEA" w:rsidP="00B653AB">
      <w:pPr>
        <w:pStyle w:val="Bibliographie"/>
        <w:rPr>
          <w:rFonts w:ascii="Times" w:hAnsi="Times"/>
          <w:sz w:val="24"/>
          <w:lang w:val="en-US"/>
        </w:rPr>
      </w:pPr>
      <w:r w:rsidRPr="00AC19DC">
        <w:rPr>
          <w:rFonts w:ascii="Times" w:hAnsi="Times"/>
          <w:sz w:val="24"/>
          <w:lang w:val="en-US"/>
        </w:rPr>
        <w:t>3</w:t>
      </w:r>
      <w:r w:rsidR="00B653AB" w:rsidRPr="00AC19DC">
        <w:rPr>
          <w:rFonts w:ascii="Times" w:hAnsi="Times"/>
          <w:sz w:val="24"/>
          <w:lang w:val="en-US"/>
        </w:rPr>
        <w:t>.</w:t>
      </w:r>
      <w:r w:rsidR="00B653AB" w:rsidRPr="00AC19DC">
        <w:rPr>
          <w:rFonts w:ascii="Times" w:hAnsi="Times"/>
          <w:sz w:val="24"/>
          <w:lang w:val="en-US"/>
        </w:rPr>
        <w:tab/>
        <w:t xml:space="preserve">Smyth GK. Linear models and empirical bayes methods for assessing differential expression in microarray experiments. </w:t>
      </w:r>
      <w:r w:rsidR="00B653AB" w:rsidRPr="00AC19DC">
        <w:rPr>
          <w:rFonts w:ascii="Times" w:hAnsi="Times"/>
          <w:i/>
          <w:iCs/>
          <w:sz w:val="24"/>
          <w:lang w:val="en-US"/>
        </w:rPr>
        <w:t>Stat. Appl. Genet. Mol. Biol.</w:t>
      </w:r>
      <w:r w:rsidR="00B653AB" w:rsidRPr="00AC19DC">
        <w:rPr>
          <w:rFonts w:ascii="Times" w:hAnsi="Times"/>
          <w:sz w:val="24"/>
          <w:lang w:val="en-US"/>
        </w:rPr>
        <w:t xml:space="preserve"> 2004;3:Article3. </w:t>
      </w:r>
    </w:p>
    <w:p w14:paraId="733426BC" w14:textId="25F18948" w:rsidR="00B653AB" w:rsidRPr="00AC19DC" w:rsidRDefault="004A3DEA" w:rsidP="00B653AB">
      <w:pPr>
        <w:pStyle w:val="Bibliographie"/>
        <w:rPr>
          <w:rFonts w:ascii="Times" w:hAnsi="Times"/>
          <w:sz w:val="24"/>
          <w:lang w:val="en-US"/>
        </w:rPr>
      </w:pPr>
      <w:r w:rsidRPr="00AC19DC">
        <w:rPr>
          <w:rFonts w:ascii="Times" w:hAnsi="Times"/>
          <w:sz w:val="24"/>
          <w:lang w:val="en-US"/>
        </w:rPr>
        <w:t>4</w:t>
      </w:r>
      <w:r w:rsidR="00B653AB" w:rsidRPr="00AC19DC">
        <w:rPr>
          <w:rFonts w:ascii="Times" w:hAnsi="Times"/>
          <w:sz w:val="24"/>
          <w:lang w:val="en-US"/>
        </w:rPr>
        <w:t>.</w:t>
      </w:r>
      <w:r w:rsidR="00B653AB" w:rsidRPr="00AC19DC">
        <w:rPr>
          <w:rFonts w:ascii="Times" w:hAnsi="Times"/>
          <w:sz w:val="24"/>
          <w:lang w:val="en-US"/>
        </w:rPr>
        <w:tab/>
        <w:t xml:space="preserve">Subramanian A, Tamayo P, Mootha VK, et al. Gene set enrichment analysis: a knowledge-based approach for interpreting genome-wide expression profiles. </w:t>
      </w:r>
      <w:r w:rsidR="00B653AB" w:rsidRPr="00AC19DC">
        <w:rPr>
          <w:rFonts w:ascii="Times" w:hAnsi="Times"/>
          <w:i/>
          <w:iCs/>
          <w:sz w:val="24"/>
          <w:lang w:val="en-US"/>
        </w:rPr>
        <w:t>Proc. Natl. Acad. Sci. U. S. A.</w:t>
      </w:r>
      <w:r w:rsidR="00B653AB" w:rsidRPr="00AC19DC">
        <w:rPr>
          <w:rFonts w:ascii="Times" w:hAnsi="Times"/>
          <w:sz w:val="24"/>
          <w:lang w:val="en-US"/>
        </w:rPr>
        <w:t xml:space="preserve"> 2005;102(43):15545–15550. </w:t>
      </w:r>
    </w:p>
    <w:p w14:paraId="32BEECCA" w14:textId="4629EE50" w:rsidR="00B653AB" w:rsidRPr="00AC19DC" w:rsidRDefault="004A3DEA" w:rsidP="00B653AB">
      <w:pPr>
        <w:pStyle w:val="Bibliographie"/>
        <w:rPr>
          <w:rFonts w:ascii="Times" w:hAnsi="Times"/>
          <w:sz w:val="24"/>
          <w:lang w:val="en-US"/>
        </w:rPr>
      </w:pPr>
      <w:r w:rsidRPr="00AC19DC">
        <w:rPr>
          <w:rFonts w:ascii="Times" w:hAnsi="Times"/>
          <w:sz w:val="24"/>
          <w:lang w:val="en-US"/>
        </w:rPr>
        <w:t>5</w:t>
      </w:r>
      <w:r w:rsidR="00B653AB" w:rsidRPr="00AC19DC">
        <w:rPr>
          <w:rFonts w:ascii="Times" w:hAnsi="Times"/>
          <w:sz w:val="24"/>
          <w:lang w:val="en-US"/>
        </w:rPr>
        <w:t>.</w:t>
      </w:r>
      <w:r w:rsidR="00B653AB" w:rsidRPr="00AC19DC">
        <w:rPr>
          <w:rFonts w:ascii="Times" w:hAnsi="Times"/>
          <w:sz w:val="24"/>
          <w:lang w:val="en-US"/>
        </w:rPr>
        <w:tab/>
        <w:t xml:space="preserve">Cancer Genome Atlas Research Network. Genomic and epigenomic landscapes of adult de novo acute myeloid leukemia. </w:t>
      </w:r>
      <w:r w:rsidR="00B653AB" w:rsidRPr="00AC19DC">
        <w:rPr>
          <w:rFonts w:ascii="Times" w:hAnsi="Times"/>
          <w:i/>
          <w:iCs/>
          <w:sz w:val="24"/>
          <w:lang w:val="en-US"/>
        </w:rPr>
        <w:t>N. Engl. J. Med.</w:t>
      </w:r>
      <w:r w:rsidR="00B653AB" w:rsidRPr="00AC19DC">
        <w:rPr>
          <w:rFonts w:ascii="Times" w:hAnsi="Times"/>
          <w:sz w:val="24"/>
          <w:lang w:val="en-US"/>
        </w:rPr>
        <w:t xml:space="preserve"> 2013;368(22):2059–2074. </w:t>
      </w:r>
    </w:p>
    <w:p w14:paraId="618EC9D6" w14:textId="4016D18A" w:rsidR="00B653AB" w:rsidRPr="00AC19DC" w:rsidRDefault="004A3DEA" w:rsidP="00B653AB">
      <w:pPr>
        <w:pStyle w:val="Bibliographie"/>
        <w:rPr>
          <w:rFonts w:ascii="Times" w:hAnsi="Times"/>
          <w:sz w:val="24"/>
          <w:lang w:val="en-US"/>
        </w:rPr>
      </w:pPr>
      <w:r w:rsidRPr="00AC19DC">
        <w:rPr>
          <w:rFonts w:ascii="Times" w:hAnsi="Times"/>
          <w:sz w:val="24"/>
          <w:lang w:val="en-US"/>
        </w:rPr>
        <w:t>6</w:t>
      </w:r>
      <w:r w:rsidR="00B653AB" w:rsidRPr="00AC19DC">
        <w:rPr>
          <w:rFonts w:ascii="Times" w:hAnsi="Times"/>
          <w:sz w:val="24"/>
          <w:lang w:val="en-US"/>
        </w:rPr>
        <w:t>.</w:t>
      </w:r>
      <w:r w:rsidR="00B653AB" w:rsidRPr="00AC19DC">
        <w:rPr>
          <w:rFonts w:ascii="Times" w:hAnsi="Times"/>
          <w:sz w:val="24"/>
          <w:lang w:val="en-US"/>
        </w:rPr>
        <w:tab/>
        <w:t xml:space="preserve">Metzeler KH, Hummel M, Bloomfield CD, et al. An 86-probe-set gene-expression signature predicts survival in cytogenetically normal acute myeloid leukemia. </w:t>
      </w:r>
      <w:r w:rsidR="00B653AB" w:rsidRPr="00AC19DC">
        <w:rPr>
          <w:rFonts w:ascii="Times" w:hAnsi="Times"/>
          <w:i/>
          <w:iCs/>
          <w:sz w:val="24"/>
          <w:lang w:val="en-US"/>
        </w:rPr>
        <w:t>Blood</w:t>
      </w:r>
      <w:r w:rsidR="00B653AB" w:rsidRPr="00AC19DC">
        <w:rPr>
          <w:rFonts w:ascii="Times" w:hAnsi="Times"/>
          <w:sz w:val="24"/>
          <w:lang w:val="en-US"/>
        </w:rPr>
        <w:t xml:space="preserve">. 2008;112(10):4193–4201. </w:t>
      </w:r>
    </w:p>
    <w:p w14:paraId="3DE20962" w14:textId="0939CACA" w:rsidR="00B653AB" w:rsidRPr="00AC19DC" w:rsidRDefault="004A3DEA" w:rsidP="00B653AB">
      <w:pPr>
        <w:pStyle w:val="Bibliographie"/>
        <w:rPr>
          <w:rFonts w:ascii="Times" w:hAnsi="Times"/>
          <w:sz w:val="24"/>
          <w:lang w:val="en-US"/>
        </w:rPr>
      </w:pPr>
      <w:r w:rsidRPr="00AC19DC">
        <w:rPr>
          <w:rFonts w:ascii="Times" w:hAnsi="Times"/>
          <w:sz w:val="24"/>
          <w:lang w:val="en-US"/>
        </w:rPr>
        <w:t>7</w:t>
      </w:r>
      <w:r w:rsidR="00B653AB" w:rsidRPr="00AC19DC">
        <w:rPr>
          <w:rFonts w:ascii="Times" w:hAnsi="Times"/>
          <w:sz w:val="24"/>
          <w:lang w:val="en-US"/>
        </w:rPr>
        <w:t>.</w:t>
      </w:r>
      <w:r w:rsidR="00B653AB" w:rsidRPr="00AC19DC">
        <w:rPr>
          <w:rFonts w:ascii="Times" w:hAnsi="Times"/>
          <w:sz w:val="24"/>
          <w:lang w:val="en-US"/>
        </w:rPr>
        <w:tab/>
        <w:t xml:space="preserve">Irizarry RA, Bolstad BM, Collin F, et al. Summaries of Affymetrix GeneChip probe level data. </w:t>
      </w:r>
      <w:r w:rsidR="00B653AB" w:rsidRPr="00AC19DC">
        <w:rPr>
          <w:rFonts w:ascii="Times" w:hAnsi="Times"/>
          <w:i/>
          <w:iCs/>
          <w:sz w:val="24"/>
          <w:lang w:val="en-US"/>
        </w:rPr>
        <w:t>Nucleic Acids Res.</w:t>
      </w:r>
      <w:r w:rsidR="00B653AB" w:rsidRPr="00AC19DC">
        <w:rPr>
          <w:rFonts w:ascii="Times" w:hAnsi="Times"/>
          <w:sz w:val="24"/>
          <w:lang w:val="en-US"/>
        </w:rPr>
        <w:t xml:space="preserve"> 2003;31(4):e15. </w:t>
      </w:r>
    </w:p>
    <w:p w14:paraId="238ECAFF" w14:textId="7846C529" w:rsidR="00B653AB" w:rsidRPr="00AC19DC" w:rsidRDefault="004A3DEA" w:rsidP="00B653AB">
      <w:pPr>
        <w:pStyle w:val="Bibliographie"/>
        <w:rPr>
          <w:rFonts w:ascii="Times" w:hAnsi="Times"/>
          <w:sz w:val="24"/>
          <w:lang w:val="en-US"/>
        </w:rPr>
      </w:pPr>
      <w:r w:rsidRPr="00AC19DC">
        <w:rPr>
          <w:rFonts w:ascii="Times" w:hAnsi="Times"/>
          <w:sz w:val="24"/>
          <w:lang w:val="en-US"/>
        </w:rPr>
        <w:t>8</w:t>
      </w:r>
      <w:r w:rsidR="00B653AB" w:rsidRPr="00AC19DC">
        <w:rPr>
          <w:rFonts w:ascii="Times" w:hAnsi="Times"/>
          <w:sz w:val="24"/>
          <w:lang w:val="en-US"/>
        </w:rPr>
        <w:t>.</w:t>
      </w:r>
      <w:r w:rsidR="00B653AB" w:rsidRPr="00AC19DC">
        <w:rPr>
          <w:rFonts w:ascii="Times" w:hAnsi="Times"/>
          <w:sz w:val="24"/>
          <w:lang w:val="en-US"/>
        </w:rPr>
        <w:tab/>
        <w:t xml:space="preserve">Kohlmann A, Bullinger L, Thiede C, et al. Gene expression profiling in AML with normal karyotype can predict mutations for molecular markers and allows novel insights into perturbed biological pathways. </w:t>
      </w:r>
      <w:r w:rsidR="00B653AB" w:rsidRPr="00AC19DC">
        <w:rPr>
          <w:rFonts w:ascii="Times" w:hAnsi="Times"/>
          <w:i/>
          <w:iCs/>
          <w:sz w:val="24"/>
          <w:lang w:val="en-US"/>
        </w:rPr>
        <w:t>Leukemia</w:t>
      </w:r>
      <w:r w:rsidR="00B653AB" w:rsidRPr="00AC19DC">
        <w:rPr>
          <w:rFonts w:ascii="Times" w:hAnsi="Times"/>
          <w:sz w:val="24"/>
          <w:lang w:val="en-US"/>
        </w:rPr>
        <w:t xml:space="preserve">. 2010;24(6):1216–1220. </w:t>
      </w:r>
    </w:p>
    <w:p w14:paraId="380E5CAC" w14:textId="3519F134" w:rsidR="00B653AB" w:rsidRPr="00AC19DC" w:rsidRDefault="004A3DEA" w:rsidP="004A3DEA">
      <w:pPr>
        <w:pStyle w:val="Bibliographie"/>
        <w:tabs>
          <w:tab w:val="clear" w:pos="264"/>
          <w:tab w:val="left" w:pos="426"/>
        </w:tabs>
        <w:rPr>
          <w:rFonts w:ascii="Times" w:hAnsi="Times"/>
          <w:sz w:val="24"/>
          <w:lang w:val="en-US"/>
        </w:rPr>
      </w:pPr>
      <w:r w:rsidRPr="00AC19DC">
        <w:rPr>
          <w:rFonts w:ascii="Times" w:hAnsi="Times"/>
          <w:sz w:val="24"/>
          <w:lang w:val="en-US"/>
        </w:rPr>
        <w:t>9</w:t>
      </w:r>
      <w:r w:rsidR="00943743" w:rsidRPr="00AC19DC">
        <w:rPr>
          <w:rFonts w:ascii="Times" w:hAnsi="Times"/>
          <w:sz w:val="24"/>
          <w:lang w:val="en-US"/>
        </w:rPr>
        <w:t>.</w:t>
      </w:r>
      <w:r w:rsidRPr="00AC19DC">
        <w:rPr>
          <w:rFonts w:ascii="Times" w:hAnsi="Times"/>
          <w:sz w:val="24"/>
          <w:lang w:val="en-US"/>
        </w:rPr>
        <w:t xml:space="preserve"> </w:t>
      </w:r>
      <w:r w:rsidR="00B653AB" w:rsidRPr="00AC19DC">
        <w:rPr>
          <w:rFonts w:ascii="Times" w:hAnsi="Times"/>
          <w:sz w:val="24"/>
          <w:lang w:val="en-US"/>
        </w:rPr>
        <w:t xml:space="preserve">McShane LM, Altman DG, Sauerbrei W, et al. REporting recommendations for tumor MARKer prognostic studies (REMARK). </w:t>
      </w:r>
      <w:r w:rsidR="00B653AB" w:rsidRPr="00AC19DC">
        <w:rPr>
          <w:rFonts w:ascii="Times" w:hAnsi="Times"/>
          <w:i/>
          <w:iCs/>
          <w:sz w:val="24"/>
          <w:lang w:val="en-US"/>
        </w:rPr>
        <w:t>Breast Cancer Res. Treat.</w:t>
      </w:r>
      <w:r w:rsidR="00B653AB" w:rsidRPr="00AC19DC">
        <w:rPr>
          <w:rFonts w:ascii="Times" w:hAnsi="Times"/>
          <w:sz w:val="24"/>
          <w:lang w:val="en-US"/>
        </w:rPr>
        <w:t xml:space="preserve"> 2006;100(2):229–235. </w:t>
      </w:r>
    </w:p>
    <w:p w14:paraId="1A0609A1" w14:textId="3F473148" w:rsidR="00B653AB" w:rsidRPr="00AC19DC" w:rsidRDefault="00943743" w:rsidP="00B653AB">
      <w:pPr>
        <w:pStyle w:val="Bibliographie"/>
        <w:rPr>
          <w:rFonts w:ascii="Times" w:hAnsi="Times"/>
          <w:sz w:val="24"/>
          <w:lang w:val="en-US"/>
        </w:rPr>
      </w:pPr>
      <w:r w:rsidRPr="00AC19DC">
        <w:rPr>
          <w:rFonts w:ascii="Times" w:hAnsi="Times"/>
          <w:sz w:val="24"/>
          <w:lang w:val="en-US"/>
        </w:rPr>
        <w:t>1</w:t>
      </w:r>
      <w:r w:rsidR="004A3DEA" w:rsidRPr="00AC19DC">
        <w:rPr>
          <w:rFonts w:ascii="Times" w:hAnsi="Times"/>
          <w:sz w:val="24"/>
          <w:lang w:val="en-US"/>
        </w:rPr>
        <w:t>0</w:t>
      </w:r>
      <w:r w:rsidRPr="00AC19DC">
        <w:rPr>
          <w:rFonts w:ascii="Times" w:hAnsi="Times"/>
          <w:sz w:val="24"/>
          <w:lang w:val="en-US"/>
        </w:rPr>
        <w:t>.</w:t>
      </w:r>
      <w:r w:rsidR="004A3DEA" w:rsidRPr="00AC19DC">
        <w:rPr>
          <w:rFonts w:ascii="Times" w:hAnsi="Times"/>
          <w:sz w:val="24"/>
          <w:lang w:val="en-US"/>
        </w:rPr>
        <w:t xml:space="preserve"> </w:t>
      </w:r>
      <w:r w:rsidR="00B653AB" w:rsidRPr="00AC19DC">
        <w:rPr>
          <w:rFonts w:ascii="Times" w:hAnsi="Times"/>
          <w:sz w:val="24"/>
          <w:lang w:val="en-US"/>
        </w:rPr>
        <w:t xml:space="preserve">Shevchenko A, Wilm M, Vorm O, Mann M. Mass spectrometric sequencing of proteins silver-stained polyacrylamide gels. </w:t>
      </w:r>
      <w:r w:rsidR="00B653AB" w:rsidRPr="00AC19DC">
        <w:rPr>
          <w:rFonts w:ascii="Times" w:hAnsi="Times"/>
          <w:i/>
          <w:iCs/>
          <w:sz w:val="24"/>
          <w:lang w:val="en-US"/>
        </w:rPr>
        <w:t>Anal. Chem.</w:t>
      </w:r>
      <w:r w:rsidR="00B653AB" w:rsidRPr="00AC19DC">
        <w:rPr>
          <w:rFonts w:ascii="Times" w:hAnsi="Times"/>
          <w:sz w:val="24"/>
          <w:lang w:val="en-US"/>
        </w:rPr>
        <w:t xml:space="preserve"> 1996;68(5):850–858. </w:t>
      </w:r>
    </w:p>
    <w:p w14:paraId="74AC227A" w14:textId="293A6562" w:rsidR="00B653AB" w:rsidRPr="00AC19DC" w:rsidRDefault="00943743" w:rsidP="00B653AB">
      <w:pPr>
        <w:pStyle w:val="Bibliographie"/>
        <w:rPr>
          <w:rFonts w:ascii="Times" w:hAnsi="Times"/>
          <w:sz w:val="24"/>
        </w:rPr>
      </w:pPr>
      <w:r w:rsidRPr="00AC19DC">
        <w:rPr>
          <w:rFonts w:ascii="Times" w:hAnsi="Times"/>
          <w:sz w:val="24"/>
          <w:lang w:val="en-US"/>
        </w:rPr>
        <w:t>1</w:t>
      </w:r>
      <w:r w:rsidR="004A3DEA" w:rsidRPr="00AC19DC">
        <w:rPr>
          <w:rFonts w:ascii="Times" w:hAnsi="Times"/>
          <w:sz w:val="24"/>
          <w:lang w:val="en-US"/>
        </w:rPr>
        <w:t>1</w:t>
      </w:r>
      <w:r w:rsidRPr="00AC19DC">
        <w:rPr>
          <w:rFonts w:ascii="Times" w:hAnsi="Times"/>
          <w:sz w:val="24"/>
          <w:lang w:val="en-US"/>
        </w:rPr>
        <w:t>.</w:t>
      </w:r>
      <w:r w:rsidR="004A3DEA" w:rsidRPr="00AC19DC">
        <w:rPr>
          <w:rFonts w:ascii="Times" w:hAnsi="Times"/>
          <w:sz w:val="24"/>
          <w:lang w:val="en-US"/>
        </w:rPr>
        <w:t xml:space="preserve"> </w:t>
      </w:r>
      <w:r w:rsidR="00B653AB" w:rsidRPr="00AC19DC">
        <w:rPr>
          <w:rFonts w:ascii="Times" w:hAnsi="Times"/>
          <w:sz w:val="24"/>
          <w:lang w:val="en-US"/>
        </w:rPr>
        <w:t xml:space="preserve">Cox J, Mann M. MaxQuant enables high peptide identification rates, individualized p.p.b.-range mass accuracies and proteome-wide protein quantification. </w:t>
      </w:r>
      <w:r w:rsidR="00B653AB" w:rsidRPr="00AC19DC">
        <w:rPr>
          <w:rFonts w:ascii="Times" w:hAnsi="Times"/>
          <w:i/>
          <w:iCs/>
          <w:sz w:val="24"/>
        </w:rPr>
        <w:t>Nat. Biotechnol.</w:t>
      </w:r>
      <w:r w:rsidR="00B653AB" w:rsidRPr="00AC19DC">
        <w:rPr>
          <w:rFonts w:ascii="Times" w:hAnsi="Times"/>
          <w:sz w:val="24"/>
        </w:rPr>
        <w:t xml:space="preserve"> 2008;26(12):1367–1372. </w:t>
      </w:r>
    </w:p>
    <w:p w14:paraId="0AB39CFB" w14:textId="40502C5B" w:rsidR="00B653AB" w:rsidRPr="00AC19DC" w:rsidRDefault="00943743" w:rsidP="00B653AB">
      <w:pPr>
        <w:pStyle w:val="Bibliographie"/>
        <w:rPr>
          <w:rFonts w:ascii="Times" w:hAnsi="Times"/>
          <w:sz w:val="24"/>
          <w:lang w:val="en-GB"/>
        </w:rPr>
      </w:pPr>
      <w:r w:rsidRPr="00AC19DC">
        <w:rPr>
          <w:rFonts w:ascii="Times" w:hAnsi="Times"/>
          <w:sz w:val="24"/>
        </w:rPr>
        <w:t>1</w:t>
      </w:r>
      <w:r w:rsidR="004A3DEA" w:rsidRPr="00AC19DC">
        <w:rPr>
          <w:rFonts w:ascii="Times" w:hAnsi="Times"/>
          <w:sz w:val="24"/>
        </w:rPr>
        <w:t>2</w:t>
      </w:r>
      <w:r w:rsidRPr="00AC19DC">
        <w:rPr>
          <w:rFonts w:ascii="Times" w:hAnsi="Times"/>
          <w:sz w:val="24"/>
        </w:rPr>
        <w:t>.</w:t>
      </w:r>
      <w:r w:rsidR="004A3DEA" w:rsidRPr="00AC19DC">
        <w:rPr>
          <w:rFonts w:ascii="Times" w:hAnsi="Times"/>
          <w:sz w:val="24"/>
        </w:rPr>
        <w:t xml:space="preserve"> </w:t>
      </w:r>
      <w:r w:rsidR="00B653AB" w:rsidRPr="00AC19DC">
        <w:rPr>
          <w:rFonts w:ascii="Times" w:hAnsi="Times"/>
          <w:sz w:val="24"/>
        </w:rPr>
        <w:t xml:space="preserve">Cox J, Neuhauser N, Michalski A, et al. </w:t>
      </w:r>
      <w:r w:rsidR="00B653AB" w:rsidRPr="00AC19DC">
        <w:rPr>
          <w:rFonts w:ascii="Times" w:hAnsi="Times"/>
          <w:sz w:val="24"/>
          <w:lang w:val="en-US"/>
        </w:rPr>
        <w:t xml:space="preserve">Andromeda: a peptide search engine integrated into the MaxQuant environment. </w:t>
      </w:r>
      <w:r w:rsidR="00B653AB" w:rsidRPr="00AC19DC">
        <w:rPr>
          <w:rFonts w:ascii="Times" w:hAnsi="Times"/>
          <w:i/>
          <w:iCs/>
          <w:sz w:val="24"/>
          <w:lang w:val="en-GB"/>
        </w:rPr>
        <w:t>J. Proteome Res.</w:t>
      </w:r>
      <w:r w:rsidR="00B653AB" w:rsidRPr="00AC19DC">
        <w:rPr>
          <w:rFonts w:ascii="Times" w:hAnsi="Times"/>
          <w:sz w:val="24"/>
          <w:lang w:val="en-GB"/>
        </w:rPr>
        <w:t xml:space="preserve"> 2011;10(4):1794–1805. </w:t>
      </w:r>
    </w:p>
    <w:p w14:paraId="13F27380" w14:textId="7F792F1D" w:rsidR="00AB73B3" w:rsidRDefault="00080457" w:rsidP="00725259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AC19DC">
        <w:rPr>
          <w:rFonts w:ascii="Times" w:hAnsi="Times"/>
          <w:b/>
          <w:sz w:val="24"/>
          <w:szCs w:val="24"/>
          <w:lang w:val="en-US"/>
        </w:rPr>
        <w:fldChar w:fldCharType="end"/>
      </w:r>
    </w:p>
    <w:sectPr w:rsidR="00AB73B3" w:rsidSect="004A3DE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5FB"/>
    <w:multiLevelType w:val="hybridMultilevel"/>
    <w:tmpl w:val="20EE90F6"/>
    <w:lvl w:ilvl="0" w:tplc="5B38F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1399B"/>
    <w:multiLevelType w:val="hybridMultilevel"/>
    <w:tmpl w:val="3C12F0D0"/>
    <w:lvl w:ilvl="0" w:tplc="5B66B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B0F08"/>
    <w:multiLevelType w:val="hybridMultilevel"/>
    <w:tmpl w:val="D86C34A8"/>
    <w:lvl w:ilvl="0" w:tplc="90D4B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59"/>
    <w:rsid w:val="00015E6C"/>
    <w:rsid w:val="00032DD6"/>
    <w:rsid w:val="00034004"/>
    <w:rsid w:val="0007302A"/>
    <w:rsid w:val="00080457"/>
    <w:rsid w:val="000C03E5"/>
    <w:rsid w:val="000F7DD4"/>
    <w:rsid w:val="001042B0"/>
    <w:rsid w:val="001203AD"/>
    <w:rsid w:val="00126EFB"/>
    <w:rsid w:val="00131411"/>
    <w:rsid w:val="0015739D"/>
    <w:rsid w:val="00165756"/>
    <w:rsid w:val="00186F11"/>
    <w:rsid w:val="001B0E0B"/>
    <w:rsid w:val="00231B2F"/>
    <w:rsid w:val="0024296B"/>
    <w:rsid w:val="00267F58"/>
    <w:rsid w:val="0030540F"/>
    <w:rsid w:val="00380906"/>
    <w:rsid w:val="003902C6"/>
    <w:rsid w:val="003A483F"/>
    <w:rsid w:val="003B1158"/>
    <w:rsid w:val="003F425D"/>
    <w:rsid w:val="00422CB9"/>
    <w:rsid w:val="00455734"/>
    <w:rsid w:val="00477E24"/>
    <w:rsid w:val="00481A48"/>
    <w:rsid w:val="004A01A9"/>
    <w:rsid w:val="004A3DEA"/>
    <w:rsid w:val="004C31C4"/>
    <w:rsid w:val="004F103F"/>
    <w:rsid w:val="00532C38"/>
    <w:rsid w:val="005851F1"/>
    <w:rsid w:val="00590CDC"/>
    <w:rsid w:val="005A11FA"/>
    <w:rsid w:val="005A4DAA"/>
    <w:rsid w:val="005C038C"/>
    <w:rsid w:val="005C12A8"/>
    <w:rsid w:val="005E1023"/>
    <w:rsid w:val="006237AC"/>
    <w:rsid w:val="00653B18"/>
    <w:rsid w:val="00673047"/>
    <w:rsid w:val="006903EA"/>
    <w:rsid w:val="006B0DCA"/>
    <w:rsid w:val="006B4A51"/>
    <w:rsid w:val="006E4CAB"/>
    <w:rsid w:val="006E6586"/>
    <w:rsid w:val="00725259"/>
    <w:rsid w:val="007545C9"/>
    <w:rsid w:val="00793B38"/>
    <w:rsid w:val="007D7DA2"/>
    <w:rsid w:val="007E1ECF"/>
    <w:rsid w:val="007F4EB6"/>
    <w:rsid w:val="00813DE3"/>
    <w:rsid w:val="0084307B"/>
    <w:rsid w:val="008C6B3C"/>
    <w:rsid w:val="008F6849"/>
    <w:rsid w:val="00915C57"/>
    <w:rsid w:val="00943743"/>
    <w:rsid w:val="00987932"/>
    <w:rsid w:val="009B6D68"/>
    <w:rsid w:val="009F10C7"/>
    <w:rsid w:val="009F63E6"/>
    <w:rsid w:val="00A1437B"/>
    <w:rsid w:val="00A7700D"/>
    <w:rsid w:val="00AB73B3"/>
    <w:rsid w:val="00AC19DC"/>
    <w:rsid w:val="00AC4F8E"/>
    <w:rsid w:val="00B050C7"/>
    <w:rsid w:val="00B37040"/>
    <w:rsid w:val="00B440AA"/>
    <w:rsid w:val="00B554CA"/>
    <w:rsid w:val="00B572AC"/>
    <w:rsid w:val="00B6034F"/>
    <w:rsid w:val="00B6270F"/>
    <w:rsid w:val="00B653AB"/>
    <w:rsid w:val="00BB62FC"/>
    <w:rsid w:val="00BE69D0"/>
    <w:rsid w:val="00BF45B0"/>
    <w:rsid w:val="00C20130"/>
    <w:rsid w:val="00C44597"/>
    <w:rsid w:val="00C464EA"/>
    <w:rsid w:val="00C61A03"/>
    <w:rsid w:val="00C742D6"/>
    <w:rsid w:val="00C74484"/>
    <w:rsid w:val="00C97BF5"/>
    <w:rsid w:val="00CE036B"/>
    <w:rsid w:val="00CE405F"/>
    <w:rsid w:val="00D4593B"/>
    <w:rsid w:val="00D81D3B"/>
    <w:rsid w:val="00D83638"/>
    <w:rsid w:val="00D9170B"/>
    <w:rsid w:val="00DB4197"/>
    <w:rsid w:val="00DB704A"/>
    <w:rsid w:val="00E2030A"/>
    <w:rsid w:val="00E60426"/>
    <w:rsid w:val="00E70240"/>
    <w:rsid w:val="00EB6CEC"/>
    <w:rsid w:val="00EE1B3B"/>
    <w:rsid w:val="00EE6D37"/>
    <w:rsid w:val="00EF1AAC"/>
    <w:rsid w:val="00F055C8"/>
    <w:rsid w:val="00F07CF9"/>
    <w:rsid w:val="00F33AFE"/>
    <w:rsid w:val="00F45304"/>
    <w:rsid w:val="00FB58BE"/>
    <w:rsid w:val="00FC128F"/>
    <w:rsid w:val="00FC7CFA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9D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5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2525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25259"/>
    <w:rPr>
      <w:b/>
      <w:bCs/>
    </w:rPr>
  </w:style>
  <w:style w:type="character" w:customStyle="1" w:styleId="cit">
    <w:name w:val="cit"/>
    <w:basedOn w:val="Policepardfaut"/>
    <w:rsid w:val="00725259"/>
  </w:style>
  <w:style w:type="table" w:styleId="Grille">
    <w:name w:val="Table Grid"/>
    <w:basedOn w:val="TableauNormal"/>
    <w:uiPriority w:val="59"/>
    <w:rsid w:val="0072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25259"/>
    <w:pPr>
      <w:spacing w:after="0" w:line="240" w:lineRule="auto"/>
    </w:pPr>
  </w:style>
  <w:style w:type="paragraph" w:styleId="Bibliographie">
    <w:name w:val="Bibliography"/>
    <w:basedOn w:val="Normal"/>
    <w:next w:val="Normal"/>
    <w:uiPriority w:val="37"/>
    <w:unhideWhenUsed/>
    <w:rsid w:val="00080457"/>
    <w:pPr>
      <w:tabs>
        <w:tab w:val="left" w:pos="264"/>
      </w:tabs>
      <w:spacing w:after="0" w:line="240" w:lineRule="auto"/>
      <w:ind w:left="264" w:hanging="264"/>
    </w:pPr>
  </w:style>
  <w:style w:type="paragraph" w:styleId="Paragraphedeliste">
    <w:name w:val="List Paragraph"/>
    <w:basedOn w:val="Normal"/>
    <w:uiPriority w:val="34"/>
    <w:qFormat/>
    <w:rsid w:val="00032DD6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FB58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B58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58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8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8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8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5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2525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25259"/>
    <w:rPr>
      <w:b/>
      <w:bCs/>
    </w:rPr>
  </w:style>
  <w:style w:type="character" w:customStyle="1" w:styleId="cit">
    <w:name w:val="cit"/>
    <w:basedOn w:val="Policepardfaut"/>
    <w:rsid w:val="00725259"/>
  </w:style>
  <w:style w:type="table" w:styleId="Grille">
    <w:name w:val="Table Grid"/>
    <w:basedOn w:val="TableauNormal"/>
    <w:uiPriority w:val="59"/>
    <w:rsid w:val="0072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25259"/>
    <w:pPr>
      <w:spacing w:after="0" w:line="240" w:lineRule="auto"/>
    </w:pPr>
  </w:style>
  <w:style w:type="paragraph" w:styleId="Bibliographie">
    <w:name w:val="Bibliography"/>
    <w:basedOn w:val="Normal"/>
    <w:next w:val="Normal"/>
    <w:uiPriority w:val="37"/>
    <w:unhideWhenUsed/>
    <w:rsid w:val="00080457"/>
    <w:pPr>
      <w:tabs>
        <w:tab w:val="left" w:pos="264"/>
      </w:tabs>
      <w:spacing w:after="0" w:line="240" w:lineRule="auto"/>
      <w:ind w:left="264" w:hanging="264"/>
    </w:pPr>
  </w:style>
  <w:style w:type="paragraph" w:styleId="Paragraphedeliste">
    <w:name w:val="List Paragraph"/>
    <w:basedOn w:val="Normal"/>
    <w:uiPriority w:val="34"/>
    <w:qFormat/>
    <w:rsid w:val="00032DD6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FB58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B58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58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8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8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roadinstitute.org/gsea/" TargetMode="External"/><Relationship Id="rId8" Type="http://schemas.openxmlformats.org/officeDocument/2006/relationships/hyperlink" Target="https://tcga-data.nci.nih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EE59-D1D6-8F4B-A37E-6368A17C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2071</Words>
  <Characters>11391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garciaz</dc:creator>
  <cp:keywords/>
  <dc:description/>
  <cp:lastModifiedBy>INSERM</cp:lastModifiedBy>
  <cp:revision>4</cp:revision>
  <cp:lastPrinted>2018-07-02T11:26:00Z</cp:lastPrinted>
  <dcterms:created xsi:type="dcterms:W3CDTF">2019-08-23T13:50:00Z</dcterms:created>
  <dcterms:modified xsi:type="dcterms:W3CDTF">2019-08-27T08:27:00Z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zotero-version="5.0.51"&gt;&lt;session id="oo7V8GSH"/&gt;&lt;style id="http://www.zotero.org/styles/blood" hasBibliography="1" bibliographyStyleHasBeenSet="1"/&gt;&lt;prefs&gt;&lt;pref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</Properties>
</file>