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64" w:rsidRPr="00316FC4" w:rsidRDefault="00955A64" w:rsidP="001246D8">
      <w:pPr>
        <w:pStyle w:val="BodyText"/>
        <w:spacing w:before="100" w:beforeAutospacing="1" w:after="100" w:afterAutospacing="1"/>
        <w:rPr>
          <w:b/>
          <w:bCs/>
          <w:snapToGrid w:val="0"/>
          <w:sz w:val="40"/>
          <w:szCs w:val="40"/>
          <w:lang w:eastAsia="pt-BR"/>
        </w:rPr>
      </w:pPr>
      <w:r w:rsidRPr="00316FC4">
        <w:rPr>
          <w:b/>
          <w:bCs/>
          <w:snapToGrid w:val="0"/>
          <w:sz w:val="40"/>
          <w:szCs w:val="40"/>
          <w:lang w:eastAsia="pt-BR"/>
        </w:rPr>
        <w:t xml:space="preserve">Additional </w:t>
      </w:r>
      <w:r w:rsidR="00D804AC" w:rsidRPr="00316FC4">
        <w:rPr>
          <w:b/>
          <w:bCs/>
          <w:snapToGrid w:val="0"/>
          <w:sz w:val="40"/>
          <w:szCs w:val="40"/>
          <w:lang w:eastAsia="pt-BR"/>
        </w:rPr>
        <w:t>f</w:t>
      </w:r>
      <w:r w:rsidR="001246D8" w:rsidRPr="00316FC4">
        <w:rPr>
          <w:b/>
          <w:bCs/>
          <w:snapToGrid w:val="0"/>
          <w:sz w:val="40"/>
          <w:szCs w:val="40"/>
          <w:lang w:eastAsia="pt-BR"/>
        </w:rPr>
        <w:t>ile 1 Materials and methods</w:t>
      </w:r>
    </w:p>
    <w:p w:rsidR="006647D0" w:rsidRPr="00316FC4" w:rsidRDefault="00515D59" w:rsidP="001246D8">
      <w:pPr>
        <w:pStyle w:val="Heading2"/>
        <w:spacing w:before="100" w:beforeAutospacing="1" w:after="100" w:afterAutospacing="1"/>
        <w:rPr>
          <w:snapToGrid w:val="0"/>
          <w:lang w:eastAsia="pt-BR"/>
        </w:rPr>
      </w:pPr>
      <w:r w:rsidRPr="00316FC4">
        <w:rPr>
          <w:snapToGrid w:val="0"/>
          <w:lang w:eastAsia="pt-BR"/>
        </w:rPr>
        <w:t>Health and reproductive management of heifers</w:t>
      </w:r>
    </w:p>
    <w:p w:rsidR="00F01A52" w:rsidRPr="00316FC4" w:rsidRDefault="00515D59" w:rsidP="001246D8">
      <w:pPr>
        <w:spacing w:before="100" w:beforeAutospacing="1" w:after="100" w:afterAutospacing="1"/>
        <w:jc w:val="both"/>
        <w:rPr>
          <w:lang w:val="en-US"/>
        </w:rPr>
      </w:pPr>
      <w:r w:rsidRPr="00316FC4">
        <w:rPr>
          <w:lang w:val="en-US"/>
        </w:rPr>
        <w:t>The administration of antiparasitic products (</w:t>
      </w:r>
      <w:proofErr w:type="spellStart"/>
      <w:r w:rsidRPr="00316FC4">
        <w:rPr>
          <w:lang w:val="en-US"/>
        </w:rPr>
        <w:t>Endoex</w:t>
      </w:r>
      <w:proofErr w:type="spellEnd"/>
      <w:r w:rsidRPr="00316FC4">
        <w:rPr>
          <w:lang w:val="en-US"/>
        </w:rPr>
        <w:t xml:space="preserve">® and </w:t>
      </w:r>
      <w:proofErr w:type="spellStart"/>
      <w:r w:rsidRPr="00316FC4">
        <w:rPr>
          <w:lang w:val="en-US"/>
        </w:rPr>
        <w:t>Albendex</w:t>
      </w:r>
      <w:proofErr w:type="spellEnd"/>
      <w:r w:rsidRPr="00316FC4">
        <w:rPr>
          <w:lang w:val="en-US"/>
        </w:rPr>
        <w:t xml:space="preserve">®, </w:t>
      </w:r>
      <w:proofErr w:type="spellStart"/>
      <w:r w:rsidRPr="00316FC4">
        <w:rPr>
          <w:lang w:val="en-US"/>
        </w:rPr>
        <w:t>s.p</w:t>
      </w:r>
      <w:proofErr w:type="spellEnd"/>
      <w:r w:rsidRPr="00316FC4">
        <w:rPr>
          <w:lang w:val="en-US"/>
        </w:rPr>
        <w:t xml:space="preserve">. </w:t>
      </w:r>
      <w:proofErr w:type="spellStart"/>
      <w:r w:rsidRPr="00316FC4">
        <w:rPr>
          <w:lang w:val="en-US"/>
        </w:rPr>
        <w:t>veterinaria</w:t>
      </w:r>
      <w:proofErr w:type="spellEnd"/>
      <w:r w:rsidRPr="00316FC4">
        <w:rPr>
          <w:lang w:val="en-US"/>
        </w:rPr>
        <w:t xml:space="preserve">, </w:t>
      </w:r>
      <w:proofErr w:type="spellStart"/>
      <w:r w:rsidRPr="00316FC4">
        <w:rPr>
          <w:lang w:val="en-US"/>
        </w:rPr>
        <w:t>s.a</w:t>
      </w:r>
      <w:proofErr w:type="spellEnd"/>
      <w:r w:rsidRPr="00316FC4">
        <w:rPr>
          <w:lang w:val="en-US"/>
        </w:rPr>
        <w:t xml:space="preserve">., </w:t>
      </w:r>
      <w:proofErr w:type="spellStart"/>
      <w:r w:rsidRPr="00316FC4">
        <w:rPr>
          <w:lang w:val="en-US"/>
        </w:rPr>
        <w:t>Riudoms</w:t>
      </w:r>
      <w:proofErr w:type="spellEnd"/>
      <w:r w:rsidRPr="00316FC4">
        <w:rPr>
          <w:lang w:val="en-US"/>
        </w:rPr>
        <w:t xml:space="preserve">, Spain; </w:t>
      </w:r>
      <w:proofErr w:type="spellStart"/>
      <w:r w:rsidRPr="00316FC4">
        <w:rPr>
          <w:lang w:val="en-US"/>
        </w:rPr>
        <w:t>Animec</w:t>
      </w:r>
      <w:proofErr w:type="spellEnd"/>
      <w:r w:rsidRPr="00316FC4">
        <w:rPr>
          <w:lang w:val="en-US"/>
        </w:rPr>
        <w:t xml:space="preserve"> Plus®, </w:t>
      </w:r>
      <w:proofErr w:type="spellStart"/>
      <w:r w:rsidRPr="00316FC4">
        <w:rPr>
          <w:lang w:val="en-US"/>
        </w:rPr>
        <w:t>Cenavisa</w:t>
      </w:r>
      <w:proofErr w:type="spellEnd"/>
      <w:r w:rsidRPr="00316FC4">
        <w:rPr>
          <w:lang w:val="en-US"/>
        </w:rPr>
        <w:t xml:space="preserve"> </w:t>
      </w:r>
      <w:proofErr w:type="spellStart"/>
      <w:r w:rsidRPr="00316FC4">
        <w:rPr>
          <w:lang w:val="en-US"/>
        </w:rPr>
        <w:t>laboratorios</w:t>
      </w:r>
      <w:proofErr w:type="spellEnd"/>
      <w:r w:rsidRPr="00316FC4">
        <w:rPr>
          <w:lang w:val="en-US"/>
        </w:rPr>
        <w:t>, Tarragona, Spain) and the implementation of vaccine protocols against bovine respiratory disease (BOVILIS BOVIPAST® RSP, MSD Animal Health, Milton Keynes, UK) and IBR and BVD viruses (</w:t>
      </w:r>
      <w:proofErr w:type="spellStart"/>
      <w:r w:rsidRPr="00316FC4">
        <w:rPr>
          <w:lang w:val="en-US"/>
        </w:rPr>
        <w:t>Bovilis</w:t>
      </w:r>
      <w:proofErr w:type="spellEnd"/>
      <w:r w:rsidRPr="00316FC4">
        <w:rPr>
          <w:lang w:val="en-US"/>
        </w:rPr>
        <w:t xml:space="preserve">® </w:t>
      </w:r>
      <w:proofErr w:type="spellStart"/>
      <w:r w:rsidRPr="00316FC4">
        <w:rPr>
          <w:lang w:val="en-US"/>
        </w:rPr>
        <w:t>IBR</w:t>
      </w:r>
      <w:proofErr w:type="spellEnd"/>
      <w:r w:rsidRPr="00316FC4">
        <w:rPr>
          <w:lang w:val="en-US"/>
        </w:rPr>
        <w:t xml:space="preserve"> Marker Live, MSD Animal Health, Milton Keynes, UK; </w:t>
      </w:r>
      <w:proofErr w:type="spellStart"/>
      <w:r w:rsidRPr="00316FC4">
        <w:rPr>
          <w:lang w:val="en-US"/>
        </w:rPr>
        <w:t>Bovilis</w:t>
      </w:r>
      <w:proofErr w:type="spellEnd"/>
      <w:r w:rsidRPr="00316FC4">
        <w:rPr>
          <w:lang w:val="en-US"/>
        </w:rPr>
        <w:t>® BVD, MSD Animal Healt</w:t>
      </w:r>
      <w:r w:rsidR="00BF6C41" w:rsidRPr="00316FC4">
        <w:rPr>
          <w:lang w:val="en-US"/>
        </w:rPr>
        <w:t>h, Milton Keynes, UK) were performed</w:t>
      </w:r>
      <w:r w:rsidRPr="00316FC4">
        <w:rPr>
          <w:lang w:val="en-US"/>
        </w:rPr>
        <w:t xml:space="preserve"> following the manufacturer's recommendations.</w:t>
      </w:r>
    </w:p>
    <w:p w:rsidR="00515D59" w:rsidRPr="00316FC4" w:rsidRDefault="00BF6C41" w:rsidP="001246D8">
      <w:pPr>
        <w:spacing w:before="100" w:beforeAutospacing="1" w:after="100" w:afterAutospacing="1"/>
        <w:jc w:val="both"/>
        <w:rPr>
          <w:lang w:val="en-US"/>
        </w:rPr>
      </w:pPr>
      <w:r w:rsidRPr="00316FC4">
        <w:t>Heifers were periodically weighed to confirm that they had appropriate body weights to start the oestrus synchronization protocol. Briefly, the protocol consisted of the insertion of a commercial</w:t>
      </w:r>
      <w:r w:rsidRPr="00316FC4">
        <w:rPr>
          <w:lang w:val="en-US"/>
        </w:rPr>
        <w:t xml:space="preserve"> </w:t>
      </w:r>
      <w:r w:rsidR="00515D59" w:rsidRPr="00316FC4">
        <w:rPr>
          <w:lang w:val="en-US"/>
        </w:rPr>
        <w:t xml:space="preserve">intravaginal </w:t>
      </w:r>
      <w:r w:rsidR="00515D59" w:rsidRPr="00316FC4">
        <w:t xml:space="preserve">progesterone releasing </w:t>
      </w:r>
      <w:r w:rsidR="00515D59" w:rsidRPr="00316FC4">
        <w:rPr>
          <w:lang w:val="en-US"/>
        </w:rPr>
        <w:t xml:space="preserve">sponge (CIDR, </w:t>
      </w:r>
      <w:r w:rsidR="00515D59" w:rsidRPr="00316FC4">
        <w:t>Zoetis, New Jersey, USA</w:t>
      </w:r>
      <w:r w:rsidR="00515D59" w:rsidRPr="00316FC4">
        <w:rPr>
          <w:lang w:val="en-US"/>
        </w:rPr>
        <w:t xml:space="preserve">) and IM administration of </w:t>
      </w:r>
      <w:r w:rsidR="00515D59" w:rsidRPr="00316FC4">
        <w:t>100 µg of synthetic gonadorelin (</w:t>
      </w:r>
      <w:proofErr w:type="spellStart"/>
      <w:r w:rsidR="00515D59" w:rsidRPr="00316FC4">
        <w:t>GnRH</w:t>
      </w:r>
      <w:proofErr w:type="spellEnd"/>
      <w:r w:rsidR="00515D59" w:rsidRPr="00316FC4">
        <w:t>) (</w:t>
      </w:r>
      <w:proofErr w:type="spellStart"/>
      <w:r w:rsidR="00515D59" w:rsidRPr="00316FC4">
        <w:t>Cystoreline</w:t>
      </w:r>
      <w:proofErr w:type="spellEnd"/>
      <w:r w:rsidR="00515D59" w:rsidRPr="00316FC4">
        <w:rPr>
          <w:vertAlign w:val="superscript"/>
        </w:rPr>
        <w:t>®,</w:t>
      </w:r>
      <w:r w:rsidR="00515D59" w:rsidRPr="00316FC4">
        <w:t xml:space="preserve"> </w:t>
      </w:r>
      <w:proofErr w:type="spellStart"/>
      <w:r w:rsidR="00515D59" w:rsidRPr="00316FC4">
        <w:t>CEVA</w:t>
      </w:r>
      <w:proofErr w:type="spellEnd"/>
      <w:r w:rsidR="00515D59" w:rsidRPr="00316FC4">
        <w:t xml:space="preserve"> Santé </w:t>
      </w:r>
      <w:proofErr w:type="spellStart"/>
      <w:r w:rsidR="00515D59" w:rsidRPr="00316FC4">
        <w:t>Animale</w:t>
      </w:r>
      <w:proofErr w:type="spellEnd"/>
      <w:r w:rsidR="00515D59" w:rsidRPr="00316FC4">
        <w:t xml:space="preserve">, </w:t>
      </w:r>
      <w:proofErr w:type="spellStart"/>
      <w:r w:rsidR="00515D59" w:rsidRPr="00316FC4">
        <w:t>Libourne</w:t>
      </w:r>
      <w:proofErr w:type="spellEnd"/>
      <w:r w:rsidR="00515D59" w:rsidRPr="00316FC4">
        <w:t>, France) on day 0, CIDR removal and IM administration of 400 UI of equine serum gonadotropin (</w:t>
      </w:r>
      <w:proofErr w:type="spellStart"/>
      <w:r w:rsidR="00515D59" w:rsidRPr="00316FC4">
        <w:t>Folligon</w:t>
      </w:r>
      <w:proofErr w:type="spellEnd"/>
      <w:r w:rsidR="00515D59" w:rsidRPr="00316FC4">
        <w:t xml:space="preserve">®, </w:t>
      </w:r>
      <w:proofErr w:type="spellStart"/>
      <w:r w:rsidR="00515D59" w:rsidRPr="00316FC4">
        <w:t>MSD</w:t>
      </w:r>
      <w:proofErr w:type="spellEnd"/>
      <w:r w:rsidR="00515D59" w:rsidRPr="00316FC4">
        <w:t xml:space="preserve"> Animal Health, Milton Keynes, UK) and 25 mg of synthetic prostaglandin F2α (PGF 2α) analogue (</w:t>
      </w:r>
      <w:proofErr w:type="spellStart"/>
      <w:r w:rsidR="00515D59" w:rsidRPr="00316FC4">
        <w:t>Dinolytic</w:t>
      </w:r>
      <w:proofErr w:type="spellEnd"/>
      <w:r w:rsidR="00515D59" w:rsidRPr="00316FC4">
        <w:t>®, Zoetis, New Jersey, USA) on day 5, and a second IM administration of 25 mg of PGF 2α analogue on day 6. Fifty</w:t>
      </w:r>
      <w:r w:rsidR="005825FE" w:rsidRPr="00316FC4">
        <w:t xml:space="preserve">-six </w:t>
      </w:r>
      <w:r w:rsidR="00515D59" w:rsidRPr="00316FC4">
        <w:t>hours</w:t>
      </w:r>
      <w:r w:rsidR="005825FE" w:rsidRPr="00316FC4">
        <w:t xml:space="preserve"> after </w:t>
      </w:r>
      <w:r w:rsidR="00515D59" w:rsidRPr="00316FC4">
        <w:t xml:space="preserve">administering the first dose of PGF 2α analogue, </w:t>
      </w:r>
      <w:r w:rsidR="00515D59" w:rsidRPr="00316FC4">
        <w:rPr>
          <w:shd w:val="clear" w:color="auto" w:fill="FFFFFF"/>
          <w:lang w:val="en-US"/>
        </w:rPr>
        <w:t>heifers were artificially inseminated</w:t>
      </w:r>
      <w:r w:rsidR="00515D59" w:rsidRPr="00316FC4">
        <w:rPr>
          <w:lang w:val="en-US"/>
        </w:rPr>
        <w:t xml:space="preserve"> and received a second dose </w:t>
      </w:r>
      <w:r w:rsidR="00515D59" w:rsidRPr="00316FC4">
        <w:t>of GnRH (100 µg) (</w:t>
      </w:r>
      <w:proofErr w:type="spellStart"/>
      <w:r w:rsidR="00515D59" w:rsidRPr="00316FC4">
        <w:t>Cystoreline</w:t>
      </w:r>
      <w:proofErr w:type="spellEnd"/>
      <w:r w:rsidR="00515D59" w:rsidRPr="00316FC4">
        <w:rPr>
          <w:vertAlign w:val="superscript"/>
        </w:rPr>
        <w:t>®</w:t>
      </w:r>
      <w:r w:rsidR="00515D59" w:rsidRPr="00316FC4">
        <w:t xml:space="preserve">, </w:t>
      </w:r>
      <w:proofErr w:type="spellStart"/>
      <w:r w:rsidR="00515D59" w:rsidRPr="00316FC4">
        <w:t>CEVA</w:t>
      </w:r>
      <w:proofErr w:type="spellEnd"/>
      <w:r w:rsidR="00515D59" w:rsidRPr="00316FC4">
        <w:t xml:space="preserve"> Santé </w:t>
      </w:r>
      <w:proofErr w:type="spellStart"/>
      <w:r w:rsidR="00515D59" w:rsidRPr="00316FC4">
        <w:t>Animale</w:t>
      </w:r>
      <w:proofErr w:type="spellEnd"/>
      <w:r w:rsidR="00515D59" w:rsidRPr="00316FC4">
        <w:t xml:space="preserve">, </w:t>
      </w:r>
      <w:proofErr w:type="spellStart"/>
      <w:r w:rsidR="00515D59" w:rsidRPr="00316FC4">
        <w:t>Libourne</w:t>
      </w:r>
      <w:proofErr w:type="spellEnd"/>
      <w:r w:rsidR="00515D59" w:rsidRPr="00316FC4">
        <w:t xml:space="preserve">, France) (day 7). </w:t>
      </w:r>
      <w:r w:rsidR="00515D59" w:rsidRPr="00316FC4">
        <w:rPr>
          <w:color w:val="000000" w:themeColor="text1"/>
          <w:lang w:val="en-US"/>
        </w:rPr>
        <w:t xml:space="preserve">Semen </w:t>
      </w:r>
      <w:r w:rsidR="00515D59" w:rsidRPr="00316FC4">
        <w:rPr>
          <w:lang w:val="en-US"/>
        </w:rPr>
        <w:t xml:space="preserve">from two </w:t>
      </w:r>
      <w:proofErr w:type="spellStart"/>
      <w:r w:rsidR="00515D59" w:rsidRPr="00316FC4">
        <w:rPr>
          <w:lang w:val="en-US"/>
        </w:rPr>
        <w:t>Asturiana</w:t>
      </w:r>
      <w:proofErr w:type="spellEnd"/>
      <w:r w:rsidR="00515D59" w:rsidRPr="00316FC4">
        <w:rPr>
          <w:lang w:val="en-US"/>
        </w:rPr>
        <w:t xml:space="preserve"> de la </w:t>
      </w:r>
      <w:proofErr w:type="spellStart"/>
      <w:r w:rsidR="00515D59" w:rsidRPr="00316FC4">
        <w:rPr>
          <w:lang w:val="en-US"/>
        </w:rPr>
        <w:t>Montaña</w:t>
      </w:r>
      <w:proofErr w:type="spellEnd"/>
      <w:r w:rsidR="00515D59" w:rsidRPr="00316FC4">
        <w:rPr>
          <w:lang w:val="en-US"/>
        </w:rPr>
        <w:t xml:space="preserve"> registered bulls (Spanish Association of breeders of selected cattle of the </w:t>
      </w:r>
      <w:proofErr w:type="spellStart"/>
      <w:r w:rsidR="00515D59" w:rsidRPr="00316FC4">
        <w:rPr>
          <w:lang w:val="en-US"/>
        </w:rPr>
        <w:t>Asturiana</w:t>
      </w:r>
      <w:proofErr w:type="spellEnd"/>
      <w:r w:rsidR="00282D60" w:rsidRPr="00316FC4">
        <w:rPr>
          <w:lang w:val="en-US"/>
        </w:rPr>
        <w:t xml:space="preserve"> de la </w:t>
      </w:r>
      <w:proofErr w:type="spellStart"/>
      <w:r w:rsidR="00282D60" w:rsidRPr="00316FC4">
        <w:rPr>
          <w:lang w:val="en-US"/>
        </w:rPr>
        <w:t>Montaña</w:t>
      </w:r>
      <w:proofErr w:type="spellEnd"/>
      <w:r w:rsidR="00282D60" w:rsidRPr="00316FC4">
        <w:rPr>
          <w:lang w:val="en-US"/>
        </w:rPr>
        <w:t xml:space="preserve"> breed, ASEAMO) were</w:t>
      </w:r>
      <w:r w:rsidR="00515D59" w:rsidRPr="00316FC4">
        <w:rPr>
          <w:lang w:val="en-US"/>
        </w:rPr>
        <w:t xml:space="preserve"> used for calving ease. Visual heat detection was </w:t>
      </w:r>
      <w:r w:rsidR="00282D60" w:rsidRPr="00316FC4">
        <w:rPr>
          <w:rFonts w:eastAsia="Calibri"/>
        </w:rPr>
        <w:t>performed</w:t>
      </w:r>
      <w:r w:rsidR="00515D59" w:rsidRPr="00316FC4">
        <w:rPr>
          <w:lang w:val="en-US"/>
        </w:rPr>
        <w:t xml:space="preserve"> twenty-one days after artificial insemination. The detection of</w:t>
      </w:r>
      <w:r w:rsidR="005825FE" w:rsidRPr="00316FC4">
        <w:rPr>
          <w:lang w:val="en-US"/>
        </w:rPr>
        <w:t xml:space="preserve"> early p</w:t>
      </w:r>
      <w:r w:rsidR="00515D59" w:rsidRPr="00316FC4">
        <w:rPr>
          <w:lang w:val="en-US"/>
        </w:rPr>
        <w:t xml:space="preserve">regnancy-associated glycoproteins (PAGs) in serum samples with the commercial IDEXX Bovine Pregnancy Test (IDEXX Laboratories Inc., Westbrook, USA) and </w:t>
      </w:r>
      <w:proofErr w:type="spellStart"/>
      <w:r w:rsidR="00515D59" w:rsidRPr="00316FC4">
        <w:rPr>
          <w:lang w:val="en-US"/>
        </w:rPr>
        <w:t>transrectal</w:t>
      </w:r>
      <w:proofErr w:type="spellEnd"/>
      <w:r w:rsidR="00515D59" w:rsidRPr="00316FC4">
        <w:rPr>
          <w:lang w:val="en-US"/>
        </w:rPr>
        <w:t xml:space="preserve"> ultrasonography (US) were used to confirm pregnancy and foetal viability on day 35 after artificial insemination.</w:t>
      </w:r>
    </w:p>
    <w:p w:rsidR="00BC49AE" w:rsidRPr="00316FC4" w:rsidRDefault="00BC49AE" w:rsidP="001246D8">
      <w:pPr>
        <w:pStyle w:val="Heading2"/>
        <w:spacing w:before="100" w:beforeAutospacing="1" w:after="100" w:afterAutospacing="1"/>
        <w:jc w:val="both"/>
        <w:rPr>
          <w:snapToGrid w:val="0"/>
          <w:lang w:eastAsia="pt-BR"/>
        </w:rPr>
      </w:pPr>
      <w:r w:rsidRPr="00316FC4">
        <w:rPr>
          <w:snapToGrid w:val="0"/>
          <w:lang w:eastAsia="pt-BR"/>
        </w:rPr>
        <w:t xml:space="preserve">Tissue DNA extraction and </w:t>
      </w:r>
      <w:r w:rsidRPr="00316FC4">
        <w:rPr>
          <w:i/>
          <w:snapToGrid w:val="0"/>
          <w:lang w:eastAsia="pt-BR"/>
        </w:rPr>
        <w:t>N. caninum</w:t>
      </w:r>
      <w:r w:rsidRPr="00316FC4">
        <w:rPr>
          <w:snapToGrid w:val="0"/>
          <w:lang w:eastAsia="pt-BR"/>
        </w:rPr>
        <w:t xml:space="preserve"> DNA detection and quantification by PCR determinations</w:t>
      </w:r>
    </w:p>
    <w:p w:rsidR="00BC49AE" w:rsidRPr="00316FC4" w:rsidRDefault="00BC49AE" w:rsidP="001246D8">
      <w:pPr>
        <w:pStyle w:val="BodyText"/>
        <w:spacing w:before="100" w:beforeAutospacing="1" w:after="100" w:afterAutospacing="1"/>
        <w:rPr>
          <w:i/>
          <w:iCs/>
        </w:rPr>
      </w:pPr>
      <w:r w:rsidRPr="00316FC4">
        <w:rPr>
          <w:i/>
          <w:iCs/>
        </w:rPr>
        <w:t>DNA extraction and determination of DNA concentration</w:t>
      </w:r>
    </w:p>
    <w:p w:rsidR="00BC49AE" w:rsidRPr="00316FC4" w:rsidRDefault="00BC49AE" w:rsidP="001246D8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316FC4">
        <w:t>Genomic DNA extraction from tissue samples using the commercial Maxwell® 16 Mouse Tail DNA Purification Kit, developed for automated Maxwell® 16 System (Promega, Wisconsin, USA), was performed following the manufacturer’s recommendations. I</w:t>
      </w:r>
      <w:r w:rsidRPr="00316FC4">
        <w:rPr>
          <w:shd w:val="clear" w:color="auto" w:fill="FFFFFF"/>
          <w:lang w:val="en-US"/>
        </w:rPr>
        <w:t xml:space="preserve">n each round </w:t>
      </w:r>
      <w:r w:rsidRPr="00316FC4">
        <w:t xml:space="preserve">at least one sample from the control group was included to avoid </w:t>
      </w:r>
      <w:r w:rsidRPr="00316FC4">
        <w:rPr>
          <w:shd w:val="clear" w:color="auto" w:fill="FFFFFF"/>
          <w:lang w:val="en-US"/>
        </w:rPr>
        <w:t>cross-contamination during this step. Concentration of DNA was determined for e</w:t>
      </w:r>
      <w:r w:rsidRPr="00316FC4">
        <w:rPr>
          <w:color w:val="333333"/>
          <w:shd w:val="clear" w:color="auto" w:fill="FFFFFF"/>
          <w:lang w:val="en-US"/>
        </w:rPr>
        <w:t xml:space="preserve">ach sample </w:t>
      </w:r>
      <w:r w:rsidRPr="00316FC4">
        <w:rPr>
          <w:shd w:val="clear" w:color="auto" w:fill="FFFFFF"/>
          <w:lang w:val="en-US"/>
        </w:rPr>
        <w:t>using Synergy™ H1 multi-mode microplate reader (</w:t>
      </w:r>
      <w:proofErr w:type="spellStart"/>
      <w:r w:rsidRPr="00316FC4">
        <w:rPr>
          <w:shd w:val="clear" w:color="auto" w:fill="FFFFFF"/>
          <w:lang w:val="en-US"/>
        </w:rPr>
        <w:t>Biotek</w:t>
      </w:r>
      <w:proofErr w:type="spellEnd"/>
      <w:r w:rsidRPr="00316FC4">
        <w:rPr>
          <w:shd w:val="clear" w:color="auto" w:fill="FFFFFF"/>
          <w:lang w:val="en-US"/>
        </w:rPr>
        <w:t>, Winooski, USA) and Gen5 version 2.09.1 software (</w:t>
      </w:r>
      <w:proofErr w:type="spellStart"/>
      <w:r w:rsidRPr="00316FC4">
        <w:rPr>
          <w:shd w:val="clear" w:color="auto" w:fill="FFFFFF"/>
          <w:lang w:val="en-US"/>
        </w:rPr>
        <w:t>Biotek</w:t>
      </w:r>
      <w:proofErr w:type="spellEnd"/>
      <w:r w:rsidRPr="00316FC4">
        <w:rPr>
          <w:shd w:val="clear" w:color="auto" w:fill="FFFFFF"/>
          <w:lang w:val="en-US"/>
        </w:rPr>
        <w:t>, Winooski, USA), and adjusted to 100 ng/µL in RNase, DNase, and protease free water.</w:t>
      </w:r>
    </w:p>
    <w:p w:rsidR="00BC49AE" w:rsidRPr="00316FC4" w:rsidRDefault="00BC49AE" w:rsidP="001246D8">
      <w:pPr>
        <w:pStyle w:val="BodyText"/>
        <w:spacing w:before="100" w:beforeAutospacing="1" w:after="100" w:afterAutospacing="1"/>
        <w:rPr>
          <w:i/>
          <w:iCs/>
        </w:rPr>
      </w:pPr>
      <w:r w:rsidRPr="00316FC4">
        <w:rPr>
          <w:i/>
          <w:iCs/>
        </w:rPr>
        <w:t>Parasite DNA detection by nested-ITS1 PCR</w:t>
      </w:r>
    </w:p>
    <w:p w:rsidR="00BC49AE" w:rsidRPr="00316FC4" w:rsidRDefault="00BC49AE" w:rsidP="001246D8">
      <w:pPr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316FC4">
        <w:rPr>
          <w:shd w:val="clear" w:color="auto" w:fill="FFFFFF"/>
          <w:lang w:val="en-US"/>
        </w:rPr>
        <w:t xml:space="preserve">Neospora DNA detection was carried out by a nested-PCR adapted to a single tube for the amplification of the internal transcribed spacer (ITS1) region of </w:t>
      </w:r>
      <w:r w:rsidRPr="00316FC4">
        <w:rPr>
          <w:i/>
          <w:shd w:val="clear" w:color="auto" w:fill="FFFFFF"/>
          <w:lang w:val="en-US"/>
        </w:rPr>
        <w:t xml:space="preserve">N. caninum </w:t>
      </w:r>
      <w:r w:rsidRPr="00316FC4">
        <w:rPr>
          <w:shd w:val="clear" w:color="auto" w:fill="FFFFFF"/>
          <w:lang w:val="en-US"/>
        </w:rPr>
        <w:t>using external primers (TgNN1-TgNN2) and internal primers (NP1–NP2), as previously described</w:t>
      </w:r>
      <w:r w:rsidR="009816B3" w:rsidRPr="00316FC4">
        <w:rPr>
          <w:shd w:val="clear" w:color="auto" w:fill="FFFFFF"/>
          <w:lang w:val="en-US"/>
        </w:rPr>
        <w:t xml:space="preserve"> </w:t>
      </w:r>
      <w:r w:rsidR="006D26A2" w:rsidRPr="00316FC4">
        <w:rPr>
          <w:shd w:val="clear" w:color="auto" w:fill="FFFFFF"/>
          <w:lang w:val="en-US"/>
        </w:rPr>
        <w:fldChar w:fldCharType="begin"/>
      </w:r>
      <w:r w:rsidR="009816B3" w:rsidRPr="00316FC4">
        <w:rPr>
          <w:shd w:val="clear" w:color="auto" w:fill="FFFFFF"/>
          <w:lang w:val="en-US"/>
        </w:rPr>
        <w:instrText>ADDIN RW.CITE{{4869 Regidor-Cerrillo,J. 2014; 177 Buxton,D. 1998; 5889 Hurtado, Ana 2001}}</w:instrText>
      </w:r>
      <w:r w:rsidR="006D26A2" w:rsidRPr="00316FC4">
        <w:rPr>
          <w:shd w:val="clear" w:color="auto" w:fill="FFFFFF"/>
          <w:lang w:val="en-US"/>
        </w:rPr>
        <w:fldChar w:fldCharType="separate"/>
      </w:r>
      <w:r w:rsidR="00F01A52" w:rsidRPr="00316FC4">
        <w:rPr>
          <w:shd w:val="clear" w:color="auto" w:fill="FFFFFF"/>
          <w:lang w:val="en-US"/>
        </w:rPr>
        <w:t>[</w:t>
      </w:r>
      <w:r w:rsidR="009E21E2" w:rsidRPr="00316FC4">
        <w:rPr>
          <w:shd w:val="clear" w:color="auto" w:fill="FFFFFF"/>
          <w:lang w:val="en-US"/>
        </w:rPr>
        <w:t>16,</w:t>
      </w:r>
      <w:r w:rsidR="005C282D" w:rsidRPr="00316FC4">
        <w:rPr>
          <w:shd w:val="clear" w:color="auto" w:fill="FFFFFF"/>
          <w:lang w:val="en-US"/>
        </w:rPr>
        <w:t xml:space="preserve"> </w:t>
      </w:r>
      <w:r w:rsidR="009E21E2" w:rsidRPr="00316FC4">
        <w:rPr>
          <w:shd w:val="clear" w:color="auto" w:fill="FFFFFF"/>
          <w:lang w:val="en-US"/>
        </w:rPr>
        <w:t>27,</w:t>
      </w:r>
      <w:r w:rsidR="005C282D" w:rsidRPr="00316FC4">
        <w:rPr>
          <w:shd w:val="clear" w:color="auto" w:fill="FFFFFF"/>
          <w:lang w:val="en-US"/>
        </w:rPr>
        <w:t xml:space="preserve"> </w:t>
      </w:r>
      <w:r w:rsidR="009E21E2" w:rsidRPr="00316FC4">
        <w:rPr>
          <w:shd w:val="clear" w:color="auto" w:fill="FFFFFF"/>
          <w:lang w:val="en-US"/>
        </w:rPr>
        <w:lastRenderedPageBreak/>
        <w:t>28</w:t>
      </w:r>
      <w:r w:rsidR="00F01A52" w:rsidRPr="00316FC4">
        <w:rPr>
          <w:shd w:val="clear" w:color="auto" w:fill="FFFFFF"/>
          <w:lang w:val="en-US"/>
        </w:rPr>
        <w:t>]</w:t>
      </w:r>
      <w:r w:rsidR="006D26A2" w:rsidRPr="00316FC4">
        <w:rPr>
          <w:shd w:val="clear" w:color="auto" w:fill="FFFFFF"/>
          <w:lang w:val="en-US"/>
        </w:rPr>
        <w:fldChar w:fldCharType="end"/>
      </w:r>
      <w:r w:rsidRPr="00316FC4">
        <w:t>.</w:t>
      </w:r>
      <w:r w:rsidRPr="00316FC4">
        <w:rPr>
          <w:shd w:val="clear" w:color="auto" w:fill="FFFFFF"/>
          <w:lang w:val="en-US"/>
        </w:rPr>
        <w:t xml:space="preserve"> Nested ITS1-PCR was carried out, from 5 </w:t>
      </w:r>
      <w:proofErr w:type="spellStart"/>
      <w:r w:rsidRPr="00316FC4">
        <w:rPr>
          <w:shd w:val="clear" w:color="auto" w:fill="FFFFFF"/>
          <w:lang w:val="en-US"/>
        </w:rPr>
        <w:t>μL</w:t>
      </w:r>
      <w:proofErr w:type="spellEnd"/>
      <w:r w:rsidRPr="00316FC4">
        <w:rPr>
          <w:shd w:val="clear" w:color="auto" w:fill="FFFFFF"/>
          <w:lang w:val="en-US"/>
        </w:rPr>
        <w:t xml:space="preserve"> of sample DNA, in nine samples of the placentomes in aborted heifers, and three and ten samples for foetal and calf tissues, respectively. Each ITS1-PCR assay included samples from the uninfected group, two negative controls (NC1: 20 </w:t>
      </w:r>
      <w:r w:rsidRPr="00316FC4">
        <w:rPr>
          <w:shd w:val="clear" w:color="auto" w:fill="FFFFFF"/>
          <w:lang w:val="en-US"/>
        </w:rPr>
        <w:sym w:font="Symbol" w:char="F06D"/>
      </w:r>
      <w:r w:rsidRPr="00316FC4">
        <w:rPr>
          <w:shd w:val="clear" w:color="auto" w:fill="FFFFFF"/>
          <w:lang w:val="en-US"/>
        </w:rPr>
        <w:t xml:space="preserve">L mix and NC2: 20 </w:t>
      </w:r>
      <w:r w:rsidRPr="00316FC4">
        <w:rPr>
          <w:shd w:val="clear" w:color="auto" w:fill="FFFFFF"/>
          <w:lang w:val="en-US"/>
        </w:rPr>
        <w:sym w:font="Symbol" w:char="F06D"/>
      </w:r>
      <w:r w:rsidRPr="00316FC4">
        <w:rPr>
          <w:shd w:val="clear" w:color="auto" w:fill="FFFFFF"/>
          <w:lang w:val="en-US"/>
        </w:rPr>
        <w:t>L mix +</w:t>
      </w:r>
      <w:r w:rsidRPr="00316FC4">
        <w:t xml:space="preserve"> </w:t>
      </w:r>
      <w:r w:rsidRPr="00316FC4">
        <w:rPr>
          <w:shd w:val="clear" w:color="auto" w:fill="FFFFFF"/>
          <w:lang w:val="en-US"/>
        </w:rPr>
        <w:t xml:space="preserve">5 </w:t>
      </w:r>
      <w:proofErr w:type="spellStart"/>
      <w:r w:rsidRPr="00316FC4">
        <w:rPr>
          <w:shd w:val="clear" w:color="auto" w:fill="FFFFFF"/>
          <w:lang w:val="en-US"/>
        </w:rPr>
        <w:t>μL</w:t>
      </w:r>
      <w:proofErr w:type="spellEnd"/>
      <w:r w:rsidRPr="00316FC4">
        <w:rPr>
          <w:shd w:val="clear" w:color="auto" w:fill="FFFFFF"/>
          <w:lang w:val="en-US"/>
        </w:rPr>
        <w:t xml:space="preserve"> molecular grade water) and six positive controls with </w:t>
      </w:r>
      <w:r w:rsidRPr="00316FC4">
        <w:rPr>
          <w:i/>
          <w:shd w:val="clear" w:color="auto" w:fill="FFFFFF"/>
          <w:lang w:val="en-US"/>
        </w:rPr>
        <w:t>N. caninum</w:t>
      </w:r>
      <w:r w:rsidRPr="00316FC4">
        <w:rPr>
          <w:shd w:val="clear" w:color="auto" w:fill="FFFFFF"/>
          <w:lang w:val="en-US"/>
        </w:rPr>
        <w:t xml:space="preserve"> genomic DNA equivalent to 10 (</w:t>
      </w:r>
      <w:r w:rsidRPr="00316FC4">
        <w:rPr>
          <w:i/>
          <w:shd w:val="clear" w:color="auto" w:fill="FFFFFF"/>
          <w:lang w:val="en-US"/>
        </w:rPr>
        <w:t>n</w:t>
      </w:r>
      <w:r w:rsidR="001246D8" w:rsidRPr="00316FC4">
        <w:rPr>
          <w:shd w:val="clear" w:color="auto" w:fill="FFFFFF"/>
          <w:lang w:val="en-US"/>
        </w:rPr>
        <w:t> </w:t>
      </w:r>
      <w:r w:rsidRPr="00316FC4">
        <w:rPr>
          <w:shd w:val="clear" w:color="auto" w:fill="FFFFFF"/>
          <w:lang w:val="en-US"/>
        </w:rPr>
        <w:t>=</w:t>
      </w:r>
      <w:r w:rsidR="001246D8" w:rsidRPr="00316FC4">
        <w:rPr>
          <w:shd w:val="clear" w:color="auto" w:fill="FFFFFF"/>
          <w:lang w:val="en-US"/>
        </w:rPr>
        <w:t> </w:t>
      </w:r>
      <w:r w:rsidRPr="00316FC4">
        <w:rPr>
          <w:shd w:val="clear" w:color="auto" w:fill="FFFFFF"/>
          <w:lang w:val="en-US"/>
        </w:rPr>
        <w:t>1), 1 (</w:t>
      </w:r>
      <w:r w:rsidR="001246D8" w:rsidRPr="00316FC4">
        <w:rPr>
          <w:i/>
          <w:shd w:val="clear" w:color="auto" w:fill="FFFFFF"/>
          <w:lang w:val="en-US"/>
        </w:rPr>
        <w:t>n</w:t>
      </w:r>
      <w:r w:rsidR="001246D8" w:rsidRPr="00316FC4">
        <w:rPr>
          <w:shd w:val="clear" w:color="auto" w:fill="FFFFFF"/>
          <w:lang w:val="en-US"/>
        </w:rPr>
        <w:t> = </w:t>
      </w:r>
      <w:r w:rsidRPr="00316FC4">
        <w:rPr>
          <w:shd w:val="clear" w:color="auto" w:fill="FFFFFF"/>
          <w:lang w:val="en-US"/>
        </w:rPr>
        <w:t>3) and 0.1 (</w:t>
      </w:r>
      <w:r w:rsidR="001246D8" w:rsidRPr="00316FC4">
        <w:rPr>
          <w:i/>
          <w:shd w:val="clear" w:color="auto" w:fill="FFFFFF"/>
          <w:lang w:val="en-US"/>
        </w:rPr>
        <w:t>n</w:t>
      </w:r>
      <w:r w:rsidR="001246D8" w:rsidRPr="00316FC4">
        <w:rPr>
          <w:shd w:val="clear" w:color="auto" w:fill="FFFFFF"/>
          <w:lang w:val="en-US"/>
        </w:rPr>
        <w:t> = </w:t>
      </w:r>
      <w:r w:rsidRPr="00316FC4">
        <w:rPr>
          <w:shd w:val="clear" w:color="auto" w:fill="FFFFFF"/>
          <w:lang w:val="en-US"/>
        </w:rPr>
        <w:t xml:space="preserve">2) </w:t>
      </w:r>
      <w:proofErr w:type="spellStart"/>
      <w:r w:rsidRPr="00316FC4">
        <w:rPr>
          <w:shd w:val="clear" w:color="auto" w:fill="FFFFFF"/>
          <w:lang w:val="en-US"/>
        </w:rPr>
        <w:t>tachyzoites</w:t>
      </w:r>
      <w:proofErr w:type="spellEnd"/>
      <w:r w:rsidRPr="00316FC4">
        <w:rPr>
          <w:shd w:val="clear" w:color="auto" w:fill="FFFFFF"/>
          <w:lang w:val="en-US"/>
        </w:rPr>
        <w:t xml:space="preserve"> in </w:t>
      </w:r>
      <w:r w:rsidR="00116F65" w:rsidRPr="00316FC4">
        <w:rPr>
          <w:shd w:val="clear" w:color="auto" w:fill="FFFFFF"/>
          <w:lang w:val="en-US"/>
        </w:rPr>
        <w:t>100 ng of sheep genomic DNA</w:t>
      </w:r>
      <w:r w:rsidRPr="00316FC4">
        <w:rPr>
          <w:shd w:val="clear" w:color="auto" w:fill="FFFFFF"/>
          <w:lang w:val="en-US"/>
        </w:rPr>
        <w:t xml:space="preserve">. 10-15 </w:t>
      </w:r>
      <w:proofErr w:type="spellStart"/>
      <w:r w:rsidRPr="00316FC4">
        <w:rPr>
          <w:shd w:val="clear" w:color="auto" w:fill="FFFFFF"/>
          <w:lang w:val="en-US"/>
        </w:rPr>
        <w:t>μL</w:t>
      </w:r>
      <w:proofErr w:type="spellEnd"/>
      <w:r w:rsidRPr="00316FC4">
        <w:rPr>
          <w:shd w:val="clear" w:color="auto" w:fill="FFFFFF"/>
          <w:lang w:val="en-US"/>
        </w:rPr>
        <w:t xml:space="preserve"> aliquots of the nested ITS1-PCR products were visualized under UV light in 1.5% agarose gel stained with </w:t>
      </w:r>
      <w:proofErr w:type="spellStart"/>
      <w:r w:rsidRPr="00316FC4">
        <w:rPr>
          <w:shd w:val="clear" w:color="auto" w:fill="FFFFFF"/>
          <w:lang w:val="en-US"/>
        </w:rPr>
        <w:t>GelRed</w:t>
      </w:r>
      <w:proofErr w:type="spellEnd"/>
      <w:r w:rsidRPr="00316FC4">
        <w:rPr>
          <w:shd w:val="clear" w:color="auto" w:fill="FFFFFF"/>
          <w:lang w:val="en-US"/>
        </w:rPr>
        <w:t>™ nucleic acid gel stain (</w:t>
      </w:r>
      <w:proofErr w:type="spellStart"/>
      <w:r w:rsidRPr="00316FC4">
        <w:rPr>
          <w:shd w:val="clear" w:color="auto" w:fill="FFFFFF"/>
          <w:lang w:val="en-US"/>
        </w:rPr>
        <w:t>Biotium</w:t>
      </w:r>
      <w:proofErr w:type="spellEnd"/>
      <w:r w:rsidRPr="00316FC4">
        <w:rPr>
          <w:shd w:val="clear" w:color="auto" w:fill="FFFFFF"/>
          <w:lang w:val="en-US"/>
        </w:rPr>
        <w:t xml:space="preserve"> Inc., Fremont, USA</w:t>
      </w:r>
      <w:r w:rsidRPr="00316FC4">
        <w:rPr>
          <w:lang w:val="en-US"/>
        </w:rPr>
        <w:t xml:space="preserve">) </w:t>
      </w:r>
      <w:r w:rsidRPr="00316FC4">
        <w:rPr>
          <w:shd w:val="clear" w:color="auto" w:fill="FFFFFF"/>
          <w:lang w:val="en-US"/>
        </w:rPr>
        <w:t xml:space="preserve">to detect the </w:t>
      </w:r>
      <w:r w:rsidRPr="00316FC4">
        <w:rPr>
          <w:i/>
          <w:shd w:val="clear" w:color="auto" w:fill="FFFFFF"/>
          <w:lang w:val="en-US"/>
        </w:rPr>
        <w:t>N. caninum</w:t>
      </w:r>
      <w:r w:rsidRPr="00316FC4">
        <w:rPr>
          <w:shd w:val="clear" w:color="auto" w:fill="FFFFFF"/>
          <w:lang w:val="en-US"/>
        </w:rPr>
        <w:t xml:space="preserve">-specific 247 bp amplification product. Validation of each nested ITS1-PCR assay required the absence of amplification of samples from the uninfected group and negative controls, and the amplification of at least two positive controls (10 and 1 </w:t>
      </w:r>
      <w:proofErr w:type="spellStart"/>
      <w:r w:rsidRPr="00316FC4">
        <w:rPr>
          <w:shd w:val="clear" w:color="auto" w:fill="FFFFFF"/>
          <w:lang w:val="en-US"/>
        </w:rPr>
        <w:t>tachyzoites</w:t>
      </w:r>
      <w:proofErr w:type="spellEnd"/>
      <w:r w:rsidRPr="00316FC4">
        <w:rPr>
          <w:shd w:val="clear" w:color="auto" w:fill="FFFFFF"/>
          <w:lang w:val="en-US"/>
        </w:rPr>
        <w:t>).</w:t>
      </w:r>
    </w:p>
    <w:p w:rsidR="00BC49AE" w:rsidRPr="00316FC4" w:rsidRDefault="00BC49AE" w:rsidP="001246D8">
      <w:pPr>
        <w:pStyle w:val="BodyText"/>
        <w:spacing w:before="100" w:beforeAutospacing="1" w:after="100" w:afterAutospacing="1"/>
        <w:rPr>
          <w:i/>
          <w:iCs/>
        </w:rPr>
      </w:pPr>
      <w:r w:rsidRPr="00316FC4">
        <w:rPr>
          <w:i/>
          <w:iCs/>
        </w:rPr>
        <w:t>Parasite DNA quantification by real time PCR (qPCR)</w:t>
      </w:r>
    </w:p>
    <w:p w:rsidR="00BC49AE" w:rsidRPr="00316FC4" w:rsidRDefault="00BC49AE" w:rsidP="001246D8">
      <w:pPr>
        <w:spacing w:before="100" w:beforeAutospacing="1" w:after="100" w:afterAutospacing="1"/>
        <w:jc w:val="both"/>
        <w:rPr>
          <w:color w:val="000000" w:themeColor="text1"/>
          <w:lang w:val="en-US"/>
        </w:rPr>
      </w:pPr>
      <w:r w:rsidRPr="00316FC4">
        <w:rPr>
          <w:shd w:val="clear" w:color="auto" w:fill="FFFFFF"/>
          <w:lang w:val="en-US"/>
        </w:rPr>
        <w:t xml:space="preserve">Positive ITS1 DNA samples detected by nested-PCR from tissues were quantified by using real-time PCR (qPCR) and the </w:t>
      </w:r>
      <w:hyperlink r:id="rId7" w:history="1">
        <w:r w:rsidRPr="00316FC4">
          <w:rPr>
            <w:lang w:val="en-US"/>
          </w:rPr>
          <w:t xml:space="preserve">ABI 7500 </w:t>
        </w:r>
      </w:hyperlink>
      <w:r w:rsidRPr="00316FC4">
        <w:rPr>
          <w:lang w:val="en-US"/>
        </w:rPr>
        <w:t xml:space="preserve">Fast Real-time PCR System (Applied Biosystems, Foster City, CA, USA). Briefly, a volume of 5 </w:t>
      </w:r>
      <w:r w:rsidRPr="00316FC4">
        <w:t>μ</w:t>
      </w:r>
      <w:r w:rsidRPr="00316FC4">
        <w:rPr>
          <w:lang w:val="en-US"/>
        </w:rPr>
        <w:t xml:space="preserve">L of DNA (adjusted to 20 ng/µL) from each sample was used for the qPCR assays, </w:t>
      </w:r>
      <w:r w:rsidRPr="00316FC4">
        <w:t xml:space="preserve">using </w:t>
      </w:r>
      <w:r w:rsidRPr="00316FC4">
        <w:rPr>
          <w:lang w:val="en-US"/>
        </w:rPr>
        <w:t xml:space="preserve">Go </w:t>
      </w:r>
      <w:proofErr w:type="spellStart"/>
      <w:r w:rsidRPr="00316FC4">
        <w:rPr>
          <w:lang w:val="en-US"/>
        </w:rPr>
        <w:t>Taq</w:t>
      </w:r>
      <w:proofErr w:type="spellEnd"/>
      <w:r w:rsidRPr="00316FC4">
        <w:rPr>
          <w:lang w:val="en-US"/>
        </w:rPr>
        <w:t xml:space="preserve">® </w:t>
      </w:r>
      <w:proofErr w:type="spellStart"/>
      <w:r w:rsidRPr="00316FC4">
        <w:rPr>
          <w:lang w:val="en-US"/>
        </w:rPr>
        <w:t>qPCR</w:t>
      </w:r>
      <w:proofErr w:type="spellEnd"/>
      <w:r w:rsidRPr="00316FC4">
        <w:rPr>
          <w:lang w:val="en-US"/>
        </w:rPr>
        <w:t xml:space="preserve"> Master Mix (Promega, Wisconsin, USA), for </w:t>
      </w:r>
      <w:r w:rsidRPr="00316FC4">
        <w:t xml:space="preserve">parasite quantification from </w:t>
      </w:r>
      <w:r w:rsidRPr="00316FC4">
        <w:rPr>
          <w:i/>
          <w:lang w:val="en-US"/>
        </w:rPr>
        <w:t>N. caninum</w:t>
      </w:r>
      <w:r w:rsidRPr="00316FC4">
        <w:rPr>
          <w:lang w:val="en-US"/>
        </w:rPr>
        <w:t xml:space="preserve"> Nc-5 sequence </w:t>
      </w:r>
      <w:r w:rsidR="006D26A2" w:rsidRPr="00316FC4">
        <w:rPr>
          <w:lang w:val="en-US"/>
        </w:rPr>
        <w:fldChar w:fldCharType="begin"/>
      </w:r>
      <w:r w:rsidR="009816B3" w:rsidRPr="00316FC4">
        <w:rPr>
          <w:lang w:val="en-US"/>
        </w:rPr>
        <w:instrText>ADDIN RW.CITE{{246 Collantes-Fernández,E. 2002}}</w:instrText>
      </w:r>
      <w:r w:rsidR="006D26A2" w:rsidRPr="00316FC4">
        <w:rPr>
          <w:lang w:val="en-US"/>
        </w:rPr>
        <w:fldChar w:fldCharType="separate"/>
      </w:r>
      <w:r w:rsidR="00F01A52" w:rsidRPr="00316FC4">
        <w:rPr>
          <w:lang w:val="en-US"/>
        </w:rPr>
        <w:t>[</w:t>
      </w:r>
      <w:r w:rsidR="009E21E2" w:rsidRPr="00316FC4">
        <w:rPr>
          <w:lang w:val="en-US"/>
        </w:rPr>
        <w:t>29</w:t>
      </w:r>
      <w:r w:rsidR="00F01A52" w:rsidRPr="00316FC4">
        <w:rPr>
          <w:lang w:val="en-US"/>
        </w:rPr>
        <w:t>]</w:t>
      </w:r>
      <w:r w:rsidR="006D26A2" w:rsidRPr="00316FC4">
        <w:rPr>
          <w:lang w:val="en-US"/>
        </w:rPr>
        <w:fldChar w:fldCharType="end"/>
      </w:r>
      <w:r w:rsidR="009816B3" w:rsidRPr="00316FC4">
        <w:rPr>
          <w:lang w:val="en-US"/>
        </w:rPr>
        <w:t xml:space="preserve"> </w:t>
      </w:r>
      <w:r w:rsidRPr="00316FC4">
        <w:rPr>
          <w:lang w:val="en-US"/>
        </w:rPr>
        <w:t xml:space="preserve">and </w:t>
      </w:r>
      <w:r w:rsidRPr="00316FC4">
        <w:t>host</w:t>
      </w:r>
      <w:r w:rsidRPr="00316FC4">
        <w:rPr>
          <w:shd w:val="clear" w:color="auto" w:fill="FFFFFF"/>
          <w:lang w:val="en-US"/>
        </w:rPr>
        <w:t xml:space="preserve"> DNA from </w:t>
      </w:r>
      <w:r w:rsidRPr="00316FC4">
        <w:rPr>
          <w:lang w:val="en-US"/>
        </w:rPr>
        <w:t xml:space="preserve">the β-actin gene </w:t>
      </w:r>
      <w:r w:rsidR="006D26A2" w:rsidRPr="00316FC4">
        <w:rPr>
          <w:lang w:val="en-US"/>
        </w:rPr>
        <w:fldChar w:fldCharType="begin"/>
      </w:r>
      <w:r w:rsidR="009816B3" w:rsidRPr="00316FC4">
        <w:rPr>
          <w:lang w:val="en-US"/>
        </w:rPr>
        <w:instrText>ADDIN RW.CITE{{5891 Gutierrez,J. 2012}}</w:instrText>
      </w:r>
      <w:r w:rsidR="006D26A2" w:rsidRPr="00316FC4">
        <w:rPr>
          <w:lang w:val="en-US"/>
        </w:rPr>
        <w:fldChar w:fldCharType="separate"/>
      </w:r>
      <w:r w:rsidR="00F01A52" w:rsidRPr="00316FC4">
        <w:rPr>
          <w:lang w:val="en-US"/>
        </w:rPr>
        <w:t>[</w:t>
      </w:r>
      <w:r w:rsidR="001E503C" w:rsidRPr="00316FC4">
        <w:rPr>
          <w:lang w:val="en-US"/>
        </w:rPr>
        <w:t>30</w:t>
      </w:r>
      <w:r w:rsidR="00F01A52" w:rsidRPr="00316FC4">
        <w:rPr>
          <w:lang w:val="en-US"/>
        </w:rPr>
        <w:t>]</w:t>
      </w:r>
      <w:r w:rsidR="006D26A2" w:rsidRPr="00316FC4">
        <w:rPr>
          <w:lang w:val="en-US"/>
        </w:rPr>
        <w:fldChar w:fldCharType="end"/>
      </w:r>
      <w:r w:rsidR="006D26A2" w:rsidRPr="00316FC4">
        <w:rPr>
          <w:lang w:val="en-US"/>
        </w:rPr>
        <w:fldChar w:fldCharType="begin"/>
      </w:r>
      <w:r w:rsidRPr="00316FC4">
        <w:rPr>
          <w:lang w:val="en-US"/>
        </w:rPr>
        <w:instrText>ADDIN RW.CITE{{5891 Gutierrez,J. 2012}}</w:instrText>
      </w:r>
      <w:r w:rsidR="006D26A2" w:rsidRPr="00316FC4">
        <w:rPr>
          <w:lang w:val="en-US"/>
        </w:rPr>
        <w:fldChar w:fldCharType="end"/>
      </w:r>
      <w:r w:rsidRPr="00316FC4">
        <w:t>. As proposed by</w:t>
      </w:r>
      <w:r w:rsidR="009816B3" w:rsidRPr="00316FC4">
        <w:t xml:space="preserve"> </w:t>
      </w:r>
      <w:r w:rsidR="006D26A2" w:rsidRPr="00316FC4">
        <w:fldChar w:fldCharType="begin"/>
      </w:r>
      <w:r w:rsidR="009816B3" w:rsidRPr="00316FC4">
        <w:instrText>ADDIN RW.CITE{{4869 Regidor-Cerrillo,J. 2014}}</w:instrText>
      </w:r>
      <w:r w:rsidR="006D26A2" w:rsidRPr="00316FC4">
        <w:fldChar w:fldCharType="separate"/>
      </w:r>
      <w:r w:rsidR="00F01A52" w:rsidRPr="00316FC4">
        <w:t>[</w:t>
      </w:r>
      <w:r w:rsidR="009E21E2" w:rsidRPr="00316FC4">
        <w:t>16</w:t>
      </w:r>
      <w:r w:rsidR="00F01A52" w:rsidRPr="00316FC4">
        <w:t>]</w:t>
      </w:r>
      <w:r w:rsidR="006D26A2" w:rsidRPr="00316FC4">
        <w:fldChar w:fldCharType="end"/>
      </w:r>
      <w:r w:rsidRPr="00316FC4">
        <w:rPr>
          <w:lang w:val="en-US"/>
        </w:rPr>
        <w:t xml:space="preserve">, the number of </w:t>
      </w:r>
      <w:r w:rsidRPr="00316FC4">
        <w:rPr>
          <w:i/>
          <w:lang w:val="en-US"/>
        </w:rPr>
        <w:t>N. caninum</w:t>
      </w:r>
      <w:r w:rsidRPr="00316FC4">
        <w:rPr>
          <w:lang w:val="en-US"/>
        </w:rPr>
        <w:t xml:space="preserve"> </w:t>
      </w:r>
      <w:proofErr w:type="spellStart"/>
      <w:r w:rsidRPr="00316FC4">
        <w:rPr>
          <w:lang w:val="en-US"/>
        </w:rPr>
        <w:t>tachyzoites</w:t>
      </w:r>
      <w:proofErr w:type="spellEnd"/>
      <w:r w:rsidRPr="00316FC4">
        <w:rPr>
          <w:lang w:val="en-US"/>
        </w:rPr>
        <w:t xml:space="preserve"> was determined by interpolating the corresponding cycle threshold (Ct) values on the two standard curves: one ranging from 10</w:t>
      </w:r>
      <w:r w:rsidRPr="00316FC4">
        <w:rPr>
          <w:vertAlign w:val="superscript"/>
          <w:lang w:val="en-US"/>
        </w:rPr>
        <w:t>-1</w:t>
      </w:r>
      <w:r w:rsidRPr="00316FC4">
        <w:rPr>
          <w:lang w:val="en-US"/>
        </w:rPr>
        <w:t xml:space="preserve"> to 10</w:t>
      </w:r>
      <w:r w:rsidRPr="00316FC4">
        <w:rPr>
          <w:vertAlign w:val="superscript"/>
          <w:lang w:val="en-US"/>
        </w:rPr>
        <w:t>5</w:t>
      </w:r>
      <w:r w:rsidRPr="00316FC4">
        <w:rPr>
          <w:lang w:val="en-US"/>
        </w:rPr>
        <w:t xml:space="preserve"> </w:t>
      </w:r>
      <w:proofErr w:type="spellStart"/>
      <w:r w:rsidRPr="00316FC4">
        <w:rPr>
          <w:lang w:val="en-US"/>
        </w:rPr>
        <w:t>tachyzoites</w:t>
      </w:r>
      <w:proofErr w:type="spellEnd"/>
      <w:r w:rsidRPr="00316FC4">
        <w:rPr>
          <w:lang w:val="en-US"/>
        </w:rPr>
        <w:t xml:space="preserve"> (10-fold serial dilutions in a solution of bovine genomic DNA), and the other curve of 320 ng, 160 ng, 80 ng, 40 ng, 20 ng, 4 ng and 1 ng of bovine genomic DNA. Both standard DNA curves showed good efficiency: R</w:t>
      </w:r>
      <w:r w:rsidRPr="00316FC4">
        <w:rPr>
          <w:vertAlign w:val="superscript"/>
          <w:lang w:val="en-US"/>
        </w:rPr>
        <w:t>2</w:t>
      </w:r>
      <w:r w:rsidRPr="00316FC4">
        <w:rPr>
          <w:lang w:val="en-US"/>
        </w:rPr>
        <w:t xml:space="preserve"> &gt; 0.99, average slope of </w:t>
      </w:r>
      <w:r w:rsidRPr="00316FC4">
        <w:rPr>
          <w:i/>
          <w:lang w:val="en-US"/>
        </w:rPr>
        <w:t>N. caninum</w:t>
      </w:r>
      <w:r w:rsidRPr="00316FC4">
        <w:rPr>
          <w:lang w:val="en-US"/>
        </w:rPr>
        <w:t xml:space="preserve"> and β-actin </w:t>
      </w:r>
      <w:r w:rsidRPr="00316FC4">
        <w:rPr>
          <w:color w:val="000000" w:themeColor="text1"/>
          <w:lang w:val="en-US"/>
        </w:rPr>
        <w:t>standard curves: −3.4. Parasite burden was expressed as tachyzoite number / mg bovine tissue.</w:t>
      </w:r>
    </w:p>
    <w:p w:rsidR="006647D0" w:rsidRPr="00316FC4" w:rsidRDefault="006647D0" w:rsidP="001246D8">
      <w:pPr>
        <w:pStyle w:val="Heading2"/>
        <w:spacing w:before="100" w:beforeAutospacing="1" w:after="100" w:afterAutospacing="1"/>
        <w:jc w:val="both"/>
        <w:rPr>
          <w:snapToGrid w:val="0"/>
          <w:lang w:eastAsia="pt-BR"/>
        </w:rPr>
      </w:pPr>
      <w:r w:rsidRPr="00316FC4">
        <w:rPr>
          <w:snapToGrid w:val="0"/>
          <w:lang w:eastAsia="pt-BR"/>
        </w:rPr>
        <w:t>Peripheral blood stimulation assay and quantification of interferon-gamma (IFN-γ) release</w:t>
      </w:r>
    </w:p>
    <w:p w:rsidR="005825FE" w:rsidRPr="00316FC4" w:rsidRDefault="006647D0" w:rsidP="001246D8">
      <w:pPr>
        <w:spacing w:before="100" w:beforeAutospacing="1" w:after="100" w:afterAutospacing="1"/>
        <w:jc w:val="both"/>
      </w:pPr>
      <w:r w:rsidRPr="00316FC4">
        <w:t>Heparinized blood samples were cultured in 24-well flat-bottom plates (Thermo Fisher Scientific, Waltham, USA) within 2-8 hours of collection. Briefly, 500 µ</w:t>
      </w:r>
      <w:r w:rsidR="001246D8" w:rsidRPr="00316FC4">
        <w:t>L</w:t>
      </w:r>
      <w:r w:rsidRPr="00316FC4">
        <w:t xml:space="preserve"> of blood were added to 500 µL of RPMI 1640 medium (</w:t>
      </w:r>
      <w:proofErr w:type="spellStart"/>
      <w:r w:rsidRPr="00316FC4">
        <w:t>Gibco</w:t>
      </w:r>
      <w:proofErr w:type="spellEnd"/>
      <w:r w:rsidRPr="00316FC4">
        <w:t xml:space="preserve">, Paisley, UK) supplemented with 10% foetal bovine serum (Thermo Fisher Scientific, Waltham, USA) and 1% bacteriostatic and bactericidal </w:t>
      </w:r>
      <w:proofErr w:type="spellStart"/>
      <w:r w:rsidRPr="00316FC4">
        <w:t>Peniciline-Estreptomicine-Anfoterincine</w:t>
      </w:r>
      <w:proofErr w:type="spellEnd"/>
      <w:r w:rsidRPr="00316FC4">
        <w:t xml:space="preserve"> B solution (100X) (</w:t>
      </w:r>
      <w:proofErr w:type="spellStart"/>
      <w:r w:rsidRPr="00316FC4">
        <w:t>Lonza</w:t>
      </w:r>
      <w:proofErr w:type="spellEnd"/>
      <w:r w:rsidRPr="00316FC4">
        <w:t xml:space="preserve">, Belgium). Next, samples were cultured in duplicate with </w:t>
      </w:r>
      <w:r w:rsidRPr="00316FC4">
        <w:rPr>
          <w:i/>
        </w:rPr>
        <w:t>N. caninum</w:t>
      </w:r>
      <w:r w:rsidRPr="00316FC4">
        <w:t xml:space="preserve"> soluble extract antigen at 5 </w:t>
      </w:r>
      <w:proofErr w:type="spellStart"/>
      <w:r w:rsidRPr="00316FC4">
        <w:t>μg</w:t>
      </w:r>
      <w:proofErr w:type="spellEnd"/>
      <w:r w:rsidRPr="00316FC4">
        <w:t>/mL</w:t>
      </w:r>
      <w:r w:rsidR="009816B3" w:rsidRPr="00316FC4">
        <w:t xml:space="preserve"> </w:t>
      </w:r>
      <w:r w:rsidR="006D26A2" w:rsidRPr="00316FC4">
        <w:fldChar w:fldCharType="begin"/>
      </w:r>
      <w:r w:rsidR="009816B3" w:rsidRPr="00316FC4">
        <w:instrText>ADDIN RW.CITE{{4871 Alvarez-Garcia,G. 2003}}</w:instrText>
      </w:r>
      <w:r w:rsidR="006D26A2" w:rsidRPr="00316FC4">
        <w:fldChar w:fldCharType="separate"/>
      </w:r>
      <w:r w:rsidR="00F01A52" w:rsidRPr="00316FC4">
        <w:t>[</w:t>
      </w:r>
      <w:r w:rsidR="009E21E2" w:rsidRPr="00316FC4">
        <w:t>23</w:t>
      </w:r>
      <w:r w:rsidR="00F01A52" w:rsidRPr="00316FC4">
        <w:t>]</w:t>
      </w:r>
      <w:r w:rsidR="006D26A2" w:rsidRPr="00316FC4">
        <w:fldChar w:fldCharType="end"/>
      </w:r>
      <w:r w:rsidR="005825FE" w:rsidRPr="00316FC4">
        <w:t xml:space="preserve">, </w:t>
      </w:r>
      <w:r w:rsidRPr="00316FC4">
        <w:t>concanavalin (</w:t>
      </w:r>
      <w:proofErr w:type="spellStart"/>
      <w:r w:rsidRPr="00316FC4">
        <w:t>ConA</w:t>
      </w:r>
      <w:proofErr w:type="spellEnd"/>
      <w:r w:rsidRPr="00316FC4">
        <w:t xml:space="preserve">) (Sigma-Aldrich, Madrid, Spain), at 5 </w:t>
      </w:r>
      <w:proofErr w:type="spellStart"/>
      <w:r w:rsidRPr="00316FC4">
        <w:t>μg</w:t>
      </w:r>
      <w:proofErr w:type="spellEnd"/>
      <w:r w:rsidRPr="00316FC4">
        <w:t>/mL as positive control, and PBS as negative control. After 24 h of incubation (Temperature: 37 °C, CO</w:t>
      </w:r>
      <w:r w:rsidRPr="00316FC4">
        <w:rPr>
          <w:vertAlign w:val="subscript"/>
        </w:rPr>
        <w:t xml:space="preserve">2 </w:t>
      </w:r>
      <w:r w:rsidRPr="00316FC4">
        <w:t>level: 5%, humidity: 100%), plates were centrifuged at 1000</w:t>
      </w:r>
      <w:r w:rsidR="001246D8" w:rsidRPr="00316FC4">
        <w:t> × </w:t>
      </w:r>
      <w:r w:rsidRPr="00316FC4">
        <w:rPr>
          <w:i/>
        </w:rPr>
        <w:t>g</w:t>
      </w:r>
      <w:r w:rsidRPr="00316FC4">
        <w:t xml:space="preserve"> for 10 min at 4</w:t>
      </w:r>
      <w:r w:rsidR="001246D8" w:rsidRPr="00316FC4">
        <w:t> </w:t>
      </w:r>
      <w:r w:rsidRPr="00316FC4">
        <w:t>°C. Supernatants were stored at −80</w:t>
      </w:r>
      <w:r w:rsidR="001246D8" w:rsidRPr="00316FC4">
        <w:t> </w:t>
      </w:r>
      <w:r w:rsidRPr="00316FC4">
        <w:t>°C until IFN-</w:t>
      </w:r>
      <w:r w:rsidRPr="00316FC4">
        <w:sym w:font="Symbol" w:char="F067"/>
      </w:r>
      <w:r w:rsidRPr="00316FC4">
        <w:t xml:space="preserve"> release was measured with a commercial bovine IFN-γ ELISA kit (</w:t>
      </w:r>
      <w:proofErr w:type="spellStart"/>
      <w:r w:rsidRPr="00316FC4">
        <w:t>Mabtech</w:t>
      </w:r>
      <w:proofErr w:type="spellEnd"/>
      <w:r w:rsidRPr="00316FC4">
        <w:t xml:space="preserve"> AB, Nacka Strand, Sweden), following the manufacturer’s guidelines.</w:t>
      </w:r>
    </w:p>
    <w:p w:rsidR="00AE1F7A" w:rsidRPr="00316FC4" w:rsidRDefault="00AE1F7A" w:rsidP="001246D8">
      <w:pPr>
        <w:pStyle w:val="Heading2"/>
        <w:spacing w:before="100" w:beforeAutospacing="1" w:after="100" w:afterAutospacing="1"/>
      </w:pPr>
      <w:r w:rsidRPr="00316FC4">
        <w:rPr>
          <w:snapToGrid w:val="0"/>
          <w:lang w:eastAsia="pt-BR"/>
        </w:rPr>
        <w:t xml:space="preserve">Serological analyses: </w:t>
      </w:r>
      <w:r w:rsidRPr="00316FC4">
        <w:rPr>
          <w:i/>
          <w:iCs/>
          <w:snapToGrid w:val="0"/>
          <w:lang w:eastAsia="pt-BR"/>
        </w:rPr>
        <w:t>N. caninum</w:t>
      </w:r>
      <w:r w:rsidRPr="00316FC4">
        <w:rPr>
          <w:snapToGrid w:val="0"/>
          <w:lang w:eastAsia="pt-BR"/>
        </w:rPr>
        <w:t xml:space="preserve">-specific </w:t>
      </w:r>
      <w:proofErr w:type="spellStart"/>
      <w:r w:rsidRPr="00316FC4">
        <w:rPr>
          <w:snapToGrid w:val="0"/>
          <w:lang w:eastAsia="pt-BR"/>
        </w:rPr>
        <w:t>IgG</w:t>
      </w:r>
      <w:proofErr w:type="spellEnd"/>
      <w:r w:rsidRPr="00316FC4">
        <w:rPr>
          <w:snapToGrid w:val="0"/>
          <w:lang w:eastAsia="pt-BR"/>
        </w:rPr>
        <w:t xml:space="preserve"> responses</w:t>
      </w:r>
    </w:p>
    <w:p w:rsidR="00AE1F7A" w:rsidRPr="00316FC4" w:rsidRDefault="00AE1F7A" w:rsidP="001246D8">
      <w:pPr>
        <w:pStyle w:val="BodyText"/>
        <w:spacing w:before="100" w:beforeAutospacing="1" w:after="100" w:afterAutospacing="1"/>
        <w:rPr>
          <w:i/>
          <w:iCs/>
          <w:snapToGrid w:val="0"/>
          <w:lang w:eastAsia="pt-BR"/>
        </w:rPr>
      </w:pPr>
      <w:r w:rsidRPr="00316FC4">
        <w:rPr>
          <w:i/>
          <w:iCs/>
          <w:snapToGrid w:val="0"/>
          <w:lang w:eastAsia="pt-BR"/>
        </w:rPr>
        <w:t xml:space="preserve">Detection of IgG responses in heifers and calves by </w:t>
      </w:r>
      <w:r w:rsidR="001246D8" w:rsidRPr="00316FC4">
        <w:rPr>
          <w:i/>
          <w:iCs/>
          <w:snapToGrid w:val="0"/>
          <w:lang w:eastAsia="pt-BR"/>
        </w:rPr>
        <w:t>an in-house indirect ELISA</w:t>
      </w:r>
    </w:p>
    <w:p w:rsidR="00AE1F7A" w:rsidRPr="00316FC4" w:rsidRDefault="00AE1F7A" w:rsidP="001246D8">
      <w:pPr>
        <w:spacing w:before="100" w:beforeAutospacing="1" w:after="100" w:afterAutospacing="1"/>
        <w:jc w:val="both"/>
      </w:pPr>
      <w:r w:rsidRPr="00316FC4">
        <w:rPr>
          <w:lang w:val="en-US"/>
        </w:rPr>
        <w:t xml:space="preserve">Briefly, </w:t>
      </w:r>
      <w:r w:rsidRPr="00316FC4">
        <w:t xml:space="preserve">96-well microtiter plates (Thermo Fisher Scientific, Waltham, USA) were coated with soluble </w:t>
      </w:r>
      <w:r w:rsidRPr="00316FC4">
        <w:rPr>
          <w:i/>
        </w:rPr>
        <w:t>N. caninum</w:t>
      </w:r>
      <w:r w:rsidRPr="00316FC4">
        <w:t xml:space="preserve"> antigen </w:t>
      </w:r>
      <w:r w:rsidR="006D26A2" w:rsidRPr="00316FC4">
        <w:fldChar w:fldCharType="begin"/>
      </w:r>
      <w:r w:rsidR="009816B3" w:rsidRPr="00316FC4">
        <w:instrText>ADDIN RW.CITE{{4871 Alvarez-Garcia,G. 2003}}</w:instrText>
      </w:r>
      <w:r w:rsidR="006D26A2" w:rsidRPr="00316FC4">
        <w:fldChar w:fldCharType="separate"/>
      </w:r>
      <w:r w:rsidR="00F01A52" w:rsidRPr="00316FC4">
        <w:t>[</w:t>
      </w:r>
      <w:r w:rsidR="009E21E2" w:rsidRPr="00316FC4">
        <w:t>23</w:t>
      </w:r>
      <w:r w:rsidR="00F01A52" w:rsidRPr="00316FC4">
        <w:t>]</w:t>
      </w:r>
      <w:r w:rsidR="006D26A2" w:rsidRPr="00316FC4">
        <w:fldChar w:fldCharType="end"/>
      </w:r>
      <w:r w:rsidRPr="00316FC4">
        <w:rPr>
          <w:lang w:val="en-US"/>
        </w:rPr>
        <w:t xml:space="preserve"> (0.5</w:t>
      </w:r>
      <w:r w:rsidR="001246D8" w:rsidRPr="00316FC4">
        <w:rPr>
          <w:lang w:val="en-US"/>
        </w:rPr>
        <w:t> </w:t>
      </w:r>
      <w:r w:rsidRPr="00316FC4">
        <w:t>µg/</w:t>
      </w:r>
      <w:r w:rsidRPr="00316FC4">
        <w:rPr>
          <w:snapToGrid w:val="0"/>
          <w:lang w:eastAsia="pt-BR"/>
        </w:rPr>
        <w:t>mL in carbonate buffer (100 mM, pH 9.6))</w:t>
      </w:r>
      <w:r w:rsidRPr="00316FC4">
        <w:t>. After overnight coating at 4</w:t>
      </w:r>
      <w:r w:rsidR="001246D8" w:rsidRPr="00316FC4">
        <w:t> °</w:t>
      </w:r>
      <w:r w:rsidRPr="00316FC4">
        <w:t>C, plates were washed w</w:t>
      </w:r>
      <w:r w:rsidRPr="00316FC4">
        <w:rPr>
          <w:snapToGrid w:val="0"/>
          <w:lang w:eastAsia="pt-BR"/>
        </w:rPr>
        <w:t>ith phosphate buffer saline (PBS) (pH 7.4) containing 0.05% Tween 20 (PBS-T)</w:t>
      </w:r>
      <w:r w:rsidRPr="00316FC4">
        <w:t xml:space="preserve"> thrice. In order to avoid non-specific binding, plates </w:t>
      </w:r>
      <w:r w:rsidRPr="00316FC4">
        <w:lastRenderedPageBreak/>
        <w:t xml:space="preserve">were </w:t>
      </w:r>
      <w:r w:rsidRPr="00316FC4">
        <w:rPr>
          <w:snapToGrid w:val="0"/>
          <w:lang w:eastAsia="pt-BR"/>
        </w:rPr>
        <w:t xml:space="preserve">blocked with </w:t>
      </w:r>
      <w:r w:rsidRPr="00316FC4">
        <w:t xml:space="preserve">300 </w:t>
      </w:r>
      <w:proofErr w:type="spellStart"/>
      <w:r w:rsidRPr="00316FC4">
        <w:t>μL</w:t>
      </w:r>
      <w:proofErr w:type="spellEnd"/>
      <w:r w:rsidRPr="00316FC4">
        <w:t xml:space="preserve"> of </w:t>
      </w:r>
      <w:r w:rsidRPr="00316FC4">
        <w:rPr>
          <w:snapToGrid w:val="0"/>
          <w:lang w:eastAsia="pt-BR"/>
        </w:rPr>
        <w:t>blocking solution (</w:t>
      </w:r>
      <w:r w:rsidRPr="00316FC4">
        <w:t>PBS-T containing</w:t>
      </w:r>
      <w:r w:rsidRPr="00316FC4">
        <w:rPr>
          <w:snapToGrid w:val="0"/>
          <w:lang w:eastAsia="pt-BR"/>
        </w:rPr>
        <w:t xml:space="preserve"> 5% horse serum [SHI]) and incubating for two hours at room temperature. In each plate, 100 µL of sera samples and duplicate controls (negative and positive) diluted 1:100 in block solution were incubated for 1 h at 37</w:t>
      </w:r>
      <w:r w:rsidR="001246D8" w:rsidRPr="00316FC4">
        <w:rPr>
          <w:snapToGrid w:val="0"/>
          <w:lang w:eastAsia="pt-BR"/>
        </w:rPr>
        <w:t> °</w:t>
      </w:r>
      <w:r w:rsidRPr="00316FC4">
        <w:rPr>
          <w:snapToGrid w:val="0"/>
          <w:lang w:eastAsia="pt-BR"/>
        </w:rPr>
        <w:t xml:space="preserve">C. After a washing step with PBS-T (x3), </w:t>
      </w:r>
      <w:r w:rsidRPr="00316FC4">
        <w:t xml:space="preserve">100 </w:t>
      </w:r>
      <w:proofErr w:type="spellStart"/>
      <w:r w:rsidRPr="00316FC4">
        <w:t>μL</w:t>
      </w:r>
      <w:proofErr w:type="spellEnd"/>
      <w:r w:rsidRPr="00316FC4">
        <w:t xml:space="preserve"> of anti-bovine IgG peroxidase conjugate (Sigma-Aldrich, Madrid, Spain) diluted </w:t>
      </w:r>
      <w:r w:rsidR="006D41C0" w:rsidRPr="00316FC4">
        <w:t>1:10</w:t>
      </w:r>
      <w:r w:rsidRPr="00316FC4">
        <w:t>000 in block solution was added and incubated for 1 h at 37</w:t>
      </w:r>
      <w:r w:rsidR="001246D8" w:rsidRPr="00316FC4">
        <w:t> °</w:t>
      </w:r>
      <w:r w:rsidRPr="00316FC4">
        <w:t xml:space="preserve">C. After a further wash step </w:t>
      </w:r>
      <w:r w:rsidRPr="00316FC4">
        <w:rPr>
          <w:snapToGrid w:val="0"/>
          <w:lang w:eastAsia="pt-BR"/>
        </w:rPr>
        <w:t xml:space="preserve">with PBS-T (x3), </w:t>
      </w:r>
      <w:r w:rsidRPr="00316FC4">
        <w:t xml:space="preserve">ABTS substrate (Roche, </w:t>
      </w:r>
      <w:proofErr w:type="spellStart"/>
      <w:r w:rsidRPr="00316FC4">
        <w:t>Basilea</w:t>
      </w:r>
      <w:proofErr w:type="spellEnd"/>
      <w:r w:rsidRPr="00316FC4">
        <w:t>, Switzerland) was added (</w:t>
      </w:r>
      <w:r w:rsidRPr="00316FC4">
        <w:rPr>
          <w:snapToGrid w:val="0"/>
          <w:lang w:eastAsia="pt-BR"/>
        </w:rPr>
        <w:t>1</w:t>
      </w:r>
      <w:r w:rsidRPr="00316FC4">
        <w:t xml:space="preserve">00 </w:t>
      </w:r>
      <w:proofErr w:type="spellStart"/>
      <w:r w:rsidRPr="00316FC4">
        <w:t>μL</w:t>
      </w:r>
      <w:proofErr w:type="spellEnd"/>
      <w:r w:rsidRPr="00316FC4">
        <w:t xml:space="preserve"> per well) and the reaction was stopped with 0.3 M oxalic acid (</w:t>
      </w:r>
      <w:r w:rsidRPr="00316FC4">
        <w:rPr>
          <w:snapToGrid w:val="0"/>
          <w:lang w:eastAsia="pt-BR"/>
        </w:rPr>
        <w:t>1</w:t>
      </w:r>
      <w:r w:rsidRPr="00316FC4">
        <w:t xml:space="preserve">00 </w:t>
      </w:r>
      <w:proofErr w:type="spellStart"/>
      <w:r w:rsidRPr="00316FC4">
        <w:t>μL</w:t>
      </w:r>
      <w:proofErr w:type="spellEnd"/>
      <w:r w:rsidRPr="00316FC4">
        <w:t xml:space="preserve"> per well) when the </w:t>
      </w:r>
      <w:r w:rsidRPr="00316FC4">
        <w:rPr>
          <w:snapToGrid w:val="0"/>
          <w:lang w:eastAsia="pt-BR"/>
        </w:rPr>
        <w:t>optical density, read at 405 nm, (OD</w:t>
      </w:r>
      <w:r w:rsidRPr="00316FC4">
        <w:rPr>
          <w:snapToGrid w:val="0"/>
          <w:vertAlign w:val="subscript"/>
          <w:lang w:eastAsia="pt-BR"/>
        </w:rPr>
        <w:t>405</w:t>
      </w:r>
      <w:r w:rsidRPr="00316FC4">
        <w:rPr>
          <w:snapToGrid w:val="0"/>
          <w:lang w:eastAsia="pt-BR"/>
        </w:rPr>
        <w:t xml:space="preserve">) of the positive control </w:t>
      </w:r>
      <w:r w:rsidR="005825FE" w:rsidRPr="00316FC4">
        <w:t xml:space="preserve">was close to 1.1. </w:t>
      </w:r>
      <w:r w:rsidRPr="00316FC4">
        <w:t>A relative index percent (RIPC) was estimated for each sample according to the following formula: RIPC = [(OD sample – OD</w:t>
      </w:r>
      <w:r w:rsidRPr="00316FC4">
        <w:rPr>
          <w:vertAlign w:val="subscript"/>
        </w:rPr>
        <w:t>405</w:t>
      </w:r>
      <w:r w:rsidRPr="00316FC4">
        <w:t xml:space="preserve"> negative control) / (OD</w:t>
      </w:r>
      <w:r w:rsidRPr="00316FC4">
        <w:rPr>
          <w:vertAlign w:val="subscript"/>
        </w:rPr>
        <w:t>405</w:t>
      </w:r>
      <w:r w:rsidRPr="00316FC4">
        <w:t xml:space="preserve"> positive control –OD</w:t>
      </w:r>
      <w:r w:rsidRPr="00316FC4">
        <w:rPr>
          <w:vertAlign w:val="subscript"/>
        </w:rPr>
        <w:t>405</w:t>
      </w:r>
      <w:r w:rsidRPr="00316FC4">
        <w:t xml:space="preserve"> negative control)] × 100.</w:t>
      </w:r>
      <w:r w:rsidR="00DB5A38" w:rsidRPr="00316FC4">
        <w:t xml:space="preserve"> Bovine serum samples with RIPC values greater than or equal to 12.0</w:t>
      </w:r>
      <w:r w:rsidR="009E21E2" w:rsidRPr="00316FC4">
        <w:t>9</w:t>
      </w:r>
      <w:r w:rsidR="00DB5A38" w:rsidRPr="00316FC4">
        <w:t xml:space="preserve"> are considered positive. Negative samples are associated with RIPC values less than 6. And doubtful results correspond to those samples with IRPC values greater than 6 and less than 12.0</w:t>
      </w:r>
      <w:r w:rsidR="009E21E2" w:rsidRPr="00316FC4">
        <w:t>9</w:t>
      </w:r>
      <w:r w:rsidR="00DB5A38" w:rsidRPr="00316FC4">
        <w:t>.</w:t>
      </w:r>
    </w:p>
    <w:p w:rsidR="00AE1F7A" w:rsidRPr="00316FC4" w:rsidRDefault="00AE1F7A" w:rsidP="001246D8">
      <w:pPr>
        <w:pStyle w:val="BodyText"/>
        <w:spacing w:before="100" w:beforeAutospacing="1" w:after="100" w:afterAutospacing="1"/>
        <w:rPr>
          <w:bCs/>
          <w:snapToGrid w:val="0"/>
          <w:sz w:val="27"/>
          <w:szCs w:val="27"/>
          <w:lang w:eastAsia="pt-BR"/>
        </w:rPr>
      </w:pPr>
      <w:r w:rsidRPr="00316FC4">
        <w:rPr>
          <w:i/>
          <w:iCs/>
          <w:snapToGrid w:val="0"/>
          <w:lang w:eastAsia="pt-BR"/>
        </w:rPr>
        <w:t xml:space="preserve">Detection of IgG responses in foetal fluids and </w:t>
      </w:r>
      <w:proofErr w:type="spellStart"/>
      <w:r w:rsidRPr="00316FC4">
        <w:rPr>
          <w:i/>
          <w:iCs/>
          <w:snapToGrid w:val="0"/>
          <w:lang w:eastAsia="pt-BR"/>
        </w:rPr>
        <w:t>precolostral</w:t>
      </w:r>
      <w:proofErr w:type="spellEnd"/>
      <w:r w:rsidRPr="00316FC4">
        <w:rPr>
          <w:i/>
          <w:iCs/>
          <w:snapToGrid w:val="0"/>
          <w:lang w:eastAsia="pt-BR"/>
        </w:rPr>
        <w:t xml:space="preserve"> sera by</w:t>
      </w:r>
      <w:r w:rsidR="00CC519E" w:rsidRPr="00316FC4">
        <w:rPr>
          <w:i/>
          <w:iCs/>
          <w:snapToGrid w:val="0"/>
          <w:lang w:eastAsia="pt-BR"/>
        </w:rPr>
        <w:t xml:space="preserve"> the</w:t>
      </w:r>
      <w:r w:rsidRPr="00316FC4">
        <w:rPr>
          <w:i/>
          <w:iCs/>
          <w:snapToGrid w:val="0"/>
          <w:lang w:eastAsia="pt-BR"/>
        </w:rPr>
        <w:t xml:space="preserve"> </w:t>
      </w:r>
      <w:r w:rsidR="0043041E" w:rsidRPr="00316FC4">
        <w:rPr>
          <w:i/>
          <w:iCs/>
          <w:snapToGrid w:val="0"/>
          <w:lang w:eastAsia="pt-BR"/>
        </w:rPr>
        <w:t>indirect fluorescent antibody test (IFAT)</w:t>
      </w:r>
    </w:p>
    <w:p w:rsidR="00F01A52" w:rsidRPr="00E4162F" w:rsidRDefault="0043041E" w:rsidP="00E4162F">
      <w:pPr>
        <w:spacing w:before="100" w:beforeAutospacing="1" w:after="100" w:afterAutospacing="1"/>
        <w:jc w:val="both"/>
      </w:pPr>
      <w:r w:rsidRPr="00316FC4">
        <w:rPr>
          <w:i/>
        </w:rPr>
        <w:t>N. caninum</w:t>
      </w:r>
      <w:r w:rsidRPr="00316FC4">
        <w:t xml:space="preserve">-specific </w:t>
      </w:r>
      <w:proofErr w:type="spellStart"/>
      <w:r w:rsidRPr="00316FC4">
        <w:t>IgG</w:t>
      </w:r>
      <w:proofErr w:type="spellEnd"/>
      <w:r w:rsidRPr="00316FC4">
        <w:t xml:space="preserve"> responses in foetal fluids and </w:t>
      </w:r>
      <w:proofErr w:type="spellStart"/>
      <w:r w:rsidRPr="00316FC4">
        <w:t>precolostral</w:t>
      </w:r>
      <w:proofErr w:type="spellEnd"/>
      <w:r w:rsidRPr="00316FC4">
        <w:t xml:space="preserve"> sera were measured by indirect fluorescent antibody test (</w:t>
      </w:r>
      <w:r w:rsidR="005825FE" w:rsidRPr="00316FC4">
        <w:t>IFAT), as previously described</w:t>
      </w:r>
      <w:r w:rsidR="009816B3" w:rsidRPr="00316FC4">
        <w:t xml:space="preserve"> </w:t>
      </w:r>
      <w:r w:rsidR="006D26A2" w:rsidRPr="00316FC4">
        <w:fldChar w:fldCharType="begin"/>
      </w:r>
      <w:r w:rsidR="009816B3" w:rsidRPr="00316FC4">
        <w:instrText>ADDIN RW.CITE{{4871 Alvarez-Garcia,G. 2003}}</w:instrText>
      </w:r>
      <w:r w:rsidR="006D26A2" w:rsidRPr="00316FC4">
        <w:fldChar w:fldCharType="separate"/>
      </w:r>
      <w:r w:rsidR="00F01A52" w:rsidRPr="00316FC4">
        <w:t>[</w:t>
      </w:r>
      <w:r w:rsidR="005947FE" w:rsidRPr="00316FC4">
        <w:t>23</w:t>
      </w:r>
      <w:bookmarkStart w:id="0" w:name="_GoBack"/>
      <w:bookmarkEnd w:id="0"/>
      <w:r w:rsidR="00F01A52" w:rsidRPr="00316FC4">
        <w:t>]</w:t>
      </w:r>
      <w:r w:rsidR="006D26A2" w:rsidRPr="00316FC4">
        <w:fldChar w:fldCharType="end"/>
      </w:r>
      <w:r w:rsidRPr="00316FC4">
        <w:rPr>
          <w:lang w:val="en-US"/>
        </w:rPr>
        <w:t>. Samples were diluted at t</w:t>
      </w:r>
      <w:r w:rsidRPr="00316FC4">
        <w:t xml:space="preserve">wo-fold serial dilutions in PBS 1x, starting at 1:8 for foetal fluids and 1:50 for </w:t>
      </w:r>
      <w:proofErr w:type="spellStart"/>
      <w:r w:rsidRPr="00316FC4">
        <w:t>precolostral</w:t>
      </w:r>
      <w:proofErr w:type="spellEnd"/>
      <w:r w:rsidRPr="00316FC4">
        <w:t xml:space="preserve"> sera, up to the end point titre. Visualization of unbroken tachyzoite membrane fluorescence at titre ≥8 for foetal fluids or ≥ 50 for </w:t>
      </w:r>
      <w:proofErr w:type="spellStart"/>
      <w:r w:rsidRPr="00316FC4">
        <w:t>precolostral</w:t>
      </w:r>
      <w:proofErr w:type="spellEnd"/>
      <w:r w:rsidRPr="00316FC4">
        <w:t xml:space="preserve"> sera was considered a positive reaction.</w:t>
      </w:r>
    </w:p>
    <w:sectPr w:rsidR="00F01A52" w:rsidRPr="00E4162F" w:rsidSect="001246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6B" w:rsidRDefault="006A746B" w:rsidP="00BE5B81">
      <w:r>
        <w:separator/>
      </w:r>
    </w:p>
  </w:endnote>
  <w:endnote w:type="continuationSeparator" w:id="0">
    <w:p w:rsidR="006A746B" w:rsidRDefault="006A746B" w:rsidP="00BE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143434"/>
      <w:docPartObj>
        <w:docPartGallery w:val="Page Numbers (Bottom of Page)"/>
        <w:docPartUnique/>
      </w:docPartObj>
    </w:sdtPr>
    <w:sdtContent>
      <w:p w:rsidR="00BE5B81" w:rsidRDefault="006D26A2">
        <w:pPr>
          <w:pStyle w:val="Footer"/>
          <w:jc w:val="center"/>
        </w:pPr>
        <w:r>
          <w:fldChar w:fldCharType="begin"/>
        </w:r>
        <w:r w:rsidR="00BE5B81">
          <w:instrText>PAGE   \* MERGEFORMAT</w:instrText>
        </w:r>
        <w:r>
          <w:fldChar w:fldCharType="separate"/>
        </w:r>
        <w:r w:rsidR="00316FC4" w:rsidRPr="00316FC4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6B" w:rsidRDefault="006A746B" w:rsidP="00BE5B81">
      <w:r>
        <w:separator/>
      </w:r>
    </w:p>
  </w:footnote>
  <w:footnote w:type="continuationSeparator" w:id="0">
    <w:p w:rsidR="006A746B" w:rsidRDefault="006A746B" w:rsidP="00BE5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DDE"/>
    <w:rsid w:val="00004ACA"/>
    <w:rsid w:val="0000589C"/>
    <w:rsid w:val="0009471B"/>
    <w:rsid w:val="000A78B5"/>
    <w:rsid w:val="000B3E9E"/>
    <w:rsid w:val="00116F65"/>
    <w:rsid w:val="001246D8"/>
    <w:rsid w:val="001C1879"/>
    <w:rsid w:val="001E503C"/>
    <w:rsid w:val="00225229"/>
    <w:rsid w:val="00240CF2"/>
    <w:rsid w:val="00282D60"/>
    <w:rsid w:val="002B0A24"/>
    <w:rsid w:val="002B7AEF"/>
    <w:rsid w:val="002E0124"/>
    <w:rsid w:val="002F00E5"/>
    <w:rsid w:val="00316FC4"/>
    <w:rsid w:val="003539EF"/>
    <w:rsid w:val="00386D95"/>
    <w:rsid w:val="003F36C4"/>
    <w:rsid w:val="0043041E"/>
    <w:rsid w:val="00497B0C"/>
    <w:rsid w:val="00515D59"/>
    <w:rsid w:val="00547DE1"/>
    <w:rsid w:val="005825FE"/>
    <w:rsid w:val="005947FE"/>
    <w:rsid w:val="005C282D"/>
    <w:rsid w:val="00603E38"/>
    <w:rsid w:val="006647D0"/>
    <w:rsid w:val="00694A8D"/>
    <w:rsid w:val="006A746B"/>
    <w:rsid w:val="006D26A2"/>
    <w:rsid w:val="006D41C0"/>
    <w:rsid w:val="006F1526"/>
    <w:rsid w:val="007028C5"/>
    <w:rsid w:val="007667FC"/>
    <w:rsid w:val="007E6A96"/>
    <w:rsid w:val="00810DF7"/>
    <w:rsid w:val="00834502"/>
    <w:rsid w:val="00927DDE"/>
    <w:rsid w:val="00955A64"/>
    <w:rsid w:val="009816B3"/>
    <w:rsid w:val="009A012B"/>
    <w:rsid w:val="009B5DEE"/>
    <w:rsid w:val="009E21E2"/>
    <w:rsid w:val="009E37EB"/>
    <w:rsid w:val="00A142F6"/>
    <w:rsid w:val="00A553CD"/>
    <w:rsid w:val="00A75CA0"/>
    <w:rsid w:val="00A8318B"/>
    <w:rsid w:val="00AC7E87"/>
    <w:rsid w:val="00AE0272"/>
    <w:rsid w:val="00AE1F7A"/>
    <w:rsid w:val="00B126DB"/>
    <w:rsid w:val="00B13BD0"/>
    <w:rsid w:val="00B7681A"/>
    <w:rsid w:val="00B923A0"/>
    <w:rsid w:val="00BC49AE"/>
    <w:rsid w:val="00BE5B81"/>
    <w:rsid w:val="00BF6C41"/>
    <w:rsid w:val="00C24080"/>
    <w:rsid w:val="00C564B3"/>
    <w:rsid w:val="00CB0DD4"/>
    <w:rsid w:val="00CC519E"/>
    <w:rsid w:val="00CE07F2"/>
    <w:rsid w:val="00CE1190"/>
    <w:rsid w:val="00D804AC"/>
    <w:rsid w:val="00D93B4A"/>
    <w:rsid w:val="00DB5A38"/>
    <w:rsid w:val="00DD0D83"/>
    <w:rsid w:val="00E1463B"/>
    <w:rsid w:val="00E4162F"/>
    <w:rsid w:val="00E4216E"/>
    <w:rsid w:val="00E8183C"/>
    <w:rsid w:val="00E87279"/>
    <w:rsid w:val="00F01A52"/>
    <w:rsid w:val="00F77DAD"/>
    <w:rsid w:val="00F8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6D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7DDE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27DDE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95"/>
    <w:rPr>
      <w:rFonts w:ascii="Tahoma" w:eastAsia="Times New Roman" w:hAnsi="Tahoma" w:cs="Tahoma"/>
      <w:sz w:val="16"/>
      <w:szCs w:val="16"/>
      <w:lang w:val="en-GB" w:eastAsia="es-ES"/>
    </w:rPr>
  </w:style>
  <w:style w:type="paragraph" w:styleId="Header">
    <w:name w:val="header"/>
    <w:basedOn w:val="Normal"/>
    <w:link w:val="HeaderChar"/>
    <w:uiPriority w:val="99"/>
    <w:unhideWhenUsed/>
    <w:rsid w:val="00BE5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8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BE5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8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C7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E8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E87"/>
    <w:rPr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01A52"/>
  </w:style>
  <w:style w:type="paragraph" w:styleId="NormalWeb">
    <w:name w:val="Normal (Web)"/>
    <w:basedOn w:val="Normal"/>
    <w:uiPriority w:val="99"/>
    <w:unhideWhenUsed/>
    <w:rsid w:val="00F01A52"/>
    <w:pPr>
      <w:spacing w:before="100" w:beforeAutospacing="1" w:after="100" w:afterAutospacing="1"/>
    </w:pPr>
    <w:rPr>
      <w:rFonts w:eastAsiaTheme="minorEastAsia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1246D8"/>
    <w:rPr>
      <w:rFonts w:ascii="Times New Roman" w:eastAsiaTheme="majorEastAsia" w:hAnsi="Times New Roman" w:cstheme="majorBidi"/>
      <w:b/>
      <w:sz w:val="28"/>
      <w:szCs w:val="26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1E2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1E2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t&amp;rct=j&amp;q=&amp;esrc=s&amp;source=web&amp;cd=1&amp;cad=rja&amp;uact=8&amp;ved=0CCAQFjAAahUKEwiJ8pG73_HIAhUBChoKHXxSCEo&amp;url=http%3A%2F%2Fwww.appliedbiosystems.com%2Fabsite%2Fus%2Fen%2Fhome%2Fsupport%2Fsoftware%2Freal-time-pcr%2Fab-7300.html&amp;usg=AFQjCNGcK_ltiuLnd7Uh0CxqpNxVxouk6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B39F-8E8B-42E9-9C5E-6A91A7AF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SALUVET</dc:creator>
  <cp:keywords/>
  <cp:lastModifiedBy>0011692</cp:lastModifiedBy>
  <cp:revision>5</cp:revision>
  <cp:lastPrinted>2019-09-03T10:23:00Z</cp:lastPrinted>
  <dcterms:created xsi:type="dcterms:W3CDTF">2019-09-03T14:29:00Z</dcterms:created>
  <dcterms:modified xsi:type="dcterms:W3CDTF">2019-09-11T09:37:00Z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2636</vt:lpwstr>
  </property>
  <property fmtid="{D5CDD505-2E9C-101B-9397-08002B2CF9AE}" pid="3" name="WnCSubscriberId">
    <vt:lpwstr>2472</vt:lpwstr>
  </property>
  <property fmtid="{D5CDD505-2E9C-101B-9397-08002B2CF9AE}" pid="4" name="WnCOutputStyleId">
    <vt:lpwstr>1669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