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43" w:rsidRPr="00703897" w:rsidRDefault="00703897" w:rsidP="00CB2743">
      <w:pPr>
        <w:pStyle w:val="EndNoteBibliography"/>
        <w:spacing w:line="480" w:lineRule="auto"/>
        <w:ind w:left="720" w:hanging="720"/>
        <w:rPr>
          <w:b/>
          <w:lang w:val="en-US"/>
        </w:rPr>
      </w:pPr>
      <w:r w:rsidRPr="00703897">
        <w:rPr>
          <w:b/>
          <w:lang w:val="en-US"/>
        </w:rPr>
        <w:t>Supplementary Material</w:t>
      </w:r>
    </w:p>
    <w:p w:rsidR="00CB2743" w:rsidRPr="00703897" w:rsidRDefault="00CB2743" w:rsidP="00CB2743">
      <w:pPr>
        <w:pStyle w:val="Beschriftung"/>
        <w:spacing w:after="0" w:line="480" w:lineRule="auto"/>
        <w:rPr>
          <w:b/>
          <w:i w:val="0"/>
          <w:color w:val="auto"/>
          <w:sz w:val="24"/>
          <w:szCs w:val="24"/>
          <w:lang w:val="en-US"/>
        </w:rPr>
      </w:pPr>
      <w:bookmarkStart w:id="0" w:name="_Ref518069043"/>
    </w:p>
    <w:bookmarkEnd w:id="0"/>
    <w:p w:rsidR="005B2E36" w:rsidRPr="00703897" w:rsidRDefault="0015572D" w:rsidP="005B2E36">
      <w:pPr>
        <w:spacing w:line="720" w:lineRule="auto"/>
        <w:rPr>
          <w:b/>
          <w:lang w:val="en-US"/>
        </w:rPr>
      </w:pPr>
      <w:proofErr w:type="spellStart"/>
      <w:proofErr w:type="gramStart"/>
      <w:r>
        <w:rPr>
          <w:b/>
          <w:lang w:val="en-US"/>
        </w:rPr>
        <w:t>eFigure</w:t>
      </w:r>
      <w:proofErr w:type="spellEnd"/>
      <w:proofErr w:type="gramEnd"/>
      <w:r>
        <w:rPr>
          <w:b/>
          <w:lang w:val="en-US"/>
        </w:rPr>
        <w:t xml:space="preserve"> 1</w:t>
      </w:r>
      <w:r w:rsidR="005B2E36" w:rsidRPr="00703897">
        <w:rPr>
          <w:b/>
          <w:lang w:val="en-US"/>
        </w:rPr>
        <w:t>a.</w:t>
      </w:r>
      <w:r w:rsidR="005B2E36" w:rsidRPr="00703897">
        <w:rPr>
          <w:lang w:val="en-US"/>
        </w:rPr>
        <w:t xml:space="preserve"> </w:t>
      </w:r>
      <w:r w:rsidR="00D91E39" w:rsidRPr="00703897">
        <w:rPr>
          <w:lang w:val="en-US"/>
        </w:rPr>
        <w:t>AHA Recommendations for screening for depression in patients with CHD.</w:t>
      </w:r>
    </w:p>
    <w:p w:rsidR="005B2E36" w:rsidRDefault="0015572D" w:rsidP="005B2E36">
      <w:pPr>
        <w:spacing w:line="720" w:lineRule="auto"/>
        <w:rPr>
          <w:lang w:val="en-US"/>
        </w:rPr>
      </w:pPr>
      <w:proofErr w:type="spellStart"/>
      <w:proofErr w:type="gramStart"/>
      <w:r>
        <w:rPr>
          <w:b/>
          <w:lang w:val="en-US"/>
        </w:rPr>
        <w:t>eFigure</w:t>
      </w:r>
      <w:proofErr w:type="spellEnd"/>
      <w:proofErr w:type="gramEnd"/>
      <w:r>
        <w:rPr>
          <w:b/>
          <w:lang w:val="en-US"/>
        </w:rPr>
        <w:t xml:space="preserve"> 1</w:t>
      </w:r>
      <w:r w:rsidR="005B2E36" w:rsidRPr="00703897">
        <w:rPr>
          <w:b/>
          <w:lang w:val="en-US"/>
        </w:rPr>
        <w:t>b.</w:t>
      </w:r>
      <w:r w:rsidR="005B2E36" w:rsidRPr="00703897">
        <w:rPr>
          <w:lang w:val="en-US"/>
        </w:rPr>
        <w:t xml:space="preserve"> </w:t>
      </w:r>
      <w:r w:rsidR="00D91E39" w:rsidRPr="00703897">
        <w:rPr>
          <w:lang w:val="en-US"/>
        </w:rPr>
        <w:t>NICE stepped-care model for “Depression in Adults with a Chronic Physical Health Problem”.</w:t>
      </w:r>
    </w:p>
    <w:p w:rsidR="0015572D" w:rsidRPr="0015572D" w:rsidRDefault="0015572D" w:rsidP="0015572D">
      <w:pPr>
        <w:pStyle w:val="Beschriftung"/>
        <w:spacing w:after="0" w:line="720" w:lineRule="auto"/>
        <w:rPr>
          <w:i w:val="0"/>
          <w:color w:val="auto"/>
          <w:sz w:val="24"/>
          <w:szCs w:val="24"/>
          <w:lang w:val="en-US"/>
        </w:rPr>
      </w:pPr>
      <w:proofErr w:type="spellStart"/>
      <w:proofErr w:type="gramStart"/>
      <w:r w:rsidRPr="00703897">
        <w:rPr>
          <w:b/>
          <w:i w:val="0"/>
          <w:color w:val="auto"/>
          <w:sz w:val="24"/>
          <w:szCs w:val="24"/>
          <w:lang w:val="en-US"/>
        </w:rPr>
        <w:t>eFigure</w:t>
      </w:r>
      <w:proofErr w:type="spellEnd"/>
      <w:proofErr w:type="gramEnd"/>
      <w:r>
        <w:rPr>
          <w:b/>
          <w:i w:val="0"/>
          <w:color w:val="auto"/>
          <w:sz w:val="24"/>
          <w:szCs w:val="24"/>
          <w:lang w:val="en-US"/>
        </w:rPr>
        <w:t xml:space="preserve"> 2</w:t>
      </w:r>
      <w:r w:rsidRPr="00703897">
        <w:rPr>
          <w:b/>
          <w:i w:val="0"/>
          <w:color w:val="auto"/>
          <w:sz w:val="24"/>
          <w:szCs w:val="24"/>
          <w:lang w:val="en-US"/>
        </w:rPr>
        <w:t xml:space="preserve">. </w:t>
      </w:r>
      <w:r w:rsidRPr="00703897">
        <w:rPr>
          <w:i w:val="0"/>
          <w:color w:val="auto"/>
          <w:sz w:val="24"/>
          <w:szCs w:val="24"/>
          <w:lang w:val="en-US"/>
        </w:rPr>
        <w:t>Study Flow Chart.</w:t>
      </w:r>
    </w:p>
    <w:p w:rsidR="00D91E39" w:rsidRPr="00703897" w:rsidRDefault="00D91E39" w:rsidP="005B2E36">
      <w:pPr>
        <w:spacing w:line="720" w:lineRule="auto"/>
        <w:rPr>
          <w:lang w:val="en-US"/>
        </w:rPr>
      </w:pPr>
      <w:proofErr w:type="spellStart"/>
      <w:proofErr w:type="gramStart"/>
      <w:r w:rsidRPr="00703897">
        <w:rPr>
          <w:b/>
          <w:lang w:val="en-US"/>
        </w:rPr>
        <w:t>eFigure</w:t>
      </w:r>
      <w:proofErr w:type="spellEnd"/>
      <w:proofErr w:type="gramEnd"/>
      <w:r w:rsidRPr="00703897">
        <w:rPr>
          <w:b/>
          <w:lang w:val="en-US"/>
        </w:rPr>
        <w:t xml:space="preserve"> 3. </w:t>
      </w:r>
      <w:r w:rsidRPr="00703897">
        <w:rPr>
          <w:lang w:val="en-US"/>
        </w:rPr>
        <w:t>Course of depressive symptoms among clinically depressed patients by treatment status.</w:t>
      </w:r>
    </w:p>
    <w:p w:rsidR="00CB2743" w:rsidRPr="00703897" w:rsidRDefault="00CB2743" w:rsidP="00D91E39">
      <w:pPr>
        <w:autoSpaceDE w:val="0"/>
        <w:autoSpaceDN w:val="0"/>
        <w:adjustRightInd w:val="0"/>
        <w:spacing w:line="720" w:lineRule="auto"/>
        <w:rPr>
          <w:lang w:val="en-US"/>
        </w:rPr>
      </w:pPr>
      <w:proofErr w:type="spellStart"/>
      <w:proofErr w:type="gramStart"/>
      <w:r w:rsidRPr="00703897">
        <w:rPr>
          <w:b/>
          <w:lang w:val="en-US"/>
        </w:rPr>
        <w:t>eTable</w:t>
      </w:r>
      <w:proofErr w:type="spellEnd"/>
      <w:proofErr w:type="gramEnd"/>
      <w:r w:rsidRPr="00703897">
        <w:rPr>
          <w:b/>
          <w:lang w:val="en-US"/>
        </w:rPr>
        <w:t xml:space="preserve"> 1. </w:t>
      </w:r>
      <w:r w:rsidRPr="00703897">
        <w:rPr>
          <w:lang w:val="en-US"/>
        </w:rPr>
        <w:t>Depression treatment rates at baseline and follow-up. Follow-up sample N = 837.</w:t>
      </w:r>
    </w:p>
    <w:p w:rsidR="00CB2743" w:rsidRPr="00CB2743" w:rsidRDefault="00CB2743" w:rsidP="00CB2743">
      <w:pPr>
        <w:rPr>
          <w:lang w:val="en-US"/>
        </w:rPr>
      </w:pPr>
    </w:p>
    <w:p w:rsidR="00CB2743" w:rsidRDefault="00CB2743">
      <w:pPr>
        <w:spacing w:after="160" w:line="259" w:lineRule="auto"/>
        <w:rPr>
          <w:lang w:val="en-US"/>
        </w:rPr>
      </w:pPr>
      <w:r>
        <w:rPr>
          <w:lang w:val="en-US"/>
        </w:rPr>
        <w:br w:type="page"/>
      </w:r>
      <w:bookmarkStart w:id="1" w:name="_GoBack"/>
      <w:bookmarkEnd w:id="1"/>
    </w:p>
    <w:p w:rsidR="005B2E36" w:rsidRPr="004D7FD9" w:rsidRDefault="005B2E36" w:rsidP="005B2E36">
      <w:pPr>
        <w:spacing w:line="480" w:lineRule="auto"/>
        <w:rPr>
          <w:lang w:val="en-US"/>
        </w:rPr>
      </w:pPr>
    </w:p>
    <w:p w:rsidR="003B4573" w:rsidRDefault="003B4573" w:rsidP="005B2E36">
      <w:pPr>
        <w:spacing w:line="480" w:lineRule="auto"/>
      </w:pPr>
      <w:r>
        <w:rPr>
          <w:noProof/>
        </w:rPr>
        <w:drawing>
          <wp:inline distT="0" distB="0" distL="0" distR="0" wp14:anchorId="2B08C7B9">
            <wp:extent cx="5743575" cy="46747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0173" cy="4696434"/>
                    </a:xfrm>
                    <a:prstGeom prst="rect">
                      <a:avLst/>
                    </a:prstGeom>
                    <a:noFill/>
                  </pic:spPr>
                </pic:pic>
              </a:graphicData>
            </a:graphic>
          </wp:inline>
        </w:drawing>
      </w:r>
    </w:p>
    <w:p w:rsidR="005B2E36" w:rsidRDefault="005B2E36" w:rsidP="005B2E36">
      <w:pPr>
        <w:spacing w:line="480" w:lineRule="auto"/>
      </w:pPr>
    </w:p>
    <w:p w:rsidR="005B2E36" w:rsidRDefault="005B2E36" w:rsidP="005B2E36">
      <w:pPr>
        <w:spacing w:line="480" w:lineRule="auto"/>
      </w:pPr>
    </w:p>
    <w:p w:rsidR="005B2E36" w:rsidRPr="004D7FD9" w:rsidRDefault="005B2E36" w:rsidP="004D7FD9">
      <w:pPr>
        <w:pStyle w:val="Beschriftung"/>
        <w:spacing w:after="0" w:line="480" w:lineRule="auto"/>
        <w:jc w:val="center"/>
        <w:rPr>
          <w:color w:val="auto"/>
          <w:sz w:val="24"/>
          <w:szCs w:val="24"/>
          <w:lang w:val="en-US"/>
        </w:rPr>
      </w:pPr>
      <w:bookmarkStart w:id="2" w:name="_Ref518068674"/>
      <w:bookmarkStart w:id="3" w:name="_Ref518068658"/>
      <w:proofErr w:type="spellStart"/>
      <w:proofErr w:type="gramStart"/>
      <w:r w:rsidRPr="004D7FD9">
        <w:rPr>
          <w:b/>
          <w:i w:val="0"/>
          <w:color w:val="auto"/>
          <w:sz w:val="24"/>
          <w:szCs w:val="24"/>
          <w:lang w:val="en-US"/>
        </w:rPr>
        <w:t>eFigure</w:t>
      </w:r>
      <w:proofErr w:type="spellEnd"/>
      <w:proofErr w:type="gramEnd"/>
      <w:r w:rsidRPr="004D7FD9">
        <w:rPr>
          <w:b/>
          <w:i w:val="0"/>
          <w:color w:val="auto"/>
          <w:sz w:val="24"/>
          <w:szCs w:val="24"/>
          <w:lang w:val="en-US"/>
        </w:rPr>
        <w:t xml:space="preserve"> </w:t>
      </w:r>
      <w:bookmarkEnd w:id="2"/>
      <w:r w:rsidR="00740954">
        <w:rPr>
          <w:b/>
          <w:i w:val="0"/>
          <w:color w:val="auto"/>
          <w:sz w:val="24"/>
          <w:szCs w:val="24"/>
          <w:lang w:val="en-US"/>
        </w:rPr>
        <w:t>1</w:t>
      </w:r>
      <w:r w:rsidR="00D91E39" w:rsidRPr="004D7FD9">
        <w:rPr>
          <w:b/>
          <w:i w:val="0"/>
          <w:color w:val="auto"/>
          <w:sz w:val="24"/>
          <w:szCs w:val="24"/>
          <w:lang w:val="en-US"/>
        </w:rPr>
        <w:t>a</w:t>
      </w:r>
      <w:r w:rsidRPr="004D7FD9">
        <w:rPr>
          <w:b/>
          <w:i w:val="0"/>
          <w:color w:val="auto"/>
          <w:sz w:val="24"/>
          <w:szCs w:val="24"/>
          <w:lang w:val="en-US"/>
        </w:rPr>
        <w:t>.</w:t>
      </w:r>
      <w:r w:rsidRPr="004D7FD9">
        <w:rPr>
          <w:rStyle w:val="berschrift1Zchn"/>
          <w:color w:val="auto"/>
          <w:sz w:val="24"/>
          <w:szCs w:val="24"/>
          <w:lang w:val="en-US"/>
        </w:rPr>
        <w:t xml:space="preserve"> </w:t>
      </w:r>
      <w:r w:rsidRPr="004D7FD9">
        <w:rPr>
          <w:color w:val="auto"/>
          <w:sz w:val="24"/>
          <w:szCs w:val="24"/>
          <w:lang w:val="en-US"/>
        </w:rPr>
        <w:t>AHA Recommendations for screening for depression in patients with CHD.</w:t>
      </w:r>
      <w:bookmarkEnd w:id="3"/>
    </w:p>
    <w:p w:rsidR="005B2E36" w:rsidRPr="004D7FD9" w:rsidRDefault="004D7FD9" w:rsidP="004D7FD9">
      <w:pPr>
        <w:pStyle w:val="Beschriftung"/>
        <w:spacing w:after="0" w:line="480" w:lineRule="auto"/>
        <w:jc w:val="center"/>
        <w:rPr>
          <w:i w:val="0"/>
          <w:color w:val="000000" w:themeColor="text1"/>
          <w:sz w:val="24"/>
          <w:szCs w:val="24"/>
          <w:lang w:val="en-US"/>
        </w:rPr>
      </w:pPr>
      <w:r>
        <w:rPr>
          <w:i w:val="0"/>
          <w:color w:val="000000" w:themeColor="text1"/>
          <w:sz w:val="24"/>
          <w:szCs w:val="24"/>
          <w:lang w:val="en-US"/>
        </w:rPr>
        <w:t>AHA =</w:t>
      </w:r>
      <w:r w:rsidRPr="004D7FD9">
        <w:rPr>
          <w:i w:val="0"/>
          <w:color w:val="000000" w:themeColor="text1"/>
          <w:sz w:val="24"/>
          <w:szCs w:val="24"/>
          <w:lang w:val="en-US"/>
        </w:rPr>
        <w:t xml:space="preserve"> American Heart Association</w:t>
      </w:r>
      <w:r>
        <w:rPr>
          <w:i w:val="0"/>
          <w:color w:val="000000" w:themeColor="text1"/>
          <w:sz w:val="24"/>
          <w:szCs w:val="24"/>
          <w:lang w:val="en-US"/>
        </w:rPr>
        <w:t>, PHQ = Patient Health Questionnaire.</w:t>
      </w:r>
    </w:p>
    <w:p w:rsidR="005B2E36" w:rsidRPr="004D7FD9" w:rsidRDefault="005B2E36" w:rsidP="005B2E36">
      <w:pPr>
        <w:pStyle w:val="Beschriftung"/>
        <w:spacing w:after="0" w:line="480" w:lineRule="auto"/>
        <w:rPr>
          <w:i w:val="0"/>
          <w:color w:val="000000" w:themeColor="text1"/>
          <w:sz w:val="24"/>
          <w:szCs w:val="24"/>
          <w:lang w:val="en-US"/>
        </w:rPr>
      </w:pPr>
    </w:p>
    <w:p w:rsidR="005B2E36" w:rsidRPr="004D7FD9" w:rsidRDefault="003B4573" w:rsidP="000D110C">
      <w:pPr>
        <w:pStyle w:val="Beschriftung"/>
        <w:spacing w:after="0"/>
        <w:jc w:val="center"/>
        <w:rPr>
          <w:i w:val="0"/>
          <w:color w:val="000000" w:themeColor="text1"/>
          <w:sz w:val="24"/>
          <w:szCs w:val="24"/>
          <w:lang w:val="en-US"/>
        </w:rPr>
      </w:pPr>
      <w:r w:rsidRPr="004D7FD9">
        <w:rPr>
          <w:i w:val="0"/>
          <w:color w:val="000000" w:themeColor="text1"/>
          <w:sz w:val="24"/>
          <w:szCs w:val="24"/>
          <w:lang w:val="en-US"/>
        </w:rPr>
        <w:t>Reprinted with permission.</w:t>
      </w:r>
    </w:p>
    <w:p w:rsidR="000D110C" w:rsidRPr="004D7FD9" w:rsidRDefault="000D110C" w:rsidP="000D110C">
      <w:pPr>
        <w:jc w:val="center"/>
        <w:rPr>
          <w:lang w:val="en-US"/>
        </w:rPr>
      </w:pPr>
      <w:r w:rsidRPr="004D7FD9">
        <w:rPr>
          <w:lang w:val="en-US"/>
        </w:rPr>
        <w:t>Circulation.2008; 118: 1769-1775</w:t>
      </w:r>
    </w:p>
    <w:p w:rsidR="000D110C" w:rsidRPr="004D7FD9" w:rsidRDefault="000D110C" w:rsidP="000D110C">
      <w:pPr>
        <w:jc w:val="center"/>
        <w:rPr>
          <w:lang w:val="en-US"/>
        </w:rPr>
      </w:pPr>
      <w:r w:rsidRPr="004D7FD9">
        <w:rPr>
          <w:lang w:val="en-US"/>
        </w:rPr>
        <w:t>© 2008 American Heart Association, Inc.</w:t>
      </w:r>
    </w:p>
    <w:p w:rsidR="000D110C" w:rsidRPr="000D110C" w:rsidRDefault="000D110C" w:rsidP="000D110C">
      <w:pPr>
        <w:rPr>
          <w:lang w:val="en-US"/>
        </w:rPr>
      </w:pPr>
    </w:p>
    <w:p w:rsidR="00D91E39" w:rsidRPr="00184301" w:rsidRDefault="005B2E36" w:rsidP="00D91E39">
      <w:pPr>
        <w:pStyle w:val="EndNoteBibliography"/>
        <w:spacing w:line="480" w:lineRule="auto"/>
        <w:rPr>
          <w:b/>
          <w:sz w:val="22"/>
          <w:szCs w:val="22"/>
          <w:lang w:val="en-US"/>
        </w:rPr>
      </w:pPr>
      <w:r>
        <w:rPr>
          <w:b/>
          <w:sz w:val="22"/>
          <w:szCs w:val="22"/>
          <w:lang w:val="en-US"/>
        </w:rPr>
        <w:br w:type="page"/>
      </w:r>
    </w:p>
    <w:p w:rsidR="00D91E39" w:rsidRDefault="00D91E39" w:rsidP="00D91E39">
      <w:pPr>
        <w:spacing w:line="480" w:lineRule="auto"/>
      </w:pPr>
      <w:r>
        <w:rPr>
          <w:noProof/>
        </w:rPr>
        <w:lastRenderedPageBreak/>
        <w:drawing>
          <wp:inline distT="0" distB="0" distL="0" distR="0" wp14:anchorId="7691D4B5" wp14:editId="539A089B">
            <wp:extent cx="5716843" cy="3229470"/>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684" cy="3254236"/>
                    </a:xfrm>
                    <a:prstGeom prst="rect">
                      <a:avLst/>
                    </a:prstGeom>
                    <a:noFill/>
                  </pic:spPr>
                </pic:pic>
              </a:graphicData>
            </a:graphic>
          </wp:inline>
        </w:drawing>
      </w:r>
    </w:p>
    <w:p w:rsidR="00D91E39" w:rsidRDefault="00D91E39" w:rsidP="00D91E39">
      <w:pPr>
        <w:spacing w:line="480" w:lineRule="auto"/>
      </w:pPr>
    </w:p>
    <w:p w:rsidR="00D91E39" w:rsidRPr="004D7FD9" w:rsidRDefault="00740954" w:rsidP="004D7FD9">
      <w:pPr>
        <w:spacing w:line="480" w:lineRule="auto"/>
        <w:jc w:val="center"/>
        <w:rPr>
          <w:rFonts w:eastAsiaTheme="minorHAnsi"/>
          <w:i/>
          <w:color w:val="000000"/>
          <w:lang w:val="en-US" w:eastAsia="en-US"/>
        </w:rPr>
      </w:pPr>
      <w:proofErr w:type="spellStart"/>
      <w:proofErr w:type="gramStart"/>
      <w:r>
        <w:rPr>
          <w:b/>
          <w:lang w:val="en-US"/>
        </w:rPr>
        <w:t>eFigure</w:t>
      </w:r>
      <w:proofErr w:type="spellEnd"/>
      <w:proofErr w:type="gramEnd"/>
      <w:r>
        <w:rPr>
          <w:b/>
          <w:lang w:val="en-US"/>
        </w:rPr>
        <w:t xml:space="preserve"> 1</w:t>
      </w:r>
      <w:r w:rsidR="00D91E39" w:rsidRPr="004D7FD9">
        <w:rPr>
          <w:b/>
          <w:lang w:val="en-US"/>
        </w:rPr>
        <w:t xml:space="preserve">b. </w:t>
      </w:r>
      <w:r w:rsidR="00D91E39" w:rsidRPr="004D7FD9">
        <w:rPr>
          <w:i/>
          <w:lang w:val="en-US"/>
        </w:rPr>
        <w:t xml:space="preserve">NICE </w:t>
      </w:r>
      <w:r w:rsidR="00D91E39" w:rsidRPr="004D7FD9">
        <w:rPr>
          <w:i/>
          <w:color w:val="000000"/>
          <w:lang w:val="en-US"/>
        </w:rPr>
        <w:t>stepped-care model for</w:t>
      </w:r>
      <w:r w:rsidR="00D91E39" w:rsidRPr="004D7FD9">
        <w:rPr>
          <w:rFonts w:eastAsiaTheme="minorHAnsi"/>
          <w:i/>
          <w:color w:val="000000"/>
          <w:lang w:val="en-US" w:eastAsia="en-US"/>
        </w:rPr>
        <w:t xml:space="preserve"> “Depression in Adults with a Chronic Physical Health Problem”</w:t>
      </w:r>
      <w:r w:rsidR="00D91E39" w:rsidRPr="004D7FD9">
        <w:rPr>
          <w:lang w:val="en-US"/>
        </w:rPr>
        <w:t>.</w:t>
      </w:r>
    </w:p>
    <w:p w:rsidR="00D91E39" w:rsidRPr="004D7FD9" w:rsidRDefault="004D7FD9" w:rsidP="004D7FD9">
      <w:pPr>
        <w:spacing w:line="480" w:lineRule="auto"/>
        <w:jc w:val="center"/>
        <w:rPr>
          <w:rFonts w:eastAsiaTheme="minorHAnsi"/>
          <w:i/>
          <w:color w:val="000000"/>
          <w:lang w:val="en-US" w:eastAsia="en-US"/>
        </w:rPr>
      </w:pPr>
      <w:r>
        <w:rPr>
          <w:lang w:val="en-US"/>
        </w:rPr>
        <w:t>NICE =</w:t>
      </w:r>
      <w:r w:rsidR="00D91E39" w:rsidRPr="004D7FD9">
        <w:rPr>
          <w:i/>
          <w:lang w:val="en-US"/>
        </w:rPr>
        <w:t xml:space="preserve"> </w:t>
      </w:r>
      <w:r w:rsidR="00D91E39" w:rsidRPr="004D7FD9">
        <w:rPr>
          <w:lang w:val="en-US"/>
        </w:rPr>
        <w:t>National Institute for Health and Care Excellence.</w:t>
      </w:r>
    </w:p>
    <w:p w:rsidR="00D91E39" w:rsidRPr="004D7FD9" w:rsidRDefault="00D91E39" w:rsidP="00D91E39">
      <w:pPr>
        <w:spacing w:after="160" w:line="480" w:lineRule="auto"/>
        <w:rPr>
          <w:b/>
          <w:i/>
          <w:lang w:val="en-US"/>
        </w:rPr>
      </w:pPr>
    </w:p>
    <w:p w:rsidR="003B4573" w:rsidRPr="004D7FD9" w:rsidRDefault="003B4573" w:rsidP="000D110C">
      <w:pPr>
        <w:spacing w:after="160" w:line="259" w:lineRule="auto"/>
        <w:rPr>
          <w:lang w:val="en-US"/>
        </w:rPr>
      </w:pPr>
      <w:r w:rsidRPr="004D7FD9">
        <w:rPr>
          <w:lang w:val="en-US"/>
        </w:rPr>
        <w:t xml:space="preserve">© NICE (2009) Depression in adults with a chronic physical health problem: recognition and management. Available from www.nice.org.uk/guidance/cg91 </w:t>
      </w:r>
      <w:proofErr w:type="gramStart"/>
      <w:r w:rsidRPr="004D7FD9">
        <w:rPr>
          <w:lang w:val="en-US"/>
        </w:rPr>
        <w:t>All</w:t>
      </w:r>
      <w:proofErr w:type="gramEnd"/>
      <w:r w:rsidRPr="004D7FD9">
        <w:rPr>
          <w:lang w:val="en-US"/>
        </w:rPr>
        <w:t xml:space="preserve"> rights reserved. Subject to Notice of rights</w:t>
      </w:r>
    </w:p>
    <w:p w:rsidR="00D91E39" w:rsidRPr="004D7FD9" w:rsidRDefault="003B4573" w:rsidP="000D110C">
      <w:pPr>
        <w:spacing w:after="160" w:line="259" w:lineRule="auto"/>
        <w:rPr>
          <w:lang w:val="en-US"/>
        </w:rPr>
      </w:pPr>
      <w:r w:rsidRPr="004D7FD9">
        <w:rPr>
          <w:lang w:val="en-US"/>
        </w:rPr>
        <w:t>NICE guidance is prepared for the National Health Service in England. All NICE guidance is subject to regular review and may be updated or withdrawn. NICE accepts no responsibility for the use of its content in this product/publication.</w:t>
      </w:r>
    </w:p>
    <w:p w:rsidR="00740954" w:rsidRDefault="00D91E39" w:rsidP="00740954">
      <w:pPr>
        <w:spacing w:line="480" w:lineRule="auto"/>
        <w:rPr>
          <w:sz w:val="22"/>
          <w:szCs w:val="22"/>
          <w:lang w:val="en-US"/>
        </w:rPr>
      </w:pPr>
      <w:r>
        <w:rPr>
          <w:b/>
          <w:sz w:val="20"/>
          <w:szCs w:val="20"/>
          <w:lang w:val="en-US"/>
        </w:rPr>
        <w:br w:type="page"/>
      </w:r>
      <w:r w:rsidR="00740954" w:rsidRPr="00A37CB1">
        <w:rPr>
          <w:noProof/>
          <w:sz w:val="22"/>
          <w:szCs w:val="22"/>
        </w:rPr>
        <w:lastRenderedPageBreak/>
        <w:drawing>
          <wp:inline distT="0" distB="0" distL="0" distR="0" wp14:anchorId="4825994E" wp14:editId="6577162E">
            <wp:extent cx="5852901" cy="527858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8"/>
                    <a:stretch>
                      <a:fillRect/>
                    </a:stretch>
                  </pic:blipFill>
                  <pic:spPr>
                    <a:xfrm>
                      <a:off x="0" y="0"/>
                      <a:ext cx="5859584" cy="5284609"/>
                    </a:xfrm>
                    <a:prstGeom prst="rect">
                      <a:avLst/>
                    </a:prstGeom>
                  </pic:spPr>
                </pic:pic>
              </a:graphicData>
            </a:graphic>
          </wp:inline>
        </w:drawing>
      </w:r>
    </w:p>
    <w:p w:rsidR="00740954" w:rsidRDefault="00740954" w:rsidP="00740954">
      <w:pPr>
        <w:pStyle w:val="Beschriftung"/>
        <w:spacing w:line="480" w:lineRule="auto"/>
        <w:rPr>
          <w:b/>
          <w:i w:val="0"/>
          <w:color w:val="auto"/>
          <w:sz w:val="24"/>
          <w:szCs w:val="22"/>
          <w:lang w:val="en-US"/>
        </w:rPr>
      </w:pPr>
    </w:p>
    <w:p w:rsidR="00740954" w:rsidRPr="004D7FD9" w:rsidRDefault="00740954" w:rsidP="00740954">
      <w:pPr>
        <w:pStyle w:val="Beschriftung"/>
        <w:spacing w:line="480" w:lineRule="auto"/>
        <w:jc w:val="center"/>
        <w:rPr>
          <w:color w:val="auto"/>
          <w:sz w:val="24"/>
          <w:szCs w:val="22"/>
          <w:lang w:val="en-US"/>
        </w:rPr>
      </w:pPr>
      <w:proofErr w:type="spellStart"/>
      <w:r w:rsidRPr="004D7FD9">
        <w:rPr>
          <w:b/>
          <w:i w:val="0"/>
          <w:color w:val="auto"/>
          <w:sz w:val="24"/>
          <w:szCs w:val="22"/>
          <w:lang w:val="en-US"/>
        </w:rPr>
        <w:t>eFigure</w:t>
      </w:r>
      <w:proofErr w:type="spellEnd"/>
      <w:r>
        <w:rPr>
          <w:b/>
          <w:i w:val="0"/>
          <w:color w:val="auto"/>
          <w:sz w:val="24"/>
          <w:szCs w:val="22"/>
          <w:lang w:val="en-US"/>
        </w:rPr>
        <w:t xml:space="preserve"> 2</w:t>
      </w:r>
      <w:r w:rsidRPr="004D7FD9">
        <w:rPr>
          <w:b/>
          <w:i w:val="0"/>
          <w:color w:val="auto"/>
          <w:sz w:val="24"/>
          <w:szCs w:val="22"/>
          <w:lang w:val="en-US"/>
        </w:rPr>
        <w:t>.</w:t>
      </w:r>
      <w:r w:rsidRPr="004D7FD9">
        <w:rPr>
          <w:b/>
          <w:color w:val="auto"/>
          <w:sz w:val="24"/>
          <w:szCs w:val="22"/>
          <w:lang w:val="en-US"/>
        </w:rPr>
        <w:t xml:space="preserve"> </w:t>
      </w:r>
      <w:r w:rsidRPr="004D7FD9">
        <w:rPr>
          <w:color w:val="auto"/>
          <w:sz w:val="24"/>
          <w:szCs w:val="22"/>
          <w:lang w:val="en-US"/>
        </w:rPr>
        <w:t>Study Flow Chart.</w:t>
      </w:r>
    </w:p>
    <w:p w:rsidR="00740954" w:rsidRPr="004D7FD9" w:rsidRDefault="00740954" w:rsidP="00740954">
      <w:pPr>
        <w:spacing w:line="480" w:lineRule="auto"/>
        <w:jc w:val="center"/>
        <w:rPr>
          <w:szCs w:val="22"/>
          <w:lang w:val="en-US"/>
        </w:rPr>
      </w:pPr>
      <w:r>
        <w:rPr>
          <w:iCs/>
          <w:szCs w:val="22"/>
          <w:lang w:val="en-US"/>
        </w:rPr>
        <w:t>CHD = Coronary Heart D</w:t>
      </w:r>
      <w:r w:rsidRPr="004D7FD9">
        <w:rPr>
          <w:iCs/>
          <w:szCs w:val="22"/>
          <w:lang w:val="en-US"/>
        </w:rPr>
        <w:t>isease, DSM-</w:t>
      </w:r>
      <w:r w:rsidRPr="004D7FD9">
        <w:rPr>
          <w:szCs w:val="22"/>
          <w:lang w:val="en-US"/>
        </w:rPr>
        <w:t>IV = DSM-IV = Diagnostic and Statistical Manual of Mental Disorders, PHQ = Patient Health Questionnaire.</w:t>
      </w:r>
    </w:p>
    <w:p w:rsidR="00D91E39" w:rsidRDefault="00D91E39" w:rsidP="00D91E39">
      <w:pPr>
        <w:spacing w:after="160" w:line="259" w:lineRule="auto"/>
        <w:rPr>
          <w:b/>
          <w:sz w:val="20"/>
          <w:szCs w:val="20"/>
          <w:lang w:val="en-US"/>
        </w:rPr>
      </w:pPr>
    </w:p>
    <w:p w:rsidR="00D91E39" w:rsidRDefault="00D91E39" w:rsidP="00D91E39">
      <w:pPr>
        <w:spacing w:line="480" w:lineRule="auto"/>
        <w:rPr>
          <w:sz w:val="22"/>
          <w:szCs w:val="22"/>
          <w:lang w:val="en-US"/>
        </w:rPr>
      </w:pPr>
      <w:r>
        <w:rPr>
          <w:noProof/>
          <w:sz w:val="22"/>
          <w:szCs w:val="22"/>
        </w:rPr>
        <w:lastRenderedPageBreak/>
        <w:drawing>
          <wp:inline distT="0" distB="0" distL="0" distR="0" wp14:anchorId="6FF8C9FA" wp14:editId="36696FE3">
            <wp:extent cx="5772647" cy="41379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209" t="1531" r="4334" b="2086"/>
                    <a:stretch/>
                  </pic:blipFill>
                  <pic:spPr bwMode="auto">
                    <a:xfrm>
                      <a:off x="0" y="0"/>
                      <a:ext cx="5788349" cy="4149198"/>
                    </a:xfrm>
                    <a:prstGeom prst="rect">
                      <a:avLst/>
                    </a:prstGeom>
                    <a:noFill/>
                    <a:ln>
                      <a:noFill/>
                    </a:ln>
                    <a:extLst>
                      <a:ext uri="{53640926-AAD7-44D8-BBD7-CCE9431645EC}">
                        <a14:shadowObscured xmlns:a14="http://schemas.microsoft.com/office/drawing/2010/main"/>
                      </a:ext>
                    </a:extLst>
                  </pic:spPr>
                </pic:pic>
              </a:graphicData>
            </a:graphic>
          </wp:inline>
        </w:drawing>
      </w:r>
    </w:p>
    <w:p w:rsidR="004D7FD9" w:rsidRDefault="004D7FD9" w:rsidP="004D7FD9">
      <w:pPr>
        <w:pStyle w:val="Beschriftung"/>
        <w:spacing w:line="480" w:lineRule="auto"/>
        <w:jc w:val="center"/>
        <w:rPr>
          <w:b/>
          <w:i w:val="0"/>
          <w:color w:val="auto"/>
          <w:sz w:val="24"/>
          <w:szCs w:val="22"/>
          <w:lang w:val="en-US"/>
        </w:rPr>
      </w:pPr>
    </w:p>
    <w:p w:rsidR="004D7FD9" w:rsidRPr="004D7FD9" w:rsidRDefault="00D91E39" w:rsidP="004D7FD9">
      <w:pPr>
        <w:pStyle w:val="Beschriftung"/>
        <w:spacing w:line="480" w:lineRule="auto"/>
        <w:jc w:val="center"/>
        <w:rPr>
          <w:color w:val="auto"/>
          <w:sz w:val="24"/>
          <w:szCs w:val="22"/>
          <w:lang w:val="en-US"/>
        </w:rPr>
      </w:pPr>
      <w:proofErr w:type="spellStart"/>
      <w:proofErr w:type="gramStart"/>
      <w:r w:rsidRPr="004D7FD9">
        <w:rPr>
          <w:b/>
          <w:i w:val="0"/>
          <w:color w:val="auto"/>
          <w:sz w:val="24"/>
          <w:szCs w:val="22"/>
          <w:lang w:val="en-US"/>
        </w:rPr>
        <w:t>eFigure</w:t>
      </w:r>
      <w:proofErr w:type="spellEnd"/>
      <w:proofErr w:type="gramEnd"/>
      <w:r w:rsidRPr="004D7FD9">
        <w:rPr>
          <w:b/>
          <w:i w:val="0"/>
          <w:color w:val="auto"/>
          <w:sz w:val="24"/>
          <w:szCs w:val="22"/>
          <w:lang w:val="en-US"/>
        </w:rPr>
        <w:t xml:space="preserve"> 3.</w:t>
      </w:r>
      <w:r w:rsidRPr="004D7FD9">
        <w:rPr>
          <w:b/>
          <w:color w:val="auto"/>
          <w:sz w:val="24"/>
          <w:szCs w:val="22"/>
          <w:lang w:val="en-US"/>
        </w:rPr>
        <w:t xml:space="preserve"> </w:t>
      </w:r>
      <w:r w:rsidRPr="004D7FD9">
        <w:rPr>
          <w:color w:val="auto"/>
          <w:sz w:val="24"/>
          <w:szCs w:val="22"/>
          <w:lang w:val="en-US"/>
        </w:rPr>
        <w:t>Course of depressive symptoms among clinically depress</w:t>
      </w:r>
      <w:r w:rsidR="004D7FD9">
        <w:rPr>
          <w:color w:val="auto"/>
          <w:sz w:val="24"/>
          <w:szCs w:val="22"/>
          <w:lang w:val="en-US"/>
        </w:rPr>
        <w:t>ed patients by treatment status</w:t>
      </w:r>
    </w:p>
    <w:p w:rsidR="004D7FD9" w:rsidRPr="004D7FD9" w:rsidRDefault="004D7FD9" w:rsidP="004D7FD9">
      <w:pPr>
        <w:jc w:val="center"/>
        <w:rPr>
          <w:lang w:val="en-US"/>
        </w:rPr>
        <w:sectPr w:rsidR="004D7FD9" w:rsidRPr="004D7FD9" w:rsidSect="0039156B">
          <w:pgSz w:w="11906" w:h="16838"/>
          <w:pgMar w:top="1418" w:right="1418" w:bottom="1134" w:left="1418" w:header="709" w:footer="624" w:gutter="0"/>
          <w:cols w:space="708"/>
          <w:docGrid w:linePitch="360"/>
        </w:sectPr>
      </w:pPr>
      <w:r>
        <w:rPr>
          <w:lang w:val="en-US"/>
        </w:rPr>
        <w:t>PHQ = Patient Health Questionnaire.</w:t>
      </w:r>
    </w:p>
    <w:p w:rsidR="00CB2743" w:rsidRPr="00503B9F" w:rsidRDefault="00CB2743" w:rsidP="00850E07">
      <w:pPr>
        <w:autoSpaceDE w:val="0"/>
        <w:autoSpaceDN w:val="0"/>
        <w:adjustRightInd w:val="0"/>
        <w:rPr>
          <w:b/>
          <w:sz w:val="20"/>
          <w:szCs w:val="20"/>
          <w:lang w:val="en-US"/>
        </w:rPr>
      </w:pPr>
      <w:proofErr w:type="spellStart"/>
      <w:proofErr w:type="gramStart"/>
      <w:r>
        <w:rPr>
          <w:b/>
          <w:sz w:val="20"/>
          <w:szCs w:val="20"/>
          <w:lang w:val="en-US"/>
        </w:rPr>
        <w:lastRenderedPageBreak/>
        <w:t>eTable</w:t>
      </w:r>
      <w:proofErr w:type="spellEnd"/>
      <w:proofErr w:type="gramEnd"/>
      <w:r>
        <w:rPr>
          <w:b/>
          <w:sz w:val="20"/>
          <w:szCs w:val="20"/>
          <w:lang w:val="en-US"/>
        </w:rPr>
        <w:t xml:space="preserve"> 1</w:t>
      </w:r>
    </w:p>
    <w:p w:rsidR="00CB2743" w:rsidRPr="00503B9F" w:rsidRDefault="00CB2743" w:rsidP="00850E07">
      <w:pPr>
        <w:autoSpaceDE w:val="0"/>
        <w:autoSpaceDN w:val="0"/>
        <w:adjustRightInd w:val="0"/>
        <w:spacing w:after="120"/>
        <w:rPr>
          <w:sz w:val="20"/>
          <w:szCs w:val="20"/>
          <w:lang w:val="en-US"/>
        </w:rPr>
      </w:pPr>
      <w:r w:rsidRPr="00503B9F">
        <w:rPr>
          <w:sz w:val="20"/>
          <w:szCs w:val="20"/>
          <w:lang w:val="en-US"/>
        </w:rPr>
        <w:t>Depression treatment rates at baseline and follow-up. Follow-up sample N = 837</w:t>
      </w:r>
      <w:r>
        <w:rPr>
          <w:sz w:val="20"/>
          <w:szCs w:val="20"/>
          <w:lang w:val="en-US"/>
        </w:rPr>
        <w:t>.</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412"/>
        <w:gridCol w:w="2268"/>
        <w:gridCol w:w="2127"/>
      </w:tblGrid>
      <w:tr w:rsidR="00CB2743" w:rsidRPr="00503B9F" w:rsidTr="009103AD">
        <w:tc>
          <w:tcPr>
            <w:tcW w:w="3119" w:type="dxa"/>
            <w:tcBorders>
              <w:top w:val="single" w:sz="4" w:space="0" w:color="auto"/>
              <w:bottom w:val="single" w:sz="4" w:space="0" w:color="auto"/>
            </w:tcBorders>
          </w:tcPr>
          <w:p w:rsidR="00CB2743" w:rsidRPr="00503B9F" w:rsidRDefault="00CB2743" w:rsidP="00850E07">
            <w:pPr>
              <w:spacing w:before="120" w:after="120"/>
              <w:rPr>
                <w:b/>
                <w:sz w:val="20"/>
                <w:szCs w:val="20"/>
                <w:vertAlign w:val="superscript"/>
                <w:lang w:val="en-US"/>
              </w:rPr>
            </w:pPr>
            <w:r w:rsidRPr="00503B9F">
              <w:rPr>
                <w:sz w:val="20"/>
                <w:szCs w:val="20"/>
                <w:lang w:val="en-US"/>
              </w:rPr>
              <w:t>Treatment, No.</w:t>
            </w:r>
            <w:r w:rsidRPr="00503B9F">
              <w:rPr>
                <w:i/>
                <w:sz w:val="20"/>
                <w:szCs w:val="20"/>
                <w:lang w:val="en-US"/>
              </w:rPr>
              <w:t xml:space="preserve"> </w:t>
            </w:r>
            <w:r w:rsidRPr="00503B9F">
              <w:rPr>
                <w:sz w:val="20"/>
                <w:szCs w:val="20"/>
                <w:lang w:val="en-US"/>
              </w:rPr>
              <w:t>(%)</w:t>
            </w:r>
            <w:r w:rsidRPr="00503B9F">
              <w:rPr>
                <w:b/>
                <w:sz w:val="20"/>
                <w:szCs w:val="20"/>
                <w:vertAlign w:val="superscript"/>
                <w:lang w:val="en-US"/>
              </w:rPr>
              <w:t>a</w:t>
            </w:r>
          </w:p>
        </w:tc>
        <w:tc>
          <w:tcPr>
            <w:tcW w:w="1412" w:type="dxa"/>
            <w:tcBorders>
              <w:top w:val="single" w:sz="4" w:space="0" w:color="auto"/>
              <w:bottom w:val="single" w:sz="4" w:space="0" w:color="auto"/>
            </w:tcBorders>
            <w:vAlign w:val="center"/>
          </w:tcPr>
          <w:p w:rsidR="00CB2743" w:rsidRPr="00503B9F" w:rsidRDefault="00CB2743" w:rsidP="00850E07">
            <w:pPr>
              <w:autoSpaceDE w:val="0"/>
              <w:autoSpaceDN w:val="0"/>
              <w:adjustRightInd w:val="0"/>
              <w:spacing w:after="120"/>
              <w:jc w:val="center"/>
              <w:rPr>
                <w:b/>
                <w:sz w:val="20"/>
                <w:szCs w:val="20"/>
                <w:lang w:val="en-US"/>
              </w:rPr>
            </w:pPr>
            <w:r w:rsidRPr="00503B9F">
              <w:rPr>
                <w:b/>
                <w:sz w:val="20"/>
                <w:szCs w:val="20"/>
                <w:lang w:val="en-US"/>
              </w:rPr>
              <w:t>Baseline</w:t>
            </w:r>
          </w:p>
        </w:tc>
        <w:tc>
          <w:tcPr>
            <w:tcW w:w="2268" w:type="dxa"/>
            <w:tcBorders>
              <w:top w:val="single" w:sz="4" w:space="0" w:color="auto"/>
              <w:bottom w:val="single" w:sz="4" w:space="0" w:color="auto"/>
            </w:tcBorders>
            <w:vAlign w:val="center"/>
          </w:tcPr>
          <w:p w:rsidR="00CB2743" w:rsidRPr="00503B9F" w:rsidRDefault="00CB2743" w:rsidP="00850E07">
            <w:pPr>
              <w:autoSpaceDE w:val="0"/>
              <w:autoSpaceDN w:val="0"/>
              <w:adjustRightInd w:val="0"/>
              <w:spacing w:after="120"/>
              <w:jc w:val="center"/>
              <w:rPr>
                <w:b/>
                <w:sz w:val="20"/>
                <w:szCs w:val="20"/>
                <w:lang w:val="en-US"/>
              </w:rPr>
            </w:pPr>
            <w:r w:rsidRPr="00503B9F">
              <w:rPr>
                <w:b/>
                <w:sz w:val="20"/>
                <w:szCs w:val="20"/>
                <w:lang w:val="en-US"/>
              </w:rPr>
              <w:t>6-months follow-up</w:t>
            </w:r>
          </w:p>
        </w:tc>
        <w:tc>
          <w:tcPr>
            <w:tcW w:w="2127" w:type="dxa"/>
            <w:tcBorders>
              <w:top w:val="single" w:sz="4" w:space="0" w:color="auto"/>
              <w:bottom w:val="single" w:sz="4" w:space="0" w:color="auto"/>
            </w:tcBorders>
            <w:vAlign w:val="center"/>
          </w:tcPr>
          <w:p w:rsidR="00CB2743" w:rsidRPr="00503B9F" w:rsidRDefault="00CB2743" w:rsidP="00850E07">
            <w:pPr>
              <w:autoSpaceDE w:val="0"/>
              <w:autoSpaceDN w:val="0"/>
              <w:adjustRightInd w:val="0"/>
              <w:spacing w:after="120"/>
              <w:jc w:val="center"/>
              <w:rPr>
                <w:b/>
                <w:sz w:val="20"/>
                <w:szCs w:val="20"/>
                <w:lang w:val="en-US"/>
              </w:rPr>
            </w:pPr>
            <w:r w:rsidRPr="00503B9F">
              <w:rPr>
                <w:b/>
                <w:sz w:val="20"/>
                <w:szCs w:val="20"/>
                <w:lang w:val="en-US"/>
              </w:rPr>
              <w:t>12-months follow-up</w:t>
            </w:r>
          </w:p>
        </w:tc>
      </w:tr>
      <w:tr w:rsidR="00CB2743" w:rsidRPr="00503B9F" w:rsidTr="009103AD">
        <w:tc>
          <w:tcPr>
            <w:tcW w:w="3119" w:type="dxa"/>
            <w:tcBorders>
              <w:top w:val="single" w:sz="4" w:space="0" w:color="auto"/>
            </w:tcBorders>
            <w:vAlign w:val="center"/>
          </w:tcPr>
          <w:p w:rsidR="00CB2743" w:rsidRPr="00503B9F" w:rsidRDefault="00CB2743" w:rsidP="00850E07">
            <w:pPr>
              <w:autoSpaceDE w:val="0"/>
              <w:autoSpaceDN w:val="0"/>
              <w:adjustRightInd w:val="0"/>
              <w:spacing w:after="120"/>
              <w:rPr>
                <w:sz w:val="20"/>
                <w:szCs w:val="20"/>
                <w:lang w:val="en-US"/>
              </w:rPr>
            </w:pPr>
            <w:r w:rsidRPr="00503B9F">
              <w:rPr>
                <w:sz w:val="20"/>
                <w:szCs w:val="20"/>
                <w:lang w:val="en-US"/>
              </w:rPr>
              <w:t>No depression treatment</w:t>
            </w:r>
          </w:p>
        </w:tc>
        <w:tc>
          <w:tcPr>
            <w:tcW w:w="1412" w:type="dxa"/>
            <w:tcBorders>
              <w:top w:val="single" w:sz="4" w:space="0" w:color="auto"/>
            </w:tcBorders>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767 (91.6)</w:t>
            </w:r>
          </w:p>
        </w:tc>
        <w:tc>
          <w:tcPr>
            <w:tcW w:w="2268" w:type="dxa"/>
            <w:tcBorders>
              <w:top w:val="single" w:sz="4" w:space="0" w:color="auto"/>
            </w:tcBorders>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747 (89.5)</w:t>
            </w:r>
          </w:p>
        </w:tc>
        <w:tc>
          <w:tcPr>
            <w:tcW w:w="2127" w:type="dxa"/>
            <w:tcBorders>
              <w:top w:val="single" w:sz="4" w:space="0" w:color="auto"/>
            </w:tcBorders>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735 (88.2)</w:t>
            </w:r>
          </w:p>
        </w:tc>
      </w:tr>
      <w:tr w:rsidR="00CB2743" w:rsidRPr="00503B9F" w:rsidTr="009103AD">
        <w:tc>
          <w:tcPr>
            <w:tcW w:w="3119" w:type="dxa"/>
            <w:vAlign w:val="center"/>
          </w:tcPr>
          <w:p w:rsidR="00CB2743" w:rsidRPr="00503B9F" w:rsidRDefault="00CB2743" w:rsidP="00850E07">
            <w:pPr>
              <w:autoSpaceDE w:val="0"/>
              <w:autoSpaceDN w:val="0"/>
              <w:adjustRightInd w:val="0"/>
              <w:spacing w:after="120"/>
              <w:rPr>
                <w:sz w:val="20"/>
                <w:szCs w:val="20"/>
                <w:lang w:val="en-US"/>
              </w:rPr>
            </w:pPr>
            <w:proofErr w:type="spellStart"/>
            <w:r w:rsidRPr="00503B9F">
              <w:rPr>
                <w:sz w:val="20"/>
                <w:szCs w:val="20"/>
                <w:lang w:val="en-US"/>
              </w:rPr>
              <w:t>Psychotherapy</w:t>
            </w:r>
            <w:r w:rsidRPr="00503B9F">
              <w:rPr>
                <w:b/>
                <w:sz w:val="20"/>
                <w:szCs w:val="20"/>
                <w:vertAlign w:val="superscript"/>
                <w:lang w:val="en-US"/>
              </w:rPr>
              <w:t>b</w:t>
            </w:r>
            <w:proofErr w:type="spellEnd"/>
          </w:p>
        </w:tc>
        <w:tc>
          <w:tcPr>
            <w:tcW w:w="1412" w:type="dxa"/>
            <w:vAlign w:val="center"/>
          </w:tcPr>
          <w:p w:rsidR="00CB2743" w:rsidRPr="00503B9F" w:rsidRDefault="00CB2743" w:rsidP="00850E07">
            <w:pPr>
              <w:autoSpaceDE w:val="0"/>
              <w:autoSpaceDN w:val="0"/>
              <w:adjustRightInd w:val="0"/>
              <w:jc w:val="center"/>
              <w:rPr>
                <w:sz w:val="20"/>
                <w:szCs w:val="20"/>
              </w:rPr>
            </w:pPr>
            <w:r w:rsidRPr="00503B9F">
              <w:rPr>
                <w:sz w:val="20"/>
                <w:szCs w:val="20"/>
                <w:lang w:val="en-US"/>
              </w:rPr>
              <w:t xml:space="preserve">15 </w:t>
            </w:r>
            <w:r w:rsidRPr="00503B9F">
              <w:rPr>
                <w:sz w:val="20"/>
                <w:szCs w:val="20"/>
              </w:rPr>
              <w:t>(1.8)</w:t>
            </w:r>
          </w:p>
        </w:tc>
        <w:tc>
          <w:tcPr>
            <w:tcW w:w="2268" w:type="dxa"/>
            <w:vAlign w:val="center"/>
          </w:tcPr>
          <w:p w:rsidR="00CB2743" w:rsidRPr="00503B9F" w:rsidRDefault="00CB2743" w:rsidP="00850E07">
            <w:pPr>
              <w:autoSpaceDE w:val="0"/>
              <w:autoSpaceDN w:val="0"/>
              <w:adjustRightInd w:val="0"/>
              <w:jc w:val="center"/>
              <w:rPr>
                <w:sz w:val="20"/>
                <w:szCs w:val="20"/>
              </w:rPr>
            </w:pPr>
            <w:r w:rsidRPr="00503B9F">
              <w:rPr>
                <w:sz w:val="20"/>
                <w:szCs w:val="20"/>
              </w:rPr>
              <w:t>19 (2.3)</w:t>
            </w:r>
          </w:p>
        </w:tc>
        <w:tc>
          <w:tcPr>
            <w:tcW w:w="2127" w:type="dxa"/>
            <w:vAlign w:val="center"/>
          </w:tcPr>
          <w:p w:rsidR="00CB2743" w:rsidRPr="00503B9F" w:rsidRDefault="00CB2743" w:rsidP="00850E07">
            <w:pPr>
              <w:autoSpaceDE w:val="0"/>
              <w:autoSpaceDN w:val="0"/>
              <w:adjustRightInd w:val="0"/>
              <w:jc w:val="center"/>
              <w:rPr>
                <w:sz w:val="20"/>
                <w:szCs w:val="20"/>
              </w:rPr>
            </w:pPr>
            <w:r w:rsidRPr="00503B9F">
              <w:rPr>
                <w:sz w:val="20"/>
                <w:szCs w:val="20"/>
              </w:rPr>
              <w:t>21 (2.5)</w:t>
            </w:r>
          </w:p>
        </w:tc>
      </w:tr>
      <w:tr w:rsidR="00CB2743" w:rsidRPr="00503B9F" w:rsidTr="009103AD">
        <w:tc>
          <w:tcPr>
            <w:tcW w:w="3119" w:type="dxa"/>
            <w:vAlign w:val="center"/>
          </w:tcPr>
          <w:p w:rsidR="00CB2743" w:rsidRPr="00503B9F" w:rsidRDefault="00CB2743" w:rsidP="00850E07">
            <w:pPr>
              <w:autoSpaceDE w:val="0"/>
              <w:autoSpaceDN w:val="0"/>
              <w:adjustRightInd w:val="0"/>
              <w:spacing w:after="120"/>
              <w:rPr>
                <w:sz w:val="20"/>
                <w:szCs w:val="20"/>
                <w:lang w:val="en-US"/>
              </w:rPr>
            </w:pPr>
            <w:r w:rsidRPr="00503B9F">
              <w:rPr>
                <w:sz w:val="20"/>
                <w:szCs w:val="20"/>
                <w:lang w:val="en-US"/>
              </w:rPr>
              <w:t>Antidepressant medication</w:t>
            </w:r>
          </w:p>
        </w:tc>
        <w:tc>
          <w:tcPr>
            <w:tcW w:w="1412"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42 (5.0)</w:t>
            </w:r>
          </w:p>
        </w:tc>
        <w:tc>
          <w:tcPr>
            <w:tcW w:w="2268"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44 (5.3)</w:t>
            </w:r>
          </w:p>
        </w:tc>
        <w:tc>
          <w:tcPr>
            <w:tcW w:w="2127"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46 (5.5)</w:t>
            </w:r>
          </w:p>
        </w:tc>
      </w:tr>
      <w:tr w:rsidR="00CB2743" w:rsidRPr="00503B9F" w:rsidTr="009103AD">
        <w:tc>
          <w:tcPr>
            <w:tcW w:w="3119" w:type="dxa"/>
            <w:vAlign w:val="center"/>
          </w:tcPr>
          <w:p w:rsidR="00CB2743" w:rsidRPr="00503B9F" w:rsidRDefault="00CB2743" w:rsidP="00850E07">
            <w:pPr>
              <w:autoSpaceDE w:val="0"/>
              <w:autoSpaceDN w:val="0"/>
              <w:adjustRightInd w:val="0"/>
              <w:spacing w:after="120"/>
              <w:rPr>
                <w:sz w:val="20"/>
                <w:szCs w:val="20"/>
                <w:lang w:val="en-US"/>
              </w:rPr>
            </w:pPr>
            <w:r w:rsidRPr="00503B9F">
              <w:rPr>
                <w:sz w:val="20"/>
                <w:szCs w:val="20"/>
                <w:lang w:val="en-US"/>
              </w:rPr>
              <w:t>Both psychotherapy and antidepressant medication</w:t>
            </w:r>
          </w:p>
        </w:tc>
        <w:tc>
          <w:tcPr>
            <w:tcW w:w="1412"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13 (1.6)</w:t>
            </w:r>
          </w:p>
        </w:tc>
        <w:tc>
          <w:tcPr>
            <w:tcW w:w="2268"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25 (3.0)</w:t>
            </w:r>
          </w:p>
        </w:tc>
        <w:tc>
          <w:tcPr>
            <w:tcW w:w="2127"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31 (3.7)</w:t>
            </w:r>
          </w:p>
        </w:tc>
      </w:tr>
      <w:tr w:rsidR="00CB2743" w:rsidRPr="00503B9F" w:rsidTr="009103AD">
        <w:tc>
          <w:tcPr>
            <w:tcW w:w="3119" w:type="dxa"/>
            <w:vAlign w:val="center"/>
          </w:tcPr>
          <w:p w:rsidR="00CB2743" w:rsidRPr="00503B9F" w:rsidRDefault="00CB2743" w:rsidP="00850E07">
            <w:pPr>
              <w:autoSpaceDE w:val="0"/>
              <w:autoSpaceDN w:val="0"/>
              <w:adjustRightInd w:val="0"/>
              <w:spacing w:after="120"/>
              <w:rPr>
                <w:sz w:val="20"/>
                <w:szCs w:val="20"/>
                <w:lang w:val="en-US"/>
              </w:rPr>
            </w:pPr>
            <w:r w:rsidRPr="00503B9F">
              <w:rPr>
                <w:sz w:val="20"/>
                <w:szCs w:val="20"/>
                <w:lang w:val="en-US"/>
              </w:rPr>
              <w:t>Any depression treatment</w:t>
            </w:r>
          </w:p>
        </w:tc>
        <w:tc>
          <w:tcPr>
            <w:tcW w:w="1412"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70 (8.4)</w:t>
            </w:r>
          </w:p>
        </w:tc>
        <w:tc>
          <w:tcPr>
            <w:tcW w:w="2268"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88 (10.5)</w:t>
            </w:r>
          </w:p>
        </w:tc>
        <w:tc>
          <w:tcPr>
            <w:tcW w:w="2127" w:type="dxa"/>
            <w:vAlign w:val="center"/>
          </w:tcPr>
          <w:p w:rsidR="00CB2743" w:rsidRPr="00503B9F" w:rsidRDefault="00CB2743" w:rsidP="00850E07">
            <w:pPr>
              <w:autoSpaceDE w:val="0"/>
              <w:autoSpaceDN w:val="0"/>
              <w:adjustRightInd w:val="0"/>
              <w:jc w:val="center"/>
              <w:rPr>
                <w:sz w:val="20"/>
                <w:szCs w:val="20"/>
                <w:lang w:val="en-US"/>
              </w:rPr>
            </w:pPr>
            <w:r w:rsidRPr="00503B9F">
              <w:rPr>
                <w:sz w:val="20"/>
                <w:szCs w:val="20"/>
                <w:lang w:val="en-US"/>
              </w:rPr>
              <w:t>98 (11.8)</w:t>
            </w:r>
          </w:p>
        </w:tc>
      </w:tr>
    </w:tbl>
    <w:p w:rsidR="00CB2743" w:rsidRPr="00503B9F" w:rsidRDefault="00CB2743" w:rsidP="00850E07">
      <w:pPr>
        <w:spacing w:before="120" w:after="120"/>
        <w:rPr>
          <w:b/>
          <w:sz w:val="20"/>
          <w:szCs w:val="20"/>
          <w:vertAlign w:val="superscript"/>
          <w:lang w:val="en-US"/>
        </w:rPr>
      </w:pPr>
      <w:proofErr w:type="gramStart"/>
      <w:r w:rsidRPr="00503B9F">
        <w:rPr>
          <w:b/>
          <w:sz w:val="20"/>
          <w:szCs w:val="20"/>
          <w:vertAlign w:val="superscript"/>
          <w:lang w:val="en-US"/>
        </w:rPr>
        <w:t>a</w:t>
      </w:r>
      <w:proofErr w:type="gramEnd"/>
      <w:r w:rsidR="005B2E36">
        <w:rPr>
          <w:b/>
          <w:sz w:val="20"/>
          <w:szCs w:val="20"/>
          <w:vertAlign w:val="superscript"/>
          <w:lang w:val="en-US"/>
        </w:rPr>
        <w:t xml:space="preserve"> </w:t>
      </w:r>
      <w:r w:rsidRPr="00503B9F">
        <w:rPr>
          <w:sz w:val="20"/>
          <w:szCs w:val="20"/>
          <w:lang w:val="en-US"/>
        </w:rPr>
        <w:t>Because of rounding, proportions may not total 100.</w:t>
      </w:r>
    </w:p>
    <w:p w:rsidR="00CB2743" w:rsidRPr="00503B9F" w:rsidRDefault="00CB2743" w:rsidP="00850E07">
      <w:pPr>
        <w:spacing w:before="120" w:after="120"/>
        <w:rPr>
          <w:b/>
          <w:sz w:val="20"/>
          <w:szCs w:val="20"/>
          <w:vertAlign w:val="superscript"/>
          <w:lang w:val="en-US"/>
        </w:rPr>
      </w:pPr>
      <w:proofErr w:type="gramStart"/>
      <w:r w:rsidRPr="00503B9F">
        <w:rPr>
          <w:b/>
          <w:sz w:val="20"/>
          <w:szCs w:val="20"/>
          <w:vertAlign w:val="superscript"/>
          <w:lang w:val="en-US"/>
        </w:rPr>
        <w:t>b</w:t>
      </w:r>
      <w:proofErr w:type="gramEnd"/>
      <w:r w:rsidR="005B2E36">
        <w:rPr>
          <w:b/>
          <w:sz w:val="20"/>
          <w:szCs w:val="20"/>
          <w:vertAlign w:val="superscript"/>
          <w:lang w:val="en-US"/>
        </w:rPr>
        <w:t xml:space="preserve"> </w:t>
      </w:r>
      <w:r w:rsidRPr="00503B9F">
        <w:rPr>
          <w:sz w:val="20"/>
          <w:szCs w:val="20"/>
          <w:lang w:val="en-US"/>
        </w:rPr>
        <w:t xml:space="preserve">Patients who did not provide information on whether they received psychotherapy (&lt;3% at </w:t>
      </w:r>
      <w:proofErr w:type="spellStart"/>
      <w:r w:rsidRPr="00503B9F">
        <w:rPr>
          <w:sz w:val="20"/>
          <w:szCs w:val="20"/>
          <w:lang w:val="en-US"/>
        </w:rPr>
        <w:t>all time</w:t>
      </w:r>
      <w:proofErr w:type="spellEnd"/>
      <w:r w:rsidRPr="00503B9F">
        <w:rPr>
          <w:sz w:val="20"/>
          <w:szCs w:val="20"/>
          <w:lang w:val="en-US"/>
        </w:rPr>
        <w:t xml:space="preserve"> points) were classified as not in psychotherapy, in case information on whether or not they received antidepressant medication was available. This reduced the number of </w:t>
      </w:r>
      <w:proofErr w:type="spellStart"/>
      <w:r w:rsidRPr="00503B9F">
        <w:rPr>
          <w:sz w:val="20"/>
          <w:szCs w:val="20"/>
          <w:lang w:val="en-US"/>
        </w:rPr>
        <w:t>missings</w:t>
      </w:r>
      <w:proofErr w:type="spellEnd"/>
      <w:r w:rsidRPr="00503B9F">
        <w:rPr>
          <w:sz w:val="20"/>
          <w:szCs w:val="20"/>
          <w:lang w:val="en-US"/>
        </w:rPr>
        <w:t xml:space="preserve"> to &lt;0.5%.</w:t>
      </w:r>
    </w:p>
    <w:p w:rsidR="00582CBD" w:rsidRPr="00D91E39" w:rsidRDefault="00582CBD" w:rsidP="00D91E39">
      <w:pPr>
        <w:pStyle w:val="EndNoteBibliography"/>
        <w:ind w:left="720" w:hanging="720"/>
        <w:rPr>
          <w:b/>
          <w:sz w:val="22"/>
          <w:szCs w:val="22"/>
          <w:lang w:val="en-US"/>
        </w:rPr>
      </w:pPr>
    </w:p>
    <w:sectPr w:rsidR="00582CBD" w:rsidRPr="00D91E3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39" w:rsidRDefault="00243439" w:rsidP="00243439">
      <w:r>
        <w:separator/>
      </w:r>
    </w:p>
  </w:endnote>
  <w:endnote w:type="continuationSeparator" w:id="0">
    <w:p w:rsidR="00243439" w:rsidRDefault="00243439" w:rsidP="0024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23203"/>
      <w:docPartObj>
        <w:docPartGallery w:val="Page Numbers (Bottom of Page)"/>
        <w:docPartUnique/>
      </w:docPartObj>
    </w:sdtPr>
    <w:sdtEndPr/>
    <w:sdtContent>
      <w:p w:rsidR="00243439" w:rsidRDefault="00243439">
        <w:pPr>
          <w:pStyle w:val="Fuzeile"/>
          <w:jc w:val="center"/>
        </w:pPr>
        <w:r>
          <w:fldChar w:fldCharType="begin"/>
        </w:r>
        <w:r>
          <w:instrText>PAGE   \* MERGEFORMAT</w:instrText>
        </w:r>
        <w:r>
          <w:fldChar w:fldCharType="separate"/>
        </w:r>
        <w:r w:rsidR="0015572D">
          <w:rPr>
            <w:noProof/>
          </w:rPr>
          <w:t>6</w:t>
        </w:r>
        <w:r>
          <w:fldChar w:fldCharType="end"/>
        </w:r>
      </w:p>
    </w:sdtContent>
  </w:sdt>
  <w:p w:rsidR="00243439" w:rsidRDefault="002434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39" w:rsidRDefault="00243439" w:rsidP="00243439">
      <w:r>
        <w:separator/>
      </w:r>
    </w:p>
  </w:footnote>
  <w:footnote w:type="continuationSeparator" w:id="0">
    <w:p w:rsidR="00243439" w:rsidRDefault="00243439" w:rsidP="00243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43"/>
    <w:rsid w:val="000D110C"/>
    <w:rsid w:val="0015572D"/>
    <w:rsid w:val="00243439"/>
    <w:rsid w:val="003B4573"/>
    <w:rsid w:val="004D7FD9"/>
    <w:rsid w:val="00582CBD"/>
    <w:rsid w:val="005B2E36"/>
    <w:rsid w:val="0067749C"/>
    <w:rsid w:val="006D3B10"/>
    <w:rsid w:val="00703897"/>
    <w:rsid w:val="00740954"/>
    <w:rsid w:val="007B0BEA"/>
    <w:rsid w:val="00850E07"/>
    <w:rsid w:val="009667D7"/>
    <w:rsid w:val="009D2B18"/>
    <w:rsid w:val="00CB2743"/>
    <w:rsid w:val="00D91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A91C"/>
  <w15:chartTrackingRefBased/>
  <w15:docId w15:val="{EEDD2F10-E92B-4A50-A0F9-16C14A75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74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B2743"/>
    <w:pPr>
      <w:spacing w:before="100" w:beforeAutospacing="1" w:after="100" w:afterAutospacing="1"/>
      <w:outlineLvl w:val="0"/>
    </w:pPr>
    <w:rPr>
      <w:b/>
      <w:bCs/>
      <w:kern w:val="36"/>
      <w:sz w:val="22"/>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2743"/>
    <w:rPr>
      <w:rFonts w:ascii="Times New Roman" w:eastAsia="Times New Roman" w:hAnsi="Times New Roman" w:cs="Times New Roman"/>
      <w:b/>
      <w:bCs/>
      <w:kern w:val="36"/>
      <w:szCs w:val="48"/>
      <w:lang w:eastAsia="de-DE"/>
    </w:rPr>
  </w:style>
  <w:style w:type="paragraph" w:customStyle="1" w:styleId="EndNoteBibliography">
    <w:name w:val="EndNote Bibliography"/>
    <w:basedOn w:val="Standard"/>
    <w:link w:val="EndNoteBibliographyZchn"/>
    <w:rsid w:val="00CB2743"/>
    <w:rPr>
      <w:noProof/>
    </w:rPr>
  </w:style>
  <w:style w:type="character" w:customStyle="1" w:styleId="EndNoteBibliographyZchn">
    <w:name w:val="EndNote Bibliography Zchn"/>
    <w:basedOn w:val="Absatz-Standardschriftart"/>
    <w:link w:val="EndNoteBibliography"/>
    <w:rsid w:val="00CB2743"/>
    <w:rPr>
      <w:rFonts w:ascii="Times New Roman" w:eastAsia="Times New Roman" w:hAnsi="Times New Roman" w:cs="Times New Roman"/>
      <w:noProof/>
      <w:sz w:val="24"/>
      <w:szCs w:val="24"/>
      <w:lang w:eastAsia="de-DE"/>
    </w:rPr>
  </w:style>
  <w:style w:type="paragraph" w:styleId="Beschriftung">
    <w:name w:val="caption"/>
    <w:basedOn w:val="Standard"/>
    <w:next w:val="Standard"/>
    <w:uiPriority w:val="35"/>
    <w:unhideWhenUsed/>
    <w:qFormat/>
    <w:rsid w:val="00CB2743"/>
    <w:pPr>
      <w:spacing w:after="200"/>
    </w:pPr>
    <w:rPr>
      <w:i/>
      <w:iCs/>
      <w:color w:val="44546A" w:themeColor="text2"/>
      <w:sz w:val="18"/>
      <w:szCs w:val="18"/>
    </w:rPr>
  </w:style>
  <w:style w:type="table" w:styleId="Tabellenraster">
    <w:name w:val="Table Grid"/>
    <w:basedOn w:val="NormaleTabelle"/>
    <w:uiPriority w:val="39"/>
    <w:rsid w:val="00CB27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1">
    <w:name w:val="Table Simple 1"/>
    <w:basedOn w:val="NormaleTabelle"/>
    <w:rsid w:val="00CB2743"/>
    <w:pPr>
      <w:spacing w:after="0" w:line="360" w:lineRule="auto"/>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fzeile">
    <w:name w:val="header"/>
    <w:basedOn w:val="Standard"/>
    <w:link w:val="KopfzeileZchn"/>
    <w:uiPriority w:val="99"/>
    <w:unhideWhenUsed/>
    <w:rsid w:val="00243439"/>
    <w:pPr>
      <w:tabs>
        <w:tab w:val="center" w:pos="4536"/>
        <w:tab w:val="right" w:pos="9072"/>
      </w:tabs>
    </w:pPr>
  </w:style>
  <w:style w:type="character" w:customStyle="1" w:styleId="KopfzeileZchn">
    <w:name w:val="Kopfzeile Zchn"/>
    <w:basedOn w:val="Absatz-Standardschriftart"/>
    <w:link w:val="Kopfzeile"/>
    <w:uiPriority w:val="99"/>
    <w:rsid w:val="0024343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43439"/>
    <w:pPr>
      <w:tabs>
        <w:tab w:val="center" w:pos="4536"/>
        <w:tab w:val="right" w:pos="9072"/>
      </w:tabs>
    </w:pPr>
  </w:style>
  <w:style w:type="character" w:customStyle="1" w:styleId="FuzeileZchn">
    <w:name w:val="Fußzeile Zchn"/>
    <w:basedOn w:val="Absatz-Standardschriftart"/>
    <w:link w:val="Fuzeile"/>
    <w:uiPriority w:val="99"/>
    <w:rsid w:val="0024343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 Stella Linnea</dc:creator>
  <cp:keywords/>
  <dc:description/>
  <cp:lastModifiedBy>Kuhlmann, Stella</cp:lastModifiedBy>
  <cp:revision>2</cp:revision>
  <dcterms:created xsi:type="dcterms:W3CDTF">2019-08-27T12:52:00Z</dcterms:created>
  <dcterms:modified xsi:type="dcterms:W3CDTF">2019-08-27T12:52:00Z</dcterms:modified>
</cp:coreProperties>
</file>