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FF" w:rsidRDefault="00FF5879" w:rsidP="00FF5879">
      <w:pPr>
        <w:widowControl w:val="0"/>
        <w:spacing w:after="12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 from “</w:t>
      </w:r>
      <w:r w:rsidR="00135655" w:rsidRPr="00135655">
        <w:rPr>
          <w:rFonts w:ascii="Times New Roman" w:hAnsi="Times New Roman" w:cs="Times New Roman"/>
          <w:b/>
          <w:sz w:val="24"/>
          <w:szCs w:val="24"/>
          <w:lang w:val="en-GB"/>
        </w:rPr>
        <w:t>Stable isotopes reveal winter feeding in different habitats in blue, fin and sei whales migrating through the Azores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</w:p>
    <w:p w:rsidR="00912DA7" w:rsidRDefault="00912DA7" w:rsidP="00912DA7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2DA7" w:rsidRPr="00FC16AE" w:rsidRDefault="00912DA7" w:rsidP="00FC16A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NZ"/>
        </w:rPr>
      </w:pPr>
      <w:r w:rsidRPr="00FC16AE">
        <w:rPr>
          <w:rFonts w:ascii="Times New Roman" w:hAnsi="Times New Roman" w:cs="Times New Roman"/>
          <w:b/>
          <w:sz w:val="28"/>
          <w:szCs w:val="28"/>
        </w:rPr>
        <w:t>Methods</w:t>
      </w:r>
    </w:p>
    <w:p w:rsidR="00B02157" w:rsidRPr="00FC16AE" w:rsidRDefault="00B02157" w:rsidP="00B02157">
      <w:pPr>
        <w:widowControl w:val="0"/>
        <w:spacing w:after="120" w:line="48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C16AE">
        <w:rPr>
          <w:rFonts w:ascii="Times New Roman" w:hAnsi="Times New Roman" w:cs="Times New Roman"/>
          <w:b/>
          <w:i/>
          <w:sz w:val="24"/>
          <w:szCs w:val="24"/>
          <w:lang w:val="en-GB"/>
        </w:rPr>
        <w:t>Potential range and seasonal movements of whale species</w:t>
      </w:r>
    </w:p>
    <w:p w:rsidR="00304192" w:rsidRPr="00B02157" w:rsidRDefault="00B02157" w:rsidP="00802722">
      <w:pPr>
        <w:widowControl w:val="0"/>
        <w:spacing w:after="12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2157">
        <w:rPr>
          <w:rFonts w:ascii="Times New Roman" w:hAnsi="Times New Roman" w:cs="Times New Roman"/>
          <w:sz w:val="24"/>
          <w:szCs w:val="24"/>
          <w:lang w:val="en-GB"/>
        </w:rPr>
        <w:t xml:space="preserve">The summer feeding range of North Atlantic blue whales extends from the Scotian Shelf to Davis Strait in the west, and from Denmark Strait to Svalbard in the east </w:t>
      </w:r>
      <w:r w:rsidR="00BC56DC">
        <w:rPr>
          <w:rFonts w:ascii="Times New Roman" w:hAnsi="Times New Roman" w:cs="Times New Roman"/>
          <w:sz w:val="24"/>
          <w:szCs w:val="24"/>
          <w:lang w:val="en-GB"/>
        </w:rPr>
        <w:t>[1]</w:t>
      </w:r>
      <w:r w:rsidRPr="00B02157">
        <w:rPr>
          <w:rFonts w:ascii="Times New Roman" w:hAnsi="Times New Roman" w:cs="Times New Roman"/>
          <w:sz w:val="24"/>
          <w:szCs w:val="24"/>
          <w:lang w:val="en-GB"/>
        </w:rPr>
        <w:t>. Fin whales co-occur with blue whales in most of this range but on the eastern Atlantic their feeding grounds extend furth</w:t>
      </w:r>
      <w:r w:rsidR="00E31269">
        <w:rPr>
          <w:rFonts w:ascii="Times New Roman" w:hAnsi="Times New Roman" w:cs="Times New Roman"/>
          <w:sz w:val="24"/>
          <w:szCs w:val="24"/>
          <w:lang w:val="en-GB"/>
        </w:rPr>
        <w:t xml:space="preserve">er south to the British islands, </w:t>
      </w:r>
      <w:r w:rsidRPr="00B02157">
        <w:rPr>
          <w:rFonts w:ascii="Times New Roman" w:hAnsi="Times New Roman" w:cs="Times New Roman"/>
          <w:sz w:val="24"/>
          <w:szCs w:val="24"/>
          <w:lang w:val="en-GB"/>
        </w:rPr>
        <w:t>Bay of Biscay</w:t>
      </w:r>
      <w:r w:rsidR="00E31269">
        <w:rPr>
          <w:rFonts w:ascii="Times New Roman" w:hAnsi="Times New Roman" w:cs="Times New Roman"/>
          <w:sz w:val="24"/>
          <w:szCs w:val="24"/>
          <w:lang w:val="en-GB"/>
        </w:rPr>
        <w:t xml:space="preserve"> and Iberian coast</w:t>
      </w:r>
      <w:r w:rsidR="00BC56DC">
        <w:rPr>
          <w:rFonts w:ascii="Times New Roman" w:hAnsi="Times New Roman" w:cs="Times New Roman"/>
          <w:sz w:val="24"/>
          <w:szCs w:val="24"/>
          <w:lang w:val="en-GB"/>
        </w:rPr>
        <w:t xml:space="preserve"> [2]</w:t>
      </w:r>
      <w:r w:rsidR="00F07C7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021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7C7F">
        <w:rPr>
          <w:rFonts w:ascii="Times New Roman" w:hAnsi="Times New Roman" w:cs="Times New Roman"/>
          <w:sz w:val="24"/>
          <w:szCs w:val="24"/>
          <w:lang w:val="en-GB"/>
        </w:rPr>
        <w:t>Additionally, t</w:t>
      </w:r>
      <w:r w:rsidR="00E31269">
        <w:rPr>
          <w:rFonts w:ascii="Times New Roman" w:hAnsi="Times New Roman" w:cs="Times New Roman"/>
          <w:sz w:val="24"/>
          <w:szCs w:val="24"/>
          <w:lang w:val="en-GB"/>
        </w:rPr>
        <w:t xml:space="preserve">here is evidence </w:t>
      </w:r>
      <w:r w:rsidR="00DA068E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F07C7F">
        <w:rPr>
          <w:rFonts w:ascii="Times New Roman" w:hAnsi="Times New Roman" w:cs="Times New Roman"/>
          <w:sz w:val="24"/>
          <w:szCs w:val="24"/>
          <w:lang w:val="en-GB"/>
        </w:rPr>
        <w:t>part of the fin whale population</w:t>
      </w:r>
      <w:r w:rsidR="00DA068E">
        <w:rPr>
          <w:rFonts w:ascii="Times New Roman" w:hAnsi="Times New Roman" w:cs="Times New Roman"/>
          <w:sz w:val="24"/>
          <w:szCs w:val="24"/>
          <w:lang w:val="en-GB"/>
        </w:rPr>
        <w:t xml:space="preserve"> wintering in the western Mediterranean migrate</w:t>
      </w:r>
      <w:r w:rsidR="00C9254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A068E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F07C7F">
        <w:rPr>
          <w:rFonts w:ascii="Times New Roman" w:hAnsi="Times New Roman" w:cs="Times New Roman"/>
          <w:sz w:val="24"/>
          <w:szCs w:val="24"/>
          <w:lang w:val="en-GB"/>
        </w:rPr>
        <w:t>wards</w:t>
      </w:r>
      <w:r w:rsidR="00DA068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07C7F">
        <w:rPr>
          <w:rFonts w:ascii="Times New Roman" w:hAnsi="Times New Roman" w:cs="Times New Roman"/>
          <w:sz w:val="24"/>
          <w:szCs w:val="24"/>
          <w:lang w:val="en-GB"/>
        </w:rPr>
        <w:t xml:space="preserve">Atlantic during the summer months </w:t>
      </w:r>
      <w:r w:rsidR="00BC56DC">
        <w:rPr>
          <w:rFonts w:ascii="Times New Roman" w:hAnsi="Times New Roman" w:cs="Times New Roman"/>
          <w:sz w:val="24"/>
          <w:szCs w:val="24"/>
          <w:lang w:val="en-GB"/>
        </w:rPr>
        <w:t>[3].</w:t>
      </w:r>
      <w:r w:rsidR="00BC56DC" w:rsidRPr="00B021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192" w:rsidRPr="00B02157">
        <w:rPr>
          <w:rFonts w:ascii="Times New Roman" w:hAnsi="Times New Roman" w:cs="Times New Roman"/>
          <w:sz w:val="24"/>
          <w:szCs w:val="24"/>
          <w:lang w:val="en-GB"/>
        </w:rPr>
        <w:t xml:space="preserve">Satellite telemetry </w:t>
      </w:r>
      <w:r w:rsidR="00C362F3">
        <w:rPr>
          <w:rFonts w:ascii="Times New Roman" w:hAnsi="Times New Roman" w:cs="Times New Roman"/>
          <w:sz w:val="24"/>
          <w:szCs w:val="24"/>
          <w:lang w:val="en-GB"/>
        </w:rPr>
        <w:t xml:space="preserve">studies </w:t>
      </w:r>
      <w:r w:rsidR="00304192" w:rsidRPr="00B02157">
        <w:rPr>
          <w:rFonts w:ascii="Times New Roman" w:hAnsi="Times New Roman" w:cs="Times New Roman"/>
          <w:sz w:val="24"/>
          <w:szCs w:val="24"/>
          <w:lang w:val="en-GB"/>
        </w:rPr>
        <w:t>indicate that blue and fin whales seen in the Azores migrate to central Atlantic waters,</w:t>
      </w:r>
      <w:r w:rsidR="00802722">
        <w:rPr>
          <w:rFonts w:ascii="Times New Roman" w:hAnsi="Times New Roman" w:cs="Times New Roman"/>
          <w:sz w:val="24"/>
          <w:szCs w:val="24"/>
          <w:lang w:val="en-GB"/>
        </w:rPr>
        <w:t xml:space="preserve"> between Greenland and Iceland [4]. A </w:t>
      </w:r>
      <w:r w:rsidR="00304192">
        <w:rPr>
          <w:rFonts w:ascii="Times New Roman" w:hAnsi="Times New Roman" w:cs="Times New Roman"/>
          <w:sz w:val="24"/>
          <w:szCs w:val="24"/>
          <w:lang w:val="en-GB"/>
        </w:rPr>
        <w:t xml:space="preserve">recent </w:t>
      </w:r>
      <w:r w:rsidR="00304192" w:rsidRPr="00B02157">
        <w:rPr>
          <w:rFonts w:ascii="Times New Roman" w:hAnsi="Times New Roman" w:cs="Times New Roman"/>
          <w:sz w:val="24"/>
          <w:szCs w:val="24"/>
          <w:lang w:val="en-GB"/>
        </w:rPr>
        <w:t xml:space="preserve">photo-identification </w:t>
      </w:r>
      <w:r w:rsidR="00304192">
        <w:rPr>
          <w:rFonts w:ascii="Times New Roman" w:hAnsi="Times New Roman" w:cs="Times New Roman"/>
          <w:sz w:val="24"/>
          <w:szCs w:val="24"/>
          <w:lang w:val="en-GB"/>
        </w:rPr>
        <w:t xml:space="preserve">match between </w:t>
      </w:r>
      <w:r w:rsidR="00304192" w:rsidRPr="00B02157">
        <w:rPr>
          <w:rFonts w:ascii="Times New Roman" w:hAnsi="Times New Roman" w:cs="Times New Roman"/>
          <w:sz w:val="24"/>
          <w:szCs w:val="24"/>
          <w:lang w:val="en-GB"/>
        </w:rPr>
        <w:t xml:space="preserve">the Azores </w:t>
      </w:r>
      <w:r w:rsidR="00304192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304192" w:rsidRPr="00B02157">
        <w:rPr>
          <w:rFonts w:ascii="Times New Roman" w:hAnsi="Times New Roman" w:cs="Times New Roman"/>
          <w:sz w:val="24"/>
          <w:szCs w:val="24"/>
          <w:lang w:val="en-GB"/>
        </w:rPr>
        <w:t xml:space="preserve"> the Gulf of St. Lawrence </w:t>
      </w:r>
      <w:r w:rsidR="00304192">
        <w:rPr>
          <w:rFonts w:ascii="Times New Roman" w:hAnsi="Times New Roman" w:cs="Times New Roman"/>
          <w:sz w:val="24"/>
          <w:szCs w:val="24"/>
          <w:lang w:val="en-GB"/>
        </w:rPr>
        <w:t xml:space="preserve">indicates that </w:t>
      </w:r>
      <w:r w:rsidR="00304192" w:rsidRPr="00B02157">
        <w:rPr>
          <w:rFonts w:ascii="Times New Roman" w:hAnsi="Times New Roman" w:cs="Times New Roman"/>
          <w:sz w:val="24"/>
          <w:szCs w:val="24"/>
          <w:lang w:val="en-GB"/>
        </w:rPr>
        <w:t xml:space="preserve">blue whales seen in the Azores </w:t>
      </w:r>
      <w:r w:rsidR="00304192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="0030766E">
        <w:rPr>
          <w:rFonts w:ascii="Times New Roman" w:hAnsi="Times New Roman" w:cs="Times New Roman"/>
          <w:sz w:val="24"/>
          <w:szCs w:val="24"/>
          <w:lang w:val="en-GB"/>
        </w:rPr>
        <w:t>spend</w:t>
      </w:r>
      <w:r w:rsidR="00304192" w:rsidRPr="00B02157">
        <w:rPr>
          <w:rFonts w:ascii="Times New Roman" w:hAnsi="Times New Roman" w:cs="Times New Roman"/>
          <w:sz w:val="24"/>
          <w:szCs w:val="24"/>
          <w:lang w:val="en-GB"/>
        </w:rPr>
        <w:t xml:space="preserve"> the previous summer </w:t>
      </w:r>
      <w:r w:rsidR="0030766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04192" w:rsidRPr="00B02157">
        <w:rPr>
          <w:rFonts w:ascii="Times New Roman" w:hAnsi="Times New Roman" w:cs="Times New Roman"/>
          <w:sz w:val="24"/>
          <w:szCs w:val="24"/>
          <w:lang w:val="en-GB"/>
        </w:rPr>
        <w:t>n either side of the North Atlantic basin</w:t>
      </w:r>
      <w:r w:rsidR="00802722">
        <w:rPr>
          <w:rFonts w:ascii="Times New Roman" w:hAnsi="Times New Roman" w:cs="Times New Roman"/>
          <w:sz w:val="24"/>
          <w:szCs w:val="24"/>
          <w:lang w:val="en-GB"/>
        </w:rPr>
        <w:t xml:space="preserve"> [5]</w:t>
      </w:r>
      <w:r w:rsidR="00304192" w:rsidRPr="00B02157">
        <w:rPr>
          <w:rFonts w:ascii="Times New Roman" w:hAnsi="Times New Roman" w:cs="Times New Roman"/>
          <w:sz w:val="24"/>
          <w:szCs w:val="24"/>
          <w:lang w:val="en-GB"/>
        </w:rPr>
        <w:t xml:space="preserve">. All sei whales instrumented with satellite tags in the Azores migrated to the Labrador Sea, off Canada </w:t>
      </w:r>
      <w:r w:rsidR="00802722">
        <w:rPr>
          <w:rFonts w:ascii="Times New Roman" w:hAnsi="Times New Roman" w:cs="Times New Roman"/>
          <w:sz w:val="24"/>
          <w:szCs w:val="24"/>
          <w:lang w:val="en-GB"/>
        </w:rPr>
        <w:t>[6,7]</w:t>
      </w:r>
      <w:r w:rsidR="00304192" w:rsidRPr="00B02157">
        <w:rPr>
          <w:rFonts w:ascii="Times New Roman" w:hAnsi="Times New Roman" w:cs="Times New Roman"/>
          <w:sz w:val="24"/>
          <w:szCs w:val="24"/>
          <w:lang w:val="en-GB"/>
        </w:rPr>
        <w:t>. Still, two individuals were apparently heading east of Greenland when their signals were lost, suggesting individuals may use feeding grounds</w:t>
      </w:r>
      <w:r w:rsidR="00802722">
        <w:rPr>
          <w:rFonts w:ascii="Times New Roman" w:hAnsi="Times New Roman" w:cs="Times New Roman"/>
          <w:sz w:val="24"/>
          <w:szCs w:val="24"/>
          <w:lang w:val="en-GB"/>
        </w:rPr>
        <w:t xml:space="preserve"> on both sides of the Atlantic [7]</w:t>
      </w:r>
      <w:r w:rsidR="00802722" w:rsidRPr="00B0215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07C7F" w:rsidRPr="00304192" w:rsidRDefault="00F07C7F" w:rsidP="00802722">
      <w:pPr>
        <w:widowControl w:val="0"/>
        <w:spacing w:after="12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wintering grounds of these species remain unknown</w:t>
      </w:r>
      <w:r w:rsidR="00304192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192">
        <w:rPr>
          <w:rFonts w:ascii="Times New Roman" w:hAnsi="Times New Roman" w:cs="Times New Roman"/>
          <w:sz w:val="24"/>
          <w:szCs w:val="24"/>
          <w:lang w:val="en-GB"/>
        </w:rPr>
        <w:t>Fin whales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192">
        <w:rPr>
          <w:rFonts w:ascii="Times New Roman" w:hAnsi="Times New Roman" w:cs="Times New Roman"/>
          <w:sz w:val="24"/>
          <w:szCs w:val="24"/>
          <w:lang w:val="en-GB"/>
        </w:rPr>
        <w:t>were a</w:t>
      </w:r>
      <w:r w:rsidR="00304192" w:rsidRPr="00304192">
        <w:rPr>
          <w:rFonts w:ascii="Times New Roman" w:hAnsi="Times New Roman" w:cs="Times New Roman"/>
          <w:sz w:val="24"/>
          <w:szCs w:val="24"/>
          <w:lang w:val="en-GB"/>
        </w:rPr>
        <w:t>coustic</w:t>
      </w:r>
      <w:r w:rsidR="00304192">
        <w:rPr>
          <w:rFonts w:ascii="Times New Roman" w:hAnsi="Times New Roman" w:cs="Times New Roman"/>
          <w:sz w:val="24"/>
          <w:szCs w:val="24"/>
          <w:lang w:val="en-GB"/>
        </w:rPr>
        <w:t>ally detected</w:t>
      </w:r>
      <w:r w:rsidR="00304192" w:rsidRPr="00304192">
        <w:rPr>
          <w:rFonts w:ascii="Times New Roman" w:hAnsi="Times New Roman" w:cs="Times New Roman"/>
          <w:sz w:val="24"/>
          <w:szCs w:val="24"/>
          <w:lang w:val="en-GB"/>
        </w:rPr>
        <w:t xml:space="preserve"> along the Mid-Atlantic Ridge (16°-50° N, 24°-50°W) from late autumn through early spring, with higher detection rates north of 32°N during winter months </w:t>
      </w:r>
      <w:r w:rsidR="00802722">
        <w:rPr>
          <w:rFonts w:ascii="Times New Roman" w:hAnsi="Times New Roman" w:cs="Times New Roman"/>
          <w:sz w:val="24"/>
          <w:szCs w:val="24"/>
          <w:lang w:val="en-GB"/>
        </w:rPr>
        <w:t>[8]</w:t>
      </w:r>
      <w:r w:rsidR="00802722" w:rsidRPr="00B0215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027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5618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304192" w:rsidRPr="00304192">
        <w:rPr>
          <w:rFonts w:ascii="Times New Roman" w:hAnsi="Times New Roman" w:cs="Times New Roman"/>
          <w:sz w:val="24"/>
          <w:szCs w:val="24"/>
          <w:lang w:val="en-GB"/>
        </w:rPr>
        <w:t>haling records and historic and contemporary</w:t>
      </w:r>
      <w:r w:rsidR="00C92543">
        <w:rPr>
          <w:rFonts w:ascii="Times New Roman" w:hAnsi="Times New Roman" w:cs="Times New Roman"/>
          <w:sz w:val="24"/>
          <w:szCs w:val="24"/>
          <w:lang w:val="en-GB"/>
        </w:rPr>
        <w:t xml:space="preserve"> winter</w:t>
      </w:r>
      <w:bookmarkStart w:id="0" w:name="_GoBack"/>
      <w:bookmarkEnd w:id="0"/>
      <w:r w:rsidR="00C925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192" w:rsidRPr="00304192">
        <w:rPr>
          <w:rFonts w:ascii="Times New Roman" w:hAnsi="Times New Roman" w:cs="Times New Roman"/>
          <w:sz w:val="24"/>
          <w:szCs w:val="24"/>
          <w:lang w:val="en-GB"/>
        </w:rPr>
        <w:t>sightings</w:t>
      </w:r>
      <w:r w:rsidR="00C925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192" w:rsidRPr="00304192">
        <w:rPr>
          <w:rFonts w:ascii="Times New Roman" w:hAnsi="Times New Roman" w:cs="Times New Roman"/>
          <w:sz w:val="24"/>
          <w:szCs w:val="24"/>
          <w:lang w:val="en-GB"/>
        </w:rPr>
        <w:t xml:space="preserve">of sei whales along the West African coast </w:t>
      </w:r>
      <w:r w:rsidR="00020A26">
        <w:rPr>
          <w:rFonts w:ascii="Times New Roman" w:hAnsi="Times New Roman" w:cs="Times New Roman"/>
          <w:sz w:val="24"/>
          <w:szCs w:val="24"/>
          <w:lang w:val="en-GB"/>
        </w:rPr>
        <w:t>(from Morocco down to Senegal) [9,10]</w:t>
      </w:r>
      <w:r w:rsidR="00304192" w:rsidRPr="00304192">
        <w:rPr>
          <w:rFonts w:ascii="Times New Roman" w:hAnsi="Times New Roman" w:cs="Times New Roman"/>
          <w:sz w:val="24"/>
          <w:szCs w:val="24"/>
          <w:lang w:val="en-GB"/>
        </w:rPr>
        <w:t xml:space="preserve"> and of blue whales between Cape Verde and Mauritania </w:t>
      </w:r>
      <w:r w:rsidR="00020A26">
        <w:rPr>
          <w:rFonts w:ascii="Times New Roman" w:hAnsi="Times New Roman" w:cs="Times New Roman"/>
          <w:sz w:val="24"/>
          <w:szCs w:val="24"/>
          <w:lang w:val="en-GB"/>
        </w:rPr>
        <w:t xml:space="preserve">[10-12] suggest part of the population may winter off the Northwest </w:t>
      </w:r>
      <w:r w:rsidR="00020A26">
        <w:rPr>
          <w:rFonts w:ascii="Times New Roman" w:hAnsi="Times New Roman" w:cs="Times New Roman"/>
          <w:sz w:val="24"/>
          <w:szCs w:val="24"/>
          <w:lang w:val="en-GB"/>
        </w:rPr>
        <w:lastRenderedPageBreak/>
        <w:t>Africa coast.</w:t>
      </w:r>
    </w:p>
    <w:p w:rsidR="00B02157" w:rsidRDefault="00B02157" w:rsidP="00020A26">
      <w:pPr>
        <w:widowControl w:val="0"/>
        <w:spacing w:after="12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B02157">
        <w:rPr>
          <w:rFonts w:ascii="Times New Roman" w:hAnsi="Times New Roman" w:cs="Times New Roman"/>
          <w:sz w:val="24"/>
          <w:szCs w:val="24"/>
          <w:lang w:val="en-GB"/>
        </w:rPr>
        <w:t xml:space="preserve">Based on the above, </w:t>
      </w:r>
      <w:r w:rsidR="00020A26">
        <w:rPr>
          <w:rFonts w:ascii="Times New Roman" w:hAnsi="Times New Roman" w:cs="Times New Roman"/>
          <w:sz w:val="24"/>
          <w:szCs w:val="24"/>
          <w:lang w:val="en-GB"/>
        </w:rPr>
        <w:t xml:space="preserve">we considered that blue </w:t>
      </w:r>
      <w:r w:rsidR="00883CFC">
        <w:rPr>
          <w:rFonts w:ascii="Times New Roman" w:hAnsi="Times New Roman" w:cs="Times New Roman"/>
          <w:sz w:val="24"/>
          <w:szCs w:val="24"/>
          <w:lang w:val="en-GB"/>
        </w:rPr>
        <w:t xml:space="preserve">and sei </w:t>
      </w:r>
      <w:r w:rsidR="00020A26">
        <w:rPr>
          <w:rFonts w:ascii="Times New Roman" w:hAnsi="Times New Roman" w:cs="Times New Roman"/>
          <w:sz w:val="24"/>
          <w:szCs w:val="24"/>
          <w:lang w:val="en-GB"/>
        </w:rPr>
        <w:t xml:space="preserve">whales seen in the Azores may summer in the </w:t>
      </w:r>
      <w:r w:rsidR="00020A26">
        <w:rPr>
          <w:rFonts w:ascii="Times New Roman" w:hAnsi="Times New Roman" w:cs="Times New Roman"/>
          <w:color w:val="000000"/>
          <w:sz w:val="24"/>
          <w:szCs w:val="24"/>
          <w:lang w:val="en-GB"/>
        </w:rPr>
        <w:t>Northeast Atlantic (NEA) and Northwest Atlantic (NWA)</w:t>
      </w:r>
      <w:r w:rsidR="00883CFC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020A2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="00883CFC">
        <w:rPr>
          <w:rFonts w:ascii="Times New Roman" w:hAnsi="Times New Roman" w:cs="Times New Roman"/>
          <w:color w:val="000000"/>
          <w:sz w:val="24"/>
          <w:szCs w:val="24"/>
          <w:lang w:val="en-GB"/>
        </w:rPr>
        <w:t>spend the 3-4 months preceding sampling in lower-latitude pelagic waters</w:t>
      </w:r>
      <w:r w:rsidR="00020A2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83CFC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020A26">
        <w:rPr>
          <w:rFonts w:ascii="Times New Roman" w:hAnsi="Times New Roman" w:cs="Times New Roman"/>
          <w:color w:val="000000"/>
          <w:sz w:val="24"/>
          <w:szCs w:val="24"/>
          <w:lang w:val="en-GB"/>
        </w:rPr>
        <w:t>Azores</w:t>
      </w:r>
      <w:r w:rsidR="00883CF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(AZ), </w:t>
      </w:r>
      <w:r w:rsidR="00020A26">
        <w:rPr>
          <w:rFonts w:ascii="Times New Roman" w:hAnsi="Times New Roman" w:cs="Times New Roman"/>
          <w:color w:val="000000"/>
          <w:sz w:val="24"/>
          <w:szCs w:val="24"/>
          <w:lang w:val="en-GB"/>
        </w:rPr>
        <w:t>North Africa,</w:t>
      </w:r>
      <w:r w:rsidR="00883CFC">
        <w:rPr>
          <w:rFonts w:ascii="Times New Roman" w:hAnsi="Times New Roman" w:cs="Times New Roman"/>
          <w:color w:val="000000"/>
          <w:sz w:val="24"/>
          <w:szCs w:val="24"/>
          <w:lang w:val="en-GB"/>
        </w:rPr>
        <w:t>-NAF)</w:t>
      </w:r>
      <w:r w:rsidR="00020A2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83CF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or closer to the </w:t>
      </w:r>
      <w:r w:rsidR="00020A26">
        <w:rPr>
          <w:rFonts w:ascii="Times New Roman" w:hAnsi="Times New Roman" w:cs="Times New Roman"/>
          <w:color w:val="000000"/>
          <w:sz w:val="24"/>
          <w:szCs w:val="24"/>
          <w:lang w:val="en-GB"/>
        </w:rPr>
        <w:t>North</w:t>
      </w:r>
      <w:r w:rsidR="00883CFC">
        <w:rPr>
          <w:rFonts w:ascii="Times New Roman" w:hAnsi="Times New Roman" w:cs="Times New Roman"/>
          <w:color w:val="000000"/>
          <w:sz w:val="24"/>
          <w:szCs w:val="24"/>
          <w:lang w:val="en-GB"/>
        </w:rPr>
        <w:t>west</w:t>
      </w:r>
      <w:r w:rsidR="00020A2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Africa</w:t>
      </w:r>
      <w:r w:rsidR="00883CF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 coast (NAF-UPW). In the case of fin whales, we also considered the Iberia (IB), Bay of Biscay (BB) and </w:t>
      </w:r>
      <w:r w:rsidR="00FF7143">
        <w:rPr>
          <w:rFonts w:ascii="Times New Roman" w:hAnsi="Times New Roman" w:cs="Times New Roman"/>
          <w:color w:val="000000"/>
          <w:sz w:val="24"/>
          <w:szCs w:val="24"/>
          <w:lang w:val="en-GB"/>
        </w:rPr>
        <w:t>western Mediterranean (</w:t>
      </w:r>
      <w:r w:rsidR="00883CFC">
        <w:rPr>
          <w:rFonts w:ascii="Times New Roman" w:hAnsi="Times New Roman" w:cs="Times New Roman"/>
          <w:color w:val="000000"/>
          <w:sz w:val="24"/>
          <w:szCs w:val="24"/>
          <w:lang w:val="en-GB"/>
        </w:rPr>
        <w:t>MED) as plausible winter-spring habitats.</w:t>
      </w:r>
    </w:p>
    <w:p w:rsidR="00912DA7" w:rsidRDefault="00912DA7" w:rsidP="00B02157">
      <w:pPr>
        <w:widowControl w:val="0"/>
        <w:spacing w:after="12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12DA7" w:rsidRDefault="00912DA7" w:rsidP="00B02157">
      <w:pPr>
        <w:widowControl w:val="0"/>
        <w:spacing w:after="120" w:line="480" w:lineRule="auto"/>
        <w:rPr>
          <w:rFonts w:ascii="Times New Roman" w:hAnsi="Times New Roman" w:cs="Times New Roman"/>
          <w:sz w:val="24"/>
          <w:szCs w:val="24"/>
          <w:lang w:val="en-GB"/>
        </w:rPr>
        <w:sectPr w:rsidR="00912DA7" w:rsidSect="00912D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9212F" w:rsidRDefault="00912DA7" w:rsidP="00B27156">
      <w:pPr>
        <w:widowControl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S1</w:t>
      </w:r>
      <w:r w:rsidR="008D4E4D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656B3D">
        <w:rPr>
          <w:rFonts w:ascii="Times New Roman" w:hAnsi="Times New Roman" w:cs="Times New Roman"/>
          <w:sz w:val="24"/>
          <w:szCs w:val="24"/>
          <w:lang w:val="en-GB"/>
        </w:rPr>
        <w:t xml:space="preserve">Mean and </w:t>
      </w:r>
      <w:r w:rsidR="00656B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standard deviation (SD)</w:t>
      </w:r>
      <w:r w:rsidR="008D4E4D" w:rsidRPr="008519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 δ</w:t>
      </w:r>
      <w:r w:rsidR="008D4E4D" w:rsidRPr="008519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t-PT"/>
        </w:rPr>
        <w:t>15</w:t>
      </w:r>
      <w:r w:rsidR="008D4E4D" w:rsidRPr="008519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N</w:t>
      </w:r>
      <w:r w:rsidR="008D4E4D" w:rsidRPr="008519C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D4E4D" w:rsidRPr="008519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δ</w:t>
      </w:r>
      <w:r w:rsidR="008D4E4D" w:rsidRPr="008519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t-PT"/>
        </w:rPr>
        <w:t>13</w:t>
      </w:r>
      <w:r w:rsidR="008D4E4D" w:rsidRPr="008519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C</w:t>
      </w:r>
      <w:r w:rsidR="008D4E4D" w:rsidRPr="008519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4E4D" w:rsidRPr="008519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values of potential prey </w:t>
      </w:r>
      <w:r w:rsidR="00D9212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taxa </w:t>
      </w:r>
      <w:r w:rsidR="00382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from the literature used to </w:t>
      </w:r>
      <w:r w:rsidR="0034582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estimate the isotopic composition of prey groups in </w:t>
      </w:r>
      <w:r w:rsidR="003829AF">
        <w:rPr>
          <w:rFonts w:ascii="Times New Roman" w:hAnsi="Times New Roman" w:cs="Times New Roman"/>
          <w:color w:val="000000"/>
          <w:sz w:val="24"/>
          <w:szCs w:val="24"/>
          <w:lang w:val="en-GB"/>
        </w:rPr>
        <w:t>different regions</w:t>
      </w:r>
      <w:r w:rsidR="000B7F45">
        <w:rPr>
          <w:rFonts w:ascii="Times New Roman" w:hAnsi="Times New Roman" w:cs="Times New Roman"/>
          <w:color w:val="000000"/>
          <w:sz w:val="24"/>
          <w:szCs w:val="24"/>
          <w:lang w:val="en-GB"/>
        </w:rPr>
        <w:t>, by season</w:t>
      </w:r>
      <w:r w:rsidR="00382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Only studies </w:t>
      </w:r>
      <w:r w:rsidR="008D4E4D" w:rsidRPr="008519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that </w:t>
      </w:r>
      <w:r w:rsidR="00652DE0" w:rsidRPr="00D9212F">
        <w:rPr>
          <w:rFonts w:ascii="Times New Roman" w:hAnsi="Times New Roman" w:cs="Times New Roman"/>
          <w:color w:val="000000"/>
          <w:sz w:val="24"/>
          <w:szCs w:val="24"/>
          <w:lang w:val="en-GB"/>
        </w:rPr>
        <w:t>accounted for lipid through chemical extraction or mathematical correction</w:t>
      </w:r>
      <w:r w:rsidR="00652DE0" w:rsidRPr="008519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52DE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</w:t>
      </w:r>
      <w:r w:rsidR="008D4E4D" w:rsidRPr="008519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provided data for both </w:t>
      </w:r>
      <w:r w:rsidR="008D4E4D" w:rsidRPr="008519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δ</w:t>
      </w:r>
      <w:r w:rsidR="008D4E4D" w:rsidRPr="008519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t-PT"/>
        </w:rPr>
        <w:t>15</w:t>
      </w:r>
      <w:r w:rsidR="008D4E4D" w:rsidRPr="008519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N</w:t>
      </w:r>
      <w:r w:rsidR="008D4E4D" w:rsidRPr="008519C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D4E4D" w:rsidRPr="008519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δ</w:t>
      </w:r>
      <w:r w:rsidR="008D4E4D" w:rsidRPr="008519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t-PT"/>
        </w:rPr>
        <w:t>13</w:t>
      </w:r>
      <w:r w:rsidR="008D4E4D" w:rsidRPr="008519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C </w:t>
      </w:r>
      <w:r w:rsidR="008D4E4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values</w:t>
      </w:r>
      <w:r w:rsidR="008D4E4D" w:rsidRPr="008519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, along with </w:t>
      </w:r>
      <w:r w:rsidR="008D4E4D" w:rsidRPr="008519C3">
        <w:rPr>
          <w:rFonts w:ascii="Times New Roman" w:hAnsi="Times New Roman" w:cs="Times New Roman"/>
          <w:color w:val="000000"/>
          <w:sz w:val="24"/>
          <w:szCs w:val="24"/>
          <w:lang w:val="en-GB"/>
        </w:rPr>
        <w:t>a descriptor of the variance and number of samples analysed</w:t>
      </w:r>
      <w:r w:rsidR="00382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3829AF" w:rsidRPr="00D9212F">
        <w:rPr>
          <w:rFonts w:ascii="Times New Roman" w:hAnsi="Times New Roman" w:cs="Times New Roman"/>
          <w:color w:val="000000"/>
          <w:sz w:val="24"/>
          <w:szCs w:val="24"/>
          <w:lang w:val="en-GB"/>
        </w:rPr>
        <w:t>were included.</w:t>
      </w:r>
      <w:r w:rsidR="00ED07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Regions are: AZ-Azores, IB</w:t>
      </w:r>
      <w:r w:rsidR="00656B3D">
        <w:rPr>
          <w:rFonts w:ascii="Times New Roman" w:hAnsi="Times New Roman" w:cs="Times New Roman"/>
          <w:color w:val="000000"/>
          <w:sz w:val="24"/>
          <w:szCs w:val="24"/>
          <w:lang w:val="en-GB"/>
        </w:rPr>
        <w:t>-Iberia</w:t>
      </w:r>
      <w:r w:rsidR="00ED077A">
        <w:rPr>
          <w:rFonts w:ascii="Times New Roman" w:hAnsi="Times New Roman" w:cs="Times New Roman"/>
          <w:color w:val="000000"/>
          <w:sz w:val="24"/>
          <w:szCs w:val="24"/>
          <w:lang w:val="en-GB"/>
        </w:rPr>
        <w:t>, BB-</w:t>
      </w:r>
      <w:r w:rsidR="00656B3D">
        <w:rPr>
          <w:rFonts w:ascii="Times New Roman" w:hAnsi="Times New Roman" w:cs="Times New Roman"/>
          <w:color w:val="000000"/>
          <w:sz w:val="24"/>
          <w:szCs w:val="24"/>
          <w:lang w:val="en-GB"/>
        </w:rPr>
        <w:t>Bay of Biscay, NAF-North Africa, NAF-UPW-North Africa Upwelling, NEA-Northeast Atlantic, NWA-North</w:t>
      </w:r>
      <w:r w:rsidR="00FF7143">
        <w:rPr>
          <w:rFonts w:ascii="Times New Roman" w:hAnsi="Times New Roman" w:cs="Times New Roman"/>
          <w:color w:val="000000"/>
          <w:sz w:val="24"/>
          <w:szCs w:val="24"/>
          <w:lang w:val="en-GB"/>
        </w:rPr>
        <w:t>west Atlantic, MED-</w:t>
      </w:r>
      <w:r w:rsidR="00ED077A">
        <w:rPr>
          <w:rFonts w:ascii="Times New Roman" w:hAnsi="Times New Roman" w:cs="Times New Roman"/>
          <w:color w:val="000000"/>
          <w:sz w:val="24"/>
          <w:szCs w:val="24"/>
          <w:lang w:val="en-GB"/>
        </w:rPr>
        <w:t>Mediterranean.</w:t>
      </w:r>
    </w:p>
    <w:tbl>
      <w:tblPr>
        <w:tblW w:w="13602" w:type="dxa"/>
        <w:tblLook w:val="04A0" w:firstRow="1" w:lastRow="0" w:firstColumn="1" w:lastColumn="0" w:noHBand="0" w:noVBand="1"/>
      </w:tblPr>
      <w:tblGrid>
        <w:gridCol w:w="1170"/>
        <w:gridCol w:w="2340"/>
        <w:gridCol w:w="1194"/>
        <w:gridCol w:w="2496"/>
        <w:gridCol w:w="900"/>
        <w:gridCol w:w="894"/>
        <w:gridCol w:w="672"/>
        <w:gridCol w:w="566"/>
        <w:gridCol w:w="838"/>
        <w:gridCol w:w="566"/>
        <w:gridCol w:w="861"/>
        <w:gridCol w:w="1105"/>
      </w:tblGrid>
      <w:tr w:rsidR="00ED077A" w:rsidRPr="00ED077A" w:rsidTr="00FC140B">
        <w:trPr>
          <w:trHeight w:val="288"/>
        </w:trPr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Region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Prey group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Lowest taxonomic ID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Year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Season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δ15N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δ13C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Nº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References</w:t>
            </w:r>
          </w:p>
        </w:tc>
      </w:tr>
      <w:tr w:rsidR="00624AD8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Mean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Mean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samples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24AD8" w:rsidRPr="00ED077A" w:rsidTr="00624AD8">
        <w:trPr>
          <w:trHeight w:val="288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AZ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Azores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Spring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-20.45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B9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AZ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Azores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Spring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6.39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-19.94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B9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Bay of Biscay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Meganyctiphanes norvegica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2001-10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Autumn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-19.80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B9623F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Iberia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Meganyctiphanes norvegica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Spring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-20.93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B9623F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Iberia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Meganyctiphanes norvegica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Autumn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-21.10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B9623F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Cape Verde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Undinula vulgaris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Autumn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-19.49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B9623F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Cape Verde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Euphausiid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Autumn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-18.60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B9623F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Guinea Dome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Undinula vulgaris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Autumn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0.85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-19.14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B9623F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Guinea Dome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Calanoides</w:t>
            </w: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sp.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Spring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-19.37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0.80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B9623F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Guinea Dome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Euphausiacea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Spring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-19.70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B9623F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Guinea-Bissau - Liberia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Undinula vulgaris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Autumn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-19.97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B9623F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Guinea-Bissau - Liberia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Euphausiid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Autumn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-19.90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B9623F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Western Tropical Atlantic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Undinula vulgaris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Autumn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4.46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-19.47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B9623F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Western Tropical Atlantic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Calanoides</w:t>
            </w: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sp.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Spring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-19.50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B9623F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Western Tropical Atlantic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Euphausiid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Autumn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-18.78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Western Tropical Atlantic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Euphausiacea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Spring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-19.22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0.73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Western Tropical Atlantic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Meganyctiphanes norvegica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Spring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-19.17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Western Tropical Atlantic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Thysanoessa</w:t>
            </w: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sp.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Spring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-20.54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NAF-UPW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Saharan bank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Calanoides</w:t>
            </w: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sp.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Spring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-17.93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NAF-UPW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Saharan bank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Euphausiid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Autumn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-21.30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NAF-UPW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Saharan bank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Euphausiacea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Spring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-18.16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1.53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NAF-UPW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Senegal-Mauritania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Calanoides carinatus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Autumn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-17.70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NAF-UPW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Senegal-Mauritania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Undinula vulgaris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Autumn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-19.06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16, 18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lastRenderedPageBreak/>
              <w:t>NAF-UPW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Senegal-Mauritania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Calanoides</w:t>
            </w: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sp.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Spring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-18.34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NAF-UPW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Senegal-Mauritania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Euphausiid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Autumn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-19.16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16, 18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NAF-UPW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Senegal-Mauritania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Euphausiacea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Spring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8.63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-18.51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Iceland Sea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Meganyctiphanes norvegica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7.50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-20.40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19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Iceland Sea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Thysanoessa inermis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-20.20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19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Iceland Sea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Thysanoessa longicaudata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-22.10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19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Spitzbergen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Calanus finmarchicus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-21.60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Spitzbergen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Calanus hyperboreus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-22.20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Spitzbergen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-20.00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Svalbard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Calanus hyperboreus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-23.76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Svalbard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Calanus glacialis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1.31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-22.58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Svalbard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Calanus glacialis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-20.83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Svalbard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Calanus finmarchicus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7.90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-21.20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Svalbard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Calanus hyperboreus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-20.66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Svalbard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Meganyctiphanes norvegica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11.50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-21.70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Svalbard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Thysanoessa longicaudata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-21.70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Svalbard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Thysanoessa inermis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9.40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-22.30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Svalbard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-20.80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NWA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Gulf St Lawrence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Calanus finmarchicus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-22.70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23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NWA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Gulf St Lawrence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Calanus hyperboreus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-22.40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23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NWA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Gulf St Lawrence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Meganyctiphanes norvegica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9.20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853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</w:t>
            </w:r>
            <w:r w:rsidR="00853F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-21.10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23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NWA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SW Greenland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Meganyctiphanes norvegica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-19.00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NWA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Western Greenland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Copepods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Calanus</w:t>
            </w: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spp.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8.39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-20.97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0.84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NWA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Western Greenland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Meganyctiphanes norvegica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11.37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853FC8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853FC8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-21.96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853FC8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NWA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Western Greenland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Thysanoessa inermis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853FC8" w:rsidP="00853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-21.71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  <w:r w:rsidR="00853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.67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</w:tr>
      <w:tr w:rsidR="00ED077A" w:rsidRPr="00ED077A" w:rsidTr="00624AD8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NWA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Western Greenland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Thysanoessa longicaudata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8.64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853FC8" w:rsidP="00853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-22.60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  <w:r w:rsidR="00853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.67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</w:tr>
      <w:tr w:rsidR="00ED077A" w:rsidRPr="00ED077A" w:rsidTr="00B02157">
        <w:trPr>
          <w:trHeight w:val="288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NWA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Western Greenland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Thysanoessa raschii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Summer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9.26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0.66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853FC8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-21.49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853FC8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0.54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</w:tr>
      <w:tr w:rsidR="00ED077A" w:rsidRPr="00ED077A" w:rsidTr="00B02157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Balearic Sea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Euphausiids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Meganyctiphanes norvegica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Winter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-19.68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ED077A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D07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A" w:rsidRPr="00ED077A" w:rsidRDefault="00FB0890" w:rsidP="00ED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27</w:t>
            </w:r>
          </w:p>
        </w:tc>
      </w:tr>
    </w:tbl>
    <w:p w:rsidR="00912DA7" w:rsidRDefault="00912DA7" w:rsidP="00FF1FFF">
      <w:pPr>
        <w:widowControl w:val="0"/>
        <w:spacing w:after="12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  <w:sectPr w:rsidR="00912DA7" w:rsidSect="004C7ED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C7ED9" w:rsidRDefault="00D453B4" w:rsidP="000C1B3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S2</w:t>
      </w:r>
      <w:r w:rsidR="00656B3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656B3D" w:rsidRPr="00656B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56B3D" w:rsidRPr="00656B3D">
        <w:rPr>
          <w:rFonts w:ascii="Times New Roman" w:hAnsi="Times New Roman" w:cs="Times New Roman"/>
          <w:sz w:val="24"/>
          <w:szCs w:val="24"/>
          <w:lang w:val="en-GB"/>
        </w:rPr>
        <w:t xml:space="preserve">Estimates of the </w:t>
      </w:r>
      <w:r w:rsidR="0034582C">
        <w:rPr>
          <w:rFonts w:ascii="Times New Roman" w:hAnsi="Times New Roman" w:cs="Times New Roman"/>
          <w:sz w:val="24"/>
          <w:szCs w:val="24"/>
          <w:lang w:val="en-GB"/>
        </w:rPr>
        <w:t xml:space="preserve">mean and </w:t>
      </w:r>
      <w:r w:rsidR="003458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standard deviation (SD)</w:t>
      </w:r>
      <w:r w:rsidR="0034582C" w:rsidRPr="008519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 δ</w:t>
      </w:r>
      <w:r w:rsidR="0034582C" w:rsidRPr="008519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t-PT"/>
        </w:rPr>
        <w:t>15</w:t>
      </w:r>
      <w:r w:rsidR="0034582C" w:rsidRPr="008519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N</w:t>
      </w:r>
      <w:r w:rsidR="0034582C" w:rsidRPr="008519C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34582C" w:rsidRPr="008519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δ</w:t>
      </w:r>
      <w:r w:rsidR="0034582C" w:rsidRPr="008519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t-PT"/>
        </w:rPr>
        <w:t>13</w:t>
      </w:r>
      <w:r w:rsidR="0034582C" w:rsidRPr="008519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C</w:t>
      </w:r>
      <w:r w:rsidR="0034582C" w:rsidRPr="008519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582C" w:rsidRPr="008519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values of </w:t>
      </w:r>
      <w:r w:rsidR="0034582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regions used in Bayesian stable isotope mixing models run </w:t>
      </w:r>
      <w:r w:rsidR="00592C87">
        <w:rPr>
          <w:rFonts w:ascii="Times New Roman" w:hAnsi="Times New Roman" w:cs="Times New Roman"/>
          <w:color w:val="000000"/>
          <w:sz w:val="24"/>
          <w:szCs w:val="24"/>
          <w:lang w:val="en-GB"/>
        </w:rPr>
        <w:t>for</w:t>
      </w:r>
      <w:r w:rsidR="0034582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blue, fin and sei whales.</w:t>
      </w:r>
      <w:r w:rsidR="00592C8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4A1D9F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model for</w:t>
      </w:r>
      <w:r w:rsidR="00592C8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sei whales included </w:t>
      </w:r>
      <w:r w:rsidR="004A1D9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isotopic </w:t>
      </w:r>
      <w:r w:rsidR="0014175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data from </w:t>
      </w:r>
      <w:r w:rsidR="004A1D9F">
        <w:rPr>
          <w:rFonts w:ascii="Times New Roman" w:hAnsi="Times New Roman" w:cs="Times New Roman"/>
          <w:color w:val="000000"/>
          <w:sz w:val="24"/>
          <w:szCs w:val="24"/>
          <w:lang w:val="en-GB"/>
        </w:rPr>
        <w:t>copepods belonging to family Calanidae;</w:t>
      </w:r>
      <w:r w:rsidR="00592C8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models </w:t>
      </w:r>
      <w:r w:rsidR="00141750">
        <w:rPr>
          <w:rFonts w:ascii="Times New Roman" w:hAnsi="Times New Roman" w:cs="Times New Roman"/>
          <w:color w:val="000000"/>
          <w:sz w:val="24"/>
          <w:szCs w:val="24"/>
          <w:lang w:val="en-GB"/>
        </w:rPr>
        <w:t>for blue and fin whales include</w:t>
      </w:r>
      <w:r w:rsidR="000B7F4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 </w:t>
      </w:r>
      <w:r w:rsidR="004A1D9F">
        <w:rPr>
          <w:rFonts w:ascii="Times New Roman" w:hAnsi="Times New Roman" w:cs="Times New Roman"/>
          <w:color w:val="000000"/>
          <w:sz w:val="24"/>
          <w:szCs w:val="24"/>
          <w:lang w:val="en-GB"/>
        </w:rPr>
        <w:t>isotopic data from e</w:t>
      </w:r>
      <w:r w:rsidR="00141750">
        <w:rPr>
          <w:rFonts w:ascii="Times New Roman" w:hAnsi="Times New Roman" w:cs="Times New Roman"/>
          <w:color w:val="000000"/>
          <w:sz w:val="24"/>
          <w:szCs w:val="24"/>
          <w:lang w:val="en-GB"/>
        </w:rPr>
        <w:t>uphausiids</w:t>
      </w:r>
      <w:r w:rsidR="004A1D9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belonging to family Euphausiidae</w:t>
      </w:r>
      <w:r w:rsidR="00141750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687B5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4A1D9F">
        <w:rPr>
          <w:rFonts w:ascii="Times New Roman" w:hAnsi="Times New Roman" w:cs="Times New Roman"/>
          <w:color w:val="000000"/>
          <w:sz w:val="24"/>
          <w:szCs w:val="24"/>
          <w:lang w:val="en-GB"/>
        </w:rPr>
        <w:t>Regions are: AZ-Azores, IB-Iberia, BB-Bay of Biscay, NAF-North Africa, NAF-UPW-North Africa Upwelling, NEA-Northeast Atl</w:t>
      </w:r>
      <w:r w:rsidR="00FF7143">
        <w:rPr>
          <w:rFonts w:ascii="Times New Roman" w:hAnsi="Times New Roman" w:cs="Times New Roman"/>
          <w:color w:val="000000"/>
          <w:sz w:val="24"/>
          <w:szCs w:val="24"/>
          <w:lang w:val="en-GB"/>
        </w:rPr>
        <w:t>antic, NWA-Northwest Atlantic, MED-</w:t>
      </w:r>
      <w:r w:rsidR="004A1D9F">
        <w:rPr>
          <w:rFonts w:ascii="Times New Roman" w:hAnsi="Times New Roman" w:cs="Times New Roman"/>
          <w:color w:val="000000"/>
          <w:sz w:val="24"/>
          <w:szCs w:val="24"/>
          <w:lang w:val="en-GB"/>
        </w:rPr>
        <w:t>Mediterranean.</w:t>
      </w:r>
    </w:p>
    <w:p w:rsidR="000C1B36" w:rsidRDefault="000C1B36" w:rsidP="000C1B3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Style w:val="TableGrid"/>
        <w:tblW w:w="93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1440"/>
        <w:gridCol w:w="2387"/>
        <w:gridCol w:w="880"/>
        <w:gridCol w:w="826"/>
        <w:gridCol w:w="826"/>
        <w:gridCol w:w="826"/>
        <w:gridCol w:w="546"/>
      </w:tblGrid>
      <w:tr w:rsidR="00E658D1" w:rsidRPr="00592C87" w:rsidTr="00F54943">
        <w:trPr>
          <w:trHeight w:val="288"/>
        </w:trPr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Regions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Season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Years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8D1" w:rsidRPr="009D2F41" w:rsidRDefault="00E658D1" w:rsidP="001D7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δ</w:t>
            </w:r>
            <w:r w:rsidRPr="0085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pt-PT"/>
              </w:rPr>
              <w:t>15</w:t>
            </w:r>
            <w:r w:rsidRPr="0085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N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E658D1" w:rsidRPr="00592C87" w:rsidRDefault="00E658D1" w:rsidP="0068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δ</w:t>
            </w:r>
            <w:r w:rsidRPr="0085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pt-PT"/>
              </w:rPr>
              <w:t>13</w:t>
            </w:r>
            <w:r w:rsidRPr="0085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</w:tcBorders>
          </w:tcPr>
          <w:p w:rsidR="00E658D1" w:rsidRPr="008519C3" w:rsidRDefault="00D717E9" w:rsidP="00E6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PT"/>
              </w:rPr>
              <w:t>N</w:t>
            </w: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</w:tcBorders>
          </w:tcPr>
          <w:p w:rsidR="00E658D1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8D1" w:rsidRPr="00592C87" w:rsidTr="00F54943">
        <w:trPr>
          <w:trHeight w:val="288"/>
        </w:trPr>
        <w:tc>
          <w:tcPr>
            <w:tcW w:w="3098" w:type="dxa"/>
            <w:gridSpan w:val="2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Blue whale model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NAF-UPW</w:t>
            </w:r>
          </w:p>
        </w:tc>
        <w:tc>
          <w:tcPr>
            <w:tcW w:w="144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Autumn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88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6.09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-19.77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NAF-UPW</w:t>
            </w:r>
          </w:p>
        </w:tc>
        <w:tc>
          <w:tcPr>
            <w:tcW w:w="144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8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7.73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-18.76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NAF</w:t>
            </w:r>
          </w:p>
        </w:tc>
        <w:tc>
          <w:tcPr>
            <w:tcW w:w="144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Autumn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88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4.07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-19.01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NAF</w:t>
            </w:r>
          </w:p>
        </w:tc>
        <w:tc>
          <w:tcPr>
            <w:tcW w:w="144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8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7.06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-19.39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144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88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6.39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-19.94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NEA</w:t>
            </w:r>
          </w:p>
        </w:tc>
        <w:tc>
          <w:tcPr>
            <w:tcW w:w="144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Summer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2003, 2007, 2008</w:t>
            </w:r>
          </w:p>
        </w:tc>
        <w:tc>
          <w:tcPr>
            <w:tcW w:w="88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9.6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-21.55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NWA</w:t>
            </w:r>
          </w:p>
        </w:tc>
        <w:tc>
          <w:tcPr>
            <w:tcW w:w="144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Summer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2003, 2006, 2010</w:t>
            </w:r>
          </w:p>
        </w:tc>
        <w:tc>
          <w:tcPr>
            <w:tcW w:w="88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9.78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-21.79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7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8D1" w:rsidRPr="00592C87" w:rsidTr="00F54943">
        <w:trPr>
          <w:trHeight w:val="288"/>
        </w:trPr>
        <w:tc>
          <w:tcPr>
            <w:tcW w:w="3098" w:type="dxa"/>
            <w:gridSpan w:val="2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Fin whale model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NAF-UPW</w:t>
            </w:r>
          </w:p>
        </w:tc>
        <w:tc>
          <w:tcPr>
            <w:tcW w:w="144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Autumn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880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6.09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-19.77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1D75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NAF-UPW</w:t>
            </w:r>
          </w:p>
        </w:tc>
        <w:tc>
          <w:tcPr>
            <w:tcW w:w="1440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80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7.73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-18.76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NAF</w:t>
            </w:r>
          </w:p>
        </w:tc>
        <w:tc>
          <w:tcPr>
            <w:tcW w:w="1440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Autumn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880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4.07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-19.01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NAF</w:t>
            </w:r>
          </w:p>
        </w:tc>
        <w:tc>
          <w:tcPr>
            <w:tcW w:w="1440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80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7.06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-19.39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1440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880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6.39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-19.94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NEA</w:t>
            </w:r>
          </w:p>
        </w:tc>
        <w:tc>
          <w:tcPr>
            <w:tcW w:w="1440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Summer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2003, 2007, 2008</w:t>
            </w:r>
          </w:p>
        </w:tc>
        <w:tc>
          <w:tcPr>
            <w:tcW w:w="880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9.6</w:t>
            </w:r>
            <w:r w:rsidR="008360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-21.55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E658D1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NWA</w:t>
            </w:r>
          </w:p>
        </w:tc>
        <w:tc>
          <w:tcPr>
            <w:tcW w:w="1440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Summer</w:t>
            </w:r>
          </w:p>
        </w:tc>
        <w:tc>
          <w:tcPr>
            <w:tcW w:w="2387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2003, 2006, 2010</w:t>
            </w:r>
          </w:p>
        </w:tc>
        <w:tc>
          <w:tcPr>
            <w:tcW w:w="880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9.78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-21.79</w:t>
            </w:r>
          </w:p>
        </w:tc>
        <w:tc>
          <w:tcPr>
            <w:tcW w:w="826" w:type="dxa"/>
            <w:noWrap/>
            <w:hideMark/>
          </w:tcPr>
          <w:p w:rsidR="00E658D1" w:rsidRPr="00592C87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546" w:type="dxa"/>
          </w:tcPr>
          <w:p w:rsidR="00E658D1" w:rsidRPr="00592C87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</w:tr>
      <w:tr w:rsidR="00E658D1" w:rsidRPr="0083603B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83603B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MED</w:t>
            </w:r>
          </w:p>
        </w:tc>
        <w:tc>
          <w:tcPr>
            <w:tcW w:w="1440" w:type="dxa"/>
            <w:noWrap/>
            <w:hideMark/>
          </w:tcPr>
          <w:p w:rsidR="00E658D1" w:rsidRPr="0083603B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Winter</w:t>
            </w:r>
          </w:p>
        </w:tc>
        <w:tc>
          <w:tcPr>
            <w:tcW w:w="2387" w:type="dxa"/>
            <w:noWrap/>
            <w:hideMark/>
          </w:tcPr>
          <w:p w:rsidR="00E658D1" w:rsidRPr="0083603B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880" w:type="dxa"/>
            <w:noWrap/>
            <w:hideMark/>
          </w:tcPr>
          <w:p w:rsidR="00E658D1" w:rsidRPr="0083603B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6.91</w:t>
            </w:r>
          </w:p>
        </w:tc>
        <w:tc>
          <w:tcPr>
            <w:tcW w:w="826" w:type="dxa"/>
            <w:noWrap/>
            <w:hideMark/>
          </w:tcPr>
          <w:p w:rsidR="00E658D1" w:rsidRPr="0083603B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826" w:type="dxa"/>
            <w:noWrap/>
            <w:hideMark/>
          </w:tcPr>
          <w:p w:rsidR="00E658D1" w:rsidRPr="0083603B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-19.68</w:t>
            </w:r>
          </w:p>
        </w:tc>
        <w:tc>
          <w:tcPr>
            <w:tcW w:w="826" w:type="dxa"/>
            <w:noWrap/>
            <w:hideMark/>
          </w:tcPr>
          <w:p w:rsidR="00E658D1" w:rsidRPr="0083603B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546" w:type="dxa"/>
          </w:tcPr>
          <w:p w:rsidR="00E658D1" w:rsidRPr="0083603B" w:rsidRDefault="00E658D1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658D1" w:rsidRPr="0083603B" w:rsidTr="00F54943">
        <w:trPr>
          <w:trHeight w:val="288"/>
        </w:trPr>
        <w:tc>
          <w:tcPr>
            <w:tcW w:w="1658" w:type="dxa"/>
            <w:noWrap/>
            <w:hideMark/>
          </w:tcPr>
          <w:p w:rsidR="00E658D1" w:rsidRPr="0083603B" w:rsidRDefault="00E658D1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IB</w:t>
            </w:r>
          </w:p>
        </w:tc>
        <w:tc>
          <w:tcPr>
            <w:tcW w:w="1440" w:type="dxa"/>
            <w:noWrap/>
            <w:hideMark/>
          </w:tcPr>
          <w:p w:rsidR="00E658D1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2387" w:type="dxa"/>
            <w:noWrap/>
            <w:hideMark/>
          </w:tcPr>
          <w:p w:rsidR="00E658D1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880" w:type="dxa"/>
            <w:noWrap/>
            <w:hideMark/>
          </w:tcPr>
          <w:p w:rsidR="00E658D1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6.35</w:t>
            </w:r>
          </w:p>
        </w:tc>
        <w:tc>
          <w:tcPr>
            <w:tcW w:w="826" w:type="dxa"/>
            <w:noWrap/>
            <w:hideMark/>
          </w:tcPr>
          <w:p w:rsidR="00E658D1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826" w:type="dxa"/>
            <w:noWrap/>
            <w:hideMark/>
          </w:tcPr>
          <w:p w:rsidR="00E658D1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-20.93</w:t>
            </w:r>
          </w:p>
        </w:tc>
        <w:tc>
          <w:tcPr>
            <w:tcW w:w="826" w:type="dxa"/>
            <w:noWrap/>
            <w:hideMark/>
          </w:tcPr>
          <w:p w:rsidR="00E658D1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546" w:type="dxa"/>
          </w:tcPr>
          <w:p w:rsidR="00E658D1" w:rsidRPr="0083603B" w:rsidRDefault="005C1F1F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3603B" w:rsidRPr="0083603B" w:rsidTr="00F54943">
        <w:trPr>
          <w:trHeight w:val="288"/>
        </w:trPr>
        <w:tc>
          <w:tcPr>
            <w:tcW w:w="1658" w:type="dxa"/>
            <w:noWrap/>
          </w:tcPr>
          <w:p w:rsidR="0083603B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IB</w:t>
            </w:r>
          </w:p>
        </w:tc>
        <w:tc>
          <w:tcPr>
            <w:tcW w:w="1440" w:type="dxa"/>
            <w:noWrap/>
          </w:tcPr>
          <w:p w:rsidR="0083603B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Autumn</w:t>
            </w:r>
          </w:p>
        </w:tc>
        <w:tc>
          <w:tcPr>
            <w:tcW w:w="2387" w:type="dxa"/>
            <w:noWrap/>
          </w:tcPr>
          <w:p w:rsidR="0083603B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880" w:type="dxa"/>
            <w:noWrap/>
          </w:tcPr>
          <w:p w:rsidR="0083603B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7.55</w:t>
            </w:r>
          </w:p>
        </w:tc>
        <w:tc>
          <w:tcPr>
            <w:tcW w:w="826" w:type="dxa"/>
            <w:noWrap/>
          </w:tcPr>
          <w:p w:rsidR="0083603B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826" w:type="dxa"/>
            <w:noWrap/>
          </w:tcPr>
          <w:p w:rsidR="0083603B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-21.10</w:t>
            </w:r>
          </w:p>
        </w:tc>
        <w:tc>
          <w:tcPr>
            <w:tcW w:w="826" w:type="dxa"/>
            <w:noWrap/>
          </w:tcPr>
          <w:p w:rsidR="0083603B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546" w:type="dxa"/>
          </w:tcPr>
          <w:p w:rsidR="0083603B" w:rsidRPr="0083603B" w:rsidRDefault="005C1F1F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3603B" w:rsidRPr="00592C87" w:rsidTr="00F54943">
        <w:trPr>
          <w:trHeight w:val="288"/>
        </w:trPr>
        <w:tc>
          <w:tcPr>
            <w:tcW w:w="1658" w:type="dxa"/>
            <w:tcBorders>
              <w:bottom w:val="nil"/>
            </w:tcBorders>
            <w:noWrap/>
          </w:tcPr>
          <w:p w:rsidR="0083603B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BB</w:t>
            </w:r>
          </w:p>
        </w:tc>
        <w:tc>
          <w:tcPr>
            <w:tcW w:w="1440" w:type="dxa"/>
            <w:tcBorders>
              <w:bottom w:val="nil"/>
            </w:tcBorders>
            <w:noWrap/>
          </w:tcPr>
          <w:p w:rsidR="0083603B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Autumn</w:t>
            </w:r>
          </w:p>
        </w:tc>
        <w:tc>
          <w:tcPr>
            <w:tcW w:w="2387" w:type="dxa"/>
            <w:tcBorders>
              <w:bottom w:val="nil"/>
            </w:tcBorders>
            <w:noWrap/>
          </w:tcPr>
          <w:p w:rsidR="0083603B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2001-2010</w:t>
            </w:r>
          </w:p>
        </w:tc>
        <w:tc>
          <w:tcPr>
            <w:tcW w:w="880" w:type="dxa"/>
            <w:tcBorders>
              <w:bottom w:val="nil"/>
            </w:tcBorders>
            <w:noWrap/>
          </w:tcPr>
          <w:p w:rsidR="0083603B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826" w:type="dxa"/>
            <w:tcBorders>
              <w:bottom w:val="nil"/>
            </w:tcBorders>
            <w:noWrap/>
          </w:tcPr>
          <w:p w:rsidR="0083603B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826" w:type="dxa"/>
            <w:tcBorders>
              <w:bottom w:val="nil"/>
            </w:tcBorders>
            <w:noWrap/>
          </w:tcPr>
          <w:p w:rsidR="0083603B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-19.80</w:t>
            </w:r>
          </w:p>
        </w:tc>
        <w:tc>
          <w:tcPr>
            <w:tcW w:w="826" w:type="dxa"/>
            <w:tcBorders>
              <w:bottom w:val="nil"/>
            </w:tcBorders>
            <w:noWrap/>
          </w:tcPr>
          <w:p w:rsidR="0083603B" w:rsidRPr="0083603B" w:rsidRDefault="0083603B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03B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546" w:type="dxa"/>
            <w:tcBorders>
              <w:bottom w:val="nil"/>
            </w:tcBorders>
          </w:tcPr>
          <w:p w:rsidR="0083603B" w:rsidRPr="0083603B" w:rsidRDefault="005C1F1F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11CD7" w:rsidRPr="00592C87" w:rsidTr="00F54943">
        <w:trPr>
          <w:trHeight w:val="288"/>
        </w:trPr>
        <w:tc>
          <w:tcPr>
            <w:tcW w:w="1658" w:type="dxa"/>
            <w:tcBorders>
              <w:top w:val="nil"/>
              <w:bottom w:val="nil"/>
            </w:tcBorders>
            <w:noWrap/>
          </w:tcPr>
          <w:p w:rsidR="00111CD7" w:rsidRPr="0083603B" w:rsidRDefault="00111CD7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noWrap/>
          </w:tcPr>
          <w:p w:rsidR="00111CD7" w:rsidRPr="0083603B" w:rsidRDefault="00111CD7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  <w:noWrap/>
          </w:tcPr>
          <w:p w:rsidR="00111CD7" w:rsidRPr="0083603B" w:rsidRDefault="00111CD7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noWrap/>
          </w:tcPr>
          <w:p w:rsidR="00111CD7" w:rsidRPr="0083603B" w:rsidRDefault="00111CD7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11CD7" w:rsidRPr="0083603B" w:rsidRDefault="00111CD7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11CD7" w:rsidRPr="0083603B" w:rsidRDefault="00111CD7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11CD7" w:rsidRPr="0083603B" w:rsidRDefault="00111CD7" w:rsidP="00E6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111CD7" w:rsidRPr="0083603B" w:rsidRDefault="00111CD7" w:rsidP="00201A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1CD7" w:rsidRPr="00592C87" w:rsidTr="00F54943">
        <w:trPr>
          <w:trHeight w:val="288"/>
        </w:trPr>
        <w:tc>
          <w:tcPr>
            <w:tcW w:w="1658" w:type="dxa"/>
            <w:tcBorders>
              <w:top w:val="nil"/>
              <w:bottom w:val="nil"/>
            </w:tcBorders>
            <w:noWrap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2C87">
              <w:rPr>
                <w:rFonts w:ascii="Times New Roman" w:hAnsi="Times New Roman" w:cs="Times New Roman"/>
                <w:b/>
                <w:bCs/>
                <w:color w:val="000000"/>
              </w:rPr>
              <w:t>Sei whale model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  <w:noWrap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noWrap/>
          </w:tcPr>
          <w:p w:rsidR="00111CD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11CD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11CD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11CD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111CD7" w:rsidRDefault="00111CD7" w:rsidP="00E31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1CD7" w:rsidRPr="00592C87" w:rsidTr="00F54943">
        <w:trPr>
          <w:trHeight w:val="288"/>
        </w:trPr>
        <w:tc>
          <w:tcPr>
            <w:tcW w:w="1658" w:type="dxa"/>
            <w:tcBorders>
              <w:top w:val="nil"/>
            </w:tcBorders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NAF-UPW</w:t>
            </w:r>
          </w:p>
        </w:tc>
        <w:tc>
          <w:tcPr>
            <w:tcW w:w="1440" w:type="dxa"/>
            <w:tcBorders>
              <w:top w:val="nil"/>
            </w:tcBorders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Autumn</w:t>
            </w:r>
          </w:p>
        </w:tc>
        <w:tc>
          <w:tcPr>
            <w:tcW w:w="2387" w:type="dxa"/>
            <w:tcBorders>
              <w:top w:val="nil"/>
            </w:tcBorders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880" w:type="dxa"/>
            <w:tcBorders>
              <w:top w:val="nil"/>
            </w:tcBorders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5.26</w:t>
            </w:r>
          </w:p>
        </w:tc>
        <w:tc>
          <w:tcPr>
            <w:tcW w:w="826" w:type="dxa"/>
            <w:tcBorders>
              <w:top w:val="nil"/>
            </w:tcBorders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</w:tcBorders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-18.66</w:t>
            </w:r>
          </w:p>
        </w:tc>
        <w:tc>
          <w:tcPr>
            <w:tcW w:w="826" w:type="dxa"/>
            <w:tcBorders>
              <w:top w:val="nil"/>
            </w:tcBorders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546" w:type="dxa"/>
            <w:tcBorders>
              <w:top w:val="nil"/>
            </w:tcBorders>
          </w:tcPr>
          <w:p w:rsidR="00111CD7" w:rsidRPr="00592C87" w:rsidRDefault="00111CD7" w:rsidP="00E31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111CD7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NAF-UPW</w:t>
            </w:r>
          </w:p>
        </w:tc>
        <w:tc>
          <w:tcPr>
            <w:tcW w:w="1440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2387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80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7.71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-18.35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546" w:type="dxa"/>
          </w:tcPr>
          <w:p w:rsidR="00111CD7" w:rsidRPr="00592C87" w:rsidRDefault="00111CD7" w:rsidP="00E31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111CD7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NAF</w:t>
            </w:r>
          </w:p>
        </w:tc>
        <w:tc>
          <w:tcPr>
            <w:tcW w:w="1440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Autumn</w:t>
            </w:r>
          </w:p>
        </w:tc>
        <w:tc>
          <w:tcPr>
            <w:tcW w:w="2387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880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4.70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-19.46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546" w:type="dxa"/>
          </w:tcPr>
          <w:p w:rsidR="00111CD7" w:rsidRPr="00592C87" w:rsidRDefault="00111CD7" w:rsidP="00E31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11CD7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NAF</w:t>
            </w:r>
          </w:p>
        </w:tc>
        <w:tc>
          <w:tcPr>
            <w:tcW w:w="1440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2387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80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7.04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-19.45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546" w:type="dxa"/>
          </w:tcPr>
          <w:p w:rsidR="00111CD7" w:rsidRPr="00592C87" w:rsidRDefault="00111CD7" w:rsidP="00E31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111CD7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1440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2387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880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5.16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-20.45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546" w:type="dxa"/>
          </w:tcPr>
          <w:p w:rsidR="00111CD7" w:rsidRPr="00592C87" w:rsidRDefault="00111CD7" w:rsidP="00E31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111CD7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NEA</w:t>
            </w:r>
          </w:p>
        </w:tc>
        <w:tc>
          <w:tcPr>
            <w:tcW w:w="1440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Summer</w:t>
            </w:r>
          </w:p>
        </w:tc>
        <w:tc>
          <w:tcPr>
            <w:tcW w:w="2387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2003, 2007, 2008, 2013</w:t>
            </w:r>
          </w:p>
        </w:tc>
        <w:tc>
          <w:tcPr>
            <w:tcW w:w="880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8.52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-22.89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546" w:type="dxa"/>
          </w:tcPr>
          <w:p w:rsidR="00111CD7" w:rsidRPr="00592C87" w:rsidRDefault="00111CD7" w:rsidP="00E31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</w:t>
            </w:r>
          </w:p>
        </w:tc>
      </w:tr>
      <w:tr w:rsidR="00111CD7" w:rsidRPr="00592C87" w:rsidTr="00F54943">
        <w:trPr>
          <w:trHeight w:val="288"/>
        </w:trPr>
        <w:tc>
          <w:tcPr>
            <w:tcW w:w="1658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NWA</w:t>
            </w:r>
          </w:p>
        </w:tc>
        <w:tc>
          <w:tcPr>
            <w:tcW w:w="1440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Summer</w:t>
            </w:r>
          </w:p>
        </w:tc>
        <w:tc>
          <w:tcPr>
            <w:tcW w:w="2387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2006, 2010</w:t>
            </w:r>
          </w:p>
        </w:tc>
        <w:tc>
          <w:tcPr>
            <w:tcW w:w="880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8.36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-22.04</w:t>
            </w:r>
          </w:p>
        </w:tc>
        <w:tc>
          <w:tcPr>
            <w:tcW w:w="826" w:type="dxa"/>
            <w:noWrap/>
            <w:hideMark/>
          </w:tcPr>
          <w:p w:rsidR="00111CD7" w:rsidRPr="00592C87" w:rsidRDefault="00111CD7" w:rsidP="00E31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87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546" w:type="dxa"/>
          </w:tcPr>
          <w:p w:rsidR="00111CD7" w:rsidRPr="00592C87" w:rsidRDefault="00111CD7" w:rsidP="00E31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</w:tbl>
    <w:p w:rsidR="0034582C" w:rsidRDefault="0034582C" w:rsidP="00656B3D">
      <w:pPr>
        <w:widowControl w:val="0"/>
        <w:spacing w:after="120" w:line="48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C1B36" w:rsidRDefault="000C1B36" w:rsidP="00FF1FFF">
      <w:pPr>
        <w:widowControl w:val="0"/>
        <w:spacing w:after="12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C1B36" w:rsidRDefault="000C1B36" w:rsidP="00FF1FFF">
      <w:pPr>
        <w:widowControl w:val="0"/>
        <w:spacing w:after="12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1FFF" w:rsidRPr="00E62376" w:rsidRDefault="003829AF" w:rsidP="00FF1FFF">
      <w:pPr>
        <w:widowControl w:val="0"/>
        <w:spacing w:after="12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References</w:t>
      </w:r>
    </w:p>
    <w:p w:rsidR="00D453B4" w:rsidRDefault="00D453B4" w:rsidP="00D453B4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Sears</w:t>
      </w:r>
      <w:r w:rsidRPr="0020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02A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Perrin WF. 2018</w:t>
      </w:r>
      <w:r w:rsidRPr="00202AFA">
        <w:rPr>
          <w:rFonts w:ascii="Times New Roman" w:hAnsi="Times New Roman" w:cs="Times New Roman"/>
          <w:sz w:val="24"/>
          <w:szCs w:val="24"/>
        </w:rPr>
        <w:t xml:space="preserve"> </w:t>
      </w:r>
      <w:r w:rsidRPr="00D453B4">
        <w:rPr>
          <w:rFonts w:ascii="Times New Roman" w:hAnsi="Times New Roman" w:cs="Times New Roman"/>
          <w:sz w:val="24"/>
          <w:szCs w:val="24"/>
        </w:rPr>
        <w:t xml:space="preserve">Blue Whale: </w:t>
      </w:r>
      <w:r w:rsidRPr="00D453B4">
        <w:rPr>
          <w:rFonts w:ascii="Times New Roman" w:hAnsi="Times New Roman" w:cs="Times New Roman"/>
          <w:i/>
          <w:sz w:val="24"/>
          <w:szCs w:val="24"/>
        </w:rPr>
        <w:t>Balaenoptera musculus</w:t>
      </w:r>
      <w:r w:rsidRPr="00202A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D453B4">
        <w:rPr>
          <w:rFonts w:ascii="Times New Roman" w:hAnsi="Times New Roman" w:cs="Times New Roman"/>
          <w:i/>
          <w:sz w:val="24"/>
          <w:szCs w:val="24"/>
        </w:rPr>
        <w:t>Encyclopedia of Marine Mammals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6DC">
        <w:rPr>
          <w:rFonts w:ascii="Times New Roman" w:hAnsi="Times New Roman" w:cs="Times New Roman"/>
          <w:sz w:val="24"/>
          <w:szCs w:val="24"/>
        </w:rPr>
        <w:t>3</w:t>
      </w:r>
      <w:r w:rsidR="00BC56DC" w:rsidRPr="00BC56D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C56DC">
        <w:rPr>
          <w:rFonts w:ascii="Times New Roman" w:hAnsi="Times New Roman" w:cs="Times New Roman"/>
          <w:sz w:val="24"/>
          <w:szCs w:val="24"/>
        </w:rPr>
        <w:t xml:space="preserve"> edition </w:t>
      </w:r>
      <w:r>
        <w:rPr>
          <w:rFonts w:ascii="Times New Roman" w:hAnsi="Times New Roman" w:cs="Times New Roman"/>
          <w:sz w:val="24"/>
          <w:szCs w:val="24"/>
        </w:rPr>
        <w:t xml:space="preserve">(eds. B </w:t>
      </w:r>
      <w:r w:rsidRPr="00D453B4">
        <w:rPr>
          <w:rFonts w:ascii="Times New Roman" w:hAnsi="Times New Roman" w:cs="Times New Roman"/>
          <w:sz w:val="24"/>
          <w:szCs w:val="24"/>
        </w:rPr>
        <w:t>Würsig</w:t>
      </w:r>
      <w:r>
        <w:rPr>
          <w:rFonts w:ascii="Times New Roman" w:hAnsi="Times New Roman" w:cs="Times New Roman"/>
          <w:sz w:val="24"/>
          <w:szCs w:val="24"/>
        </w:rPr>
        <w:t xml:space="preserve">, KM </w:t>
      </w:r>
      <w:r w:rsidRPr="00D453B4">
        <w:rPr>
          <w:rFonts w:ascii="Times New Roman" w:hAnsi="Times New Roman" w:cs="Times New Roman"/>
          <w:sz w:val="24"/>
          <w:szCs w:val="24"/>
        </w:rPr>
        <w:t>Kovacs</w:t>
      </w:r>
      <w:r>
        <w:rPr>
          <w:rFonts w:ascii="Times New Roman" w:hAnsi="Times New Roman" w:cs="Times New Roman"/>
          <w:sz w:val="24"/>
          <w:szCs w:val="24"/>
        </w:rPr>
        <w:t xml:space="preserve">, JGM </w:t>
      </w:r>
      <w:r w:rsidRPr="00D453B4">
        <w:rPr>
          <w:rFonts w:ascii="Times New Roman" w:hAnsi="Times New Roman" w:cs="Times New Roman"/>
          <w:sz w:val="24"/>
          <w:szCs w:val="24"/>
        </w:rPr>
        <w:t>Thewissen</w:t>
      </w:r>
      <w:r w:rsidR="00BC56D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6DC" w:rsidRPr="00BC56DC">
        <w:rPr>
          <w:rFonts w:ascii="Times New Roman" w:hAnsi="Times New Roman" w:cs="Times New Roman"/>
          <w:i/>
          <w:sz w:val="24"/>
          <w:szCs w:val="24"/>
        </w:rPr>
        <w:t xml:space="preserve">Academic Press </w:t>
      </w:r>
      <w:r w:rsidRPr="00202AFA">
        <w:rPr>
          <w:rFonts w:ascii="Times New Roman" w:hAnsi="Times New Roman" w:cs="Times New Roman"/>
          <w:sz w:val="24"/>
          <w:szCs w:val="24"/>
        </w:rPr>
        <w:t>(</w:t>
      </w:r>
      <w:r w:rsidR="00BC56DC">
        <w:rPr>
          <w:rFonts w:ascii="Times New Roman" w:hAnsi="Times New Roman" w:cs="Times New Roman"/>
          <w:sz w:val="24"/>
          <w:szCs w:val="24"/>
        </w:rPr>
        <w:t>doi:</w:t>
      </w:r>
      <w:r w:rsidR="00BC56DC" w:rsidRPr="00BC56DC">
        <w:rPr>
          <w:rFonts w:ascii="Times New Roman" w:hAnsi="Times New Roman" w:cs="Times New Roman"/>
          <w:sz w:val="24"/>
          <w:szCs w:val="24"/>
        </w:rPr>
        <w:t>10.1016/C2015-0-00820-6</w:t>
      </w:r>
      <w:r w:rsidRPr="00202AFA">
        <w:rPr>
          <w:rFonts w:ascii="Times New Roman" w:hAnsi="Times New Roman" w:cs="Times New Roman"/>
          <w:sz w:val="24"/>
          <w:szCs w:val="24"/>
        </w:rPr>
        <w:t>)</w:t>
      </w:r>
    </w:p>
    <w:p w:rsidR="00BC56DC" w:rsidRDefault="00BC56DC" w:rsidP="00D453B4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Edwards</w:t>
      </w:r>
      <w:r w:rsidRPr="00BC56DC">
        <w:rPr>
          <w:rFonts w:ascii="Times New Roman" w:hAnsi="Times New Roman" w:cs="Times New Roman"/>
          <w:sz w:val="24"/>
          <w:szCs w:val="24"/>
        </w:rPr>
        <w:t xml:space="preserve"> EF, Hall C, Moore TJ, Sheredy C, Redfern JV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5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BC56DC">
        <w:rPr>
          <w:rFonts w:ascii="Times New Roman" w:hAnsi="Times New Roman" w:cs="Times New Roman"/>
          <w:sz w:val="24"/>
          <w:szCs w:val="24"/>
        </w:rPr>
        <w:t xml:space="preserve"> Global distribution of fin whales </w:t>
      </w:r>
      <w:r w:rsidRPr="00BC56DC">
        <w:rPr>
          <w:rFonts w:ascii="Times New Roman" w:hAnsi="Times New Roman" w:cs="Times New Roman"/>
          <w:i/>
          <w:sz w:val="24"/>
          <w:szCs w:val="24"/>
        </w:rPr>
        <w:t>Balaenoptera physalus</w:t>
      </w:r>
      <w:r w:rsidRPr="00BC56DC">
        <w:rPr>
          <w:rFonts w:ascii="Times New Roman" w:hAnsi="Times New Roman" w:cs="Times New Roman"/>
          <w:sz w:val="24"/>
          <w:szCs w:val="24"/>
        </w:rPr>
        <w:t xml:space="preserve"> in the post-whaling era (1980–2012). </w:t>
      </w:r>
      <w:r>
        <w:rPr>
          <w:rFonts w:ascii="Times New Roman" w:hAnsi="Times New Roman" w:cs="Times New Roman"/>
          <w:i/>
          <w:sz w:val="24"/>
          <w:szCs w:val="24"/>
        </w:rPr>
        <w:t>Mamm</w:t>
      </w:r>
      <w:r w:rsidR="00D270B7">
        <w:rPr>
          <w:rFonts w:ascii="Times New Roman" w:hAnsi="Times New Roman" w:cs="Times New Roman"/>
          <w:i/>
          <w:sz w:val="24"/>
          <w:szCs w:val="24"/>
        </w:rPr>
        <w:t>al</w:t>
      </w:r>
      <w:r>
        <w:rPr>
          <w:rFonts w:ascii="Times New Roman" w:hAnsi="Times New Roman" w:cs="Times New Roman"/>
          <w:i/>
          <w:sz w:val="24"/>
          <w:szCs w:val="24"/>
        </w:rPr>
        <w:t xml:space="preserve"> Rev.</w:t>
      </w:r>
      <w:r w:rsidRPr="00BC56DC">
        <w:rPr>
          <w:rFonts w:ascii="Times New Roman" w:hAnsi="Times New Roman" w:cs="Times New Roman"/>
          <w:sz w:val="24"/>
          <w:szCs w:val="24"/>
        </w:rPr>
        <w:t xml:space="preserve"> </w:t>
      </w:r>
      <w:r w:rsidRPr="00BC56DC">
        <w:rPr>
          <w:rFonts w:ascii="Times New Roman" w:hAnsi="Times New Roman" w:cs="Times New Roman"/>
          <w:b/>
          <w:sz w:val="24"/>
          <w:szCs w:val="24"/>
        </w:rPr>
        <w:t>45</w:t>
      </w:r>
      <w:r w:rsidRPr="00BC56DC">
        <w:rPr>
          <w:rFonts w:ascii="Times New Roman" w:hAnsi="Times New Roman" w:cs="Times New Roman"/>
          <w:sz w:val="24"/>
          <w:szCs w:val="24"/>
        </w:rPr>
        <w:t xml:space="preserve">, 197–214.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56DC">
        <w:rPr>
          <w:rFonts w:ascii="Times New Roman" w:hAnsi="Times New Roman" w:cs="Times New Roman"/>
          <w:sz w:val="24"/>
          <w:szCs w:val="24"/>
        </w:rPr>
        <w:t>doi:10.1111/mam.12048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56DC" w:rsidRDefault="00BC56DC" w:rsidP="00BC56D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Pr="00BC56DC">
        <w:rPr>
          <w:rFonts w:ascii="Times New Roman" w:hAnsi="Times New Roman" w:cs="Times New Roman"/>
          <w:sz w:val="24"/>
          <w:szCs w:val="24"/>
        </w:rPr>
        <w:t xml:space="preserve">Geijer CKA, Notarbartolo di Sciara G, Panigada S. 2016 Mysticete migration revisited: Are Mediterranean fin whales an anomaly? </w:t>
      </w:r>
      <w:r w:rsidRPr="00BC56DC">
        <w:rPr>
          <w:rFonts w:ascii="Times New Roman" w:hAnsi="Times New Roman" w:cs="Times New Roman"/>
          <w:i/>
          <w:sz w:val="24"/>
          <w:szCs w:val="24"/>
        </w:rPr>
        <w:t>Mammal Rev.</w:t>
      </w:r>
      <w:r w:rsidRPr="00BC56DC">
        <w:rPr>
          <w:rFonts w:ascii="Times New Roman" w:hAnsi="Times New Roman" w:cs="Times New Roman"/>
          <w:sz w:val="24"/>
          <w:szCs w:val="24"/>
        </w:rPr>
        <w:t xml:space="preserve"> </w:t>
      </w:r>
      <w:r w:rsidRPr="00D270B7">
        <w:rPr>
          <w:rFonts w:ascii="Times New Roman" w:hAnsi="Times New Roman" w:cs="Times New Roman"/>
          <w:b/>
          <w:sz w:val="24"/>
          <w:szCs w:val="24"/>
        </w:rPr>
        <w:t>46</w:t>
      </w:r>
      <w:r w:rsidRPr="00BC56DC">
        <w:rPr>
          <w:rFonts w:ascii="Times New Roman" w:hAnsi="Times New Roman" w:cs="Times New Roman"/>
          <w:sz w:val="24"/>
          <w:szCs w:val="24"/>
        </w:rPr>
        <w:t>, 284-296.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DC">
        <w:rPr>
          <w:rFonts w:ascii="Times New Roman" w:hAnsi="Times New Roman" w:cs="Times New Roman"/>
          <w:sz w:val="24"/>
          <w:szCs w:val="24"/>
        </w:rPr>
        <w:t>(doi:10.1111/mam.12069)</w:t>
      </w:r>
    </w:p>
    <w:p w:rsidR="00802722" w:rsidRDefault="00802722" w:rsidP="00BC56D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02722">
        <w:rPr>
          <w:rFonts w:ascii="Times New Roman" w:hAnsi="Times New Roman" w:cs="Times New Roman"/>
          <w:sz w:val="24"/>
          <w:szCs w:val="24"/>
        </w:rPr>
        <w:t xml:space="preserve">Silva MA, Prieto R, Jonsen I, Baumgartner MF, Santos RS. 2013 North Atlantic blue and fin whales suspend their spring migration to forage in middle latitudes: Building up energy reserves for the journey? </w:t>
      </w:r>
      <w:r w:rsidRPr="00D270B7">
        <w:rPr>
          <w:rFonts w:ascii="Times New Roman" w:hAnsi="Times New Roman" w:cs="Times New Roman"/>
          <w:i/>
          <w:sz w:val="24"/>
          <w:szCs w:val="24"/>
        </w:rPr>
        <w:t>PLoS One</w:t>
      </w:r>
      <w:r w:rsidRPr="00802722">
        <w:rPr>
          <w:rFonts w:ascii="Times New Roman" w:hAnsi="Times New Roman" w:cs="Times New Roman"/>
          <w:sz w:val="24"/>
          <w:szCs w:val="24"/>
        </w:rPr>
        <w:t xml:space="preserve">. </w:t>
      </w:r>
      <w:r w:rsidRPr="00D270B7">
        <w:rPr>
          <w:rFonts w:ascii="Times New Roman" w:hAnsi="Times New Roman" w:cs="Times New Roman"/>
          <w:b/>
          <w:sz w:val="24"/>
          <w:szCs w:val="24"/>
        </w:rPr>
        <w:t>8</w:t>
      </w:r>
      <w:r w:rsidRPr="00802722">
        <w:rPr>
          <w:rFonts w:ascii="Times New Roman" w:hAnsi="Times New Roman" w:cs="Times New Roman"/>
          <w:sz w:val="24"/>
          <w:szCs w:val="24"/>
        </w:rPr>
        <w:t>, e76507. (doi:10.1371/journal.pone.0076507)</w:t>
      </w:r>
    </w:p>
    <w:p w:rsidR="00802722" w:rsidRDefault="00802722" w:rsidP="00BC56D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Sears R, Vikingsson G, Santos R, Steiner L, Silva M, Ramp C. 2015</w:t>
      </w:r>
      <w:r w:rsidRPr="00802722">
        <w:rPr>
          <w:rFonts w:ascii="Times New Roman" w:hAnsi="Times New Roman" w:cs="Times New Roman"/>
          <w:sz w:val="24"/>
          <w:szCs w:val="24"/>
        </w:rPr>
        <w:t xml:space="preserve"> Comparison of northwest Atlantic (NWA) and northeast Atlantic (NEA) blue whale (</w:t>
      </w:r>
      <w:r w:rsidRPr="00802722">
        <w:rPr>
          <w:rFonts w:ascii="Times New Roman" w:hAnsi="Times New Roman" w:cs="Times New Roman"/>
          <w:i/>
          <w:sz w:val="24"/>
          <w:szCs w:val="24"/>
        </w:rPr>
        <w:t>Balaenoptera musculus</w:t>
      </w:r>
      <w:r w:rsidRPr="00802722">
        <w:rPr>
          <w:rFonts w:ascii="Times New Roman" w:hAnsi="Times New Roman" w:cs="Times New Roman"/>
          <w:sz w:val="24"/>
          <w:szCs w:val="24"/>
        </w:rPr>
        <w:t>) photo-identification catalogues. 21st Biennial Conference o</w:t>
      </w:r>
      <w:r>
        <w:rPr>
          <w:rFonts w:ascii="Times New Roman" w:hAnsi="Times New Roman" w:cs="Times New Roman"/>
          <w:sz w:val="24"/>
          <w:szCs w:val="24"/>
        </w:rPr>
        <w:t>n the Biology of Marine Mammals</w:t>
      </w:r>
      <w:r w:rsidRPr="00802722">
        <w:rPr>
          <w:rFonts w:ascii="Times New Roman" w:hAnsi="Times New Roman" w:cs="Times New Roman"/>
          <w:sz w:val="24"/>
          <w:szCs w:val="24"/>
        </w:rPr>
        <w:t>. San Francisco CA.</w:t>
      </w:r>
    </w:p>
    <w:p w:rsidR="00802722" w:rsidRDefault="00802722" w:rsidP="00BC56D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02722">
        <w:rPr>
          <w:rFonts w:ascii="Times New Roman" w:hAnsi="Times New Roman" w:cs="Times New Roman"/>
          <w:sz w:val="24"/>
          <w:szCs w:val="24"/>
        </w:rPr>
        <w:t>Olsen E, Budgell P, Head E, Kleivane L, Nottestad L, Prieto R, Silva MA, Skov H, Vikingsson GA,Waring GT et al. 2009 First satellite-tracked long-distance movement of a sei whale (</w:t>
      </w:r>
      <w:r w:rsidRPr="00802722">
        <w:rPr>
          <w:rFonts w:ascii="Times New Roman" w:hAnsi="Times New Roman" w:cs="Times New Roman"/>
          <w:i/>
          <w:sz w:val="24"/>
          <w:szCs w:val="24"/>
        </w:rPr>
        <w:t>Balaenoptera borealis</w:t>
      </w:r>
      <w:r w:rsidRPr="00802722">
        <w:rPr>
          <w:rFonts w:ascii="Times New Roman" w:hAnsi="Times New Roman" w:cs="Times New Roman"/>
          <w:sz w:val="24"/>
          <w:szCs w:val="24"/>
        </w:rPr>
        <w:t xml:space="preserve">) in the North Atlantic. </w:t>
      </w:r>
      <w:r w:rsidRPr="00802722">
        <w:rPr>
          <w:rFonts w:ascii="Times New Roman" w:hAnsi="Times New Roman" w:cs="Times New Roman"/>
          <w:i/>
          <w:sz w:val="24"/>
          <w:szCs w:val="24"/>
        </w:rPr>
        <w:t>Aquat Mamm</w:t>
      </w:r>
      <w:r w:rsidRPr="00802722">
        <w:rPr>
          <w:rFonts w:ascii="Times New Roman" w:hAnsi="Times New Roman" w:cs="Times New Roman"/>
          <w:sz w:val="24"/>
          <w:szCs w:val="24"/>
        </w:rPr>
        <w:t xml:space="preserve">. </w:t>
      </w:r>
      <w:r w:rsidRPr="00D270B7">
        <w:rPr>
          <w:rFonts w:ascii="Times New Roman" w:hAnsi="Times New Roman" w:cs="Times New Roman"/>
          <w:b/>
          <w:sz w:val="24"/>
          <w:szCs w:val="24"/>
        </w:rPr>
        <w:t>35</w:t>
      </w:r>
      <w:r w:rsidRPr="00802722">
        <w:rPr>
          <w:rFonts w:ascii="Times New Roman" w:hAnsi="Times New Roman" w:cs="Times New Roman"/>
          <w:sz w:val="24"/>
          <w:szCs w:val="24"/>
        </w:rPr>
        <w:t>, 313-318. (doi:10.1578/AM.35.3.2009.31)</w:t>
      </w:r>
    </w:p>
    <w:p w:rsidR="00802722" w:rsidRDefault="00802722" w:rsidP="00BC56D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02722">
        <w:rPr>
          <w:rFonts w:ascii="Times New Roman" w:hAnsi="Times New Roman" w:cs="Times New Roman"/>
          <w:sz w:val="24"/>
          <w:szCs w:val="24"/>
        </w:rPr>
        <w:t xml:space="preserve">Prieto R, Silva MA,Waring GT, Gonçalves JMA. 2014 Sei whale movements and behaviour in the north Atlantic inferred from satellite telemetry. </w:t>
      </w:r>
      <w:r w:rsidRPr="00802722">
        <w:rPr>
          <w:rFonts w:ascii="Times New Roman" w:hAnsi="Times New Roman" w:cs="Times New Roman"/>
          <w:i/>
          <w:sz w:val="24"/>
          <w:szCs w:val="24"/>
        </w:rPr>
        <w:t>Endang  Species Res</w:t>
      </w:r>
      <w:r w:rsidRPr="00802722">
        <w:rPr>
          <w:rFonts w:ascii="Times New Roman" w:hAnsi="Times New Roman" w:cs="Times New Roman"/>
          <w:sz w:val="24"/>
          <w:szCs w:val="24"/>
        </w:rPr>
        <w:t>.</w:t>
      </w:r>
      <w:r w:rsidRPr="00D270B7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802722">
        <w:rPr>
          <w:rFonts w:ascii="Times New Roman" w:hAnsi="Times New Roman" w:cs="Times New Roman"/>
          <w:sz w:val="24"/>
          <w:szCs w:val="24"/>
        </w:rPr>
        <w:t>, 103-113. (doi:10.3354/esr00630)</w:t>
      </w:r>
    </w:p>
    <w:p w:rsidR="00802722" w:rsidRDefault="00802722" w:rsidP="00BC56D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02722">
        <w:rPr>
          <w:rFonts w:ascii="Times New Roman" w:hAnsi="Times New Roman" w:cs="Times New Roman"/>
          <w:sz w:val="24"/>
          <w:szCs w:val="24"/>
        </w:rPr>
        <w:t xml:space="preserve">Nieukirk SL, Mellinger DK, Moore SE, Klinck K, Dziak RP, Goslin J. 2012 Sounds from airguns and fin whales recorded in the mid-Atlantic Ocean, 1999–2009. </w:t>
      </w:r>
      <w:r w:rsidRPr="00D270B7">
        <w:rPr>
          <w:rFonts w:ascii="Times New Roman" w:hAnsi="Times New Roman" w:cs="Times New Roman"/>
          <w:i/>
          <w:sz w:val="24"/>
          <w:szCs w:val="24"/>
        </w:rPr>
        <w:t>J Acoust Soc Am</w:t>
      </w:r>
      <w:r w:rsidRPr="00802722">
        <w:rPr>
          <w:rFonts w:ascii="Times New Roman" w:hAnsi="Times New Roman" w:cs="Times New Roman"/>
          <w:sz w:val="24"/>
          <w:szCs w:val="24"/>
        </w:rPr>
        <w:t xml:space="preserve">. </w:t>
      </w:r>
      <w:r w:rsidRPr="00D270B7">
        <w:rPr>
          <w:rFonts w:ascii="Times New Roman" w:hAnsi="Times New Roman" w:cs="Times New Roman"/>
          <w:b/>
          <w:sz w:val="24"/>
          <w:szCs w:val="24"/>
        </w:rPr>
        <w:t>131</w:t>
      </w:r>
      <w:r w:rsidRPr="00802722">
        <w:rPr>
          <w:rFonts w:ascii="Times New Roman" w:hAnsi="Times New Roman" w:cs="Times New Roman"/>
          <w:sz w:val="24"/>
          <w:szCs w:val="24"/>
        </w:rPr>
        <w:t>, 1102-1112. (doi:10.1121/1.3672648)</w:t>
      </w:r>
    </w:p>
    <w:p w:rsidR="00D270B7" w:rsidRPr="00BC56DC" w:rsidRDefault="00D270B7" w:rsidP="00BC56D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70B7">
        <w:rPr>
          <w:rFonts w:ascii="Times New Roman" w:hAnsi="Times New Roman" w:cs="Times New Roman"/>
          <w:sz w:val="24"/>
          <w:szCs w:val="24"/>
          <w:lang w:val="en-GB"/>
        </w:rPr>
        <w:t xml:space="preserve">9 Prieto R, Janiger D, Silva MA, Waring GT, Gonçalves JM. 2012 </w:t>
      </w:r>
      <w:r w:rsidRPr="00D270B7">
        <w:rPr>
          <w:rFonts w:ascii="Times New Roman" w:hAnsi="Times New Roman" w:cs="Times New Roman"/>
          <w:sz w:val="24"/>
          <w:szCs w:val="24"/>
        </w:rPr>
        <w:t xml:space="preserve">The forgotten whale: a bibliometric analysis and literature review of the North Atlantic sei whale </w:t>
      </w:r>
      <w:r w:rsidRPr="00D270B7">
        <w:rPr>
          <w:rFonts w:ascii="Times New Roman" w:hAnsi="Times New Roman" w:cs="Times New Roman"/>
          <w:i/>
          <w:sz w:val="24"/>
          <w:szCs w:val="24"/>
        </w:rPr>
        <w:t>Balaenoptera borealis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0B7">
        <w:rPr>
          <w:rFonts w:ascii="Times New Roman" w:hAnsi="Times New Roman" w:cs="Times New Roman"/>
          <w:i/>
          <w:sz w:val="24"/>
          <w:szCs w:val="24"/>
        </w:rPr>
        <w:t>Mammal Rev.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B7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: 235-272. (doi:</w:t>
      </w:r>
      <w:r w:rsidRPr="00D270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0.1111/j.1365-2907.2011.00195.x)</w:t>
      </w:r>
    </w:p>
    <w:p w:rsidR="00D453B4" w:rsidRDefault="00020A26" w:rsidP="00020A26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020A26">
        <w:rPr>
          <w:rFonts w:ascii="Times New Roman" w:hAnsi="Times New Roman" w:cs="Times New Roman"/>
          <w:sz w:val="24"/>
          <w:szCs w:val="24"/>
        </w:rPr>
        <w:t xml:space="preserve">Baines M, Reichelt M. 2014 Upwellings, canyons and whales: An important winter habitat for balaenopterid whales off Mauritania, northwest Africa. </w:t>
      </w:r>
      <w:r w:rsidRPr="00020A26">
        <w:rPr>
          <w:rFonts w:ascii="Times New Roman" w:hAnsi="Times New Roman" w:cs="Times New Roman"/>
          <w:i/>
          <w:sz w:val="24"/>
          <w:szCs w:val="24"/>
        </w:rPr>
        <w:t>J Cetacean Res Manag</w:t>
      </w:r>
      <w:r w:rsidRPr="00020A26">
        <w:rPr>
          <w:rFonts w:ascii="Times New Roman" w:hAnsi="Times New Roman" w:cs="Times New Roman"/>
          <w:sz w:val="24"/>
          <w:szCs w:val="24"/>
        </w:rPr>
        <w:t xml:space="preserve">. </w:t>
      </w:r>
      <w:r w:rsidRPr="00020A26">
        <w:rPr>
          <w:rFonts w:ascii="Times New Roman" w:hAnsi="Times New Roman" w:cs="Times New Roman"/>
          <w:b/>
          <w:sz w:val="24"/>
          <w:szCs w:val="24"/>
        </w:rPr>
        <w:t>14</w:t>
      </w:r>
      <w:r w:rsidRPr="00020A26">
        <w:rPr>
          <w:rFonts w:ascii="Times New Roman" w:hAnsi="Times New Roman" w:cs="Times New Roman"/>
          <w:sz w:val="24"/>
          <w:szCs w:val="24"/>
        </w:rPr>
        <w:t>, 57-67.</w:t>
      </w:r>
    </w:p>
    <w:p w:rsidR="00020A26" w:rsidRDefault="00020A26" w:rsidP="00020A26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020A26">
        <w:rPr>
          <w:rFonts w:ascii="Times New Roman" w:hAnsi="Times New Roman" w:cs="Times New Roman"/>
          <w:sz w:val="24"/>
          <w:szCs w:val="24"/>
        </w:rPr>
        <w:t>Jonsgård A. 1966 The distribution of Balaenopteridae in the North Atlantic ocean. In Whales, dolphins and porpoises. (ed. KS Norris). Los Angeles, California: University of California Press.</w:t>
      </w:r>
    </w:p>
    <w:p w:rsidR="00020A26" w:rsidRPr="00020A26" w:rsidRDefault="00020A26" w:rsidP="00020A26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020A26">
        <w:rPr>
          <w:rFonts w:ascii="Times New Roman" w:hAnsi="Times New Roman" w:cs="Times New Roman"/>
          <w:sz w:val="24"/>
          <w:szCs w:val="24"/>
        </w:rPr>
        <w:t xml:space="preserve">Reeves RR, Smith TD, Josephson EA, Clapham PJ, Woolmer G. 2004 Historical observations of humpback and blue whales in the North Atlantic ocean: clues to migratory routes and possibly additional feeding grounds. </w:t>
      </w:r>
      <w:r w:rsidRPr="00020A26">
        <w:rPr>
          <w:rFonts w:ascii="Times New Roman" w:hAnsi="Times New Roman" w:cs="Times New Roman"/>
          <w:i/>
          <w:sz w:val="24"/>
          <w:szCs w:val="24"/>
        </w:rPr>
        <w:t>Mar Mamm Sci</w:t>
      </w:r>
      <w:r w:rsidRPr="00020A26">
        <w:rPr>
          <w:rFonts w:ascii="Times New Roman" w:hAnsi="Times New Roman" w:cs="Times New Roman"/>
          <w:sz w:val="24"/>
          <w:szCs w:val="24"/>
        </w:rPr>
        <w:t xml:space="preserve">. </w:t>
      </w:r>
      <w:r w:rsidRPr="00020A26">
        <w:rPr>
          <w:rFonts w:ascii="Times New Roman" w:hAnsi="Times New Roman" w:cs="Times New Roman"/>
          <w:b/>
          <w:sz w:val="24"/>
          <w:szCs w:val="24"/>
        </w:rPr>
        <w:t>20</w:t>
      </w:r>
      <w:r w:rsidRPr="00020A26">
        <w:rPr>
          <w:rFonts w:ascii="Times New Roman" w:hAnsi="Times New Roman" w:cs="Times New Roman"/>
          <w:sz w:val="24"/>
          <w:szCs w:val="24"/>
        </w:rPr>
        <w:t>, 774-786. (doi:10.1111/j.1748-7692.2004.tb01192.x)</w:t>
      </w:r>
    </w:p>
    <w:p w:rsidR="009D2F41" w:rsidRPr="00202AFA" w:rsidRDefault="009D2F41" w:rsidP="003829AF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08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AFA" w:rsidRPr="00202AFA">
        <w:rPr>
          <w:rFonts w:ascii="Times New Roman" w:hAnsi="Times New Roman" w:cs="Times New Roman"/>
          <w:sz w:val="24"/>
          <w:szCs w:val="24"/>
        </w:rPr>
        <w:t xml:space="preserve">Colaço A, Giacomello E, Porteiro F, Menezes GM. 2013 Trophodynamic studies on the Condor seamount (Azores, Portugal, North Atlantic). </w:t>
      </w:r>
      <w:r w:rsidR="00202AFA" w:rsidRPr="00A12B2B">
        <w:rPr>
          <w:rFonts w:ascii="Times New Roman" w:hAnsi="Times New Roman" w:cs="Times New Roman"/>
          <w:i/>
          <w:sz w:val="24"/>
          <w:szCs w:val="24"/>
        </w:rPr>
        <w:t>Deep Sea Res II</w:t>
      </w:r>
      <w:r w:rsidR="00202AFA" w:rsidRPr="00202AFA">
        <w:rPr>
          <w:rFonts w:ascii="Times New Roman" w:hAnsi="Times New Roman" w:cs="Times New Roman"/>
          <w:sz w:val="24"/>
          <w:szCs w:val="24"/>
        </w:rPr>
        <w:t xml:space="preserve">. </w:t>
      </w:r>
      <w:r w:rsidR="00202AFA" w:rsidRPr="00A12B2B">
        <w:rPr>
          <w:rFonts w:ascii="Times New Roman" w:hAnsi="Times New Roman" w:cs="Times New Roman"/>
          <w:b/>
          <w:sz w:val="24"/>
          <w:szCs w:val="24"/>
        </w:rPr>
        <w:t>98</w:t>
      </w:r>
      <w:r w:rsidR="00202AFA" w:rsidRPr="00202AFA">
        <w:rPr>
          <w:rFonts w:ascii="Times New Roman" w:hAnsi="Times New Roman" w:cs="Times New Roman"/>
          <w:sz w:val="24"/>
          <w:szCs w:val="24"/>
        </w:rPr>
        <w:t>, 178-189. (doi:10.1016/j.dsr2.2013.01.010)</w:t>
      </w:r>
    </w:p>
    <w:p w:rsidR="00281DA7" w:rsidRDefault="00FB0890" w:rsidP="00281D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1DA7" w:rsidRPr="00E623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Chouvelon </w:t>
      </w:r>
      <w:r w:rsidR="00281DA7" w:rsidRPr="00E62376">
        <w:rPr>
          <w:rFonts w:ascii="Times New Roman" w:hAnsi="Times New Roman" w:cs="Times New Roman"/>
          <w:color w:val="000066"/>
          <w:sz w:val="24"/>
          <w:szCs w:val="24"/>
          <w:lang w:val="en-GB"/>
        </w:rPr>
        <w:t>T</w:t>
      </w:r>
      <w:r w:rsidR="00281DA7" w:rsidRPr="00E623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Spitz </w:t>
      </w:r>
      <w:r w:rsidR="00281DA7" w:rsidRPr="00E62376">
        <w:rPr>
          <w:rFonts w:ascii="Times New Roman" w:hAnsi="Times New Roman" w:cs="Times New Roman"/>
          <w:color w:val="000066"/>
          <w:sz w:val="24"/>
          <w:szCs w:val="24"/>
          <w:lang w:val="en-GB"/>
        </w:rPr>
        <w:t>J,</w:t>
      </w:r>
      <w:r w:rsidR="00281DA7" w:rsidRPr="00E623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Caurant </w:t>
      </w:r>
      <w:r w:rsidR="00281DA7" w:rsidRPr="00E62376">
        <w:rPr>
          <w:rFonts w:ascii="Times New Roman" w:hAnsi="Times New Roman" w:cs="Times New Roman"/>
          <w:color w:val="000066"/>
          <w:sz w:val="24"/>
          <w:szCs w:val="24"/>
          <w:lang w:val="en-GB"/>
        </w:rPr>
        <w:t>F</w:t>
      </w:r>
      <w:r w:rsidR="00281DA7" w:rsidRPr="00E623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281DA7" w:rsidRPr="00E729A8">
        <w:rPr>
          <w:rFonts w:ascii="Times New Roman" w:hAnsi="Times New Roman" w:cs="Times New Roman"/>
          <w:sz w:val="24"/>
          <w:szCs w:val="24"/>
          <w:lang w:val="en-GB"/>
        </w:rPr>
        <w:t>Mèndez-Fernandez P</w:t>
      </w:r>
      <w:r w:rsidR="00281DA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81DA7" w:rsidRPr="00202AFA">
        <w:t xml:space="preserve"> </w:t>
      </w:r>
      <w:r w:rsidR="00281DA7" w:rsidRPr="00202AFA">
        <w:rPr>
          <w:rFonts w:ascii="Times New Roman" w:hAnsi="Times New Roman" w:cs="Times New Roman"/>
          <w:sz w:val="24"/>
          <w:szCs w:val="24"/>
          <w:lang w:val="en-GB"/>
        </w:rPr>
        <w:t xml:space="preserve">Chappuis </w:t>
      </w:r>
      <w:r w:rsidR="00281DA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81DA7" w:rsidRPr="00202AFA">
        <w:rPr>
          <w:rFonts w:ascii="Times New Roman" w:hAnsi="Times New Roman" w:cs="Times New Roman"/>
          <w:sz w:val="24"/>
          <w:szCs w:val="24"/>
          <w:lang w:val="en-GB"/>
        </w:rPr>
        <w:t>, Laugier</w:t>
      </w:r>
      <w:r w:rsidR="00281DA7">
        <w:rPr>
          <w:rFonts w:ascii="Times New Roman" w:hAnsi="Times New Roman" w:cs="Times New Roman"/>
          <w:sz w:val="24"/>
          <w:szCs w:val="24"/>
          <w:lang w:val="en-GB"/>
        </w:rPr>
        <w:t xml:space="preserve"> F</w:t>
      </w:r>
      <w:r w:rsidR="00281DA7" w:rsidRPr="00202AFA">
        <w:rPr>
          <w:rFonts w:ascii="Times New Roman" w:hAnsi="Times New Roman" w:cs="Times New Roman"/>
          <w:sz w:val="24"/>
          <w:szCs w:val="24"/>
          <w:lang w:val="en-GB"/>
        </w:rPr>
        <w:t xml:space="preserve">, Le Goff </w:t>
      </w:r>
      <w:r w:rsidR="00281DA7">
        <w:rPr>
          <w:rFonts w:ascii="Times New Roman" w:hAnsi="Times New Roman" w:cs="Times New Roman"/>
          <w:sz w:val="24"/>
          <w:szCs w:val="24"/>
          <w:lang w:val="en-GB"/>
        </w:rPr>
        <w:t xml:space="preserve">E, </w:t>
      </w:r>
      <w:r w:rsidR="00281DA7" w:rsidRPr="00202AFA">
        <w:rPr>
          <w:rFonts w:ascii="Times New Roman" w:hAnsi="Times New Roman" w:cs="Times New Roman"/>
          <w:sz w:val="24"/>
          <w:szCs w:val="24"/>
          <w:lang w:val="en-GB"/>
        </w:rPr>
        <w:t>Bustamante</w:t>
      </w:r>
      <w:r w:rsidR="00281DA7">
        <w:rPr>
          <w:rFonts w:ascii="Times New Roman" w:hAnsi="Times New Roman" w:cs="Times New Roman"/>
          <w:sz w:val="24"/>
          <w:szCs w:val="24"/>
          <w:lang w:val="en-GB"/>
        </w:rPr>
        <w:t xml:space="preserve"> P. 2012 </w:t>
      </w:r>
      <w:r w:rsidR="00281DA7" w:rsidRPr="00E623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Revisiting the use of </w:t>
      </w:r>
      <w:r w:rsidR="00281DA7" w:rsidRPr="009D2F4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δ</w:t>
      </w:r>
      <w:r w:rsidR="00281DA7" w:rsidRPr="009D2F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t-PT"/>
        </w:rPr>
        <w:t>15</w:t>
      </w:r>
      <w:r w:rsidR="00281DA7" w:rsidRPr="009D2F4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N</w:t>
      </w:r>
      <w:r w:rsidR="00281DA7" w:rsidRPr="00E623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meso-scale studies of marine food webs by considering spatio-temporal variations in stable isotopic signatures – The case of an open ecosystem: The Bay of Biscay (North-East Atlantic). </w:t>
      </w:r>
      <w:r w:rsidR="00281DA7" w:rsidRPr="00A12B2B">
        <w:rPr>
          <w:rFonts w:ascii="Times New Roman" w:hAnsi="Times New Roman" w:cs="Times New Roman"/>
          <w:i/>
          <w:sz w:val="24"/>
          <w:szCs w:val="24"/>
        </w:rPr>
        <w:t>Prog Oceanogr.</w:t>
      </w:r>
      <w:r w:rsidR="00281DA7" w:rsidRPr="00A25F6A">
        <w:rPr>
          <w:rFonts w:ascii="Times New Roman" w:hAnsi="Times New Roman" w:cs="Times New Roman"/>
          <w:sz w:val="24"/>
          <w:szCs w:val="24"/>
        </w:rPr>
        <w:t xml:space="preserve"> </w:t>
      </w:r>
      <w:r w:rsidR="00281DA7" w:rsidRPr="00A12B2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101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, 92-</w:t>
      </w:r>
      <w:r w:rsidR="00281DA7" w:rsidRPr="00E62376">
        <w:rPr>
          <w:rFonts w:ascii="Times New Roman" w:hAnsi="Times New Roman" w:cs="Times New Roman"/>
          <w:color w:val="000000"/>
          <w:sz w:val="24"/>
          <w:szCs w:val="24"/>
          <w:lang w:val="en-GB"/>
        </w:rPr>
        <w:t>105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. (</w:t>
      </w:r>
      <w:r w:rsidR="00281DA7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doi:10.1016/j.pocean.2012.01.004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281DA7" w:rsidRDefault="00FB0890" w:rsidP="00281D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15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Bentaleb I</w:t>
      </w:r>
      <w:r w:rsidR="00281DA7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, Martin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</w:t>
      </w:r>
      <w:r w:rsidR="00281DA7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, Vrac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</w:t>
      </w:r>
      <w:r w:rsidR="00281DA7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, Mate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</w:t>
      </w:r>
      <w:r w:rsidR="00281DA7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, Mayzaud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</w:t>
      </w:r>
      <w:r w:rsidR="00281DA7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, Siret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</w:t>
      </w:r>
      <w:r w:rsidR="00281DA7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1DA7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de Stephanis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</w:t>
      </w:r>
      <w:r w:rsidR="00281DA7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, Guinet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C. 2011 </w:t>
      </w:r>
      <w:r w:rsidR="00281DA7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Foraging ecology of Mediterranean fin whales in a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1DA7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changing environment elucidated by satellite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1DA7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tracking and baleen plate stable isotopes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281DA7" w:rsidRPr="00A12B2B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Mar Ecol Prog Ser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281DA7" w:rsidRPr="00A12B2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438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, 285-</w:t>
      </w:r>
      <w:r w:rsidR="00281DA7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302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. (</w:t>
      </w:r>
      <w:r w:rsidR="00281DA7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doi: 10.3354/meps09269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281DA7" w:rsidRDefault="00FB0890" w:rsidP="00281D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16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Sandel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, Kiko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Brandt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Dengler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Stemmann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Vandromme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Sommer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U, Hauss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2015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Nitrogen 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fuelling of the pelagic food w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>eb of the Tropical Atla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ntic. </w:t>
      </w:r>
      <w:r w:rsidR="00281DA7" w:rsidRPr="00A12B2B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PLoS ONE</w:t>
      </w:r>
      <w:r w:rsidR="00281DA7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.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1DA7" w:rsidRPr="00A12B2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10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, e0131258.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>doi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="00281DA7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>10.1371/journal.pone.0131258</w:t>
      </w:r>
      <w:r w:rsidR="00281DA7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53699A" w:rsidRPr="005D4E1E" w:rsidRDefault="00FB0890" w:rsidP="005369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C16AE">
        <w:rPr>
          <w:rFonts w:ascii="Times New Roman" w:hAnsi="Times New Roman" w:cs="Times New Roman"/>
          <w:color w:val="000000"/>
          <w:sz w:val="24"/>
          <w:szCs w:val="24"/>
          <w:lang w:val="en-GB"/>
        </w:rPr>
        <w:t>17</w:t>
      </w:r>
      <w:r w:rsidR="0053699A" w:rsidRPr="00FC16A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Bode A, Hernandez-Leon S. 2018. </w:t>
      </w:r>
      <w:r w:rsidR="0053699A" w:rsidRPr="00164DF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Trophic diversity of plankton in epipelagic and mesopelagic layers of the tropical and equatorial Atlantic determined </w:t>
      </w:r>
      <w:r w:rsidR="0053699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with stable isotopes. </w:t>
      </w:r>
      <w:r w:rsidR="0053699A" w:rsidRPr="00A12B2B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Diversity</w:t>
      </w:r>
      <w:r w:rsidR="0053699A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53699A" w:rsidRPr="00164DF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3699A" w:rsidRPr="00A12B2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10</w:t>
      </w:r>
      <w:r w:rsidR="0053699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,</w:t>
      </w:r>
      <w:r w:rsidR="0053699A" w:rsidRPr="00164DF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48</w:t>
      </w:r>
      <w:r w:rsidR="0053699A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53699A" w:rsidRPr="00164DF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3699A">
        <w:rPr>
          <w:rFonts w:ascii="Times New Roman" w:hAnsi="Times New Roman" w:cs="Times New Roman"/>
          <w:color w:val="000000"/>
          <w:sz w:val="24"/>
          <w:szCs w:val="24"/>
          <w:lang w:val="en-GB"/>
        </w:rPr>
        <w:t>(doi:</w:t>
      </w:r>
      <w:r w:rsidR="0053699A" w:rsidRPr="00164DF7">
        <w:rPr>
          <w:rFonts w:ascii="Times New Roman" w:hAnsi="Times New Roman" w:cs="Times New Roman"/>
          <w:color w:val="000000"/>
          <w:sz w:val="24"/>
          <w:szCs w:val="24"/>
          <w:lang w:val="en-GB"/>
        </w:rPr>
        <w:t>10.3390/d10020152</w:t>
      </w:r>
      <w:r w:rsidR="0053699A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202AFA" w:rsidRPr="00E62376" w:rsidRDefault="00FB0890" w:rsidP="003829AF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18</w:t>
      </w:r>
      <w:r w:rsidR="00202A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2AFA" w:rsidRPr="00202AFA">
        <w:rPr>
          <w:rFonts w:ascii="Times New Roman" w:hAnsi="Times New Roman" w:cs="Times New Roman"/>
          <w:sz w:val="24"/>
          <w:szCs w:val="24"/>
          <w:lang w:val="en-GB"/>
        </w:rPr>
        <w:t xml:space="preserve">Bode M, Hagen W, Schukat A, Teuber L, Fonseca-Batista D, Dehairs F, Auel H. 2015 Feeding strategies of tropical and subtropical calanoid copepods throughout the eastern Atlantic Ocean – latitudinal and bathymetric aspects. </w:t>
      </w:r>
      <w:r w:rsidR="00202AFA" w:rsidRPr="00A12B2B">
        <w:rPr>
          <w:rFonts w:ascii="Times New Roman" w:hAnsi="Times New Roman" w:cs="Times New Roman"/>
          <w:i/>
          <w:sz w:val="24"/>
          <w:szCs w:val="24"/>
          <w:lang w:val="en-GB"/>
        </w:rPr>
        <w:t>Prog Oceanogr</w:t>
      </w:r>
      <w:r w:rsidR="00202AFA" w:rsidRPr="00202AF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02AFA" w:rsidRPr="00A12B2B">
        <w:rPr>
          <w:rFonts w:ascii="Times New Roman" w:hAnsi="Times New Roman" w:cs="Times New Roman"/>
          <w:b/>
          <w:sz w:val="24"/>
          <w:szCs w:val="24"/>
          <w:lang w:val="en-GB"/>
        </w:rPr>
        <w:t>138</w:t>
      </w:r>
      <w:r w:rsidR="00202AFA" w:rsidRPr="00202AFA">
        <w:rPr>
          <w:rFonts w:ascii="Times New Roman" w:hAnsi="Times New Roman" w:cs="Times New Roman"/>
          <w:sz w:val="24"/>
          <w:szCs w:val="24"/>
          <w:lang w:val="en-GB"/>
        </w:rPr>
        <w:t>, 268-282. (doi:10.1016/j.pocean.2015.10.002)</w:t>
      </w:r>
    </w:p>
    <w:p w:rsidR="0053699A" w:rsidRDefault="00FB0890" w:rsidP="005369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</w:t>
      </w:r>
      <w:r w:rsidR="0053699A">
        <w:rPr>
          <w:rFonts w:ascii="Times New Roman" w:hAnsi="Times New Roman" w:cs="Times New Roman"/>
          <w:sz w:val="24"/>
          <w:szCs w:val="24"/>
          <w:lang w:val="en-GB"/>
        </w:rPr>
        <w:t xml:space="preserve"> Petursdottir H, Gislason A. </w:t>
      </w:r>
      <w:r w:rsidR="0053699A" w:rsidRPr="00E62376">
        <w:rPr>
          <w:rFonts w:ascii="Times New Roman" w:hAnsi="Times New Roman" w:cs="Times New Roman"/>
          <w:sz w:val="24"/>
          <w:szCs w:val="24"/>
          <w:lang w:val="en-GB"/>
        </w:rPr>
        <w:t xml:space="preserve">2009 Trophic interactions and energy flow within the pelagic ecosystem in the Iceland Sea. </w:t>
      </w:r>
      <w:r w:rsidR="0053699A" w:rsidRPr="00831E4E">
        <w:rPr>
          <w:rFonts w:ascii="Times New Roman" w:hAnsi="Times New Roman" w:cs="Times New Roman"/>
          <w:i/>
          <w:sz w:val="24"/>
          <w:szCs w:val="24"/>
          <w:lang w:val="en-GB"/>
        </w:rPr>
        <w:t>ICES CM</w:t>
      </w:r>
      <w:r w:rsidR="0053699A" w:rsidRPr="00E62376">
        <w:rPr>
          <w:rFonts w:ascii="Times New Roman" w:hAnsi="Times New Roman" w:cs="Times New Roman"/>
          <w:sz w:val="24"/>
          <w:szCs w:val="24"/>
          <w:lang w:val="en-GB"/>
        </w:rPr>
        <w:t xml:space="preserve"> 2009/A:08</w:t>
      </w:r>
    </w:p>
    <w:p w:rsidR="008A7465" w:rsidRPr="00E62376" w:rsidRDefault="00FB0890" w:rsidP="008A746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 xml:space="preserve"> Hallanger IG</w:t>
      </w:r>
      <w:r w:rsidR="008A7465" w:rsidRPr="00831E4E">
        <w:rPr>
          <w:rFonts w:ascii="Times New Roman" w:hAnsi="Times New Roman" w:cs="Times New Roman"/>
          <w:sz w:val="24"/>
          <w:szCs w:val="24"/>
          <w:lang w:val="en-GB"/>
        </w:rPr>
        <w:t>, Ruus A, Warner NA, Herzke D, Evenset A, Schøyen M, Gabrielsen GW, Borgå K.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 xml:space="preserve"> 2011. </w:t>
      </w:r>
      <w:r w:rsidR="008A7465" w:rsidRPr="00831E4E">
        <w:rPr>
          <w:rFonts w:ascii="Times New Roman" w:hAnsi="Times New Roman" w:cs="Times New Roman"/>
          <w:sz w:val="24"/>
          <w:szCs w:val="24"/>
          <w:lang w:val="en-GB"/>
        </w:rPr>
        <w:t>Differences between Arctic and Atlantic fjord systems on bioaccumulation of persistent organic pollutants in zooplankton from Svalbard.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7465" w:rsidRPr="00831E4E">
        <w:rPr>
          <w:rFonts w:ascii="Times New Roman" w:hAnsi="Times New Roman" w:cs="Times New Roman"/>
          <w:i/>
          <w:sz w:val="24"/>
          <w:szCs w:val="24"/>
          <w:lang w:val="en-GB"/>
        </w:rPr>
        <w:t>Sci Total Environ</w:t>
      </w:r>
      <w:r w:rsidR="008A7465" w:rsidRPr="00831E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A7465" w:rsidRPr="00831E4E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A7465" w:rsidRPr="00831E4E">
        <w:rPr>
          <w:rFonts w:ascii="Times New Roman" w:hAnsi="Times New Roman" w:cs="Times New Roman"/>
          <w:sz w:val="24"/>
          <w:szCs w:val="24"/>
          <w:lang w:val="en-GB"/>
        </w:rPr>
        <w:t>2783-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>27</w:t>
      </w:r>
      <w:r w:rsidR="008A7465" w:rsidRPr="00831E4E">
        <w:rPr>
          <w:rFonts w:ascii="Times New Roman" w:hAnsi="Times New Roman" w:cs="Times New Roman"/>
          <w:sz w:val="24"/>
          <w:szCs w:val="24"/>
          <w:lang w:val="en-GB"/>
        </w:rPr>
        <w:t xml:space="preserve">95. 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A7465" w:rsidRPr="00831E4E">
        <w:rPr>
          <w:rFonts w:ascii="Times New Roman" w:hAnsi="Times New Roman" w:cs="Times New Roman"/>
          <w:sz w:val="24"/>
          <w:szCs w:val="24"/>
          <w:lang w:val="en-GB"/>
        </w:rPr>
        <w:t xml:space="preserve">doi: 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>10.1016/j.scitotenv.2011.03.015)</w:t>
      </w:r>
    </w:p>
    <w:p w:rsidR="008A7465" w:rsidRDefault="00FB0890" w:rsidP="008A746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21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 xml:space="preserve"> Hallanger IG</w:t>
      </w:r>
      <w:r w:rsidR="008A7465" w:rsidRPr="00A12B2B">
        <w:rPr>
          <w:rFonts w:ascii="Times New Roman" w:hAnsi="Times New Roman" w:cs="Times New Roman"/>
          <w:sz w:val="24"/>
          <w:szCs w:val="24"/>
          <w:lang w:val="en-GB"/>
        </w:rPr>
        <w:t xml:space="preserve">, Warner NA, Ruus A, Evenset A, Christensen G, Herzke D, Gabrielsen GW, Borgå K. 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>2011.</w:t>
      </w:r>
      <w:r w:rsidR="008A7465" w:rsidRPr="00A12B2B">
        <w:rPr>
          <w:rFonts w:ascii="Times New Roman" w:hAnsi="Times New Roman" w:cs="Times New Roman"/>
          <w:sz w:val="24"/>
          <w:szCs w:val="24"/>
          <w:lang w:val="en-GB"/>
        </w:rPr>
        <w:t xml:space="preserve"> Seasonality in contaminant accumulation in Arctic marine pelagic food webs using trophic magnification factor as a measure of bioaccumulation. </w:t>
      </w:r>
      <w:r w:rsidR="008A7465" w:rsidRPr="00A12B2B">
        <w:rPr>
          <w:rFonts w:ascii="Times New Roman" w:hAnsi="Times New Roman" w:cs="Times New Roman"/>
          <w:i/>
          <w:sz w:val="24"/>
          <w:szCs w:val="24"/>
          <w:lang w:val="en-GB"/>
        </w:rPr>
        <w:t>Environ Toxicol Chem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A7465" w:rsidRPr="00A12B2B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>, 1026-1035. (doi:</w:t>
      </w:r>
      <w:r w:rsidR="008A7465" w:rsidRPr="00A12B2B">
        <w:rPr>
          <w:rFonts w:ascii="Times New Roman" w:hAnsi="Times New Roman" w:cs="Times New Roman"/>
          <w:sz w:val="24"/>
          <w:szCs w:val="24"/>
          <w:lang w:val="en-GB"/>
        </w:rPr>
        <w:t xml:space="preserve"> 10.1002/etc.488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A7465" w:rsidRDefault="00FB0890" w:rsidP="008A746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22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7465" w:rsidRPr="00E62376">
        <w:rPr>
          <w:rFonts w:ascii="Times New Roman" w:hAnsi="Times New Roman" w:cs="Times New Roman"/>
          <w:sz w:val="24"/>
          <w:szCs w:val="24"/>
          <w:lang w:val="en-GB"/>
        </w:rPr>
        <w:t>Søreide JE, Hop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 xml:space="preserve"> H, Carroll ML, Falk-Petersen S, </w:t>
      </w:r>
      <w:r w:rsidR="008A7465" w:rsidRPr="00164DF7">
        <w:rPr>
          <w:rFonts w:ascii="Times New Roman" w:hAnsi="Times New Roman" w:cs="Times New Roman"/>
          <w:sz w:val="24"/>
          <w:szCs w:val="24"/>
          <w:lang w:val="en-GB"/>
        </w:rPr>
        <w:t>Hegsethc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 xml:space="preserve"> EN. 2013</w:t>
      </w:r>
      <w:r w:rsidR="008A7465" w:rsidRPr="00E62376">
        <w:rPr>
          <w:rFonts w:ascii="Times New Roman" w:hAnsi="Times New Roman" w:cs="Times New Roman"/>
          <w:sz w:val="24"/>
          <w:szCs w:val="24"/>
          <w:lang w:val="en-GB"/>
        </w:rPr>
        <w:t xml:space="preserve"> Seasonal food web structures and sympagic–pelagic coupling in the European Arctic revealed by stable isotopes and a two-source food web model. </w:t>
      </w:r>
      <w:r w:rsidR="008A7465" w:rsidRPr="00A12B2B">
        <w:rPr>
          <w:rFonts w:ascii="Times New Roman" w:hAnsi="Times New Roman" w:cs="Times New Roman"/>
          <w:i/>
          <w:sz w:val="24"/>
          <w:szCs w:val="24"/>
        </w:rPr>
        <w:t>Prog Oceanogr.</w:t>
      </w:r>
      <w:r w:rsidR="008A7465" w:rsidRPr="00E623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7465" w:rsidRPr="00A12B2B">
        <w:rPr>
          <w:rFonts w:ascii="Times New Roman" w:hAnsi="Times New Roman" w:cs="Times New Roman"/>
          <w:b/>
          <w:sz w:val="24"/>
          <w:szCs w:val="24"/>
          <w:lang w:val="en-GB"/>
        </w:rPr>
        <w:t>71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A7465" w:rsidRPr="00E62376">
        <w:rPr>
          <w:rFonts w:ascii="Times New Roman" w:hAnsi="Times New Roman" w:cs="Times New Roman"/>
          <w:sz w:val="24"/>
          <w:szCs w:val="24"/>
          <w:lang w:val="en-GB"/>
        </w:rPr>
        <w:t>59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A7465" w:rsidRPr="00E62376">
        <w:rPr>
          <w:rFonts w:ascii="Times New Roman" w:hAnsi="Times New Roman" w:cs="Times New Roman"/>
          <w:sz w:val="24"/>
          <w:szCs w:val="24"/>
          <w:lang w:val="en-GB"/>
        </w:rPr>
        <w:t>87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 xml:space="preserve">. (doi: </w:t>
      </w:r>
      <w:r w:rsidR="008A7465" w:rsidRPr="00164DF7">
        <w:rPr>
          <w:rFonts w:ascii="Times New Roman" w:hAnsi="Times New Roman" w:cs="Times New Roman"/>
          <w:sz w:val="24"/>
          <w:szCs w:val="24"/>
          <w:lang w:val="en-GB"/>
        </w:rPr>
        <w:t>10.1016/j.pocean.2006.06.001</w:t>
      </w:r>
      <w:r w:rsidR="008A746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A7465" w:rsidRDefault="00FB0890" w:rsidP="008A746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8A7465" w:rsidRPr="00831E4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A7465" w:rsidRPr="00E62376">
        <w:rPr>
          <w:rFonts w:ascii="Times New Roman" w:hAnsi="Times New Roman" w:cs="Times New Roman"/>
          <w:color w:val="000000"/>
          <w:sz w:val="24"/>
          <w:szCs w:val="24"/>
          <w:lang w:val="en-GB"/>
        </w:rPr>
        <w:t>Lavoie RA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Hebert CE, Rail JF, Braune BM, Yumvihoze E, </w:t>
      </w:r>
      <w:r w:rsidR="008A7465" w:rsidRPr="00831E4E">
        <w:rPr>
          <w:rFonts w:ascii="Times New Roman" w:hAnsi="Times New Roman" w:cs="Times New Roman"/>
          <w:color w:val="000000"/>
          <w:sz w:val="24"/>
          <w:szCs w:val="24"/>
          <w:lang w:val="en-GB"/>
        </w:rPr>
        <w:t>Hill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LG, </w:t>
      </w:r>
      <w:r w:rsidR="008A7465" w:rsidRPr="00831E4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Lean 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>DRS. 2010</w:t>
      </w:r>
      <w:r w:rsidR="008A7465" w:rsidRPr="00E623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Trophic structure and mercury distribution in a Gulf of St. Lawrence (Canada) food web using stable isot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>ope analysis</w:t>
      </w:r>
      <w:r w:rsidR="008A7465" w:rsidRPr="009225C6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. Sci Total Environ</w:t>
      </w:r>
      <w:r w:rsidR="008A7465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.</w:t>
      </w:r>
      <w:r w:rsidR="008A7465" w:rsidRPr="00E623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A7465" w:rsidRPr="009225C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408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8A7465" w:rsidRPr="00E62376">
        <w:rPr>
          <w:rFonts w:ascii="Times New Roman" w:hAnsi="Times New Roman" w:cs="Times New Roman"/>
          <w:color w:val="000000"/>
          <w:sz w:val="24"/>
          <w:szCs w:val="24"/>
          <w:lang w:val="en-GB"/>
        </w:rPr>
        <w:t>5529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>-55</w:t>
      </w:r>
      <w:r w:rsidR="008A7465" w:rsidRPr="00E62376">
        <w:rPr>
          <w:rFonts w:ascii="Times New Roman" w:hAnsi="Times New Roman" w:cs="Times New Roman"/>
          <w:color w:val="000000"/>
          <w:sz w:val="24"/>
          <w:szCs w:val="24"/>
          <w:lang w:val="en-GB"/>
        </w:rPr>
        <w:t>39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(doi: </w:t>
      </w:r>
      <w:r w:rsidR="008A7465" w:rsidRP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>10.1016/j.scitotenv.2010.07.053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8A7465" w:rsidRPr="00E62376" w:rsidRDefault="00FB0890" w:rsidP="008A746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24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Møller P. 2006</w:t>
      </w:r>
      <w:r w:rsidR="008A7465" w:rsidRP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Lipids and stable isotopes in marine food webs in West Greenland. Trophic relations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A7465" w:rsidRP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health implications. Phd thesis. National Environmental Research Institute, Denmark. 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8A7465" w:rsidRP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>http://www2.dmu.dk/1_viden/2_Publikationer/3_Ovrige/rapporter/phd_PEM.pdf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8A7465" w:rsidRPr="00E62376" w:rsidRDefault="00FB0890" w:rsidP="008A746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25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Bode</w:t>
      </w:r>
      <w:r w:rsidR="008A7465" w:rsidRP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>, Agersted</w:t>
      </w:r>
      <w:r w:rsidR="008A7465" w:rsidRP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>MD,</w:t>
      </w:r>
      <w:r w:rsidR="008A7465" w:rsidRP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>Nielsen</w:t>
      </w:r>
      <w:r w:rsidR="008A7465" w:rsidRP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>TG, Basedow</w:t>
      </w:r>
      <w:r w:rsidR="008A7465" w:rsidRP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>SL,</w:t>
      </w:r>
      <w:r w:rsidR="008A7465" w:rsidRP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Petursdottir H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>, Gislason</w:t>
      </w:r>
      <w:r w:rsidR="008A7465" w:rsidRP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>. 2014.</w:t>
      </w:r>
      <w:r w:rsidR="008A7465" w:rsidRP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Stable C and N isotopes and percent C as well as N composition of plankton from 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North Atlantic. PANGAEA. (doi: </w:t>
      </w:r>
      <w:r w:rsidR="008A7465" w:rsidRP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>10.1594/PANGAEA.837299</w:t>
      </w:r>
      <w:r w:rsidR="008A7465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D81AA8" w:rsidRDefault="00FB0890" w:rsidP="003829A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26</w:t>
      </w:r>
      <w:r w:rsid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Valls MM. 2017 </w:t>
      </w:r>
      <w:r w:rsidR="00D81AA8" w:rsidRP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="00D81AA8">
        <w:rPr>
          <w:rFonts w:ascii="Times New Roman" w:hAnsi="Times New Roman" w:cs="Times New Roman"/>
          <w:color w:val="000000"/>
          <w:sz w:val="24"/>
          <w:szCs w:val="24"/>
          <w:lang w:val="en-GB"/>
        </w:rPr>
        <w:t>rophic ecology in marine ecosystems from the Balearic Sea (Western Mediterranean). PhD thesis. Universitat de les Iles Balears.</w:t>
      </w:r>
      <w:r w:rsid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9225C6" w:rsidRP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>https://www.tesisenred.net/handle/10803/461496</w:t>
      </w:r>
      <w:r w:rsidR="009225C6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5D4E1E" w:rsidRDefault="00FB0890" w:rsidP="003829A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t>27</w:t>
      </w:r>
      <w:r w:rsidR="005D4E1E" w:rsidRPr="005D4E1E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r w:rsidR="005D4E1E">
        <w:rPr>
          <w:rFonts w:ascii="Times New Roman" w:hAnsi="Times New Roman" w:cs="Times New Roman"/>
          <w:color w:val="000000"/>
          <w:sz w:val="24"/>
          <w:szCs w:val="24"/>
          <w:lang w:val="pt-PT"/>
        </w:rPr>
        <w:t>Barría C</w:t>
      </w:r>
      <w:r w:rsidR="005D4E1E" w:rsidRPr="005D4E1E">
        <w:rPr>
          <w:rFonts w:ascii="Times New Roman" w:hAnsi="Times New Roman" w:cs="Times New Roman"/>
          <w:color w:val="000000"/>
          <w:sz w:val="24"/>
          <w:szCs w:val="24"/>
          <w:lang w:val="pt-PT"/>
        </w:rPr>
        <w:t>, Navarro</w:t>
      </w:r>
      <w:r w:rsidR="005D4E1E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J</w:t>
      </w:r>
      <w:r w:rsidR="005D4E1E" w:rsidRPr="005D4E1E">
        <w:rPr>
          <w:rFonts w:ascii="Times New Roman" w:hAnsi="Times New Roman" w:cs="Times New Roman"/>
          <w:color w:val="000000"/>
          <w:sz w:val="24"/>
          <w:szCs w:val="24"/>
          <w:lang w:val="pt-PT"/>
        </w:rPr>
        <w:t>, Coll</w:t>
      </w:r>
      <w:r w:rsidR="005D4E1E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M. 2017. </w:t>
      </w:r>
      <w:r w:rsidR="005D4E1E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>Trophic habits of an abundant shark in the northwestern</w:t>
      </w:r>
      <w:r w:rsid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D4E1E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>Mediterranean Sea using an isotopic non-lethal approach</w:t>
      </w:r>
      <w:r w:rsid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5D4E1E" w:rsidRPr="00A12B2B">
        <w:rPr>
          <w:rFonts w:ascii="Times New Roman" w:hAnsi="Times New Roman" w:cs="Times New Roman"/>
          <w:i/>
          <w:sz w:val="24"/>
          <w:szCs w:val="24"/>
          <w:lang w:val="en-GB"/>
        </w:rPr>
        <w:t>Estuar Coast Shelf Sci</w:t>
      </w:r>
      <w:r w:rsid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5D4E1E" w:rsidRPr="00A12B2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207</w:t>
      </w:r>
      <w:r w:rsid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5D4E1E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>383-390</w:t>
      </w:r>
      <w:r w:rsid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>. (doi:</w:t>
      </w:r>
      <w:r w:rsidR="005D4E1E" w:rsidRP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>1016/j.ecss.2017.08.021</w:t>
      </w:r>
      <w:r w:rsidR="005D4E1E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FF1FFF" w:rsidRPr="00E62376" w:rsidRDefault="00FF1FFF" w:rsidP="003829A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C16AE" w:rsidRDefault="00FC16AE" w:rsidP="003829AF">
      <w:pPr>
        <w:spacing w:after="0" w:line="240" w:lineRule="auto"/>
        <w:rPr>
          <w:lang w:val="en-GB"/>
        </w:rPr>
        <w:sectPr w:rsidR="00FC16AE" w:rsidSect="00FC16AE">
          <w:pgSz w:w="11907" w:h="16839" w:code="9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FC16AE" w:rsidRDefault="00FC16AE" w:rsidP="00FC16A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Results</w:t>
      </w:r>
    </w:p>
    <w:p w:rsidR="00FC16AE" w:rsidRDefault="00FC16AE" w:rsidP="00FC16AE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 S3</w:t>
      </w:r>
      <w:r w:rsidRPr="00FC16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C16AE">
        <w:rPr>
          <w:rFonts w:ascii="Times New Roman" w:hAnsi="Times New Roman" w:cs="Times New Roman"/>
          <w:sz w:val="24"/>
          <w:szCs w:val="24"/>
          <w:lang w:val="en-GB"/>
        </w:rPr>
        <w:t xml:space="preserve">Summary of results of one-way ANOVAs and Student’s </w:t>
      </w:r>
      <w:r w:rsidRPr="00FC16AE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FC16AE">
        <w:rPr>
          <w:rFonts w:ascii="Times New Roman" w:hAnsi="Times New Roman" w:cs="Times New Roman"/>
          <w:sz w:val="24"/>
          <w:szCs w:val="24"/>
          <w:lang w:val="en-GB"/>
        </w:rPr>
        <w:t>-test assessing differences in δ</w:t>
      </w:r>
      <w:r w:rsidRPr="00FC16A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15</w:t>
      </w:r>
      <w:r w:rsidRPr="00FC16AE">
        <w:rPr>
          <w:rFonts w:ascii="Times New Roman" w:hAnsi="Times New Roman" w:cs="Times New Roman"/>
          <w:sz w:val="24"/>
          <w:szCs w:val="24"/>
          <w:lang w:val="en-GB"/>
        </w:rPr>
        <w:t>N and δ</w:t>
      </w:r>
      <w:r w:rsidRPr="00FC16A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13</w:t>
      </w:r>
      <w:r w:rsidRPr="00FC16AE">
        <w:rPr>
          <w:rFonts w:ascii="Times New Roman" w:hAnsi="Times New Roman" w:cs="Times New Roman"/>
          <w:sz w:val="24"/>
          <w:szCs w:val="24"/>
          <w:lang w:val="en-GB"/>
        </w:rPr>
        <w:t>C values among whale species (blue, fin and sei whales) and among sexes, seasons and years for fin and sei whales. Only factors for which the PERMANOVA indicated a statistically significant effect on stable isotopes were tested with univariate analysis (except for the comparison between spring and summer isotope values for fin whales). Statistically significant (p&lt;0.05) pairwise comparisons based on post hoc Tukey HSD test are shown in the table.</w:t>
      </w:r>
    </w:p>
    <w:p w:rsidR="000C1B36" w:rsidRPr="00FC16AE" w:rsidRDefault="000C1B36" w:rsidP="00FC16AE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1"/>
        <w:tblW w:w="12915" w:type="dxa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1117"/>
        <w:gridCol w:w="1052"/>
        <w:gridCol w:w="1455"/>
        <w:gridCol w:w="893"/>
        <w:gridCol w:w="2124"/>
        <w:gridCol w:w="314"/>
        <w:gridCol w:w="1431"/>
        <w:gridCol w:w="911"/>
        <w:gridCol w:w="2085"/>
      </w:tblGrid>
      <w:tr w:rsidR="00FC16AE" w:rsidRPr="00FC16AE" w:rsidTr="00FF7143">
        <w:trPr>
          <w:trHeight w:hRule="exact" w:val="361"/>
        </w:trPr>
        <w:tc>
          <w:tcPr>
            <w:tcW w:w="1533" w:type="dxa"/>
            <w:tcBorders>
              <w:bottom w:val="nil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15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value</w:t>
            </w:r>
          </w:p>
        </w:tc>
        <w:tc>
          <w:tcPr>
            <w:tcW w:w="314" w:type="dxa"/>
            <w:tcBorders>
              <w:bottom w:val="nil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13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 value</w:t>
            </w:r>
          </w:p>
        </w:tc>
      </w:tr>
      <w:tr w:rsidR="00FC16AE" w:rsidRPr="00FC16AE" w:rsidTr="00FF7143">
        <w:trPr>
          <w:trHeight w:hRule="exact" w:val="541"/>
        </w:trPr>
        <w:tc>
          <w:tcPr>
            <w:tcW w:w="1533" w:type="dxa"/>
            <w:tcBorders>
              <w:top w:val="nil"/>
              <w:bottom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Analyses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Factor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df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Student’s </w:t>
            </w: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or ANOVA </w:t>
            </w: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Post hoc Tukey HSD </w:t>
            </w:r>
          </w:p>
        </w:tc>
        <w:tc>
          <w:tcPr>
            <w:tcW w:w="314" w:type="dxa"/>
            <w:tcBorders>
              <w:top w:val="nil"/>
              <w:bottom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Student’s </w:t>
            </w: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or ANOVA </w:t>
            </w: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Post hoc Tukey HSD</w:t>
            </w:r>
          </w:p>
        </w:tc>
      </w:tr>
      <w:tr w:rsidR="00FC16AE" w:rsidRPr="00FC16AE" w:rsidTr="00FF7143">
        <w:trPr>
          <w:trHeight w:hRule="exact" w:val="432"/>
        </w:trPr>
        <w:tc>
          <w:tcPr>
            <w:tcW w:w="1533" w:type="dxa"/>
            <w:tcBorders>
              <w:top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Inter-species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2, 92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=6.21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0.003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fin–sei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=44.61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blue–fin, blue–sei, fin–sei</w:t>
            </w:r>
          </w:p>
        </w:tc>
      </w:tr>
      <w:tr w:rsidR="00FC16AE" w:rsidRPr="00FC16AE" w:rsidTr="00FF7143">
        <w:trPr>
          <w:trHeight w:hRule="exact" w:val="432"/>
        </w:trPr>
        <w:tc>
          <w:tcPr>
            <w:tcW w:w="1533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 whale</w:t>
            </w:r>
          </w:p>
        </w:tc>
        <w:tc>
          <w:tcPr>
            <w:tcW w:w="1117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Sex</w:t>
            </w:r>
          </w:p>
        </w:tc>
        <w:tc>
          <w:tcPr>
            <w:tcW w:w="1052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1455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=0.37</w:t>
            </w:r>
          </w:p>
        </w:tc>
        <w:tc>
          <w:tcPr>
            <w:tcW w:w="893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0.713</w:t>
            </w:r>
          </w:p>
        </w:tc>
        <w:tc>
          <w:tcPr>
            <w:tcW w:w="2124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=1.60</w:t>
            </w:r>
          </w:p>
        </w:tc>
        <w:tc>
          <w:tcPr>
            <w:tcW w:w="911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0.118</w:t>
            </w:r>
          </w:p>
        </w:tc>
        <w:tc>
          <w:tcPr>
            <w:tcW w:w="2085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C16AE" w:rsidRPr="00FC16AE" w:rsidTr="00FF7143">
        <w:trPr>
          <w:trHeight w:hRule="exact" w:val="432"/>
        </w:trPr>
        <w:tc>
          <w:tcPr>
            <w:tcW w:w="1533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Season</w:t>
            </w:r>
          </w:p>
        </w:tc>
        <w:tc>
          <w:tcPr>
            <w:tcW w:w="1052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1455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</w:t>
            </w:r>
            <w:r w:rsidRPr="00FC16A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-0.92</w:t>
            </w:r>
          </w:p>
        </w:tc>
        <w:tc>
          <w:tcPr>
            <w:tcW w:w="893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0.365</w:t>
            </w:r>
          </w:p>
        </w:tc>
        <w:tc>
          <w:tcPr>
            <w:tcW w:w="2124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=0.81</w:t>
            </w:r>
          </w:p>
        </w:tc>
        <w:tc>
          <w:tcPr>
            <w:tcW w:w="911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0.423</w:t>
            </w:r>
          </w:p>
        </w:tc>
        <w:tc>
          <w:tcPr>
            <w:tcW w:w="2085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C16AE" w:rsidRPr="00FC16AE" w:rsidTr="00FF7143">
        <w:trPr>
          <w:trHeight w:hRule="exact" w:val="432"/>
        </w:trPr>
        <w:tc>
          <w:tcPr>
            <w:tcW w:w="1533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052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3, 34</w:t>
            </w:r>
          </w:p>
        </w:tc>
        <w:tc>
          <w:tcPr>
            <w:tcW w:w="1455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</w:t>
            </w:r>
            <w:r w:rsidRPr="00FC16A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5.89</w:t>
            </w:r>
          </w:p>
        </w:tc>
        <w:tc>
          <w:tcPr>
            <w:tcW w:w="893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2124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2008–2010, 2008–2013, 2008–2014</w:t>
            </w:r>
          </w:p>
        </w:tc>
        <w:tc>
          <w:tcPr>
            <w:tcW w:w="314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</w:t>
            </w:r>
            <w:r w:rsidRPr="00FC16A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27.25</w:t>
            </w:r>
          </w:p>
        </w:tc>
        <w:tc>
          <w:tcPr>
            <w:tcW w:w="911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085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2008–2013, 2008–2014, 2010–2014</w:t>
            </w:r>
          </w:p>
        </w:tc>
      </w:tr>
      <w:tr w:rsidR="00FC16AE" w:rsidRPr="00FC16AE" w:rsidTr="00FF7143">
        <w:trPr>
          <w:trHeight w:hRule="exact" w:val="432"/>
        </w:trPr>
        <w:tc>
          <w:tcPr>
            <w:tcW w:w="1533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Sei whale</w:t>
            </w:r>
          </w:p>
        </w:tc>
        <w:tc>
          <w:tcPr>
            <w:tcW w:w="1117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Season</w:t>
            </w:r>
          </w:p>
        </w:tc>
        <w:tc>
          <w:tcPr>
            <w:tcW w:w="1052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2, 27</w:t>
            </w:r>
          </w:p>
        </w:tc>
        <w:tc>
          <w:tcPr>
            <w:tcW w:w="1455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F</w:t>
            </w:r>
            <w:r w:rsidRPr="00FC16A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=0.32</w:t>
            </w:r>
          </w:p>
        </w:tc>
        <w:tc>
          <w:tcPr>
            <w:tcW w:w="893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0.731</w:t>
            </w:r>
          </w:p>
        </w:tc>
        <w:tc>
          <w:tcPr>
            <w:tcW w:w="2124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</w:t>
            </w:r>
            <w:r w:rsidRPr="00FC16A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28.86</w:t>
            </w:r>
          </w:p>
        </w:tc>
        <w:tc>
          <w:tcPr>
            <w:tcW w:w="911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085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spring–summer, spring–autumn, summer–autumn</w:t>
            </w:r>
          </w:p>
        </w:tc>
      </w:tr>
      <w:tr w:rsidR="00FC16AE" w:rsidRPr="00FC16AE" w:rsidTr="00FF7143">
        <w:trPr>
          <w:trHeight w:hRule="exact" w:val="432"/>
        </w:trPr>
        <w:tc>
          <w:tcPr>
            <w:tcW w:w="1533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052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5, 27</w:t>
            </w:r>
          </w:p>
        </w:tc>
        <w:tc>
          <w:tcPr>
            <w:tcW w:w="1455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=9.74</w:t>
            </w:r>
          </w:p>
        </w:tc>
        <w:tc>
          <w:tcPr>
            <w:tcW w:w="893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124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2005–2014, 2008–2014, 2009–2014</w:t>
            </w:r>
          </w:p>
        </w:tc>
        <w:tc>
          <w:tcPr>
            <w:tcW w:w="314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</w:t>
            </w: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</w:t>
            </w:r>
            <w:r w:rsidRPr="00FC16A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4.49</w:t>
            </w:r>
          </w:p>
        </w:tc>
        <w:tc>
          <w:tcPr>
            <w:tcW w:w="911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2085" w:type="dxa"/>
          </w:tcPr>
          <w:p w:rsidR="00FC16AE" w:rsidRPr="00FC16AE" w:rsidRDefault="00FC16AE" w:rsidP="00FC1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16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2008–2012, 2008–2014, 2009-2012</w:t>
            </w:r>
          </w:p>
        </w:tc>
      </w:tr>
    </w:tbl>
    <w:p w:rsidR="00FC16AE" w:rsidRPr="00FC16AE" w:rsidRDefault="00FC16AE" w:rsidP="00FC16AE">
      <w:pPr>
        <w:widowControl w:val="0"/>
        <w:spacing w:after="12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  <w:sectPr w:rsidR="00FC16AE" w:rsidRPr="00FC16AE" w:rsidSect="00FC16AE">
          <w:pgSz w:w="16839" w:h="11907" w:orient="landscape" w:code="9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FC16AE" w:rsidRPr="00FC16AE" w:rsidRDefault="00FC16AE" w:rsidP="00FC16AE">
      <w:pPr>
        <w:widowControl w:val="0"/>
        <w:spacing w:after="12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16AE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0AD1A8D" wp14:editId="6BE074DA">
            <wp:extent cx="5486400" cy="38328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2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6AE" w:rsidRPr="00FC16AE" w:rsidRDefault="00FC16AE" w:rsidP="00FC16AE">
      <w:pPr>
        <w:widowControl w:val="0"/>
        <w:spacing w:after="12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16AE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CEFC309" wp14:editId="351A0337">
            <wp:extent cx="5486400" cy="3836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E17" w:rsidRDefault="00FC16AE" w:rsidP="000C1B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1B36">
        <w:rPr>
          <w:rFonts w:ascii="Times New Roman" w:hAnsi="Times New Roman" w:cs="Times New Roman"/>
          <w:b/>
          <w:sz w:val="24"/>
          <w:szCs w:val="24"/>
          <w:lang w:val="en-GB"/>
        </w:rPr>
        <w:t>Figure S1</w:t>
      </w:r>
      <w:r w:rsidRPr="000C1B36">
        <w:rPr>
          <w:rFonts w:ascii="Times New Roman" w:hAnsi="Times New Roman" w:cs="Times New Roman"/>
          <w:sz w:val="24"/>
          <w:szCs w:val="24"/>
          <w:lang w:val="en-GB"/>
        </w:rPr>
        <w:t xml:space="preserve"> - Mean and </w:t>
      </w:r>
      <w:r w:rsidRPr="000C1B3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standard deviation (SD) δ</w:t>
      </w:r>
      <w:r w:rsidRPr="000C1B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t-PT"/>
        </w:rPr>
        <w:t>15</w:t>
      </w:r>
      <w:r w:rsidRPr="000C1B3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N</w:t>
      </w:r>
      <w:r w:rsidRPr="000C1B3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0C1B3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δ</w:t>
      </w:r>
      <w:r w:rsidRPr="000C1B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t-PT"/>
        </w:rPr>
        <w:t>13</w:t>
      </w:r>
      <w:r w:rsidRPr="000C1B3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C</w:t>
      </w:r>
      <w:r w:rsidRPr="000C1B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C1B3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values of potential prey </w:t>
      </w:r>
      <w:r w:rsidRPr="000C1B36">
        <w:rPr>
          <w:rFonts w:ascii="Times New Roman" w:hAnsi="Times New Roman" w:cs="Times New Roman"/>
          <w:sz w:val="24"/>
          <w:szCs w:val="24"/>
          <w:lang w:val="en-GB"/>
        </w:rPr>
        <w:t xml:space="preserve">items from different regions and seasons. Copepods are shown in the top plot and euphausiids in the bottom plot. Regions are represented by different colours: </w:t>
      </w:r>
      <w:r w:rsidRPr="000C1B3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AZ-Azores (yellow), IB-Iberia </w:t>
      </w:r>
      <w:r w:rsidRPr="000C1B36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(pink), BB-Bay of Biscay (light blue), NAF-North Africa (orange), NAF-UPW-North Africa Upwelling (red), NEA-Northeast Atlantic (dark blue), NW</w:t>
      </w:r>
      <w:r w:rsidR="00F54943" w:rsidRPr="000C1B36">
        <w:rPr>
          <w:rFonts w:ascii="Times New Roman" w:hAnsi="Times New Roman" w:cs="Times New Roman"/>
          <w:color w:val="000000"/>
          <w:sz w:val="24"/>
          <w:szCs w:val="24"/>
          <w:lang w:val="en-GB"/>
        </w:rPr>
        <w:t>A-Northwest Atlantic (green), MED-</w:t>
      </w:r>
      <w:r w:rsidRPr="000C1B3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Mediterranean (gray). </w:t>
      </w:r>
      <w:r w:rsidRPr="000C1B36">
        <w:rPr>
          <w:rFonts w:ascii="Times New Roman" w:hAnsi="Times New Roman" w:cs="Times New Roman"/>
          <w:sz w:val="24"/>
          <w:szCs w:val="24"/>
          <w:lang w:val="en-GB"/>
        </w:rPr>
        <w:t xml:space="preserve">Seasons are represented by different symbols: Winter (diamond), Spring (triangle), Summer (circle), Autumn (square). Smaller symbols represent mean (SD) isotopic values of individual taxa and larger symbols represent the weighted average (SD) by region and season. </w:t>
      </w:r>
    </w:p>
    <w:p w:rsidR="000C1B36" w:rsidRPr="000C1B36" w:rsidRDefault="000C1B36" w:rsidP="000C1B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73D96" w:rsidRPr="000C1B36" w:rsidRDefault="00E73D96" w:rsidP="000C1B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73D96" w:rsidRPr="000C1B36" w:rsidRDefault="00E73D96" w:rsidP="000C1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1B36">
        <w:rPr>
          <w:rFonts w:ascii="Times New Roman" w:hAnsi="Times New Roman" w:cs="Times New Roman"/>
          <w:b/>
          <w:sz w:val="24"/>
          <w:szCs w:val="24"/>
          <w:lang w:val="en-GB"/>
        </w:rPr>
        <w:t>Table S4 –</w:t>
      </w:r>
      <w:r w:rsidRPr="000C1B36">
        <w:rPr>
          <w:rFonts w:ascii="Times New Roman" w:hAnsi="Times New Roman" w:cs="Times New Roman"/>
          <w:sz w:val="24"/>
          <w:szCs w:val="24"/>
          <w:lang w:val="en-GB"/>
        </w:rPr>
        <w:t xml:space="preserve"> Percentage m</w:t>
      </w:r>
      <w:r w:rsidRPr="000C1B3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ean and SD contribution of different regional sources to the diet of blue, fin and sei whales estimated using Bayesian isotopic mixing models. Regions are: AZ-Azores, IB-Iberia, BB-Bay of Biscay, NAF-North Africa, NAF-UPW-North Africa Upwelling, NEA-Northeast Atl</w:t>
      </w:r>
      <w:r w:rsidR="00F54943" w:rsidRPr="000C1B3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antic, NWA-Northwest Atlantic, MED-</w:t>
      </w:r>
      <w:r w:rsidRPr="000C1B3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Mediterranean.</w:t>
      </w:r>
    </w:p>
    <w:tbl>
      <w:tblPr>
        <w:tblW w:w="798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010"/>
        <w:gridCol w:w="720"/>
        <w:gridCol w:w="601"/>
        <w:gridCol w:w="717"/>
        <w:gridCol w:w="170"/>
        <w:gridCol w:w="431"/>
        <w:gridCol w:w="781"/>
        <w:gridCol w:w="601"/>
        <w:gridCol w:w="749"/>
        <w:gridCol w:w="601"/>
      </w:tblGrid>
      <w:tr w:rsidR="003359B7" w:rsidRPr="003359B7" w:rsidTr="00E73D96">
        <w:trPr>
          <w:trHeight w:val="402"/>
        </w:trPr>
        <w:tc>
          <w:tcPr>
            <w:tcW w:w="1600" w:type="dxa"/>
            <w:shd w:val="clear" w:color="auto" w:fill="auto"/>
            <w:noWrap/>
            <w:vAlign w:val="center"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Blue whale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Fin whale</w:t>
            </w:r>
          </w:p>
        </w:tc>
        <w:tc>
          <w:tcPr>
            <w:tcW w:w="2730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Sei whale</w:t>
            </w:r>
          </w:p>
        </w:tc>
      </w:tr>
      <w:tr w:rsidR="003359B7" w:rsidRPr="003359B7" w:rsidTr="00E73D96">
        <w:trPr>
          <w:trHeight w:val="402"/>
        </w:trPr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Spring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Summer</w:t>
            </w:r>
          </w:p>
        </w:tc>
      </w:tr>
      <w:tr w:rsidR="00E73D96" w:rsidRPr="003359B7" w:rsidTr="00E73D96">
        <w:trPr>
          <w:trHeight w:val="402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Region-season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Season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E7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  <w:r w:rsidR="00E73D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ean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  <w:r w:rsidR="00E73D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ean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SD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  <w:r w:rsidR="00E73D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ean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SD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  <w:r w:rsidR="00E73D9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ean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SD</w:t>
            </w:r>
          </w:p>
        </w:tc>
      </w:tr>
      <w:tr w:rsidR="00E73D96" w:rsidRPr="003359B7" w:rsidTr="00E73D96">
        <w:trPr>
          <w:trHeight w:val="402"/>
        </w:trPr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NAF-UPW-aut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Autumn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20.0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16.7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39.3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15.9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27.8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14.7</w:t>
            </w:r>
          </w:p>
        </w:tc>
      </w:tr>
      <w:tr w:rsidR="003359B7" w:rsidRPr="003359B7" w:rsidTr="00E73D96">
        <w:trPr>
          <w:trHeight w:val="402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NAF-UPW-spr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Spring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7.5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5.6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18.8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19.8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10.9</w:t>
            </w:r>
          </w:p>
        </w:tc>
      </w:tr>
      <w:tr w:rsidR="003359B7" w:rsidRPr="003359B7" w:rsidTr="00E73D96">
        <w:trPr>
          <w:trHeight w:val="402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NAF-aut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Autumn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27.9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12.8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4.1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3.6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8.9</w:t>
            </w:r>
          </w:p>
        </w:tc>
      </w:tr>
      <w:tr w:rsidR="003359B7" w:rsidRPr="003359B7" w:rsidTr="00E73D96">
        <w:trPr>
          <w:trHeight w:val="402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NAF-spr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Spring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8.5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11.7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12.6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8.8</w:t>
            </w:r>
          </w:p>
        </w:tc>
      </w:tr>
      <w:tr w:rsidR="003359B7" w:rsidRPr="003359B7" w:rsidTr="00E73D96">
        <w:trPr>
          <w:trHeight w:val="402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AZ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Spring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18.1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16.6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4.3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4.2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7.8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11.0</w:t>
            </w:r>
          </w:p>
        </w:tc>
      </w:tr>
      <w:tr w:rsidR="003359B7" w:rsidRPr="003359B7" w:rsidTr="00E73D96">
        <w:trPr>
          <w:trHeight w:val="402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NEA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Summer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8.3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5.8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4.3</w:t>
            </w:r>
          </w:p>
        </w:tc>
      </w:tr>
      <w:tr w:rsidR="003359B7" w:rsidRPr="003359B7" w:rsidTr="00E73D96">
        <w:trPr>
          <w:trHeight w:val="402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NWA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Summer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8.0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5.7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6.8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4.9</w:t>
            </w:r>
          </w:p>
        </w:tc>
      </w:tr>
      <w:tr w:rsidR="003359B7" w:rsidRPr="003359B7" w:rsidTr="00E73D96">
        <w:trPr>
          <w:trHeight w:val="402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MED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Winter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3.6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359B7" w:rsidRPr="003359B7" w:rsidTr="00E73D96">
        <w:trPr>
          <w:trHeight w:val="402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IB-spr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Spring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63.6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11.5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359B7" w:rsidRPr="003359B7" w:rsidTr="00E73D96">
        <w:trPr>
          <w:trHeight w:val="402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IB-aut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Autumn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4.8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5.3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73D96" w:rsidRPr="003359B7" w:rsidTr="00E73D96">
        <w:trPr>
          <w:trHeight w:val="402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BB-aut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Autumn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359B7" w:rsidRPr="003359B7" w:rsidRDefault="003359B7" w:rsidP="0033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359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</w:tbl>
    <w:p w:rsidR="00FC16AE" w:rsidRPr="00FC16AE" w:rsidRDefault="00FC16AE" w:rsidP="00FC16A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NZ"/>
        </w:rPr>
      </w:pPr>
    </w:p>
    <w:p w:rsidR="00FC16AE" w:rsidRPr="00FF1FFF" w:rsidRDefault="00FC16AE" w:rsidP="003829AF">
      <w:pPr>
        <w:spacing w:after="0" w:line="240" w:lineRule="auto"/>
        <w:rPr>
          <w:lang w:val="en-GB"/>
        </w:rPr>
      </w:pPr>
    </w:p>
    <w:sectPr w:rsidR="00FC16AE" w:rsidRPr="00FF1FFF" w:rsidSect="00E73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58" w:rsidRDefault="00214D58" w:rsidP="00111CD7">
      <w:pPr>
        <w:spacing w:after="0" w:line="240" w:lineRule="auto"/>
      </w:pPr>
      <w:r>
        <w:separator/>
      </w:r>
    </w:p>
  </w:endnote>
  <w:endnote w:type="continuationSeparator" w:id="0">
    <w:p w:rsidR="00214D58" w:rsidRDefault="00214D58" w:rsidP="0011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58" w:rsidRDefault="00214D58" w:rsidP="00111CD7">
      <w:pPr>
        <w:spacing w:after="0" w:line="240" w:lineRule="auto"/>
      </w:pPr>
      <w:r>
        <w:separator/>
      </w:r>
    </w:p>
  </w:footnote>
  <w:footnote w:type="continuationSeparator" w:id="0">
    <w:p w:rsidR="00214D58" w:rsidRDefault="00214D58" w:rsidP="00111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FF"/>
    <w:rsid w:val="00020A26"/>
    <w:rsid w:val="000B7F45"/>
    <w:rsid w:val="000C1B36"/>
    <w:rsid w:val="00111CD7"/>
    <w:rsid w:val="00135655"/>
    <w:rsid w:val="00141750"/>
    <w:rsid w:val="00164DF7"/>
    <w:rsid w:val="001771A6"/>
    <w:rsid w:val="001A3BE8"/>
    <w:rsid w:val="001D7508"/>
    <w:rsid w:val="00201A97"/>
    <w:rsid w:val="00202AFA"/>
    <w:rsid w:val="00214D58"/>
    <w:rsid w:val="00281DA7"/>
    <w:rsid w:val="00287F93"/>
    <w:rsid w:val="002949FE"/>
    <w:rsid w:val="00304192"/>
    <w:rsid w:val="0030766E"/>
    <w:rsid w:val="0033121C"/>
    <w:rsid w:val="003359B7"/>
    <w:rsid w:val="0034582C"/>
    <w:rsid w:val="00357412"/>
    <w:rsid w:val="003829AF"/>
    <w:rsid w:val="003A159A"/>
    <w:rsid w:val="003B446B"/>
    <w:rsid w:val="00476B36"/>
    <w:rsid w:val="004A1D9F"/>
    <w:rsid w:val="004B2116"/>
    <w:rsid w:val="004C7ED9"/>
    <w:rsid w:val="004D29A8"/>
    <w:rsid w:val="004F6006"/>
    <w:rsid w:val="005325DF"/>
    <w:rsid w:val="00534973"/>
    <w:rsid w:val="0053699A"/>
    <w:rsid w:val="00563D3F"/>
    <w:rsid w:val="005745D1"/>
    <w:rsid w:val="005902E8"/>
    <w:rsid w:val="00592C87"/>
    <w:rsid w:val="005B1109"/>
    <w:rsid w:val="005C1F1F"/>
    <w:rsid w:val="005D4E1E"/>
    <w:rsid w:val="00624AD8"/>
    <w:rsid w:val="00630DCC"/>
    <w:rsid w:val="00652DE0"/>
    <w:rsid w:val="00656B3D"/>
    <w:rsid w:val="00687B55"/>
    <w:rsid w:val="006B179D"/>
    <w:rsid w:val="006B288B"/>
    <w:rsid w:val="006B364A"/>
    <w:rsid w:val="006F24CC"/>
    <w:rsid w:val="007213EA"/>
    <w:rsid w:val="0073386F"/>
    <w:rsid w:val="007865C2"/>
    <w:rsid w:val="00802722"/>
    <w:rsid w:val="00820D83"/>
    <w:rsid w:val="00831E4E"/>
    <w:rsid w:val="0083603B"/>
    <w:rsid w:val="00853FC8"/>
    <w:rsid w:val="00865B49"/>
    <w:rsid w:val="00883CFC"/>
    <w:rsid w:val="008A7465"/>
    <w:rsid w:val="008C3AF9"/>
    <w:rsid w:val="008D4E4D"/>
    <w:rsid w:val="00912DA7"/>
    <w:rsid w:val="009225C6"/>
    <w:rsid w:val="0094780C"/>
    <w:rsid w:val="00964B19"/>
    <w:rsid w:val="009D2F41"/>
    <w:rsid w:val="009F3034"/>
    <w:rsid w:val="00A12B2B"/>
    <w:rsid w:val="00B02157"/>
    <w:rsid w:val="00B27156"/>
    <w:rsid w:val="00B90574"/>
    <w:rsid w:val="00B9623F"/>
    <w:rsid w:val="00BB6E59"/>
    <w:rsid w:val="00BC56DC"/>
    <w:rsid w:val="00BE3E17"/>
    <w:rsid w:val="00C362F3"/>
    <w:rsid w:val="00C41295"/>
    <w:rsid w:val="00C640D5"/>
    <w:rsid w:val="00C92543"/>
    <w:rsid w:val="00CB0B2E"/>
    <w:rsid w:val="00CB55AA"/>
    <w:rsid w:val="00CD5618"/>
    <w:rsid w:val="00D270B7"/>
    <w:rsid w:val="00D453B4"/>
    <w:rsid w:val="00D717E9"/>
    <w:rsid w:val="00D81AA8"/>
    <w:rsid w:val="00D9212F"/>
    <w:rsid w:val="00DA068E"/>
    <w:rsid w:val="00DC1914"/>
    <w:rsid w:val="00DC34AA"/>
    <w:rsid w:val="00E31269"/>
    <w:rsid w:val="00E31CB0"/>
    <w:rsid w:val="00E658D1"/>
    <w:rsid w:val="00E73D96"/>
    <w:rsid w:val="00EC00C1"/>
    <w:rsid w:val="00ED077A"/>
    <w:rsid w:val="00ED083F"/>
    <w:rsid w:val="00F07C7F"/>
    <w:rsid w:val="00F2258A"/>
    <w:rsid w:val="00F23AA7"/>
    <w:rsid w:val="00F54943"/>
    <w:rsid w:val="00FB0890"/>
    <w:rsid w:val="00FC140B"/>
    <w:rsid w:val="00FC16AE"/>
    <w:rsid w:val="00FF1FFF"/>
    <w:rsid w:val="00FF5879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D112"/>
  <w15:chartTrackingRefBased/>
  <w15:docId w15:val="{7D2FE441-F3E9-48D1-9E7F-C8F11640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F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F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F1FFF"/>
  </w:style>
  <w:style w:type="paragraph" w:styleId="Header">
    <w:name w:val="header"/>
    <w:basedOn w:val="Normal"/>
    <w:link w:val="HeaderChar"/>
    <w:uiPriority w:val="99"/>
    <w:unhideWhenUsed/>
    <w:rsid w:val="0011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C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CD7"/>
    <w:rPr>
      <w:lang w:val="en-US"/>
    </w:rPr>
  </w:style>
  <w:style w:type="paragraph" w:styleId="ListParagraph">
    <w:name w:val="List Paragraph"/>
    <w:basedOn w:val="Normal"/>
    <w:uiPriority w:val="34"/>
    <w:qFormat/>
    <w:rsid w:val="00D453B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C16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721D-AEB1-4258-A16E-7EF1008F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MonicaSilva</dc:creator>
  <cp:keywords/>
  <dc:description/>
  <cp:lastModifiedBy>Mónica Silva</cp:lastModifiedBy>
  <cp:revision>4</cp:revision>
  <dcterms:created xsi:type="dcterms:W3CDTF">2019-07-03T15:16:00Z</dcterms:created>
  <dcterms:modified xsi:type="dcterms:W3CDTF">2019-07-29T09:58:00Z</dcterms:modified>
</cp:coreProperties>
</file>