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44E5" w14:textId="5784F9C0" w:rsidR="00775FD8" w:rsidRDefault="00775FD8" w:rsidP="00775FD8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Supplementary File 2 – Full results of the mediation analyses</w:t>
      </w:r>
    </w:p>
    <w:p w14:paraId="26D6C7CE" w14:textId="77777777" w:rsidR="00775FD8" w:rsidRDefault="00775FD8" w:rsidP="00775FD8">
      <w:pPr>
        <w:spacing w:line="480" w:lineRule="auto"/>
        <w:rPr>
          <w:rFonts w:ascii="Times New Roman" w:hAnsi="Times New Roman" w:cs="Times New Roman"/>
        </w:rPr>
      </w:pPr>
    </w:p>
    <w:p w14:paraId="18BBEFAC" w14:textId="77777777" w:rsidR="00775FD8" w:rsidRDefault="00775FD8" w:rsidP="00775FD8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65D1D">
        <w:rPr>
          <w:rFonts w:ascii="Times New Roman" w:hAnsi="Times New Roman" w:cs="Times New Roman"/>
          <w:i/>
        </w:rPr>
        <w:t>Hypothesis 2c.</w:t>
      </w:r>
      <w:r>
        <w:rPr>
          <w:rFonts w:ascii="Times New Roman" w:hAnsi="Times New Roman" w:cs="Times New Roman"/>
          <w:i/>
        </w:rPr>
        <w:t xml:space="preserve">  </w:t>
      </w:r>
      <w:r w:rsidRPr="004D0094">
        <w:rPr>
          <w:rFonts w:ascii="Times New Roman" w:hAnsi="Times New Roman" w:cs="Times New Roman"/>
          <w:color w:val="000000" w:themeColor="text1"/>
        </w:rPr>
        <w:t xml:space="preserve">The mediation analysis (model </w:t>
      </w:r>
      <w:r>
        <w:rPr>
          <w:rFonts w:ascii="Times New Roman" w:hAnsi="Times New Roman" w:cs="Times New Roman"/>
          <w:color w:val="000000" w:themeColor="text1"/>
        </w:rPr>
        <w:t>6</w:t>
      </w:r>
      <w:r w:rsidRPr="004D0094">
        <w:rPr>
          <w:rFonts w:ascii="Times New Roman" w:hAnsi="Times New Roman" w:cs="Times New Roman"/>
          <w:color w:val="000000" w:themeColor="text1"/>
        </w:rPr>
        <w:t xml:space="preserve">) with age as IV and </w:t>
      </w:r>
      <w:r>
        <w:rPr>
          <w:rFonts w:ascii="Times New Roman" w:hAnsi="Times New Roman" w:cs="Times New Roman"/>
          <w:color w:val="000000" w:themeColor="text1"/>
        </w:rPr>
        <w:t>self</w:t>
      </w:r>
      <w:r w:rsidRPr="004D0094">
        <w:rPr>
          <w:rFonts w:ascii="Times New Roman" w:hAnsi="Times New Roman" w:cs="Times New Roman"/>
          <w:color w:val="000000" w:themeColor="text1"/>
        </w:rPr>
        <w:t xml:space="preserve"> as DV, with </w:t>
      </w:r>
      <w:r>
        <w:rPr>
          <w:rFonts w:ascii="Times New Roman" w:hAnsi="Times New Roman" w:cs="Times New Roman"/>
          <w:color w:val="000000" w:themeColor="text1"/>
        </w:rPr>
        <w:t>experiences and fear of own death</w:t>
      </w:r>
      <w:r w:rsidRPr="004D0094">
        <w:rPr>
          <w:rFonts w:ascii="Times New Roman" w:hAnsi="Times New Roman" w:cs="Times New Roman"/>
          <w:color w:val="000000" w:themeColor="text1"/>
        </w:rPr>
        <w:t xml:space="preserve"> as mediator variables, was </w:t>
      </w:r>
      <w:r>
        <w:rPr>
          <w:rFonts w:ascii="Times New Roman" w:hAnsi="Times New Roman" w:cs="Times New Roman"/>
          <w:color w:val="000000" w:themeColor="text1"/>
        </w:rPr>
        <w:t xml:space="preserve">not </w:t>
      </w:r>
      <w:r w:rsidRPr="004D0094">
        <w:rPr>
          <w:rFonts w:ascii="Times New Roman" w:hAnsi="Times New Roman" w:cs="Times New Roman"/>
          <w:color w:val="000000" w:themeColor="text1"/>
        </w:rPr>
        <w:t>significant</w:t>
      </w:r>
      <w:r>
        <w:rPr>
          <w:rFonts w:ascii="Times New Roman" w:hAnsi="Times New Roman" w:cs="Times New Roman"/>
          <w:color w:val="000000" w:themeColor="text1"/>
        </w:rPr>
        <w:t>. The total effect of age on self was not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=0.149,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=0.107,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=.164). The direct effect of age on experiences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=0.017,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=0.005,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=.002) and accounted for 6.48% of the variance in experiences. The direct effects of age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=-0.029,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=0.033,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=.375) and experiences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=-0.686,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=0.485,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=.159) on fear of own death were not significant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2,150</w:t>
      </w:r>
      <w:r>
        <w:rPr>
          <w:rFonts w:ascii="Times New Roman" w:hAnsi="Times New Roman" w:cs="Times New Roman"/>
          <w:color w:val="000000" w:themeColor="text1"/>
        </w:rPr>
        <w:t xml:space="preserve">=1.838,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=.163). The direct effects of age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=0.141,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=0.112,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=.208), experiences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=0.213,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=1.66,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=.898) and fear of own death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=-0.113,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=0.278,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=.686) on self were not significant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3,149</w:t>
      </w:r>
      <w:r>
        <w:rPr>
          <w:rFonts w:ascii="Times New Roman" w:hAnsi="Times New Roman" w:cs="Times New Roman"/>
          <w:color w:val="000000" w:themeColor="text1"/>
        </w:rPr>
        <w:t xml:space="preserve">=0.708,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=.579). The indirect effect of age on self was not significant through experiences (effect=0.004 [-0.054, 0.077]) or fear of own death (effect=0.003 [-0.020, 0.039]) or experiences and fear of own death (effect=0.001 [-0.009, 0.012]).</w:t>
      </w:r>
    </w:p>
    <w:p w14:paraId="7CE6580C" w14:textId="77777777" w:rsidR="00775FD8" w:rsidRDefault="00775FD8" w:rsidP="00775FD8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65D1D">
        <w:rPr>
          <w:rFonts w:ascii="Times New Roman" w:hAnsi="Times New Roman" w:cs="Times New Roman"/>
          <w:i/>
        </w:rPr>
        <w:t>Hypothesis 2</w:t>
      </w:r>
      <w:r>
        <w:rPr>
          <w:rFonts w:ascii="Times New Roman" w:hAnsi="Times New Roman" w:cs="Times New Roman"/>
          <w:i/>
        </w:rPr>
        <w:t>d</w:t>
      </w:r>
      <w:r w:rsidRPr="00065D1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</w:t>
      </w:r>
      <w:r w:rsidRPr="004D0094">
        <w:rPr>
          <w:rFonts w:ascii="Times New Roman" w:hAnsi="Times New Roman" w:cs="Times New Roman"/>
          <w:color w:val="000000" w:themeColor="text1"/>
        </w:rPr>
        <w:t xml:space="preserve">The mediation analysis (model </w:t>
      </w:r>
      <w:r>
        <w:rPr>
          <w:rFonts w:ascii="Times New Roman" w:hAnsi="Times New Roman" w:cs="Times New Roman"/>
          <w:color w:val="000000" w:themeColor="text1"/>
        </w:rPr>
        <w:t>6</w:t>
      </w:r>
      <w:r w:rsidRPr="004D0094">
        <w:rPr>
          <w:rFonts w:ascii="Times New Roman" w:hAnsi="Times New Roman" w:cs="Times New Roman"/>
          <w:color w:val="000000" w:themeColor="text1"/>
        </w:rPr>
        <w:t xml:space="preserve">) with age as IV and </w:t>
      </w:r>
      <w:r>
        <w:rPr>
          <w:rFonts w:ascii="Times New Roman" w:hAnsi="Times New Roman" w:cs="Times New Roman"/>
          <w:color w:val="000000" w:themeColor="text1"/>
        </w:rPr>
        <w:t>partner</w:t>
      </w:r>
      <w:r w:rsidRPr="004D0094">
        <w:rPr>
          <w:rFonts w:ascii="Times New Roman" w:hAnsi="Times New Roman" w:cs="Times New Roman"/>
          <w:color w:val="000000" w:themeColor="text1"/>
        </w:rPr>
        <w:t xml:space="preserve"> as DV, with </w:t>
      </w:r>
      <w:r>
        <w:rPr>
          <w:rFonts w:ascii="Times New Roman" w:hAnsi="Times New Roman" w:cs="Times New Roman"/>
          <w:color w:val="000000" w:themeColor="text1"/>
        </w:rPr>
        <w:t>experiences and fear of partner’s death</w:t>
      </w:r>
      <w:r w:rsidRPr="004D0094">
        <w:rPr>
          <w:rFonts w:ascii="Times New Roman" w:hAnsi="Times New Roman" w:cs="Times New Roman"/>
          <w:color w:val="000000" w:themeColor="text1"/>
        </w:rPr>
        <w:t xml:space="preserve"> as mediator variables, was </w:t>
      </w:r>
      <w:r>
        <w:rPr>
          <w:rFonts w:ascii="Times New Roman" w:hAnsi="Times New Roman" w:cs="Times New Roman"/>
          <w:color w:val="000000" w:themeColor="text1"/>
        </w:rPr>
        <w:t xml:space="preserve">not </w:t>
      </w:r>
      <w:r w:rsidRPr="004D0094">
        <w:rPr>
          <w:rFonts w:ascii="Times New Roman" w:hAnsi="Times New Roman" w:cs="Times New Roman"/>
          <w:color w:val="000000" w:themeColor="text1"/>
        </w:rPr>
        <w:t>significant</w:t>
      </w:r>
      <w:r>
        <w:rPr>
          <w:rFonts w:ascii="Times New Roman" w:hAnsi="Times New Roman" w:cs="Times New Roman"/>
          <w:color w:val="000000" w:themeColor="text1"/>
        </w:rPr>
        <w:t>. The total effect of age on partner was not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=0.084,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=0.118,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=.477). The direct effect of age on experiences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=0.017,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=0.005,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=.002) and accounted for 6.48% of the variance in experiences. The direct effects of age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=-0.046,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=0.024,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=.056) and experiences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=-0.202,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=0.356,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=.573) on fear of partner’s death were not significant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2,150</w:t>
      </w:r>
      <w:r>
        <w:rPr>
          <w:rFonts w:ascii="Times New Roman" w:hAnsi="Times New Roman" w:cs="Times New Roman"/>
          <w:color w:val="000000" w:themeColor="text1"/>
        </w:rPr>
        <w:t xml:space="preserve">=2.443,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=.090). The direct effects of age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=0.040,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=0.124,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=.747), experiences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=0.930,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=1.82,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=.609) and fear of partner’s death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=-0.572,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=0.415,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=.170) on partner were not significant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3,149</w:t>
      </w:r>
      <w:r>
        <w:rPr>
          <w:rFonts w:ascii="Times New Roman" w:hAnsi="Times New Roman" w:cs="Times New Roman"/>
          <w:color w:val="000000" w:themeColor="text1"/>
        </w:rPr>
        <w:t xml:space="preserve">=0.913,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=.436). The indirect effect of age on partner was not significant through experiences (effect=0.044 [-0.040, 0.149]) or fear of partner’s death (effect=0.016 [-0.054, 0.094]) or experiences and fear of partner’s death (effect=0.002 [-0.008, 0.013]).</w:t>
      </w:r>
    </w:p>
    <w:p w14:paraId="2BCCB7E6" w14:textId="1A228630" w:rsidR="00775FD8" w:rsidRDefault="00775FD8" w:rsidP="00775FD8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33F00">
        <w:rPr>
          <w:rFonts w:ascii="Times New Roman" w:hAnsi="Times New Roman" w:cs="Times New Roman"/>
          <w:i/>
          <w:color w:val="000000" w:themeColor="text1"/>
        </w:rPr>
        <w:lastRenderedPageBreak/>
        <w:t>Hypothesis 3b.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4D0094">
        <w:rPr>
          <w:rFonts w:ascii="Times New Roman" w:hAnsi="Times New Roman" w:cs="Times New Roman"/>
          <w:color w:val="000000" w:themeColor="text1"/>
        </w:rPr>
        <w:t xml:space="preserve">The mediation analysis (model </w:t>
      </w:r>
      <w:r>
        <w:rPr>
          <w:rFonts w:ascii="Times New Roman" w:hAnsi="Times New Roman" w:cs="Times New Roman"/>
          <w:color w:val="000000" w:themeColor="text1"/>
        </w:rPr>
        <w:t>6</w:t>
      </w:r>
      <w:r w:rsidRPr="004D0094">
        <w:rPr>
          <w:rFonts w:ascii="Times New Roman" w:hAnsi="Times New Roman" w:cs="Times New Roman"/>
          <w:color w:val="000000" w:themeColor="text1"/>
        </w:rPr>
        <w:t xml:space="preserve">) with age as IV and </w:t>
      </w:r>
      <w:r>
        <w:rPr>
          <w:rFonts w:ascii="Times New Roman" w:hAnsi="Times New Roman" w:cs="Times New Roman"/>
          <w:color w:val="000000" w:themeColor="text1"/>
        </w:rPr>
        <w:t>simulation</w:t>
      </w:r>
      <w:r w:rsidRPr="004D0094">
        <w:rPr>
          <w:rFonts w:ascii="Times New Roman" w:hAnsi="Times New Roman" w:cs="Times New Roman"/>
          <w:color w:val="000000" w:themeColor="text1"/>
        </w:rPr>
        <w:t xml:space="preserve"> as DV, with </w:t>
      </w:r>
      <w:r>
        <w:rPr>
          <w:rFonts w:ascii="Times New Roman" w:hAnsi="Times New Roman" w:cs="Times New Roman"/>
          <w:color w:val="000000" w:themeColor="text1"/>
        </w:rPr>
        <w:t>discussions, knowledge and confidence</w:t>
      </w:r>
      <w:r w:rsidRPr="004D0094">
        <w:rPr>
          <w:rFonts w:ascii="Times New Roman" w:hAnsi="Times New Roman" w:cs="Times New Roman"/>
          <w:color w:val="000000" w:themeColor="text1"/>
        </w:rPr>
        <w:t xml:space="preserve"> as mediator variables, was </w:t>
      </w:r>
      <w:r>
        <w:rPr>
          <w:rFonts w:ascii="Times New Roman" w:hAnsi="Times New Roman" w:cs="Times New Roman"/>
          <w:color w:val="000000" w:themeColor="text1"/>
        </w:rPr>
        <w:t xml:space="preserve">not </w:t>
      </w:r>
      <w:r w:rsidRPr="004D0094">
        <w:rPr>
          <w:rFonts w:ascii="Times New Roman" w:hAnsi="Times New Roman" w:cs="Times New Roman"/>
          <w:color w:val="000000" w:themeColor="text1"/>
        </w:rPr>
        <w:t>significant</w:t>
      </w:r>
      <w:r>
        <w:rPr>
          <w:rFonts w:ascii="Times New Roman" w:hAnsi="Times New Roman" w:cs="Times New Roman"/>
          <w:color w:val="000000" w:themeColor="text1"/>
        </w:rPr>
        <w:t>. The total effect of age on simulation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=0.098,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=0.046,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=.035) and accounted for 2.92% of the variance. The direct effect of age on discussions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=0.011,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=0.038,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=.006) and accounted for 4.94% of the variance in discussions. The direct effect of age on knowledge was not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=-0.002,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=0.003,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=.599) but discussions were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=0.453,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=0.070,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&lt;.001); together they accounted for 22.2% of the variance in knowledge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2,150</w:t>
      </w:r>
      <w:r>
        <w:rPr>
          <w:rFonts w:ascii="Times New Roman" w:hAnsi="Times New Roman" w:cs="Times New Roman"/>
          <w:color w:val="000000" w:themeColor="text1"/>
        </w:rPr>
        <w:t xml:space="preserve">=21.427,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&lt;.001). The direct effects of age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=0.003,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=0.003,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=.400) and discussions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=0.085,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=0.074,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=.251) on confidence were not significant, but knowledge was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=0.402,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=0.076,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&lt;.001); together they accounted for 24.1% of the variance in confidence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3,149</w:t>
      </w:r>
      <w:r>
        <w:rPr>
          <w:rFonts w:ascii="Times New Roman" w:hAnsi="Times New Roman" w:cs="Times New Roman"/>
          <w:color w:val="000000" w:themeColor="text1"/>
        </w:rPr>
        <w:t xml:space="preserve">=15.787,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&lt;.001). The direct effect of age on simulation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=0.096,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=0.047,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=.042), but the direct effects of discussions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=</w:t>
      </w:r>
      <w:r w:rsidR="00BF3E37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0.993,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=1.106,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=.370), knowledge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=1.159,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=1.123,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=.350) and confidence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=1.826,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=1.225,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=.138) were not significant; together they accounted for 6.10% of the variance in simulation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4,148</w:t>
      </w:r>
      <w:r>
        <w:rPr>
          <w:rFonts w:ascii="Times New Roman" w:hAnsi="Times New Roman" w:cs="Times New Roman"/>
          <w:color w:val="000000" w:themeColor="text1"/>
        </w:rPr>
        <w:t xml:space="preserve">=2.403,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=.052). The indirect effect of age on simulation through discussions, knowledge and confidence was not significant (effect=0.004 [-0.0</w:t>
      </w:r>
      <w:r w:rsidR="00BF3E37">
        <w:rPr>
          <w:rFonts w:ascii="Times New Roman" w:hAnsi="Times New Roman" w:cs="Times New Roman"/>
          <w:color w:val="000000" w:themeColor="text1"/>
        </w:rPr>
        <w:t>02</w:t>
      </w:r>
      <w:r>
        <w:rPr>
          <w:rFonts w:ascii="Times New Roman" w:hAnsi="Times New Roman" w:cs="Times New Roman"/>
          <w:color w:val="000000" w:themeColor="text1"/>
        </w:rPr>
        <w:t>, 0.0</w:t>
      </w:r>
      <w:r w:rsidR="00BF3E37">
        <w:rPr>
          <w:rFonts w:ascii="Times New Roman" w:hAnsi="Times New Roman" w:cs="Times New Roman"/>
          <w:color w:val="000000" w:themeColor="text1"/>
        </w:rPr>
        <w:t>13</w:t>
      </w:r>
      <w:r>
        <w:rPr>
          <w:rFonts w:ascii="Times New Roman" w:hAnsi="Times New Roman" w:cs="Times New Roman"/>
          <w:color w:val="000000" w:themeColor="text1"/>
        </w:rPr>
        <w:t xml:space="preserve">]) and neither were any of the other indirect effects. </w:t>
      </w:r>
    </w:p>
    <w:p w14:paraId="67B7CFFD" w14:textId="2A4C3DC9" w:rsidR="00775FD8" w:rsidRPr="000C3F99" w:rsidRDefault="00775FD8" w:rsidP="00775FD8">
      <w:pPr>
        <w:spacing w:line="48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Hypothesis 4. </w:t>
      </w:r>
      <w:r>
        <w:rPr>
          <w:rFonts w:ascii="Times New Roman" w:hAnsi="Times New Roman" w:cs="Times New Roman"/>
          <w:color w:val="000000" w:themeColor="text1"/>
        </w:rPr>
        <w:t xml:space="preserve">The </w:t>
      </w:r>
      <w:r w:rsidRPr="008946C9">
        <w:rPr>
          <w:rFonts w:ascii="Times New Roman" w:hAnsi="Times New Roman" w:cs="Times New Roman"/>
        </w:rPr>
        <w:t>mediation analysis</w:t>
      </w:r>
      <w:r>
        <w:rPr>
          <w:rFonts w:ascii="Times New Roman" w:hAnsi="Times New Roman" w:cs="Times New Roman"/>
        </w:rPr>
        <w:t xml:space="preserve"> (model 6)</w:t>
      </w:r>
      <w:r w:rsidRPr="008946C9">
        <w:rPr>
          <w:rFonts w:ascii="Times New Roman" w:hAnsi="Times New Roman" w:cs="Times New Roman"/>
        </w:rPr>
        <w:t xml:space="preserve"> with length of relationship as the IV and </w:t>
      </w:r>
      <w:r>
        <w:rPr>
          <w:rFonts w:ascii="Times New Roman" w:hAnsi="Times New Roman" w:cs="Times New Roman"/>
        </w:rPr>
        <w:t xml:space="preserve">simulation </w:t>
      </w:r>
      <w:r w:rsidRPr="008946C9">
        <w:rPr>
          <w:rFonts w:ascii="Times New Roman" w:hAnsi="Times New Roman" w:cs="Times New Roman"/>
        </w:rPr>
        <w:t>as the DV, with discussions, knowledge and confidence as mediators</w:t>
      </w:r>
      <w:r>
        <w:rPr>
          <w:rFonts w:ascii="Times New Roman" w:hAnsi="Times New Roman" w:cs="Times New Roman"/>
        </w:rPr>
        <w:t xml:space="preserve"> was not significant. </w:t>
      </w:r>
      <w:r>
        <w:rPr>
          <w:rFonts w:ascii="Times New Roman" w:hAnsi="Times New Roman" w:cs="Times New Roman"/>
          <w:color w:val="000000" w:themeColor="text1"/>
        </w:rPr>
        <w:t>The total effect of length of relationship on simulation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=0.127,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=0.053,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=.017) and accounted for 3.71% of the variance. The direct effect of length of relationship on discussions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=0.011,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=0.004,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=.011) and accounted for 4.25% of the variance in discussions. The direct effect of length of relationship on knowledge was not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=-0.001,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=0.004,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=.722) but discussions were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=0.450,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=0.070,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&lt;.001); together they accounted for 22.14% of the variance in knowledge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2,150</w:t>
      </w:r>
      <w:r>
        <w:rPr>
          <w:rFonts w:ascii="Times New Roman" w:hAnsi="Times New Roman" w:cs="Times New Roman"/>
          <w:color w:val="000000" w:themeColor="text1"/>
        </w:rPr>
        <w:t xml:space="preserve">=21.33, </w:t>
      </w:r>
      <w:r>
        <w:rPr>
          <w:rFonts w:ascii="Times New Roman" w:hAnsi="Times New Roman" w:cs="Times New Roman"/>
          <w:i/>
          <w:color w:val="000000" w:themeColor="text1"/>
        </w:rPr>
        <w:lastRenderedPageBreak/>
        <w:t>p</w:t>
      </w:r>
      <w:r>
        <w:rPr>
          <w:rFonts w:ascii="Times New Roman" w:hAnsi="Times New Roman" w:cs="Times New Roman"/>
          <w:color w:val="000000" w:themeColor="text1"/>
        </w:rPr>
        <w:t>&lt;.001). The direct effects of length of relationship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=0.002,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=0.004,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=.661) and discussions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=0.092,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=0.073,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=.213) on confidence were not significant, but knowledge was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=0.400,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=0.076,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&lt;.001); together they accounted for 23.86% of the variance in confidence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3,149</w:t>
      </w:r>
      <w:r>
        <w:rPr>
          <w:rFonts w:ascii="Times New Roman" w:hAnsi="Times New Roman" w:cs="Times New Roman"/>
          <w:color w:val="000000" w:themeColor="text1"/>
        </w:rPr>
        <w:t xml:space="preserve">=15.560,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&lt;.001). The direct effect of length of relationship on simulation was significant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=0.127,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=0.054,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=.019), but the direct effects of discussions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=</w:t>
      </w:r>
      <w:r w:rsidR="002007F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1.017,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=1.097,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=.355), knowledge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=1.109,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=1.130,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=.369) and confidence (</w:t>
      </w:r>
      <w:r>
        <w:rPr>
          <w:rFonts w:ascii="Times New Roman" w:hAnsi="Times New Roman" w:cs="Times New Roman"/>
          <w:i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=1.895, </w:t>
      </w:r>
      <w:r>
        <w:rPr>
          <w:rFonts w:ascii="Times New Roman" w:hAnsi="Times New Roman" w:cs="Times New Roman"/>
          <w:i/>
          <w:color w:val="000000" w:themeColor="text1"/>
        </w:rPr>
        <w:t>SE</w:t>
      </w:r>
      <w:r>
        <w:rPr>
          <w:rFonts w:ascii="Times New Roman" w:hAnsi="Times New Roman" w:cs="Times New Roman"/>
          <w:color w:val="000000" w:themeColor="text1"/>
        </w:rPr>
        <w:t xml:space="preserve">=1.217,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=.121) were not significant; together they accounted for 6.96% of the variance in simulation (</w:t>
      </w:r>
      <w:r>
        <w:rPr>
          <w:rFonts w:ascii="Times New Roman" w:hAnsi="Times New Roman" w:cs="Times New Roman"/>
          <w:i/>
          <w:color w:val="000000" w:themeColor="text1"/>
        </w:rPr>
        <w:t>F</w:t>
      </w:r>
      <w:r>
        <w:rPr>
          <w:rFonts w:ascii="Times New Roman" w:hAnsi="Times New Roman" w:cs="Times New Roman"/>
          <w:i/>
          <w:color w:val="000000" w:themeColor="text1"/>
          <w:vertAlign w:val="subscript"/>
        </w:rPr>
        <w:t>4,148</w:t>
      </w:r>
      <w:r>
        <w:rPr>
          <w:rFonts w:ascii="Times New Roman" w:hAnsi="Times New Roman" w:cs="Times New Roman"/>
          <w:color w:val="000000" w:themeColor="text1"/>
        </w:rPr>
        <w:t xml:space="preserve">=2.768, </w:t>
      </w:r>
      <w:r>
        <w:rPr>
          <w:rFonts w:ascii="Times New Roman" w:hAnsi="Times New Roman" w:cs="Times New Roman"/>
          <w:i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=.029). The indirect effect of length of relationship on simulation through discussions, knowledge and confidence was not significant (effect=0.004 [-0.0</w:t>
      </w:r>
      <w:r w:rsidR="002007FF">
        <w:rPr>
          <w:rFonts w:ascii="Times New Roman" w:hAnsi="Times New Roman" w:cs="Times New Roman"/>
          <w:color w:val="000000" w:themeColor="text1"/>
        </w:rPr>
        <w:t>02</w:t>
      </w:r>
      <w:r>
        <w:rPr>
          <w:rFonts w:ascii="Times New Roman" w:hAnsi="Times New Roman" w:cs="Times New Roman"/>
          <w:color w:val="000000" w:themeColor="text1"/>
        </w:rPr>
        <w:t>, 0.0</w:t>
      </w:r>
      <w:r w:rsidR="002007FF"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</w:rPr>
        <w:t>]) and neither were any of the other indirect effects.</w:t>
      </w:r>
    </w:p>
    <w:p w14:paraId="2980A3EC" w14:textId="77777777" w:rsidR="008E5DD5" w:rsidRDefault="008E5DD5"/>
    <w:sectPr w:rsidR="008E5DD5" w:rsidSect="00FB39D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E2D"/>
    <w:multiLevelType w:val="hybridMultilevel"/>
    <w:tmpl w:val="F2F43218"/>
    <w:lvl w:ilvl="0" w:tplc="D8C201F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223079D"/>
    <w:multiLevelType w:val="multilevel"/>
    <w:tmpl w:val="D7183B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8"/>
    <w:rsid w:val="00011125"/>
    <w:rsid w:val="000167AD"/>
    <w:rsid w:val="0002304D"/>
    <w:rsid w:val="000339B6"/>
    <w:rsid w:val="00034C40"/>
    <w:rsid w:val="000374A2"/>
    <w:rsid w:val="000376B2"/>
    <w:rsid w:val="0004228D"/>
    <w:rsid w:val="0005163B"/>
    <w:rsid w:val="000533D1"/>
    <w:rsid w:val="00091F45"/>
    <w:rsid w:val="000A27CD"/>
    <w:rsid w:val="000A2B21"/>
    <w:rsid w:val="000B5999"/>
    <w:rsid w:val="000D2107"/>
    <w:rsid w:val="000D3196"/>
    <w:rsid w:val="000D36FD"/>
    <w:rsid w:val="001178E6"/>
    <w:rsid w:val="00124F11"/>
    <w:rsid w:val="001436DC"/>
    <w:rsid w:val="00164D34"/>
    <w:rsid w:val="0017041C"/>
    <w:rsid w:val="00176BAD"/>
    <w:rsid w:val="001773A2"/>
    <w:rsid w:val="00197A17"/>
    <w:rsid w:val="001A11AE"/>
    <w:rsid w:val="001A2D7D"/>
    <w:rsid w:val="001C3D5B"/>
    <w:rsid w:val="001E3836"/>
    <w:rsid w:val="001F5A18"/>
    <w:rsid w:val="001F5FDF"/>
    <w:rsid w:val="001F75DE"/>
    <w:rsid w:val="002007FF"/>
    <w:rsid w:val="00223635"/>
    <w:rsid w:val="00233D74"/>
    <w:rsid w:val="00240955"/>
    <w:rsid w:val="002430AB"/>
    <w:rsid w:val="00256051"/>
    <w:rsid w:val="0026565B"/>
    <w:rsid w:val="002827CC"/>
    <w:rsid w:val="002873BA"/>
    <w:rsid w:val="0029700B"/>
    <w:rsid w:val="002D0549"/>
    <w:rsid w:val="002D27D1"/>
    <w:rsid w:val="002D2C50"/>
    <w:rsid w:val="002D554B"/>
    <w:rsid w:val="002E4B35"/>
    <w:rsid w:val="00301965"/>
    <w:rsid w:val="00315FEF"/>
    <w:rsid w:val="00316E27"/>
    <w:rsid w:val="00324273"/>
    <w:rsid w:val="00342411"/>
    <w:rsid w:val="0034255E"/>
    <w:rsid w:val="00346AD8"/>
    <w:rsid w:val="00350119"/>
    <w:rsid w:val="003514D0"/>
    <w:rsid w:val="00356550"/>
    <w:rsid w:val="00365C6A"/>
    <w:rsid w:val="003820C7"/>
    <w:rsid w:val="00383E32"/>
    <w:rsid w:val="00385B28"/>
    <w:rsid w:val="003B00F9"/>
    <w:rsid w:val="003B5075"/>
    <w:rsid w:val="003E1CC4"/>
    <w:rsid w:val="004054D1"/>
    <w:rsid w:val="00406E9B"/>
    <w:rsid w:val="00406F14"/>
    <w:rsid w:val="004169C0"/>
    <w:rsid w:val="00417339"/>
    <w:rsid w:val="00421AC0"/>
    <w:rsid w:val="00422319"/>
    <w:rsid w:val="00423BBF"/>
    <w:rsid w:val="00434581"/>
    <w:rsid w:val="004420CD"/>
    <w:rsid w:val="004550DD"/>
    <w:rsid w:val="00464653"/>
    <w:rsid w:val="00474446"/>
    <w:rsid w:val="00490847"/>
    <w:rsid w:val="004911AF"/>
    <w:rsid w:val="004912E5"/>
    <w:rsid w:val="00494ADD"/>
    <w:rsid w:val="004A6F41"/>
    <w:rsid w:val="004A777C"/>
    <w:rsid w:val="004A7990"/>
    <w:rsid w:val="004A7CE8"/>
    <w:rsid w:val="004C23B4"/>
    <w:rsid w:val="004D59BB"/>
    <w:rsid w:val="00501C77"/>
    <w:rsid w:val="00512215"/>
    <w:rsid w:val="00530DF5"/>
    <w:rsid w:val="00533191"/>
    <w:rsid w:val="0055317A"/>
    <w:rsid w:val="0058446C"/>
    <w:rsid w:val="0058707D"/>
    <w:rsid w:val="005B46CC"/>
    <w:rsid w:val="005E1FF7"/>
    <w:rsid w:val="005F5AF7"/>
    <w:rsid w:val="006065CE"/>
    <w:rsid w:val="00606934"/>
    <w:rsid w:val="00663A6D"/>
    <w:rsid w:val="006667BC"/>
    <w:rsid w:val="00672B74"/>
    <w:rsid w:val="0067408E"/>
    <w:rsid w:val="006745D1"/>
    <w:rsid w:val="006856D8"/>
    <w:rsid w:val="00687BBC"/>
    <w:rsid w:val="006A6C5C"/>
    <w:rsid w:val="006B5E09"/>
    <w:rsid w:val="006D076D"/>
    <w:rsid w:val="006D7DBE"/>
    <w:rsid w:val="006E763A"/>
    <w:rsid w:val="006F04CE"/>
    <w:rsid w:val="00705FFE"/>
    <w:rsid w:val="00713970"/>
    <w:rsid w:val="00747965"/>
    <w:rsid w:val="00775FD8"/>
    <w:rsid w:val="00777EBE"/>
    <w:rsid w:val="007920E1"/>
    <w:rsid w:val="007922D4"/>
    <w:rsid w:val="00795392"/>
    <w:rsid w:val="007A62D2"/>
    <w:rsid w:val="007C1884"/>
    <w:rsid w:val="007C5F19"/>
    <w:rsid w:val="007E29B2"/>
    <w:rsid w:val="007F6F56"/>
    <w:rsid w:val="008005A7"/>
    <w:rsid w:val="00811248"/>
    <w:rsid w:val="008118FF"/>
    <w:rsid w:val="00826BD2"/>
    <w:rsid w:val="00826C16"/>
    <w:rsid w:val="008271F2"/>
    <w:rsid w:val="00837131"/>
    <w:rsid w:val="00842E2A"/>
    <w:rsid w:val="008509B1"/>
    <w:rsid w:val="008551D0"/>
    <w:rsid w:val="00855355"/>
    <w:rsid w:val="00865C6D"/>
    <w:rsid w:val="00893951"/>
    <w:rsid w:val="008A6898"/>
    <w:rsid w:val="008C42D9"/>
    <w:rsid w:val="008C47F5"/>
    <w:rsid w:val="008D2818"/>
    <w:rsid w:val="008E5DD5"/>
    <w:rsid w:val="0090571F"/>
    <w:rsid w:val="00924233"/>
    <w:rsid w:val="00964D3E"/>
    <w:rsid w:val="009650B2"/>
    <w:rsid w:val="00970F48"/>
    <w:rsid w:val="00973018"/>
    <w:rsid w:val="00974672"/>
    <w:rsid w:val="009805A7"/>
    <w:rsid w:val="0099118E"/>
    <w:rsid w:val="009975C8"/>
    <w:rsid w:val="009A5B83"/>
    <w:rsid w:val="009B7D8D"/>
    <w:rsid w:val="009D01E8"/>
    <w:rsid w:val="009D3D69"/>
    <w:rsid w:val="009F1396"/>
    <w:rsid w:val="009F4C1E"/>
    <w:rsid w:val="00A07878"/>
    <w:rsid w:val="00A266E6"/>
    <w:rsid w:val="00A3739C"/>
    <w:rsid w:val="00A40D55"/>
    <w:rsid w:val="00A50480"/>
    <w:rsid w:val="00A64879"/>
    <w:rsid w:val="00A774BA"/>
    <w:rsid w:val="00A835B0"/>
    <w:rsid w:val="00AA064A"/>
    <w:rsid w:val="00AA1153"/>
    <w:rsid w:val="00AA7A42"/>
    <w:rsid w:val="00AB3FCB"/>
    <w:rsid w:val="00AB5869"/>
    <w:rsid w:val="00AC496C"/>
    <w:rsid w:val="00AD4181"/>
    <w:rsid w:val="00AF3670"/>
    <w:rsid w:val="00AF38C3"/>
    <w:rsid w:val="00B00074"/>
    <w:rsid w:val="00B06278"/>
    <w:rsid w:val="00B14BD0"/>
    <w:rsid w:val="00B32D50"/>
    <w:rsid w:val="00B46BFB"/>
    <w:rsid w:val="00B53F65"/>
    <w:rsid w:val="00B56BF9"/>
    <w:rsid w:val="00B9009C"/>
    <w:rsid w:val="00BB2603"/>
    <w:rsid w:val="00BB53DE"/>
    <w:rsid w:val="00BC682E"/>
    <w:rsid w:val="00BD5B26"/>
    <w:rsid w:val="00BD67E0"/>
    <w:rsid w:val="00BE07F0"/>
    <w:rsid w:val="00BE106D"/>
    <w:rsid w:val="00BE3B19"/>
    <w:rsid w:val="00BE57A2"/>
    <w:rsid w:val="00BF3506"/>
    <w:rsid w:val="00BF3E37"/>
    <w:rsid w:val="00C044C1"/>
    <w:rsid w:val="00C126E8"/>
    <w:rsid w:val="00C33211"/>
    <w:rsid w:val="00C37841"/>
    <w:rsid w:val="00C40512"/>
    <w:rsid w:val="00C559AA"/>
    <w:rsid w:val="00C75E92"/>
    <w:rsid w:val="00C84482"/>
    <w:rsid w:val="00CA006E"/>
    <w:rsid w:val="00CB3B08"/>
    <w:rsid w:val="00CC016D"/>
    <w:rsid w:val="00CE6C90"/>
    <w:rsid w:val="00D10EFE"/>
    <w:rsid w:val="00D1555A"/>
    <w:rsid w:val="00D22D3D"/>
    <w:rsid w:val="00D23A11"/>
    <w:rsid w:val="00D275F9"/>
    <w:rsid w:val="00D36452"/>
    <w:rsid w:val="00D46A7F"/>
    <w:rsid w:val="00D8184A"/>
    <w:rsid w:val="00DA007B"/>
    <w:rsid w:val="00DB3227"/>
    <w:rsid w:val="00DC190C"/>
    <w:rsid w:val="00DD0125"/>
    <w:rsid w:val="00DD6EA3"/>
    <w:rsid w:val="00DE2FCB"/>
    <w:rsid w:val="00DE43E7"/>
    <w:rsid w:val="00DF4E22"/>
    <w:rsid w:val="00E0746E"/>
    <w:rsid w:val="00E234C2"/>
    <w:rsid w:val="00E35767"/>
    <w:rsid w:val="00E60F08"/>
    <w:rsid w:val="00E66255"/>
    <w:rsid w:val="00E72BB4"/>
    <w:rsid w:val="00E82B73"/>
    <w:rsid w:val="00EC60DB"/>
    <w:rsid w:val="00ED4070"/>
    <w:rsid w:val="00F31DD7"/>
    <w:rsid w:val="00F36366"/>
    <w:rsid w:val="00F57E0D"/>
    <w:rsid w:val="00F72F8F"/>
    <w:rsid w:val="00F82BF9"/>
    <w:rsid w:val="00F90ADF"/>
    <w:rsid w:val="00F97BAB"/>
    <w:rsid w:val="00FA6CB8"/>
    <w:rsid w:val="00FB035B"/>
    <w:rsid w:val="00FB39D0"/>
    <w:rsid w:val="00FF0689"/>
    <w:rsid w:val="00FF06D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339A"/>
  <w14:defaultImageDpi w14:val="32767"/>
  <w15:chartTrackingRefBased/>
  <w15:docId w15:val="{29468736-F245-8544-81A6-F7753A5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F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2E4B35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2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2E4B35"/>
    <w:rPr>
      <w:rFonts w:ascii="Arial" w:eastAsia="Times New Roman" w:hAnsi="Arial" w:cs="Arial"/>
      <w:sz w:val="22"/>
      <w:szCs w:val="20"/>
      <w:lang w:val="en-GB"/>
    </w:rPr>
  </w:style>
  <w:style w:type="paragraph" w:customStyle="1" w:styleId="DeptBullets">
    <w:name w:val="DeptBullets"/>
    <w:basedOn w:val="Normal"/>
    <w:link w:val="DeptBulletsChar"/>
    <w:rsid w:val="002E4B35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DeptBulletsChar">
    <w:name w:val="DeptBullets Char"/>
    <w:basedOn w:val="DefaultParagraphFont"/>
    <w:link w:val="DeptBullets"/>
    <w:rsid w:val="002E4B35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Batteux</dc:creator>
  <cp:keywords/>
  <dc:description/>
  <cp:lastModifiedBy>BATTEUX, Eleonore</cp:lastModifiedBy>
  <cp:revision>4</cp:revision>
  <dcterms:created xsi:type="dcterms:W3CDTF">2019-02-11T15:51:00Z</dcterms:created>
  <dcterms:modified xsi:type="dcterms:W3CDTF">2019-06-20T15:18:00Z</dcterms:modified>
</cp:coreProperties>
</file>