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16369" w14:textId="04065ADC" w:rsidR="00C11707" w:rsidRPr="00C11707" w:rsidRDefault="00C11707" w:rsidP="00C11707">
      <w:pPr>
        <w:pStyle w:val="Tabletitle"/>
        <w:rPr>
          <w:rFonts w:eastAsiaTheme="minorEastAsia"/>
        </w:rPr>
      </w:pPr>
      <w:r w:rsidRPr="00D22F1C">
        <w:rPr>
          <w:rFonts w:eastAsiaTheme="minorEastAsia"/>
          <w:b/>
        </w:rPr>
        <w:t xml:space="preserve">Table </w:t>
      </w:r>
      <w:r w:rsidRPr="00D22F1C">
        <w:rPr>
          <w:b/>
        </w:rPr>
        <w:t>A1</w:t>
      </w:r>
      <w:r w:rsidRPr="00D22F1C">
        <w:rPr>
          <w:rFonts w:eastAsiaTheme="minorEastAsia"/>
        </w:rPr>
        <w:t xml:space="preserve">: Determinants of party membership (multin. </w:t>
      </w:r>
      <w:r w:rsidR="001F2E74">
        <w:rPr>
          <w:rFonts w:eastAsiaTheme="minorEastAsia"/>
        </w:rPr>
        <w:t>probit</w:t>
      </w:r>
      <w:bookmarkStart w:id="0" w:name="_GoBack"/>
      <w:bookmarkEnd w:id="0"/>
      <w:r w:rsidRPr="00D22F1C">
        <w:rPr>
          <w:rFonts w:eastAsiaTheme="minorEastAsia"/>
        </w:rPr>
        <w:t xml:space="preserve"> regressions, </w:t>
      </w:r>
      <w:r w:rsidRPr="00D22F1C">
        <w:t>former</w:t>
      </w:r>
      <w:r w:rsidRPr="00D22F1C">
        <w:rPr>
          <w:rFonts w:eastAsiaTheme="minorEastAsia"/>
        </w:rPr>
        <w:t xml:space="preserve"> member </w:t>
      </w:r>
      <w:r>
        <w:rPr>
          <w:rFonts w:eastAsiaTheme="minorEastAsia"/>
        </w:rPr>
        <w:br/>
        <w:t xml:space="preserve">                  </w:t>
      </w:r>
      <w:r w:rsidRPr="00D22F1C">
        <w:rPr>
          <w:rFonts w:eastAsiaTheme="minorEastAsia"/>
        </w:rPr>
        <w:t>vs. non-member)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14"/>
        <w:gridCol w:w="798"/>
        <w:gridCol w:w="804"/>
        <w:gridCol w:w="802"/>
        <w:gridCol w:w="802"/>
        <w:gridCol w:w="810"/>
        <w:gridCol w:w="804"/>
        <w:gridCol w:w="804"/>
        <w:gridCol w:w="804"/>
        <w:gridCol w:w="798"/>
      </w:tblGrid>
      <w:tr w:rsidR="00C11707" w:rsidRPr="00C11707" w14:paraId="34EB55C1" w14:textId="77777777" w:rsidTr="00C11707"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FB332" w14:textId="77777777" w:rsidR="00C11707" w:rsidRPr="00C11707" w:rsidRDefault="00C11707" w:rsidP="00B62B85">
            <w:pPr>
              <w:pStyle w:val="TCH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0A6F57" w14:textId="77777777" w:rsidR="00C11707" w:rsidRPr="00C11707" w:rsidRDefault="00C11707" w:rsidP="00B62B85">
            <w:pPr>
              <w:pStyle w:val="TCH"/>
              <w:jc w:val="center"/>
              <w:rPr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(M1)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5E1EEB" w14:textId="77777777" w:rsidR="00C11707" w:rsidRPr="00C11707" w:rsidRDefault="00C11707" w:rsidP="00B62B85">
            <w:pPr>
              <w:pStyle w:val="TCH"/>
              <w:jc w:val="center"/>
              <w:rPr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(M2)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D4EDB2" w14:textId="77777777" w:rsidR="00C11707" w:rsidRPr="00C11707" w:rsidRDefault="00C11707" w:rsidP="00B62B85">
            <w:pPr>
              <w:pStyle w:val="TCH"/>
              <w:jc w:val="center"/>
              <w:rPr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(M3)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AF94B7" w14:textId="77777777" w:rsidR="00C11707" w:rsidRPr="00C11707" w:rsidRDefault="00C11707" w:rsidP="00B62B85">
            <w:pPr>
              <w:pStyle w:val="TCH"/>
              <w:jc w:val="center"/>
              <w:rPr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(M4)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E8FC29" w14:textId="77777777" w:rsidR="00C11707" w:rsidRPr="00C11707" w:rsidRDefault="00C11707" w:rsidP="00B62B85">
            <w:pPr>
              <w:pStyle w:val="TCH"/>
              <w:jc w:val="center"/>
              <w:rPr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(M5)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1E75E7" w14:textId="77777777" w:rsidR="00C11707" w:rsidRPr="00C11707" w:rsidRDefault="00C11707" w:rsidP="00B62B85">
            <w:pPr>
              <w:pStyle w:val="TCH"/>
              <w:jc w:val="center"/>
              <w:rPr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(M6)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E03EC" w14:textId="77777777" w:rsidR="00C11707" w:rsidRPr="00C11707" w:rsidRDefault="00C11707" w:rsidP="00B62B85">
            <w:pPr>
              <w:pStyle w:val="TCH"/>
              <w:jc w:val="center"/>
              <w:rPr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(M7)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0948E0" w14:textId="77777777" w:rsidR="00C11707" w:rsidRPr="00C11707" w:rsidRDefault="00C11707" w:rsidP="00B62B85">
            <w:pPr>
              <w:pStyle w:val="TCH"/>
              <w:jc w:val="center"/>
              <w:rPr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(M8)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DB8E8" w14:textId="77777777" w:rsidR="00C11707" w:rsidRPr="00C11707" w:rsidRDefault="00C11707" w:rsidP="00B62B85">
            <w:pPr>
              <w:pStyle w:val="TCH"/>
              <w:jc w:val="center"/>
              <w:rPr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(M9)</w:t>
            </w:r>
          </w:p>
        </w:tc>
      </w:tr>
      <w:tr w:rsidR="00C11707" w:rsidRPr="00C11707" w14:paraId="3D19B4E4" w14:textId="77777777" w:rsidTr="00C11707">
        <w:trPr>
          <w:trHeight w:hRule="exact" w:val="380"/>
        </w:trPr>
        <w:tc>
          <w:tcPr>
            <w:tcW w:w="81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458CCD" w14:textId="77777777" w:rsidR="00C11707" w:rsidRPr="00C11707" w:rsidRDefault="00C11707" w:rsidP="00B62B85">
            <w:pPr>
              <w:pStyle w:val="TT"/>
              <w:contextualSpacing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 xml:space="preserve">Gender </w:t>
            </w:r>
          </w:p>
          <w:p w14:paraId="5E377D72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(ref. female)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46A9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0.48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(0.08)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AC79A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0.49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(0.08)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82C1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0.37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(0.08)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7E8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0.34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(0.08)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0A02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0.48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(0.08)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D6D4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0.42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(0.09)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55C6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0.39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(0.09)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7F7E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0.42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(0.09)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E09C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0.38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(0.09)</w:t>
            </w:r>
          </w:p>
        </w:tc>
      </w:tr>
      <w:tr w:rsidR="00C11707" w:rsidRPr="00C11707" w14:paraId="2FD5B02F" w14:textId="77777777" w:rsidTr="00C11707">
        <w:trPr>
          <w:trHeight w:hRule="exact" w:val="266"/>
        </w:trPr>
        <w:tc>
          <w:tcPr>
            <w:tcW w:w="819" w:type="pct"/>
            <w:tcBorders>
              <w:top w:val="nil"/>
              <w:left w:val="nil"/>
              <w:right w:val="nil"/>
            </w:tcBorders>
            <w:vAlign w:val="center"/>
          </w:tcPr>
          <w:p w14:paraId="1E3D5F01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Age (ref. up to 29)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3726A7A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76B9E3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06A274C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216708B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14:paraId="08C5B86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43F5D0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DE0655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49D140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6916EED7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</w:tr>
      <w:tr w:rsidR="00C11707" w:rsidRPr="00C11707" w14:paraId="6212A066" w14:textId="77777777" w:rsidTr="00C11707">
        <w:trPr>
          <w:trHeight w:hRule="exact" w:val="380"/>
        </w:trPr>
        <w:tc>
          <w:tcPr>
            <w:tcW w:w="819" w:type="pct"/>
            <w:tcBorders>
              <w:left w:val="nil"/>
              <w:bottom w:val="nil"/>
              <w:right w:val="nil"/>
            </w:tcBorders>
            <w:vAlign w:val="center"/>
          </w:tcPr>
          <w:p w14:paraId="33D4BB24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 xml:space="preserve">  30 to 44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031C132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1.46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(0.29)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718303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1.49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(0.29)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25FE6E6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2CDEF7C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14:paraId="00D57A1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8BABA6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1.26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(0.31)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E8DAB4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1.26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(0.31)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BF1A2E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1.27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(0.31)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003EFC7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1.27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(0.31)</w:t>
            </w:r>
          </w:p>
        </w:tc>
      </w:tr>
      <w:tr w:rsidR="00C11707" w:rsidRPr="00C11707" w14:paraId="3D7DC6BC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right w:val="nil"/>
            </w:tcBorders>
            <w:vAlign w:val="center"/>
          </w:tcPr>
          <w:p w14:paraId="7FA053AD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 xml:space="preserve">  45 to 59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</w:tcPr>
          <w:p w14:paraId="44B6FFE5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1.37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(0.29)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3B83CB55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1.40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(0.29)</w:t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</w:tcPr>
          <w:p w14:paraId="4A1C5F3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</w:tcPr>
          <w:p w14:paraId="3D7E5517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</w:tcPr>
          <w:p w14:paraId="32933A75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553671F2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1.11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(0.30)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24BE29C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1.11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(0.30)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2E55A17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1.10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(0.30)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</w:tcPr>
          <w:p w14:paraId="26203AD5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1.12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(0.30)</w:t>
            </w:r>
          </w:p>
        </w:tc>
      </w:tr>
      <w:tr w:rsidR="00C11707" w:rsidRPr="00C11707" w14:paraId="095B6BE4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D3DED78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 xml:space="preserve">  Over 60</w:t>
            </w:r>
          </w:p>
        </w:tc>
        <w:tc>
          <w:tcPr>
            <w:tcW w:w="462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BCBDFE5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2.64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(0.31)</w:t>
            </w:r>
          </w:p>
        </w:tc>
        <w:tc>
          <w:tcPr>
            <w:tcW w:w="465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7594317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2.30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(0.28)</w:t>
            </w:r>
          </w:p>
        </w:tc>
        <w:tc>
          <w:tcPr>
            <w:tcW w:w="464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66F763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D17D46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9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63D6AB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D3481F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2.27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(0.32)</w:t>
            </w:r>
          </w:p>
        </w:tc>
        <w:tc>
          <w:tcPr>
            <w:tcW w:w="465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26BC2F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2.28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(0.32)</w:t>
            </w:r>
          </w:p>
        </w:tc>
        <w:tc>
          <w:tcPr>
            <w:tcW w:w="465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B245C52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1.94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(0.30)</w:t>
            </w:r>
          </w:p>
        </w:tc>
        <w:tc>
          <w:tcPr>
            <w:tcW w:w="462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CF68BB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2.00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(0.30)</w:t>
            </w:r>
          </w:p>
        </w:tc>
      </w:tr>
      <w:tr w:rsidR="00C11707" w:rsidRPr="00C11707" w14:paraId="34403E6F" w14:textId="77777777" w:rsidTr="00C11707">
        <w:trPr>
          <w:trHeight w:hRule="exact" w:val="380"/>
        </w:trPr>
        <w:tc>
          <w:tcPr>
            <w:tcW w:w="819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1346ACF9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Education (ref. up to sec. education)</w:t>
            </w:r>
          </w:p>
        </w:tc>
        <w:tc>
          <w:tcPr>
            <w:tcW w:w="462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966873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0.27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(0.09)</w:t>
            </w:r>
          </w:p>
        </w:tc>
        <w:tc>
          <w:tcPr>
            <w:tcW w:w="465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D5D98F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C191E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F07D6F0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9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ACD849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9654331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0.18</w:t>
            </w:r>
            <w:r w:rsidRPr="00C11707">
              <w:rPr>
                <w:sz w:val="16"/>
                <w:szCs w:val="16"/>
              </w:rPr>
              <w:br/>
              <w:t>(0.10)</w:t>
            </w:r>
          </w:p>
        </w:tc>
        <w:tc>
          <w:tcPr>
            <w:tcW w:w="465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CCF85A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0.13</w:t>
            </w:r>
            <w:r w:rsidRPr="00C11707">
              <w:rPr>
                <w:sz w:val="16"/>
                <w:szCs w:val="16"/>
              </w:rPr>
              <w:br/>
              <w:t>(0.10)</w:t>
            </w:r>
          </w:p>
        </w:tc>
        <w:tc>
          <w:tcPr>
            <w:tcW w:w="465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046D26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2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8035E2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</w:tr>
      <w:tr w:rsidR="00C11707" w:rsidRPr="00C11707" w14:paraId="7B2ABC5B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05C3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Occupat. cat. (ref. blue-col. worker)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0BF1D0BA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6E11C9A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1513202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19C55AB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14:paraId="4335596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B365C2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D53BD2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08CA72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EF4AA01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</w:tr>
      <w:tr w:rsidR="00C11707" w:rsidRPr="00C11707" w14:paraId="2AEC58B9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8EC27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 xml:space="preserve">  Salaried empl.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6CD8646A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0.42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(0.17)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49124F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0F43749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29DC976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14:paraId="0EAA10E2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D56713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0.22</w:t>
            </w:r>
            <w:r w:rsidRPr="00C11707">
              <w:rPr>
                <w:sz w:val="16"/>
                <w:szCs w:val="16"/>
              </w:rPr>
              <w:br/>
              <w:t>(0.18)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843016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0.19</w:t>
            </w:r>
            <w:r w:rsidRPr="00C11707">
              <w:rPr>
                <w:sz w:val="16"/>
                <w:szCs w:val="16"/>
              </w:rPr>
              <w:br/>
              <w:t>(0.18)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D99E13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43623DD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</w:tr>
      <w:tr w:rsidR="00C11707" w:rsidRPr="00C11707" w14:paraId="4C7E0093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47A56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 xml:space="preserve">  Civil Servant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54A619D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0.49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(0.20)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3B57A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169F759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7E700C35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14:paraId="2B914DF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069726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0.24</w:t>
            </w:r>
            <w:r w:rsidRPr="00C11707">
              <w:rPr>
                <w:sz w:val="16"/>
                <w:szCs w:val="16"/>
              </w:rPr>
              <w:br/>
              <w:t>(0.22)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85763B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0.19</w:t>
            </w:r>
            <w:r w:rsidRPr="00C11707">
              <w:rPr>
                <w:sz w:val="16"/>
                <w:szCs w:val="16"/>
              </w:rPr>
              <w:br/>
              <w:t>(0.22)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B992C1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E3D309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</w:tr>
      <w:tr w:rsidR="00C11707" w:rsidRPr="00C11707" w14:paraId="168C6D17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8DA93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 xml:space="preserve">  Self-employed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81604B5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0.91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(0.21)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FBF5C4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2B442FC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71E9447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14:paraId="1CF4C0B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49299A0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0.61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(0.22)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71C8B35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0.57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(0.22)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D15424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139D59D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</w:tr>
      <w:tr w:rsidR="00C11707" w:rsidRPr="00C11707" w14:paraId="2CDACDA9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1D8FC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 xml:space="preserve">  Freelancer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0D2DF5E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0.65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(0.29)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73FFEF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2D24B487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742E695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14:paraId="338D428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D3EB107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0.30</w:t>
            </w:r>
            <w:r w:rsidRPr="00C11707">
              <w:rPr>
                <w:sz w:val="16"/>
                <w:szCs w:val="16"/>
              </w:rPr>
              <w:br/>
              <w:t>(0.30)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91A2DE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0.25</w:t>
            </w:r>
            <w:r w:rsidRPr="00C11707">
              <w:rPr>
                <w:sz w:val="16"/>
                <w:szCs w:val="16"/>
              </w:rPr>
              <w:br/>
              <w:t>(0.30)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C6031B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11600CE1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</w:tr>
      <w:tr w:rsidR="00C11707" w:rsidRPr="00C11707" w14:paraId="32B4B4FE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08F87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Employment stat. (ref. unemployed)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535F24A7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40E091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29806D5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3EEF40E0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14:paraId="7B98B9E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D20954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60CA8C7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EB3B32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0EECEFB5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</w:tr>
      <w:tr w:rsidR="00C11707" w:rsidRPr="00C11707" w14:paraId="025CAE96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03DA1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 xml:space="preserve">  Employed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0D991CA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0.08</w:t>
            </w:r>
            <w:r w:rsidRPr="00C11707">
              <w:rPr>
                <w:sz w:val="16"/>
                <w:szCs w:val="16"/>
              </w:rPr>
              <w:br/>
              <w:t>(0.20)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5ED4AB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3B577D8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2678AA32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14:paraId="7E26126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59E171A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-0.13</w:t>
            </w:r>
            <w:r w:rsidRPr="00C11707">
              <w:rPr>
                <w:sz w:val="16"/>
                <w:szCs w:val="16"/>
              </w:rPr>
              <w:br/>
              <w:t>(0.21)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CE8EDC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-0.16</w:t>
            </w:r>
            <w:r w:rsidRPr="00C11707">
              <w:rPr>
                <w:sz w:val="16"/>
                <w:szCs w:val="16"/>
              </w:rPr>
              <w:br/>
              <w:t>(0.21)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EF6C10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1B57622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</w:tr>
      <w:tr w:rsidR="00C11707" w:rsidRPr="00C11707" w14:paraId="23C40272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right w:val="nil"/>
            </w:tcBorders>
            <w:vAlign w:val="center"/>
          </w:tcPr>
          <w:p w14:paraId="38A26A1D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 xml:space="preserve">  Retired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</w:tcPr>
          <w:p w14:paraId="49CDA82A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0.52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(0.22)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71B924A1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</w:tcPr>
          <w:p w14:paraId="66BF185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</w:tcPr>
          <w:p w14:paraId="4C16ACE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</w:tcPr>
          <w:p w14:paraId="1CF51E0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028E884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-0.53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(0.23)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310FD8E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-0.52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(0.23)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4801C59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</w:tcPr>
          <w:p w14:paraId="07069D0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</w:tr>
      <w:tr w:rsidR="00C11707" w:rsidRPr="00C11707" w14:paraId="2224B669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19E9985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Treiman-prestige</w:t>
            </w:r>
          </w:p>
        </w:tc>
        <w:tc>
          <w:tcPr>
            <w:tcW w:w="462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C744F72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0.01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(0.00)</w:t>
            </w:r>
          </w:p>
        </w:tc>
        <w:tc>
          <w:tcPr>
            <w:tcW w:w="465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51890E0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A7A874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9A4F84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9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8D57FD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195BF2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0.01</w:t>
            </w:r>
            <w:r w:rsidRPr="00C11707">
              <w:rPr>
                <w:sz w:val="16"/>
                <w:szCs w:val="16"/>
              </w:rPr>
              <w:br/>
              <w:t>(0.00)</w:t>
            </w:r>
          </w:p>
        </w:tc>
        <w:tc>
          <w:tcPr>
            <w:tcW w:w="465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8D344F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0.00</w:t>
            </w:r>
            <w:r w:rsidRPr="00C11707">
              <w:rPr>
                <w:sz w:val="16"/>
                <w:szCs w:val="16"/>
              </w:rPr>
              <w:br/>
              <w:t>(0.00)</w:t>
            </w:r>
          </w:p>
        </w:tc>
        <w:tc>
          <w:tcPr>
            <w:tcW w:w="465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C096CA1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2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0993F7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</w:tr>
      <w:tr w:rsidR="00C11707" w:rsidRPr="00C11707" w14:paraId="397F204B" w14:textId="77777777" w:rsidTr="00C11707">
        <w:trPr>
          <w:trHeight w:hRule="exact" w:val="578"/>
        </w:trPr>
        <w:tc>
          <w:tcPr>
            <w:tcW w:w="819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7576AF7C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Subj. social status (ref. max. lower middle class)</w:t>
            </w:r>
          </w:p>
        </w:tc>
        <w:tc>
          <w:tcPr>
            <w:tcW w:w="462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53723FA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F6C1872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0F2931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501FD1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856975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CF8015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157B380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C8E3A5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761441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</w:p>
        </w:tc>
      </w:tr>
      <w:tr w:rsidR="00C11707" w:rsidRPr="00C11707" w14:paraId="234FE96C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right w:val="nil"/>
            </w:tcBorders>
            <w:vAlign w:val="center"/>
          </w:tcPr>
          <w:p w14:paraId="5D06BE94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 xml:space="preserve">  Middle class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</w:tcPr>
          <w:p w14:paraId="66CA0BB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7030E83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0.08</w:t>
            </w:r>
            <w:r w:rsidRPr="00C11707">
              <w:rPr>
                <w:sz w:val="16"/>
                <w:szCs w:val="16"/>
              </w:rPr>
              <w:br/>
              <w:t>(0.11)</w:t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</w:tcPr>
          <w:p w14:paraId="1F49534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</w:tcPr>
          <w:p w14:paraId="5B0DC28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</w:tcPr>
          <w:p w14:paraId="39EDBF0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70C5D8D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711C8885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6EAE3D0A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-0.07</w:t>
            </w:r>
            <w:r w:rsidRPr="00C11707">
              <w:rPr>
                <w:sz w:val="16"/>
                <w:szCs w:val="16"/>
              </w:rPr>
              <w:br/>
              <w:t>(0.11)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</w:tcPr>
          <w:p w14:paraId="2D68AA0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-0.10</w:t>
            </w:r>
            <w:r w:rsidRPr="00C11707">
              <w:rPr>
                <w:sz w:val="16"/>
                <w:szCs w:val="16"/>
              </w:rPr>
              <w:br/>
              <w:t>(0.11)</w:t>
            </w:r>
          </w:p>
        </w:tc>
      </w:tr>
      <w:tr w:rsidR="00C11707" w:rsidRPr="00C11707" w14:paraId="4D81B2F2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A9905" w14:textId="77777777" w:rsidR="00C11707" w:rsidRPr="00C11707" w:rsidRDefault="00C11707" w:rsidP="00B62B85">
            <w:pPr>
              <w:pStyle w:val="TT"/>
              <w:contextualSpacing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 xml:space="preserve">  At least upper   </w:t>
            </w:r>
          </w:p>
          <w:p w14:paraId="508D24EA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 xml:space="preserve">  middle class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E058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670F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0.38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(0.12)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9AA85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F9FE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58CB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38292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50930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E2A5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0.10</w:t>
            </w:r>
            <w:r w:rsidRPr="00C11707">
              <w:rPr>
                <w:sz w:val="16"/>
                <w:szCs w:val="16"/>
              </w:rPr>
              <w:br/>
              <w:t>(0.13)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C06E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0.03</w:t>
            </w:r>
            <w:r w:rsidRPr="00C11707">
              <w:rPr>
                <w:sz w:val="16"/>
                <w:szCs w:val="16"/>
              </w:rPr>
              <w:br/>
              <w:t>(0.13)</w:t>
            </w:r>
          </w:p>
        </w:tc>
      </w:tr>
      <w:tr w:rsidR="00C11707" w:rsidRPr="00C11707" w14:paraId="1D66B5F9" w14:textId="77777777" w:rsidTr="00C11707">
        <w:trPr>
          <w:trHeight w:hRule="exact" w:val="380"/>
        </w:trPr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BABE64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General pol. interest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6B8F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22C1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1C10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0.33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(0.07)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6E125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0.28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(0.07)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7F360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086C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0.22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(0.07)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FAFD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0.18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(0.07)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A081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0.27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(0.07)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49EA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0.21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(0.07)</w:t>
            </w:r>
          </w:p>
        </w:tc>
      </w:tr>
      <w:tr w:rsidR="00C11707" w:rsidRPr="00C11707" w14:paraId="32E9BA3C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FD45F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Local pol. interest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5F62FBDA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364D500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7E4C560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0.13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(0.05)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518D8CF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0.12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(0.05)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14:paraId="3E6660C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89CC70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0.13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18D467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0.12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3D5301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0.12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(0.05)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4A32C5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0.11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(0.05)</w:t>
            </w:r>
          </w:p>
        </w:tc>
      </w:tr>
      <w:tr w:rsidR="00C11707" w:rsidRPr="00C11707" w14:paraId="108A012F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A7087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Regional pol. Interest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EDBD7F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2F9E2C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577E768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-0.03</w:t>
            </w:r>
            <w:r w:rsidRPr="00C11707">
              <w:rPr>
                <w:sz w:val="16"/>
                <w:szCs w:val="16"/>
              </w:rPr>
              <w:br/>
              <w:t>(0.06)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2995679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-0.04</w:t>
            </w:r>
            <w:r w:rsidRPr="00C11707">
              <w:rPr>
                <w:sz w:val="16"/>
                <w:szCs w:val="16"/>
              </w:rPr>
              <w:br/>
              <w:t>(0.06)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14:paraId="63B3EA30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82C2795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-0.04</w:t>
            </w:r>
            <w:r w:rsidRPr="00C11707">
              <w:rPr>
                <w:sz w:val="16"/>
                <w:szCs w:val="16"/>
              </w:rPr>
              <w:br/>
              <w:t>(0.06)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0F7211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-0.05</w:t>
            </w:r>
            <w:r w:rsidRPr="00C11707">
              <w:rPr>
                <w:sz w:val="16"/>
                <w:szCs w:val="16"/>
              </w:rPr>
              <w:br/>
              <w:t>(0.06)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3BC943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-0.05</w:t>
            </w:r>
            <w:r w:rsidRPr="00C11707">
              <w:rPr>
                <w:sz w:val="16"/>
                <w:szCs w:val="16"/>
              </w:rPr>
              <w:br/>
              <w:t>(0.06)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48FED2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-0.05</w:t>
            </w:r>
            <w:r w:rsidRPr="00C11707">
              <w:rPr>
                <w:sz w:val="16"/>
                <w:szCs w:val="16"/>
              </w:rPr>
              <w:br/>
              <w:t>(0.06)</w:t>
            </w:r>
          </w:p>
        </w:tc>
      </w:tr>
      <w:tr w:rsidR="00C11707" w:rsidRPr="00C11707" w14:paraId="04FB45F4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C1FE6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National pol. Interest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E407A6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A4453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5B011930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0.22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(0.07)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54303315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0.20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(0.07)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14:paraId="58249501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E75222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0.17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EACF7E2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0.14</w:t>
            </w:r>
            <w:r w:rsidRPr="00C11707">
              <w:rPr>
                <w:sz w:val="16"/>
                <w:szCs w:val="16"/>
              </w:rPr>
              <w:br/>
              <w:t>(0.07)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CAE634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0.17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(0.07)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19239441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0.14</w:t>
            </w:r>
            <w:r w:rsidRPr="00C11707">
              <w:rPr>
                <w:sz w:val="16"/>
                <w:szCs w:val="16"/>
              </w:rPr>
              <w:br/>
              <w:t>(0.07)</w:t>
            </w:r>
          </w:p>
        </w:tc>
      </w:tr>
      <w:tr w:rsidR="00C11707" w:rsidRPr="00C11707" w14:paraId="12D029DC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747EE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Party attachment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04F4855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C96BAA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6D84317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0.19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(0.08)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036BCD40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0.19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(0.08)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14:paraId="59ADCA51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B377CD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0.19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ABDF24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0.18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404F02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0.20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(0.09)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4C7DD7E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0.19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(0.09)</w:t>
            </w:r>
          </w:p>
        </w:tc>
      </w:tr>
      <w:tr w:rsidR="00C11707" w:rsidRPr="00C11707" w14:paraId="24899B37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right w:val="nil"/>
            </w:tcBorders>
            <w:vAlign w:val="center"/>
          </w:tcPr>
          <w:p w14:paraId="56E2A334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Internal efficacy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</w:tcPr>
          <w:p w14:paraId="4F9BEA4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2B770D85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</w:tcPr>
          <w:p w14:paraId="114E607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</w:tcPr>
          <w:p w14:paraId="06D8659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0.13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</w:tcPr>
          <w:p w14:paraId="36BE24F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379C68FA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06740B7A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0.14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(0.05)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2CE8F3D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</w:tcPr>
          <w:p w14:paraId="7FDEE1C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0.18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(0.05)</w:t>
            </w:r>
          </w:p>
        </w:tc>
      </w:tr>
      <w:tr w:rsidR="00C11707" w:rsidRPr="00C11707" w14:paraId="702BF05D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45EBA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  <w:lang w:eastAsia="de-DE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External efficacy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2E5E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BA590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B77E0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2C23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0.01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26D5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A3C0A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E086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0.03</w:t>
            </w:r>
            <w:r w:rsidRPr="00C11707">
              <w:rPr>
                <w:sz w:val="16"/>
                <w:szCs w:val="16"/>
              </w:rPr>
              <w:br/>
              <w:t>(0.05)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516C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8D04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0.04</w:t>
            </w:r>
            <w:r w:rsidRPr="00C11707">
              <w:rPr>
                <w:sz w:val="16"/>
                <w:szCs w:val="16"/>
              </w:rPr>
              <w:br/>
              <w:t>(0.05)</w:t>
            </w:r>
          </w:p>
        </w:tc>
      </w:tr>
      <w:tr w:rsidR="00C11707" w:rsidRPr="00C11707" w14:paraId="7EE7017C" w14:textId="77777777" w:rsidTr="00C11707">
        <w:trPr>
          <w:trHeight w:hRule="exact" w:val="380"/>
        </w:trPr>
        <w:tc>
          <w:tcPr>
            <w:tcW w:w="81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B10A2F" w14:textId="77777777" w:rsidR="00C11707" w:rsidRPr="00C11707" w:rsidRDefault="00C11707" w:rsidP="00B62B85">
            <w:pPr>
              <w:pStyle w:val="TT"/>
              <w:rPr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Sel., outcome inc.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0843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D1555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8588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97DE1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EC8C0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0.01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84772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0.01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994C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0.01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DE1F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0.01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1F595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0.02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</w:tr>
      <w:tr w:rsidR="00C11707" w:rsidRPr="00C11707" w14:paraId="05E82833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right w:val="nil"/>
            </w:tcBorders>
            <w:vAlign w:val="center"/>
          </w:tcPr>
          <w:p w14:paraId="7F30E043" w14:textId="77777777" w:rsidR="00C11707" w:rsidRPr="00C11707" w:rsidRDefault="00C11707" w:rsidP="00B62B85">
            <w:pPr>
              <w:pStyle w:val="TT"/>
              <w:rPr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Sel., process inc.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1118720A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1DB9B4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10E20FF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4B8AA6A2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14:paraId="2127680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0.20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(0.06)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FCE797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0.20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F17529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0.18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CC7CB0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0.19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(0.06)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07C4045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0.17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(0.06)</w:t>
            </w:r>
          </w:p>
        </w:tc>
      </w:tr>
      <w:tr w:rsidR="00C11707" w:rsidRPr="00C11707" w14:paraId="4557E252" w14:textId="77777777" w:rsidTr="00C11707">
        <w:trPr>
          <w:trHeight w:hRule="exact" w:val="380"/>
        </w:trPr>
        <w:tc>
          <w:tcPr>
            <w:tcW w:w="819" w:type="pct"/>
            <w:tcBorders>
              <w:left w:val="nil"/>
              <w:bottom w:val="nil"/>
              <w:right w:val="nil"/>
            </w:tcBorders>
            <w:vAlign w:val="center"/>
          </w:tcPr>
          <w:p w14:paraId="365AD9C9" w14:textId="77777777" w:rsidR="00C11707" w:rsidRPr="00C11707" w:rsidRDefault="00C11707" w:rsidP="00B62B85">
            <w:pPr>
              <w:pStyle w:val="TT"/>
              <w:rPr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Collect. pol. inc.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5661C2C5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F79D5B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000962C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031FC2F7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14:paraId="74874091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-0.08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C4E31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-0.10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347FCA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-0.11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BB3BD8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-0.09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697B96D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-0.11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</w:tr>
      <w:tr w:rsidR="00C11707" w:rsidRPr="00C11707" w14:paraId="3A9DB444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2408D" w14:textId="77777777" w:rsidR="00C11707" w:rsidRPr="00C11707" w:rsidRDefault="00C11707" w:rsidP="00B62B85">
            <w:pPr>
              <w:pStyle w:val="TT"/>
              <w:rPr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Normative inc.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0C3361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BFFEF0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24816FA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14A5359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14:paraId="2106504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-0.11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428CE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-0.09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62392D1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-0.09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DC4382A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-0.10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BAB6DB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-0.10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</w:tr>
      <w:tr w:rsidR="00C11707" w:rsidRPr="00C11707" w14:paraId="35884FE1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96EEB" w14:textId="77777777" w:rsidR="00C11707" w:rsidRPr="00C11707" w:rsidRDefault="00C11707" w:rsidP="00B62B85">
            <w:pPr>
              <w:pStyle w:val="TT"/>
              <w:rPr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Ideological inc.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1DC0FB8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F7E087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71178D5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2F95B00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14:paraId="1C8EAE3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0.14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8BE849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0.10</w:t>
            </w:r>
            <w:r w:rsidRPr="00C11707">
              <w:rPr>
                <w:sz w:val="16"/>
                <w:szCs w:val="16"/>
              </w:rPr>
              <w:br/>
              <w:t>(0.05)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FF1846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0.09</w:t>
            </w:r>
            <w:r w:rsidRPr="00C11707">
              <w:rPr>
                <w:sz w:val="16"/>
                <w:szCs w:val="16"/>
              </w:rPr>
              <w:br/>
              <w:t>(0.05)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F720ED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0.10</w:t>
            </w:r>
            <w:r w:rsidRPr="00C11707">
              <w:rPr>
                <w:sz w:val="16"/>
                <w:szCs w:val="16"/>
              </w:rPr>
              <w:br/>
              <w:t>(0.05)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5AFD4E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0.09</w:t>
            </w:r>
            <w:r w:rsidRPr="00C11707">
              <w:rPr>
                <w:sz w:val="16"/>
                <w:szCs w:val="16"/>
              </w:rPr>
              <w:br/>
              <w:t>(0.05)</w:t>
            </w:r>
          </w:p>
        </w:tc>
      </w:tr>
    </w:tbl>
    <w:p w14:paraId="496D4507" w14:textId="77777777" w:rsidR="00C11707" w:rsidRDefault="00C11707" w:rsidP="00C11707">
      <w:pPr>
        <w:pStyle w:val="Tabletitle"/>
      </w:pPr>
      <w:r w:rsidRPr="00C11707">
        <w:rPr>
          <w:b/>
        </w:rPr>
        <w:lastRenderedPageBreak/>
        <w:t>Table A1</w:t>
      </w:r>
      <w:r>
        <w:t xml:space="preserve"> (continued)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15"/>
        <w:gridCol w:w="10"/>
        <w:gridCol w:w="788"/>
        <w:gridCol w:w="12"/>
        <w:gridCol w:w="791"/>
        <w:gridCol w:w="10"/>
        <w:gridCol w:w="791"/>
        <w:gridCol w:w="9"/>
        <w:gridCol w:w="793"/>
        <w:gridCol w:w="9"/>
        <w:gridCol w:w="802"/>
        <w:gridCol w:w="804"/>
        <w:gridCol w:w="804"/>
        <w:gridCol w:w="804"/>
        <w:gridCol w:w="798"/>
      </w:tblGrid>
      <w:tr w:rsidR="00C11707" w:rsidRPr="00C11707" w14:paraId="18F0095A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right w:val="nil"/>
            </w:tcBorders>
            <w:vAlign w:val="center"/>
          </w:tcPr>
          <w:p w14:paraId="7FFDF2A8" w14:textId="77777777" w:rsidR="00C11707" w:rsidRPr="00C11707" w:rsidRDefault="00C11707" w:rsidP="00B62B85">
            <w:pPr>
              <w:pStyle w:val="TT"/>
              <w:rPr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Altruistic inc.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right w:val="nil"/>
            </w:tcBorders>
          </w:tcPr>
          <w:p w14:paraId="4C53246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right w:val="nil"/>
            </w:tcBorders>
          </w:tcPr>
          <w:p w14:paraId="2CA913C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right w:val="nil"/>
            </w:tcBorders>
          </w:tcPr>
          <w:p w14:paraId="6D68C39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right w:val="nil"/>
            </w:tcBorders>
          </w:tcPr>
          <w:p w14:paraId="67251D5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</w:tcPr>
          <w:p w14:paraId="15E3CBE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-0.04</w:t>
            </w:r>
            <w:r w:rsidRPr="00C11707">
              <w:rPr>
                <w:sz w:val="16"/>
                <w:szCs w:val="16"/>
              </w:rPr>
              <w:br/>
              <w:t>(0.03)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5F123E5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-0.03</w:t>
            </w:r>
            <w:r w:rsidRPr="00C11707">
              <w:rPr>
                <w:sz w:val="16"/>
                <w:szCs w:val="16"/>
              </w:rPr>
              <w:br/>
              <w:t>(0.03)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59EDD51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-0.04</w:t>
            </w:r>
            <w:r w:rsidRPr="00C11707">
              <w:rPr>
                <w:sz w:val="16"/>
                <w:szCs w:val="16"/>
              </w:rPr>
              <w:br/>
              <w:t>(0.03)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14148C27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-0.04</w:t>
            </w:r>
            <w:r w:rsidRPr="00C11707">
              <w:rPr>
                <w:sz w:val="16"/>
                <w:szCs w:val="16"/>
              </w:rPr>
              <w:br/>
              <w:t>(0.03)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</w:tcPr>
          <w:p w14:paraId="735181D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-0.05</w:t>
            </w:r>
            <w:r w:rsidRPr="00C11707">
              <w:rPr>
                <w:sz w:val="16"/>
                <w:szCs w:val="16"/>
              </w:rPr>
              <w:br/>
              <w:t>(0.03)</w:t>
            </w:r>
          </w:p>
        </w:tc>
      </w:tr>
      <w:tr w:rsidR="00C11707" w:rsidRPr="00C11707" w14:paraId="3124A71D" w14:textId="77777777" w:rsidTr="00C11707">
        <w:trPr>
          <w:trHeight w:hRule="exact" w:val="380"/>
        </w:trPr>
        <w:tc>
          <w:tcPr>
            <w:tcW w:w="819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BA38428" w14:textId="77777777" w:rsidR="00C11707" w:rsidRPr="00C11707" w:rsidRDefault="00C11707" w:rsidP="00B62B85">
            <w:pPr>
              <w:pStyle w:val="TT"/>
              <w:rPr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Expressive inc.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B11D0CA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583C28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ACB8E0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E13ED6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D880407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0.00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5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60F586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-0.03</w:t>
            </w:r>
            <w:r w:rsidRPr="00C11707">
              <w:rPr>
                <w:sz w:val="16"/>
                <w:szCs w:val="16"/>
              </w:rPr>
              <w:br/>
              <w:t>(0.05)</w:t>
            </w:r>
          </w:p>
        </w:tc>
        <w:tc>
          <w:tcPr>
            <w:tcW w:w="465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5C076A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-0.03</w:t>
            </w:r>
            <w:r w:rsidRPr="00C11707">
              <w:rPr>
                <w:sz w:val="16"/>
                <w:szCs w:val="16"/>
              </w:rPr>
              <w:br/>
              <w:t>(0.05)</w:t>
            </w:r>
          </w:p>
        </w:tc>
        <w:tc>
          <w:tcPr>
            <w:tcW w:w="465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941CAA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-0.03</w:t>
            </w:r>
            <w:r w:rsidRPr="00C11707">
              <w:rPr>
                <w:sz w:val="16"/>
                <w:szCs w:val="16"/>
              </w:rPr>
              <w:br/>
              <w:t>(0.05)</w:t>
            </w:r>
          </w:p>
        </w:tc>
        <w:tc>
          <w:tcPr>
            <w:tcW w:w="462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41C6A3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-0.03</w:t>
            </w:r>
            <w:r w:rsidRPr="00C11707">
              <w:rPr>
                <w:sz w:val="16"/>
                <w:szCs w:val="16"/>
              </w:rPr>
              <w:br/>
              <w:t>(0.05)</w:t>
            </w:r>
          </w:p>
        </w:tc>
      </w:tr>
      <w:tr w:rsidR="00C11707" w:rsidRPr="00C11707" w14:paraId="630BA30A" w14:textId="77777777" w:rsidTr="00C11707">
        <w:trPr>
          <w:trHeight w:hRule="exact" w:val="380"/>
        </w:trPr>
        <w:tc>
          <w:tcPr>
            <w:tcW w:w="825" w:type="pct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662BCE29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</w:rPr>
              <w:t>Opportunity costs</w:t>
            </w:r>
          </w:p>
        </w:tc>
        <w:tc>
          <w:tcPr>
            <w:tcW w:w="463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990F7C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97F457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3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297F550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AAAE22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8B358E0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-0.01</w:t>
            </w:r>
            <w:r w:rsidRPr="00C11707">
              <w:rPr>
                <w:sz w:val="16"/>
                <w:szCs w:val="16"/>
              </w:rPr>
              <w:br/>
              <w:t>(0.03)</w:t>
            </w:r>
          </w:p>
        </w:tc>
        <w:tc>
          <w:tcPr>
            <w:tcW w:w="465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365474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0.01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5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F6BD6E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0.02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5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71FC4D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0.00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2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8CF480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0.01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</w:tr>
      <w:tr w:rsidR="00C11707" w:rsidRPr="00C11707" w14:paraId="5931F12F" w14:textId="77777777" w:rsidTr="00C11707">
        <w:trPr>
          <w:trHeight w:hRule="exact" w:val="380"/>
        </w:trPr>
        <w:tc>
          <w:tcPr>
            <w:tcW w:w="825" w:type="pct"/>
            <w:gridSpan w:val="2"/>
            <w:tcBorders>
              <w:left w:val="nil"/>
              <w:right w:val="nil"/>
            </w:tcBorders>
            <w:vAlign w:val="center"/>
          </w:tcPr>
          <w:p w14:paraId="507A96B1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</w:rPr>
              <w:t>Disutility of labour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right w:val="nil"/>
            </w:tcBorders>
          </w:tcPr>
          <w:p w14:paraId="09F3D8E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right w:val="nil"/>
            </w:tcBorders>
          </w:tcPr>
          <w:p w14:paraId="6AD4A5C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right w:val="nil"/>
            </w:tcBorders>
          </w:tcPr>
          <w:p w14:paraId="7AE996CA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right w:val="nil"/>
            </w:tcBorders>
          </w:tcPr>
          <w:p w14:paraId="6E4AC42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</w:tcPr>
          <w:p w14:paraId="4555223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0.02</w:t>
            </w:r>
            <w:r w:rsidRPr="00C11707">
              <w:rPr>
                <w:sz w:val="16"/>
                <w:szCs w:val="16"/>
              </w:rPr>
              <w:br/>
              <w:t>(0.03)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6E0E0AB7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0.07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2BBE08EA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0.07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14:paraId="3468CB5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0.09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(0.03)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</w:tcPr>
          <w:p w14:paraId="334E2D70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0.09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</w:tr>
      <w:tr w:rsidR="00C11707" w:rsidRPr="00C11707" w14:paraId="269AD330" w14:textId="77777777" w:rsidTr="00C11707">
        <w:trPr>
          <w:trHeight w:hRule="exact" w:val="380"/>
        </w:trPr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FE8D8F" w14:textId="77777777" w:rsidR="00C11707" w:rsidRPr="00C11707" w:rsidRDefault="00C11707" w:rsidP="00B62B85">
            <w:pPr>
              <w:pStyle w:val="TT"/>
              <w:rPr>
                <w:rFonts w:eastAsiaTheme="minorEastAsia"/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</w:rPr>
              <w:t>Financial costs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99FF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A615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4BFD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14DF0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br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7C30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-0.13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2EC3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-0.11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DDF8A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-0.10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582E2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-0.13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AD21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-0.12</w:t>
            </w:r>
            <w:r w:rsidRPr="00C11707">
              <w:rPr>
                <w:sz w:val="16"/>
                <w:szCs w:val="16"/>
                <w:vertAlign w:val="superscript"/>
              </w:rPr>
              <w:t>**</w:t>
            </w:r>
            <w:r w:rsidRPr="00C11707">
              <w:rPr>
                <w:sz w:val="16"/>
                <w:szCs w:val="16"/>
              </w:rPr>
              <w:br/>
              <w:t>(0.04)</w:t>
            </w:r>
          </w:p>
        </w:tc>
      </w:tr>
      <w:tr w:rsidR="00C11707" w:rsidRPr="00C11707" w14:paraId="7ECBC505" w14:textId="77777777" w:rsidTr="00C11707">
        <w:trPr>
          <w:trHeight w:hRule="exact" w:val="380"/>
        </w:trPr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4A4A4" w14:textId="77777777" w:rsidR="00C11707" w:rsidRPr="00C11707" w:rsidRDefault="00C11707" w:rsidP="00B62B85">
            <w:pPr>
              <w:pStyle w:val="TT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Constant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CF700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-3.03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(0.38)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CA98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-2.23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(0.30)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02A2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-2.82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(0.23)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E2E61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-2.97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(0.25)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5FDC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-0.72</w:t>
            </w:r>
            <w:r w:rsidRPr="00C11707">
              <w:rPr>
                <w:sz w:val="16"/>
                <w:szCs w:val="16"/>
                <w:vertAlign w:val="superscript"/>
              </w:rPr>
              <w:t>*</w:t>
            </w:r>
            <w:r w:rsidRPr="00C11707">
              <w:rPr>
                <w:sz w:val="16"/>
                <w:szCs w:val="16"/>
              </w:rPr>
              <w:br/>
              <w:t>(0.35)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69502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-4.53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(0.56)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F7187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-4.65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(0.57)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30EF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-4.16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(0.51)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34D5E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-4.38</w:t>
            </w:r>
            <w:r w:rsidRPr="00C11707">
              <w:rPr>
                <w:sz w:val="16"/>
                <w:szCs w:val="16"/>
                <w:vertAlign w:val="superscript"/>
              </w:rPr>
              <w:t>***</w:t>
            </w:r>
            <w:r w:rsidRPr="00C11707">
              <w:rPr>
                <w:sz w:val="16"/>
                <w:szCs w:val="16"/>
              </w:rPr>
              <w:br/>
              <w:t>(0.52)</w:t>
            </w:r>
          </w:p>
        </w:tc>
      </w:tr>
      <w:tr w:rsidR="00C11707" w:rsidRPr="00C11707" w14:paraId="53CB773D" w14:textId="77777777" w:rsidTr="00C11707"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5241A8" w14:textId="77777777" w:rsidR="00C11707" w:rsidRPr="00C11707" w:rsidRDefault="00C11707" w:rsidP="00B62B85">
            <w:pPr>
              <w:pStyle w:val="TT"/>
              <w:rPr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Adj. Count R²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ADB926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color w:val="000000"/>
                <w:sz w:val="16"/>
                <w:szCs w:val="16"/>
              </w:rPr>
              <w:t>0.1813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A4CEF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color w:val="000000"/>
                <w:sz w:val="16"/>
                <w:szCs w:val="16"/>
              </w:rPr>
              <w:t>0.1638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A4530F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color w:val="000000"/>
                <w:sz w:val="16"/>
                <w:szCs w:val="16"/>
              </w:rPr>
              <w:t>0.3102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136048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color w:val="000000"/>
                <w:sz w:val="16"/>
                <w:szCs w:val="16"/>
              </w:rPr>
              <w:t>0.3429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1917C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color w:val="000000"/>
                <w:sz w:val="16"/>
                <w:szCs w:val="16"/>
              </w:rPr>
              <w:t>0.2262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17080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color w:val="000000"/>
                <w:sz w:val="16"/>
                <w:szCs w:val="16"/>
              </w:rPr>
              <w:t>0.4064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9BE76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0.4070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96C14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0.3959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84194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0.3959</w:t>
            </w:r>
          </w:p>
        </w:tc>
      </w:tr>
      <w:tr w:rsidR="00C11707" w:rsidRPr="00C11707" w14:paraId="1053CB48" w14:textId="77777777" w:rsidTr="00C11707"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AA37F3" w14:textId="77777777" w:rsidR="00C11707" w:rsidRPr="00C11707" w:rsidRDefault="00C11707" w:rsidP="00B62B85">
            <w:pPr>
              <w:pStyle w:val="TT"/>
              <w:rPr>
                <w:sz w:val="16"/>
                <w:szCs w:val="16"/>
              </w:rPr>
            </w:pPr>
            <w:r w:rsidRPr="00C11707">
              <w:rPr>
                <w:rFonts w:eastAsiaTheme="minorEastAsia"/>
                <w:sz w:val="16"/>
                <w:szCs w:val="16"/>
                <w:lang w:eastAsia="de-DE"/>
              </w:rPr>
              <w:t>N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1487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2,612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B68367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2,612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DBF5C3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2,612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01EE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2,612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EF87D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2,612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6F8217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2,612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DE8C69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2,612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BD931B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2,612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C12921" w14:textId="77777777" w:rsidR="00C11707" w:rsidRPr="00C11707" w:rsidRDefault="00C11707" w:rsidP="00B62B85">
            <w:pPr>
              <w:pStyle w:val="TT"/>
              <w:jc w:val="center"/>
              <w:rPr>
                <w:sz w:val="16"/>
                <w:szCs w:val="16"/>
              </w:rPr>
            </w:pPr>
            <w:r w:rsidRPr="00C11707">
              <w:rPr>
                <w:sz w:val="16"/>
                <w:szCs w:val="16"/>
              </w:rPr>
              <w:t>2,612</w:t>
            </w:r>
          </w:p>
        </w:tc>
      </w:tr>
    </w:tbl>
    <w:p w14:paraId="79AA3908" w14:textId="77777777" w:rsidR="00C11707" w:rsidRPr="00C11707" w:rsidRDefault="00C11707" w:rsidP="00C11707">
      <w:pPr>
        <w:pStyle w:val="CPSO"/>
        <w:rPr>
          <w:sz w:val="16"/>
          <w:szCs w:val="16"/>
        </w:rPr>
      </w:pPr>
      <w:r w:rsidRPr="00C11707">
        <w:rPr>
          <w:sz w:val="16"/>
          <w:szCs w:val="16"/>
        </w:rPr>
        <w:t>Exponentiated coefficients; Standard errors in parentheses; * p &lt; 0.05, ** p &lt; 0.01, *** p &lt; 0.001</w:t>
      </w:r>
    </w:p>
    <w:p w14:paraId="125AEABC" w14:textId="77777777" w:rsidR="00C11707" w:rsidRPr="00C11707" w:rsidRDefault="00C11707" w:rsidP="00C1170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44EBE778" w14:textId="77777777" w:rsidR="00C11707" w:rsidRPr="00D22F1C" w:rsidRDefault="00C11707" w:rsidP="00C11707">
      <w:pPr>
        <w:pStyle w:val="H1"/>
        <w:rPr>
          <w:sz w:val="16"/>
          <w:szCs w:val="16"/>
        </w:rPr>
      </w:pPr>
    </w:p>
    <w:p w14:paraId="291BB0C6" w14:textId="77777777" w:rsidR="007427AA" w:rsidRPr="00C11707" w:rsidRDefault="007427AA" w:rsidP="00C11707"/>
    <w:sectPr w:rsidR="007427AA" w:rsidRPr="00C1170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BB61A" w14:textId="77777777" w:rsidR="004A77F8" w:rsidRPr="00B4709C" w:rsidRDefault="004A77F8" w:rsidP="00B4709C">
      <w:pPr>
        <w:pStyle w:val="Fuzeile"/>
      </w:pPr>
    </w:p>
  </w:endnote>
  <w:endnote w:type="continuationSeparator" w:id="0">
    <w:p w14:paraId="016E20DE" w14:textId="77777777" w:rsidR="004A77F8" w:rsidRDefault="004A77F8" w:rsidP="00AF2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1F240" w14:textId="77777777" w:rsidR="00FB2167" w:rsidRDefault="004A77F8">
    <w:pPr>
      <w:pStyle w:val="Fuzeile"/>
      <w:jc w:val="right"/>
    </w:pPr>
  </w:p>
  <w:p w14:paraId="3B7770E5" w14:textId="77777777" w:rsidR="00FB2167" w:rsidRDefault="004A77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4C35B" w14:textId="77777777" w:rsidR="004A77F8" w:rsidRDefault="004A77F8" w:rsidP="00AF2C92">
      <w:r>
        <w:separator/>
      </w:r>
    </w:p>
  </w:footnote>
  <w:footnote w:type="continuationSeparator" w:id="0">
    <w:p w14:paraId="7CB25765" w14:textId="77777777" w:rsidR="004A77F8" w:rsidRDefault="004A77F8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E2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57B9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2C99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34A51"/>
    <w:rsid w:val="00140727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2E74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211DD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86C"/>
    <w:rsid w:val="00316FE0"/>
    <w:rsid w:val="003204D2"/>
    <w:rsid w:val="003246D9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87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0C6"/>
    <w:rsid w:val="00493347"/>
    <w:rsid w:val="00496092"/>
    <w:rsid w:val="004A08DB"/>
    <w:rsid w:val="004A25D0"/>
    <w:rsid w:val="004A37E8"/>
    <w:rsid w:val="004A7549"/>
    <w:rsid w:val="004A77F8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28E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1F54"/>
    <w:rsid w:val="005A3020"/>
    <w:rsid w:val="005B134E"/>
    <w:rsid w:val="005B2039"/>
    <w:rsid w:val="005B344F"/>
    <w:rsid w:val="005B3E5D"/>
    <w:rsid w:val="005B3FBA"/>
    <w:rsid w:val="005B4A1D"/>
    <w:rsid w:val="005B674D"/>
    <w:rsid w:val="005C056D"/>
    <w:rsid w:val="005C0CBE"/>
    <w:rsid w:val="005C1F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0569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6FDD"/>
    <w:rsid w:val="006D7002"/>
    <w:rsid w:val="006E1B3C"/>
    <w:rsid w:val="006E23FB"/>
    <w:rsid w:val="006E325A"/>
    <w:rsid w:val="006E33EC"/>
    <w:rsid w:val="006E3802"/>
    <w:rsid w:val="006E697F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090B"/>
    <w:rsid w:val="007427AA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14D5"/>
    <w:rsid w:val="008E387B"/>
    <w:rsid w:val="008E6087"/>
    <w:rsid w:val="008E758D"/>
    <w:rsid w:val="008F10A7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7D7"/>
    <w:rsid w:val="00930EB9"/>
    <w:rsid w:val="00933DC7"/>
    <w:rsid w:val="00936F72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A15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442D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15C3F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4709C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BF6525"/>
    <w:rsid w:val="00C00EDB"/>
    <w:rsid w:val="00C02863"/>
    <w:rsid w:val="00C0383A"/>
    <w:rsid w:val="00C067FF"/>
    <w:rsid w:val="00C11707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271C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752E2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47F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6679B"/>
    <w:rsid w:val="00D71F99"/>
    <w:rsid w:val="00D73CA4"/>
    <w:rsid w:val="00D73D71"/>
    <w:rsid w:val="00D74396"/>
    <w:rsid w:val="00D76478"/>
    <w:rsid w:val="00D80284"/>
    <w:rsid w:val="00D81F71"/>
    <w:rsid w:val="00D8642D"/>
    <w:rsid w:val="00D90A5E"/>
    <w:rsid w:val="00D91A68"/>
    <w:rsid w:val="00D95A68"/>
    <w:rsid w:val="00DA0E73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259B0"/>
    <w:rsid w:val="00E30331"/>
    <w:rsid w:val="00E30BB8"/>
    <w:rsid w:val="00E31F9C"/>
    <w:rsid w:val="00E40488"/>
    <w:rsid w:val="00E4685C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39A0"/>
    <w:rsid w:val="00E97E4E"/>
    <w:rsid w:val="00EA1B5D"/>
    <w:rsid w:val="00EA1CC2"/>
    <w:rsid w:val="00EA2D76"/>
    <w:rsid w:val="00EA4644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B094A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0BDDA"/>
  <w14:defaultImageDpi w14:val="330"/>
  <w15:docId w15:val="{DED8017C-3C24-4BDB-ABAC-BDFB6C10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11707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Paragraph"/>
    <w:link w:val="berschrift1Zchn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  <w:lang w:val="en-GB" w:eastAsia="en-GB"/>
    </w:rPr>
  </w:style>
  <w:style w:type="paragraph" w:styleId="berschrift2">
    <w:name w:val="heading 2"/>
    <w:basedOn w:val="Standard"/>
    <w:next w:val="Paragraph"/>
    <w:link w:val="berschrift2Zchn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  <w:lang w:val="en-GB" w:eastAsia="en-GB"/>
    </w:rPr>
  </w:style>
  <w:style w:type="paragraph" w:styleId="berschrift3">
    <w:name w:val="heading 3"/>
    <w:basedOn w:val="Standard"/>
    <w:next w:val="Paragraph"/>
    <w:link w:val="berschrift3Zchn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  <w:lang w:val="en-GB" w:eastAsia="en-GB"/>
    </w:rPr>
  </w:style>
  <w:style w:type="paragraph" w:styleId="berschrift4">
    <w:name w:val="heading 4"/>
    <w:basedOn w:val="Paragraph"/>
    <w:next w:val="Newparagraph"/>
    <w:link w:val="berschrift4Zchn"/>
    <w:rsid w:val="00F43B9D"/>
    <w:pPr>
      <w:spacing w:before="360"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icletitle">
    <w:name w:val="Article title"/>
    <w:basedOn w:val="Standard"/>
    <w:next w:val="Standard"/>
    <w:qFormat/>
    <w:rsid w:val="0024692A"/>
    <w:pPr>
      <w:spacing w:after="120" w:line="360" w:lineRule="auto"/>
    </w:pPr>
    <w:rPr>
      <w:b/>
      <w:sz w:val="28"/>
      <w:lang w:val="en-GB" w:eastAsia="en-GB"/>
    </w:rPr>
  </w:style>
  <w:style w:type="paragraph" w:customStyle="1" w:styleId="Authornames">
    <w:name w:val="Author names"/>
    <w:basedOn w:val="Standard"/>
    <w:next w:val="Standard"/>
    <w:qFormat/>
    <w:rsid w:val="00F04900"/>
    <w:pPr>
      <w:spacing w:before="240" w:line="360" w:lineRule="auto"/>
    </w:pPr>
    <w:rPr>
      <w:sz w:val="28"/>
      <w:lang w:val="en-GB" w:eastAsia="en-GB"/>
    </w:rPr>
  </w:style>
  <w:style w:type="paragraph" w:customStyle="1" w:styleId="Affiliation">
    <w:name w:val="Affiliation"/>
    <w:basedOn w:val="Standard"/>
    <w:qFormat/>
    <w:rsid w:val="00F04900"/>
    <w:pPr>
      <w:spacing w:before="240" w:line="360" w:lineRule="auto"/>
    </w:pPr>
    <w:rPr>
      <w:i/>
      <w:lang w:val="en-GB" w:eastAsia="en-GB"/>
    </w:rPr>
  </w:style>
  <w:style w:type="paragraph" w:customStyle="1" w:styleId="Receiveddates">
    <w:name w:val="Received dates"/>
    <w:basedOn w:val="Affiliation"/>
    <w:next w:val="Standard"/>
    <w:qFormat/>
    <w:rsid w:val="00CC474B"/>
  </w:style>
  <w:style w:type="paragraph" w:customStyle="1" w:styleId="Abstract">
    <w:name w:val="Abstract"/>
    <w:basedOn w:val="Standard"/>
    <w:next w:val="Keywords"/>
    <w:qFormat/>
    <w:rsid w:val="00310E13"/>
    <w:pPr>
      <w:spacing w:before="360" w:after="300" w:line="360" w:lineRule="auto"/>
      <w:ind w:left="720" w:right="567"/>
    </w:pPr>
    <w:rPr>
      <w:sz w:val="22"/>
      <w:lang w:val="en-GB" w:eastAsia="en-GB"/>
    </w:rPr>
  </w:style>
  <w:style w:type="paragraph" w:customStyle="1" w:styleId="Keywords">
    <w:name w:val="Keywords"/>
    <w:basedOn w:val="Standard"/>
    <w:next w:val="Paragraph"/>
    <w:qFormat/>
    <w:rsid w:val="00BB1270"/>
    <w:pPr>
      <w:spacing w:before="240" w:after="240" w:line="360" w:lineRule="auto"/>
      <w:ind w:left="720" w:right="567"/>
    </w:pPr>
    <w:rPr>
      <w:sz w:val="22"/>
      <w:lang w:val="en-GB" w:eastAsia="en-GB"/>
    </w:rPr>
  </w:style>
  <w:style w:type="paragraph" w:customStyle="1" w:styleId="Correspondencedetails">
    <w:name w:val="Correspondence details"/>
    <w:basedOn w:val="Standard"/>
    <w:qFormat/>
    <w:rsid w:val="00F04900"/>
    <w:pPr>
      <w:spacing w:before="240" w:line="360" w:lineRule="auto"/>
    </w:pPr>
    <w:rPr>
      <w:lang w:val="en-GB" w:eastAsia="en-GB"/>
    </w:rPr>
  </w:style>
  <w:style w:type="paragraph" w:customStyle="1" w:styleId="Displayedquotation">
    <w:name w:val="Displayed quotation"/>
    <w:basedOn w:val="Standard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Standard"/>
    <w:next w:val="Paragraph"/>
    <w:qFormat/>
    <w:rsid w:val="00EF0F45"/>
    <w:pPr>
      <w:tabs>
        <w:tab w:val="center" w:pos="4253"/>
        <w:tab w:val="right" w:pos="8222"/>
      </w:tabs>
      <w:spacing w:before="240" w:after="240" w:line="480" w:lineRule="auto"/>
      <w:jc w:val="center"/>
    </w:pPr>
    <w:rPr>
      <w:lang w:val="en-GB" w:eastAsia="en-GB"/>
    </w:rPr>
  </w:style>
  <w:style w:type="paragraph" w:customStyle="1" w:styleId="Acknowledgements">
    <w:name w:val="Acknowledgements"/>
    <w:basedOn w:val="Standard"/>
    <w:next w:val="Standard"/>
    <w:qFormat/>
    <w:rsid w:val="00D379A3"/>
    <w:pPr>
      <w:spacing w:before="120" w:line="360" w:lineRule="auto"/>
    </w:pPr>
    <w:rPr>
      <w:sz w:val="22"/>
      <w:lang w:val="en-GB" w:eastAsia="en-GB"/>
    </w:rPr>
  </w:style>
  <w:style w:type="paragraph" w:customStyle="1" w:styleId="Tabletitle">
    <w:name w:val="Table title"/>
    <w:basedOn w:val="Standard"/>
    <w:next w:val="Standard"/>
    <w:qFormat/>
    <w:rsid w:val="0031686C"/>
    <w:pPr>
      <w:spacing w:before="240" w:line="360" w:lineRule="auto"/>
    </w:pPr>
    <w:rPr>
      <w:lang w:val="en-GB" w:eastAsia="en-GB"/>
    </w:rPr>
  </w:style>
  <w:style w:type="paragraph" w:customStyle="1" w:styleId="Figurecaption">
    <w:name w:val="Figure caption"/>
    <w:basedOn w:val="Standard"/>
    <w:next w:val="Standard"/>
    <w:qFormat/>
    <w:rsid w:val="0031686C"/>
    <w:pPr>
      <w:spacing w:before="240" w:line="360" w:lineRule="auto"/>
    </w:pPr>
    <w:rPr>
      <w:lang w:val="en-GB" w:eastAsia="en-GB"/>
    </w:rPr>
  </w:style>
  <w:style w:type="paragraph" w:customStyle="1" w:styleId="Footnotes">
    <w:name w:val="Footnotes"/>
    <w:basedOn w:val="Standard"/>
    <w:qFormat/>
    <w:rsid w:val="006C6936"/>
    <w:pPr>
      <w:spacing w:before="120" w:line="360" w:lineRule="auto"/>
      <w:ind w:left="482" w:hanging="482"/>
      <w:contextualSpacing/>
    </w:pPr>
    <w:rPr>
      <w:sz w:val="22"/>
      <w:lang w:val="en-GB" w:eastAsia="en-GB"/>
    </w:rPr>
  </w:style>
  <w:style w:type="paragraph" w:customStyle="1" w:styleId="Notesoncontributors">
    <w:name w:val="Notes on contributors"/>
    <w:basedOn w:val="Standard"/>
    <w:qFormat/>
    <w:rsid w:val="00F04900"/>
    <w:pPr>
      <w:spacing w:before="240" w:line="360" w:lineRule="auto"/>
    </w:pPr>
    <w:rPr>
      <w:sz w:val="22"/>
      <w:lang w:val="en-GB" w:eastAsia="en-GB"/>
    </w:rPr>
  </w:style>
  <w:style w:type="paragraph" w:customStyle="1" w:styleId="Normalparagraphstyle">
    <w:name w:val="Normal paragraph style"/>
    <w:basedOn w:val="Standard"/>
    <w:next w:val="Standard"/>
    <w:rsid w:val="00562DEF"/>
    <w:pPr>
      <w:spacing w:line="480" w:lineRule="auto"/>
    </w:pPr>
    <w:rPr>
      <w:lang w:val="en-GB" w:eastAsia="en-GB"/>
    </w:rPr>
  </w:style>
  <w:style w:type="paragraph" w:customStyle="1" w:styleId="Paragraph">
    <w:name w:val="Paragraph"/>
    <w:basedOn w:val="Standard"/>
    <w:next w:val="Newparagraph"/>
    <w:qFormat/>
    <w:rsid w:val="001B7681"/>
    <w:pPr>
      <w:widowControl w:val="0"/>
      <w:spacing w:before="240" w:line="480" w:lineRule="auto"/>
    </w:pPr>
    <w:rPr>
      <w:lang w:val="en-GB" w:eastAsia="en-GB"/>
    </w:rPr>
  </w:style>
  <w:style w:type="paragraph" w:customStyle="1" w:styleId="Newparagraph">
    <w:name w:val="New paragraph"/>
    <w:basedOn w:val="Standard"/>
    <w:qFormat/>
    <w:rsid w:val="00AE2F8D"/>
    <w:pPr>
      <w:spacing w:line="480" w:lineRule="auto"/>
      <w:ind w:firstLine="720"/>
    </w:pPr>
    <w:rPr>
      <w:lang w:val="en-GB" w:eastAsia="en-GB"/>
    </w:rPr>
  </w:style>
  <w:style w:type="paragraph" w:styleId="Standardeinzug">
    <w:name w:val="Normal Indent"/>
    <w:basedOn w:val="Standard"/>
    <w:rsid w:val="00526454"/>
    <w:pPr>
      <w:spacing w:line="480" w:lineRule="auto"/>
      <w:ind w:left="720"/>
    </w:pPr>
    <w:rPr>
      <w:lang w:val="en-GB" w:eastAsia="en-GB"/>
    </w:rPr>
  </w:style>
  <w:style w:type="paragraph" w:customStyle="1" w:styleId="References">
    <w:name w:val="References"/>
    <w:basedOn w:val="Standard"/>
    <w:qFormat/>
    <w:rsid w:val="002C53EE"/>
    <w:pPr>
      <w:spacing w:before="120" w:line="360" w:lineRule="auto"/>
      <w:ind w:left="720" w:hanging="720"/>
      <w:contextualSpacing/>
    </w:pPr>
    <w:rPr>
      <w:lang w:val="en-GB" w:eastAsia="en-GB"/>
    </w:r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berschrift2Zchn">
    <w:name w:val="Überschrift 2 Zchn"/>
    <w:basedOn w:val="Absatz-Standardschriftart"/>
    <w:link w:val="berschrift2"/>
    <w:rsid w:val="008D07FB"/>
    <w:rPr>
      <w:rFonts w:cs="Arial"/>
      <w:b/>
      <w:bCs/>
      <w:i/>
      <w:iCs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AE1ED4"/>
    <w:rPr>
      <w:rFonts w:cs="Arial"/>
      <w:b/>
      <w:bCs/>
      <w:kern w:val="32"/>
      <w:sz w:val="24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unotentext">
    <w:name w:val="footnote text"/>
    <w:basedOn w:val="Standard"/>
    <w:link w:val="FunotentextZchn"/>
    <w:autoRedefine/>
    <w:rsid w:val="006C19B2"/>
    <w:pPr>
      <w:spacing w:line="480" w:lineRule="auto"/>
      <w:ind w:left="284" w:hanging="284"/>
    </w:pPr>
    <w:rPr>
      <w:sz w:val="22"/>
      <w:szCs w:val="20"/>
      <w:lang w:val="en-GB" w:eastAsia="en-GB"/>
    </w:rPr>
  </w:style>
  <w:style w:type="character" w:customStyle="1" w:styleId="FunotentextZchn">
    <w:name w:val="Fußnotentext Zchn"/>
    <w:basedOn w:val="Absatz-Standardschriftart"/>
    <w:link w:val="Funotentext"/>
    <w:rsid w:val="006C19B2"/>
    <w:rPr>
      <w:sz w:val="22"/>
    </w:rPr>
  </w:style>
  <w:style w:type="character" w:styleId="Funotenzeichen">
    <w:name w:val="footnote reference"/>
    <w:basedOn w:val="Absatz-Standardschriftart"/>
    <w:rsid w:val="00AF2C92"/>
    <w:rPr>
      <w:vertAlign w:val="superscript"/>
    </w:rPr>
  </w:style>
  <w:style w:type="paragraph" w:styleId="Endnotentext">
    <w:name w:val="endnote text"/>
    <w:basedOn w:val="Standard"/>
    <w:link w:val="EndnotentextZchn"/>
    <w:autoRedefine/>
    <w:rsid w:val="006C19B2"/>
    <w:pPr>
      <w:spacing w:line="480" w:lineRule="auto"/>
      <w:ind w:left="284" w:hanging="284"/>
    </w:pPr>
    <w:rPr>
      <w:sz w:val="22"/>
      <w:szCs w:val="20"/>
      <w:lang w:val="en-GB" w:eastAsia="en-GB"/>
    </w:rPr>
  </w:style>
  <w:style w:type="character" w:customStyle="1" w:styleId="EndnotentextZchn">
    <w:name w:val="Endnotentext Zchn"/>
    <w:basedOn w:val="Absatz-Standardschriftart"/>
    <w:link w:val="Endnotentext"/>
    <w:rsid w:val="006C19B2"/>
    <w:rPr>
      <w:sz w:val="22"/>
    </w:rPr>
  </w:style>
  <w:style w:type="character" w:styleId="Endnotenzeichen">
    <w:name w:val="endnote reference"/>
    <w:basedOn w:val="Absatz-Standardschriftart"/>
    <w:rsid w:val="00EC571B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rsid w:val="00F43B9D"/>
    <w:rPr>
      <w:bCs/>
      <w:sz w:val="24"/>
      <w:szCs w:val="28"/>
    </w:rPr>
  </w:style>
  <w:style w:type="paragraph" w:styleId="Kopfzeile">
    <w:name w:val="header"/>
    <w:basedOn w:val="Standard"/>
    <w:link w:val="KopfzeileZchn"/>
    <w:uiPriority w:val="99"/>
    <w:rsid w:val="003F193A"/>
    <w:pPr>
      <w:tabs>
        <w:tab w:val="center" w:pos="4320"/>
        <w:tab w:val="right" w:pos="8640"/>
      </w:tabs>
      <w:spacing w:after="120"/>
      <w:contextualSpacing/>
    </w:pPr>
    <w:rPr>
      <w:lang w:val="en-GB" w:eastAsia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3F193A"/>
    <w:rPr>
      <w:rFonts w:eastAsia="Times New Roman"/>
      <w:sz w:val="24"/>
      <w:szCs w:val="24"/>
      <w:lang w:eastAsia="en-GB"/>
    </w:rPr>
  </w:style>
  <w:style w:type="paragraph" w:styleId="Fuzeile">
    <w:name w:val="footer"/>
    <w:basedOn w:val="Standard"/>
    <w:link w:val="FuzeileZchn"/>
    <w:uiPriority w:val="99"/>
    <w:rsid w:val="00AE6A21"/>
    <w:pPr>
      <w:tabs>
        <w:tab w:val="center" w:pos="4320"/>
        <w:tab w:val="right" w:pos="8640"/>
      </w:tabs>
      <w:spacing w:before="240"/>
      <w:contextualSpacing/>
    </w:pPr>
    <w:rPr>
      <w:lang w:val="en-GB" w:eastAsia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customStyle="1" w:styleId="CP">
    <w:name w:val="CP"/>
    <w:basedOn w:val="Standard"/>
    <w:rsid w:val="00E4685C"/>
    <w:pPr>
      <w:spacing w:before="120" w:after="120"/>
    </w:pPr>
    <w:rPr>
      <w:sz w:val="20"/>
    </w:rPr>
  </w:style>
  <w:style w:type="paragraph" w:customStyle="1" w:styleId="CPSO">
    <w:name w:val="CPSO"/>
    <w:basedOn w:val="Standard"/>
    <w:rsid w:val="00E4685C"/>
    <w:pPr>
      <w:spacing w:before="120" w:after="120"/>
      <w:ind w:left="284" w:hanging="284"/>
      <w:jc w:val="both"/>
    </w:pPr>
    <w:rPr>
      <w:sz w:val="20"/>
    </w:rPr>
  </w:style>
  <w:style w:type="paragraph" w:customStyle="1" w:styleId="TCH">
    <w:name w:val="TCH"/>
    <w:basedOn w:val="Standard"/>
    <w:rsid w:val="00E4685C"/>
    <w:rPr>
      <w:sz w:val="20"/>
    </w:rPr>
  </w:style>
  <w:style w:type="paragraph" w:customStyle="1" w:styleId="TT">
    <w:name w:val="TT"/>
    <w:basedOn w:val="Standard"/>
    <w:rsid w:val="00E4685C"/>
    <w:rPr>
      <w:sz w:val="20"/>
    </w:rPr>
  </w:style>
  <w:style w:type="paragraph" w:customStyle="1" w:styleId="BRREF">
    <w:name w:val="BRREF"/>
    <w:basedOn w:val="Standard"/>
    <w:rsid w:val="005B3E5D"/>
  </w:style>
  <w:style w:type="paragraph" w:customStyle="1" w:styleId="NNUM">
    <w:name w:val="NNUM"/>
    <w:basedOn w:val="Standard"/>
    <w:rsid w:val="000D2C99"/>
    <w:pPr>
      <w:ind w:left="284" w:hanging="284"/>
      <w:jc w:val="both"/>
    </w:pPr>
    <w:rPr>
      <w:sz w:val="20"/>
    </w:rPr>
  </w:style>
  <w:style w:type="paragraph" w:customStyle="1" w:styleId="AU">
    <w:name w:val="AU"/>
    <w:basedOn w:val="Standard"/>
    <w:rsid w:val="00EA1B5D"/>
    <w:pPr>
      <w:spacing w:before="120" w:after="120"/>
    </w:pPr>
    <w:rPr>
      <w:sz w:val="32"/>
    </w:rPr>
  </w:style>
  <w:style w:type="character" w:styleId="Hyperlink">
    <w:name w:val="Hyperlink"/>
    <w:basedOn w:val="Absatz-Standardschriftart"/>
    <w:unhideWhenUsed/>
    <w:rsid w:val="00DA0E7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0E73"/>
    <w:rPr>
      <w:color w:val="605E5C"/>
      <w:shd w:val="clear" w:color="auto" w:fill="E1DFDD"/>
    </w:rPr>
  </w:style>
  <w:style w:type="paragraph" w:customStyle="1" w:styleId="H1">
    <w:name w:val="H1"/>
    <w:basedOn w:val="Standard"/>
    <w:rsid w:val="00C11707"/>
    <w:pPr>
      <w:spacing w:before="240" w:after="240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fs\Seafile\Meine%20Bibliothek\Aufs&#228;tze\Beitritt%20Austritt%20ohne%20Daten\EPOP\Template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6033-87DF-457E-8B83-BFE5651C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0</TotalTime>
  <Pages>2</Pages>
  <Words>487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3550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sprin</dc:creator>
  <cp:lastModifiedBy> </cp:lastModifiedBy>
  <cp:revision>3</cp:revision>
  <cp:lastPrinted>2011-07-22T14:54:00Z</cp:lastPrinted>
  <dcterms:created xsi:type="dcterms:W3CDTF">2019-06-17T14:59:00Z</dcterms:created>
  <dcterms:modified xsi:type="dcterms:W3CDTF">2019-07-12T14:45:00Z</dcterms:modified>
</cp:coreProperties>
</file>